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7146" w14:textId="77777777" w:rsidR="003F69BE" w:rsidRDefault="000D52D3">
      <w:pPr>
        <w:ind w:left="116"/>
        <w:rPr>
          <w:rFonts w:ascii="Times New Roman"/>
          <w:sz w:val="20"/>
        </w:rPr>
      </w:pPr>
      <w:r>
        <w:rPr>
          <w:rFonts w:ascii="Times New Roman"/>
          <w:noProof/>
          <w:sz w:val="20"/>
        </w:rPr>
        <w:drawing>
          <wp:inline distT="0" distB="0" distL="0" distR="0" wp14:anchorId="5E6CFE65" wp14:editId="16685F9B">
            <wp:extent cx="1220876" cy="7181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20876" cy="718184"/>
                    </a:xfrm>
                    <a:prstGeom prst="rect">
                      <a:avLst/>
                    </a:prstGeom>
                  </pic:spPr>
                </pic:pic>
              </a:graphicData>
            </a:graphic>
          </wp:inline>
        </w:drawing>
      </w:r>
    </w:p>
    <w:p w14:paraId="04928A0C" w14:textId="77777777" w:rsidR="00750E81" w:rsidRPr="00D76235" w:rsidRDefault="00750E81" w:rsidP="00750E81">
      <w:pPr>
        <w:ind w:left="284"/>
        <w:textAlignment w:val="baseline"/>
        <w:rPr>
          <w:rFonts w:ascii="Segoe UI" w:eastAsia="Times New Roman" w:hAnsi="Segoe UI" w:cs="Segoe UI"/>
          <w:sz w:val="18"/>
          <w:szCs w:val="18"/>
          <w:lang w:eastAsia="en-NZ"/>
        </w:rPr>
      </w:pPr>
      <w:r w:rsidRPr="008C2EC2">
        <w:rPr>
          <w:rFonts w:cstheme="minorHAnsi"/>
          <w:b/>
          <w:bCs/>
          <w:sz w:val="28"/>
          <w:szCs w:val="28"/>
        </w:rPr>
        <w:t xml:space="preserve">Review of Flood Protection Management Bylaw 2012 </w:t>
      </w:r>
      <w:r w:rsidRPr="008C2EC2">
        <w:rPr>
          <w:rFonts w:cstheme="minorHAnsi"/>
          <w:b/>
          <w:bCs/>
          <w:sz w:val="28"/>
          <w:szCs w:val="28"/>
        </w:rPr>
        <w:br/>
      </w:r>
      <w:r w:rsidRPr="0004515C">
        <w:rPr>
          <w:rFonts w:cstheme="minorHAnsi"/>
          <w:b/>
          <w:bCs/>
          <w:sz w:val="28"/>
          <w:szCs w:val="28"/>
        </w:rPr>
        <w:t>Minute</w:t>
      </w:r>
      <w:r>
        <w:rPr>
          <w:rFonts w:cstheme="minorHAnsi"/>
          <w:b/>
          <w:bCs/>
          <w:sz w:val="28"/>
          <w:szCs w:val="28"/>
        </w:rPr>
        <w:t xml:space="preserve"> #1 of the Hearing Panel</w:t>
      </w:r>
      <w:r w:rsidRPr="00D76235">
        <w:rPr>
          <w:rFonts w:ascii="Arial" w:eastAsia="Times New Roman" w:hAnsi="Arial" w:cs="Arial"/>
          <w:lang w:eastAsia="en-NZ"/>
        </w:rPr>
        <w:t> </w:t>
      </w:r>
    </w:p>
    <w:p w14:paraId="04C69F11" w14:textId="77777777" w:rsidR="00750E81" w:rsidRPr="008C2EC2" w:rsidRDefault="00750E81" w:rsidP="00750E81">
      <w:pPr>
        <w:jc w:val="center"/>
        <w:rPr>
          <w:rFonts w:cstheme="minorHAnsi"/>
          <w:b/>
          <w:bCs/>
          <w:sz w:val="28"/>
          <w:szCs w:val="28"/>
        </w:rPr>
      </w:pPr>
    </w:p>
    <w:p w14:paraId="52D10533" w14:textId="77777777" w:rsidR="00750E81" w:rsidRDefault="00750E81" w:rsidP="00750E81">
      <w:pPr>
        <w:ind w:left="709" w:hanging="425"/>
        <w:rPr>
          <w:rFonts w:cstheme="minorHAnsi"/>
        </w:rPr>
      </w:pPr>
      <w:r>
        <w:rPr>
          <w:rFonts w:cstheme="minorHAnsi"/>
          <w:b/>
          <w:bCs/>
        </w:rPr>
        <w:t>Introduction</w:t>
      </w:r>
    </w:p>
    <w:p w14:paraId="37C14DF2" w14:textId="77777777" w:rsidR="00750E81" w:rsidRDefault="00750E81" w:rsidP="00750E81">
      <w:pPr>
        <w:pStyle w:val="ListParagraph"/>
        <w:widowControl/>
        <w:numPr>
          <w:ilvl w:val="0"/>
          <w:numId w:val="1"/>
        </w:numPr>
        <w:autoSpaceDE/>
        <w:autoSpaceDN/>
        <w:contextualSpacing/>
        <w:rPr>
          <w:rFonts w:cstheme="minorHAnsi"/>
        </w:rPr>
      </w:pPr>
      <w:r>
        <w:rPr>
          <w:rFonts w:cstheme="minorHAnsi"/>
        </w:rPr>
        <w:t xml:space="preserve">This is the minute of </w:t>
      </w:r>
      <w:proofErr w:type="spellStart"/>
      <w:r>
        <w:rPr>
          <w:rFonts w:cstheme="minorHAnsi"/>
        </w:rPr>
        <w:t>Councillor</w:t>
      </w:r>
      <w:proofErr w:type="spellEnd"/>
      <w:r>
        <w:rPr>
          <w:rFonts w:cstheme="minorHAnsi"/>
        </w:rPr>
        <w:t xml:space="preserve"> Kate Wilson (Chairperson), </w:t>
      </w:r>
      <w:proofErr w:type="spellStart"/>
      <w:r>
        <w:rPr>
          <w:rFonts w:cstheme="minorHAnsi"/>
        </w:rPr>
        <w:t>Councillor</w:t>
      </w:r>
      <w:proofErr w:type="spellEnd"/>
      <w:r>
        <w:rPr>
          <w:rFonts w:cstheme="minorHAnsi"/>
        </w:rPr>
        <w:t xml:space="preserve"> Gretchen Robertson, and </w:t>
      </w:r>
      <w:proofErr w:type="spellStart"/>
      <w:r>
        <w:rPr>
          <w:rFonts w:cstheme="minorHAnsi"/>
        </w:rPr>
        <w:t>Mr</w:t>
      </w:r>
      <w:proofErr w:type="spellEnd"/>
      <w:r>
        <w:rPr>
          <w:rFonts w:cstheme="minorHAnsi"/>
        </w:rPr>
        <w:t xml:space="preserve"> Allan Cubitt.</w:t>
      </w:r>
    </w:p>
    <w:p w14:paraId="0DD7FD48" w14:textId="77777777" w:rsidR="00750E81" w:rsidRDefault="00750E81" w:rsidP="00750E81">
      <w:pPr>
        <w:pStyle w:val="ListParagraph"/>
        <w:rPr>
          <w:rFonts w:cstheme="minorHAnsi"/>
        </w:rPr>
      </w:pPr>
    </w:p>
    <w:p w14:paraId="321C67C2" w14:textId="77777777" w:rsidR="00750E81" w:rsidRDefault="00750E81" w:rsidP="00750E81">
      <w:pPr>
        <w:pStyle w:val="ListParagraph"/>
        <w:widowControl/>
        <w:numPr>
          <w:ilvl w:val="0"/>
          <w:numId w:val="1"/>
        </w:numPr>
        <w:autoSpaceDE/>
        <w:autoSpaceDN/>
        <w:contextualSpacing/>
        <w:rPr>
          <w:rFonts w:cstheme="minorHAnsi"/>
        </w:rPr>
      </w:pPr>
      <w:r>
        <w:rPr>
          <w:rFonts w:cstheme="minorHAnsi"/>
        </w:rPr>
        <w:t>We have been appointed by the Otago Regional Council (“ORC” or “Council”) to hear submissions on proposed amendments to the Otago Regional Council Flood Protection Management Bylaw 2012 (“the Bylaw”) and make recommendations to the Council.</w:t>
      </w:r>
    </w:p>
    <w:p w14:paraId="06C54496" w14:textId="77777777" w:rsidR="00750E81" w:rsidRPr="007A619C" w:rsidRDefault="00750E81" w:rsidP="00750E81">
      <w:pPr>
        <w:pStyle w:val="ListParagraph"/>
        <w:rPr>
          <w:rFonts w:cstheme="minorHAnsi"/>
        </w:rPr>
      </w:pPr>
    </w:p>
    <w:p w14:paraId="58E4F06E" w14:textId="47B7380B" w:rsidR="00750E81" w:rsidRDefault="00750E81" w:rsidP="00750E81">
      <w:pPr>
        <w:pStyle w:val="ListParagraph"/>
        <w:widowControl/>
        <w:numPr>
          <w:ilvl w:val="0"/>
          <w:numId w:val="1"/>
        </w:numPr>
        <w:autoSpaceDE/>
        <w:autoSpaceDN/>
        <w:contextualSpacing/>
        <w:rPr>
          <w:rFonts w:cstheme="minorHAnsi"/>
        </w:rPr>
      </w:pPr>
      <w:r>
        <w:rPr>
          <w:rFonts w:cstheme="minorHAnsi"/>
        </w:rPr>
        <w:t>The purpose of this minute is to confirm the date of the hearing and to set out some matters in preparation for the hearing.</w:t>
      </w:r>
    </w:p>
    <w:p w14:paraId="61E87FCE" w14:textId="5CEA559E" w:rsidR="00750E81" w:rsidRPr="00672C09" w:rsidRDefault="00750E81" w:rsidP="00750E81">
      <w:pPr>
        <w:rPr>
          <w:rFonts w:cstheme="minorHAnsi"/>
        </w:rPr>
      </w:pPr>
      <w:r>
        <w:rPr>
          <w:rFonts w:cstheme="minorHAnsi"/>
        </w:rPr>
        <w:br/>
      </w:r>
    </w:p>
    <w:p w14:paraId="2F7BE57E" w14:textId="77777777" w:rsidR="00750E81" w:rsidRPr="00672C09" w:rsidRDefault="00750E81" w:rsidP="00750E81">
      <w:pPr>
        <w:pStyle w:val="NoSpacing"/>
        <w:ind w:firstLine="284"/>
        <w:rPr>
          <w:b/>
          <w:bCs/>
        </w:rPr>
      </w:pPr>
      <w:r w:rsidRPr="00672C09">
        <w:rPr>
          <w:b/>
          <w:bCs/>
        </w:rPr>
        <w:t>Hearing</w:t>
      </w:r>
    </w:p>
    <w:p w14:paraId="3F1FDC94" w14:textId="77777777" w:rsidR="00750E81" w:rsidRPr="00CE23DD" w:rsidRDefault="00750E81" w:rsidP="00750E81">
      <w:pPr>
        <w:pStyle w:val="ListParagraph"/>
        <w:widowControl/>
        <w:numPr>
          <w:ilvl w:val="0"/>
          <w:numId w:val="1"/>
        </w:numPr>
        <w:autoSpaceDE/>
        <w:autoSpaceDN/>
        <w:spacing w:after="200" w:line="276" w:lineRule="auto"/>
        <w:contextualSpacing/>
        <w:rPr>
          <w:rFonts w:cstheme="minorHAnsi"/>
        </w:rPr>
      </w:pPr>
      <w:r w:rsidRPr="00CE23DD">
        <w:rPr>
          <w:rFonts w:cstheme="minorHAnsi"/>
        </w:rPr>
        <w:t xml:space="preserve">The hearing will commence at </w:t>
      </w:r>
      <w:r w:rsidRPr="00CE23DD">
        <w:rPr>
          <w:rFonts w:cstheme="minorHAnsi"/>
          <w:b/>
          <w:bCs/>
        </w:rPr>
        <w:t>9</w:t>
      </w:r>
      <w:r>
        <w:rPr>
          <w:rFonts w:cstheme="minorHAnsi"/>
          <w:b/>
          <w:bCs/>
        </w:rPr>
        <w:t>.30</w:t>
      </w:r>
      <w:r w:rsidRPr="00CE23DD">
        <w:rPr>
          <w:rFonts w:cstheme="minorHAnsi"/>
          <w:b/>
          <w:bCs/>
        </w:rPr>
        <w:t xml:space="preserve">am on Friday 13 May 2022 in the Council Chambers in the offices of ORC, Phillip Laing House, Level 2, 144 Rattray Street, Dunedin. </w:t>
      </w:r>
      <w:r w:rsidRPr="00CE23DD">
        <w:rPr>
          <w:rFonts w:cstheme="minorHAnsi"/>
        </w:rPr>
        <w:t>Please note the change of date from 4 May 2022.</w:t>
      </w:r>
    </w:p>
    <w:p w14:paraId="445DF062" w14:textId="77777777" w:rsidR="00750E81" w:rsidRPr="008A73DA" w:rsidRDefault="00750E81" w:rsidP="00750E81">
      <w:pPr>
        <w:pStyle w:val="ListParagraph"/>
        <w:rPr>
          <w:rFonts w:cstheme="minorHAnsi"/>
        </w:rPr>
      </w:pPr>
    </w:p>
    <w:p w14:paraId="62DBB88A" w14:textId="77777777" w:rsidR="00750E81" w:rsidRDefault="00750E81" w:rsidP="00750E81">
      <w:pPr>
        <w:pStyle w:val="ListParagraph"/>
        <w:widowControl/>
        <w:numPr>
          <w:ilvl w:val="0"/>
          <w:numId w:val="1"/>
        </w:numPr>
        <w:autoSpaceDE/>
        <w:autoSpaceDN/>
        <w:contextualSpacing/>
      </w:pPr>
      <w:r w:rsidRPr="3C4F9A5E">
        <w:t xml:space="preserve">Submitters may attend in person or via audio visual link. </w:t>
      </w:r>
      <w:r>
        <w:t xml:space="preserve"> </w:t>
      </w:r>
      <w:r w:rsidRPr="00537F58">
        <w:t>Once consultation concludes</w:t>
      </w:r>
      <w:r w:rsidRPr="3C4F9A5E">
        <w:t>, submitters who have indicated that they wish to be heard will be contacted by Council staff on this point.</w:t>
      </w:r>
    </w:p>
    <w:p w14:paraId="22437747" w14:textId="77777777" w:rsidR="00750E81" w:rsidRPr="001438FC" w:rsidRDefault="00750E81" w:rsidP="00750E81">
      <w:pPr>
        <w:pStyle w:val="ListParagraph"/>
        <w:rPr>
          <w:rFonts w:cstheme="minorHAnsi"/>
        </w:rPr>
      </w:pPr>
    </w:p>
    <w:p w14:paraId="11439CE9" w14:textId="77777777" w:rsidR="00750E81" w:rsidRDefault="00750E81" w:rsidP="00750E81">
      <w:pPr>
        <w:pStyle w:val="ListParagraph"/>
        <w:widowControl/>
        <w:numPr>
          <w:ilvl w:val="0"/>
          <w:numId w:val="1"/>
        </w:numPr>
        <w:autoSpaceDE/>
        <w:autoSpaceDN/>
        <w:contextualSpacing/>
      </w:pPr>
      <w:r w:rsidRPr="3C4F9A5E">
        <w:t>We direct Council staff to</w:t>
      </w:r>
      <w:r w:rsidRPr="007C79ED">
        <w:t xml:space="preserve"> </w:t>
      </w:r>
      <w:r>
        <w:t xml:space="preserve">prepare a report outlining the amendments proposed, the submissions </w:t>
      </w:r>
      <w:proofErr w:type="gramStart"/>
      <w:r>
        <w:t>received</w:t>
      </w:r>
      <w:proofErr w:type="gramEnd"/>
      <w:r>
        <w:t xml:space="preserve"> and relief sought, and</w:t>
      </w:r>
      <w:r>
        <w:rPr>
          <w:spacing w:val="-23"/>
        </w:rPr>
        <w:t xml:space="preserve"> </w:t>
      </w:r>
      <w:r>
        <w:t xml:space="preserve">the staff’s comments in relation to those matters.  This report shall be provided to submitters no later than 4pm on Monday 9 May 2022. </w:t>
      </w:r>
    </w:p>
    <w:p w14:paraId="69E7605F" w14:textId="77777777" w:rsidR="00750E81" w:rsidRDefault="00750E81" w:rsidP="00750E81">
      <w:pPr>
        <w:pStyle w:val="ListParagraph"/>
      </w:pPr>
    </w:p>
    <w:p w14:paraId="6C691285" w14:textId="77777777" w:rsidR="00750E81" w:rsidRDefault="00750E81" w:rsidP="00750E81">
      <w:pPr>
        <w:pStyle w:val="ListParagraph"/>
        <w:widowControl/>
        <w:numPr>
          <w:ilvl w:val="0"/>
          <w:numId w:val="1"/>
        </w:numPr>
        <w:autoSpaceDE/>
        <w:autoSpaceDN/>
        <w:contextualSpacing/>
      </w:pPr>
      <w:r>
        <w:t xml:space="preserve">We direct </w:t>
      </w:r>
      <w:proofErr w:type="gramStart"/>
      <w:r>
        <w:t>that submitters</w:t>
      </w:r>
      <w:proofErr w:type="gramEnd"/>
      <w:r>
        <w:t xml:space="preserve"> contact the Hearing administrator no later than 4pm Tuesday 10 May 2022 to provide an estimation on the time required to present their submission and advise on what evidence will be called.  Our preference is</w:t>
      </w:r>
      <w:r w:rsidRPr="3C4F9A5E">
        <w:t xml:space="preserve"> that presentations will be approximately </w:t>
      </w:r>
      <w:r w:rsidRPr="00496240">
        <w:t>10-15</w:t>
      </w:r>
      <w:r w:rsidRPr="3C4F9A5E">
        <w:t xml:space="preserve">minutes per </w:t>
      </w:r>
      <w:proofErr w:type="gramStart"/>
      <w:r w:rsidRPr="3C4F9A5E">
        <w:t>speaker</w:t>
      </w:r>
      <w:proofErr w:type="gramEnd"/>
      <w:r>
        <w:t xml:space="preserve"> but we appreciate that as the timeframe does not allow for pre-circulation, any evidence and legal submissions presented at the hearing will need to be read. Hence, t</w:t>
      </w:r>
      <w:r w:rsidRPr="3C4F9A5E">
        <w:t xml:space="preserve">his is a guide only </w:t>
      </w:r>
      <w:r>
        <w:t xml:space="preserve">as we encourage </w:t>
      </w:r>
      <w:r w:rsidRPr="3C4F9A5E">
        <w:t>submitters to fully participate in the process</w:t>
      </w:r>
      <w:r>
        <w:t xml:space="preserve"> and wish to ensure that they </w:t>
      </w:r>
      <w:proofErr w:type="gramStart"/>
      <w:r>
        <w:t>are able to</w:t>
      </w:r>
      <w:proofErr w:type="gramEnd"/>
      <w:r>
        <w:t xml:space="preserve"> adequately </w:t>
      </w:r>
      <w:r w:rsidRPr="3C4F9A5E">
        <w:t xml:space="preserve">present their </w:t>
      </w:r>
      <w:r>
        <w:t>case</w:t>
      </w:r>
      <w:r w:rsidRPr="3C4F9A5E">
        <w:t xml:space="preserve"> </w:t>
      </w:r>
      <w:r>
        <w:t xml:space="preserve">without any time pressure or constraint. </w:t>
      </w:r>
    </w:p>
    <w:p w14:paraId="15F87BBE" w14:textId="77777777" w:rsidR="00750E81" w:rsidRDefault="00750E81" w:rsidP="00750E81">
      <w:pPr>
        <w:pStyle w:val="ListParagraph"/>
      </w:pPr>
    </w:p>
    <w:p w14:paraId="78AFF293" w14:textId="77777777" w:rsidR="00750E81" w:rsidRDefault="00750E81" w:rsidP="00750E81">
      <w:pPr>
        <w:pStyle w:val="ListParagraph"/>
        <w:widowControl/>
        <w:numPr>
          <w:ilvl w:val="0"/>
          <w:numId w:val="1"/>
        </w:numPr>
        <w:autoSpaceDE/>
        <w:autoSpaceDN/>
        <w:contextualSpacing/>
      </w:pPr>
      <w:r>
        <w:t xml:space="preserve">Once the information under point 7 has been provided, Council’s hearing administrator will circulate a hearing schedule no later than 4pm Wednesday 11 May 2022. </w:t>
      </w:r>
    </w:p>
    <w:p w14:paraId="5E2CCAD9" w14:textId="77777777" w:rsidR="00750E81" w:rsidRPr="00750E81" w:rsidRDefault="00750E81" w:rsidP="00750E81">
      <w:pPr>
        <w:rPr>
          <w:rFonts w:cstheme="minorHAnsi"/>
        </w:rPr>
      </w:pPr>
    </w:p>
    <w:p w14:paraId="776EC34A" w14:textId="77777777" w:rsidR="00750E81" w:rsidRDefault="00750E81" w:rsidP="00750E81">
      <w:pPr>
        <w:pStyle w:val="NoSpacing"/>
        <w:rPr>
          <w:b/>
          <w:bCs/>
        </w:rPr>
      </w:pPr>
    </w:p>
    <w:p w14:paraId="6F46F3A1" w14:textId="77777777" w:rsidR="00750E81" w:rsidRPr="00672C09" w:rsidRDefault="00750E81" w:rsidP="00750E81">
      <w:pPr>
        <w:pStyle w:val="NoSpacing"/>
        <w:ind w:firstLine="426"/>
        <w:rPr>
          <w:b/>
          <w:bCs/>
        </w:rPr>
      </w:pPr>
      <w:r w:rsidRPr="00672C09">
        <w:rPr>
          <w:b/>
          <w:bCs/>
        </w:rPr>
        <w:t>Next steps after the hearing</w:t>
      </w:r>
    </w:p>
    <w:p w14:paraId="0FFD4A2C" w14:textId="77777777" w:rsidR="00750E81" w:rsidRDefault="00750E81" w:rsidP="00750E81">
      <w:pPr>
        <w:pStyle w:val="NoSpacing"/>
        <w:numPr>
          <w:ilvl w:val="0"/>
          <w:numId w:val="1"/>
        </w:numPr>
      </w:pPr>
      <w:r w:rsidRPr="3C4F9A5E">
        <w:t xml:space="preserve">Following the hearing, we will deliberate and prepare a report on our recommendations to the Council. </w:t>
      </w:r>
    </w:p>
    <w:p w14:paraId="03133602" w14:textId="77777777" w:rsidR="00750E81" w:rsidRDefault="00750E81" w:rsidP="00750E81">
      <w:pPr>
        <w:pStyle w:val="NoSpacing"/>
        <w:ind w:left="720"/>
      </w:pPr>
    </w:p>
    <w:p w14:paraId="130B8ACD" w14:textId="77777777" w:rsidR="00750E81" w:rsidRDefault="00750E81" w:rsidP="00750E81">
      <w:pPr>
        <w:pStyle w:val="ListParagraph"/>
        <w:widowControl/>
        <w:numPr>
          <w:ilvl w:val="0"/>
          <w:numId w:val="1"/>
        </w:numPr>
        <w:autoSpaceDE/>
        <w:autoSpaceDN/>
        <w:spacing w:after="200" w:line="276" w:lineRule="auto"/>
        <w:contextualSpacing/>
      </w:pPr>
      <w:r>
        <w:t>The report will be provided to submitters.</w:t>
      </w:r>
    </w:p>
    <w:p w14:paraId="3CD88410" w14:textId="78A2EB31" w:rsidR="00750E81" w:rsidRDefault="00750E81" w:rsidP="00750E81">
      <w:pPr>
        <w:pStyle w:val="ListParagraph"/>
      </w:pPr>
    </w:p>
    <w:p w14:paraId="1D25A1A7" w14:textId="77777777" w:rsidR="00750E81" w:rsidRDefault="00750E81" w:rsidP="00750E81">
      <w:pPr>
        <w:pStyle w:val="ListParagraph"/>
      </w:pPr>
    </w:p>
    <w:p w14:paraId="594F1D06" w14:textId="77777777" w:rsidR="00750E81" w:rsidRPr="00496240" w:rsidRDefault="00750E81" w:rsidP="00750E81">
      <w:pPr>
        <w:ind w:firstLine="426"/>
        <w:rPr>
          <w:b/>
          <w:bCs/>
        </w:rPr>
      </w:pPr>
      <w:r w:rsidRPr="00496240">
        <w:rPr>
          <w:b/>
          <w:bCs/>
        </w:rPr>
        <w:t>Hearing Administrator</w:t>
      </w:r>
    </w:p>
    <w:p w14:paraId="23AE7B04" w14:textId="1B9704CE" w:rsidR="00750E81" w:rsidRPr="00750E81" w:rsidRDefault="00750E81" w:rsidP="00750E81">
      <w:pPr>
        <w:pStyle w:val="ListParagraph"/>
        <w:widowControl/>
        <w:numPr>
          <w:ilvl w:val="0"/>
          <w:numId w:val="1"/>
        </w:numPr>
        <w:autoSpaceDE/>
        <w:autoSpaceDN/>
        <w:contextualSpacing/>
        <w:jc w:val="both"/>
        <w:rPr>
          <w:rFonts w:cstheme="minorHAnsi"/>
          <w:bCs/>
        </w:rPr>
      </w:pPr>
      <w:r w:rsidRPr="00496240">
        <w:rPr>
          <w:rFonts w:ascii="Calibri" w:hAnsi="Calibri" w:cs="Calibri"/>
        </w:rPr>
        <w:t xml:space="preserve">There should be </w:t>
      </w:r>
      <w:r w:rsidRPr="00496240">
        <w:rPr>
          <w:rFonts w:ascii="Calibri" w:hAnsi="Calibri" w:cs="Calibri"/>
          <w:u w:val="single"/>
        </w:rPr>
        <w:t>no direct contact</w:t>
      </w:r>
      <w:r w:rsidRPr="00496240">
        <w:rPr>
          <w:rFonts w:ascii="Calibri" w:hAnsi="Calibri" w:cs="Calibri"/>
        </w:rPr>
        <w:t xml:space="preserve"> between the </w:t>
      </w:r>
      <w:r>
        <w:rPr>
          <w:rFonts w:ascii="Calibri" w:hAnsi="Calibri" w:cs="Calibri"/>
        </w:rPr>
        <w:t>hearing panel members</w:t>
      </w:r>
      <w:r w:rsidRPr="00496240">
        <w:rPr>
          <w:rFonts w:ascii="Calibri" w:hAnsi="Calibri" w:cs="Calibri"/>
        </w:rPr>
        <w:t xml:space="preserve"> and the parties.  All communications must occur via </w:t>
      </w:r>
      <w:r w:rsidRPr="00496240">
        <w:rPr>
          <w:rFonts w:cstheme="minorHAnsi"/>
        </w:rPr>
        <w:t>the Hearings Administrator</w:t>
      </w:r>
      <w:r w:rsidRPr="00496240">
        <w:rPr>
          <w:rFonts w:ascii="Calibri" w:hAnsi="Calibri" w:cs="Calibri"/>
        </w:rPr>
        <w:t xml:space="preserve">, Alison Weaver at the Council. If any party wishes to seek further clarification in relation to this Minute or the hearing process please contact Alison Weaver in the first instance, at email: </w:t>
      </w:r>
      <w:r w:rsidRPr="00496240">
        <w:rPr>
          <w:rFonts w:ascii="Arial" w:hAnsi="Arial" w:cs="Arial"/>
          <w:color w:val="000000"/>
          <w:lang w:eastAsia="en-NZ"/>
        </w:rPr>
        <w:t xml:space="preserve"> </w:t>
      </w:r>
      <w:hyperlink r:id="rId6" w:history="1">
        <w:r w:rsidRPr="00496240">
          <w:rPr>
            <w:rStyle w:val="Hyperlink"/>
            <w:rFonts w:cstheme="minorHAnsi"/>
            <w:lang w:eastAsia="en-NZ"/>
          </w:rPr>
          <w:t>alison.weaver@orc.govt.nz</w:t>
        </w:r>
      </w:hyperlink>
      <w:r w:rsidRPr="00496240">
        <w:rPr>
          <w:rFonts w:cstheme="minorHAnsi"/>
          <w:color w:val="000000"/>
          <w:lang w:eastAsia="en-NZ"/>
        </w:rPr>
        <w:t xml:space="preserve"> </w:t>
      </w:r>
      <w:r w:rsidRPr="00496240">
        <w:rPr>
          <w:rFonts w:cstheme="minorHAnsi"/>
        </w:rPr>
        <w:t>or</w:t>
      </w:r>
      <w:r w:rsidRPr="00496240">
        <w:rPr>
          <w:rFonts w:cstheme="minorHAnsi"/>
          <w:bCs/>
        </w:rPr>
        <w:t xml:space="preserve"> phone 0800 474 082</w:t>
      </w:r>
      <w:r>
        <w:rPr>
          <w:rFonts w:cstheme="minorHAnsi"/>
          <w:bCs/>
        </w:rPr>
        <w:t>.</w:t>
      </w:r>
    </w:p>
    <w:p w14:paraId="4F09296F" w14:textId="77777777" w:rsidR="003F69BE" w:rsidRDefault="003F69BE">
      <w:pPr>
        <w:rPr>
          <w:rFonts w:ascii="Times New Roman"/>
          <w:sz w:val="20"/>
        </w:rPr>
      </w:pPr>
    </w:p>
    <w:p w14:paraId="2D8765F6" w14:textId="77777777" w:rsidR="003F69BE" w:rsidRDefault="003F69BE">
      <w:pPr>
        <w:rPr>
          <w:rFonts w:ascii="Times New Roman"/>
          <w:sz w:val="20"/>
        </w:rPr>
      </w:pPr>
    </w:p>
    <w:p w14:paraId="3E5F51A7" w14:textId="77777777" w:rsidR="003F69BE" w:rsidRDefault="000D52D3">
      <w:pPr>
        <w:rPr>
          <w:rFonts w:ascii="Times New Roman"/>
          <w:sz w:val="18"/>
        </w:rPr>
      </w:pPr>
      <w:r>
        <w:pict w14:anchorId="3D287AE6">
          <v:rect id="docshape1" o:spid="_x0000_s1026" style="position:absolute;margin-left:70.55pt;margin-top:11.55pt;width:454.1pt;height:.5pt;z-index:-251658752;mso-wrap-distance-left:0;mso-wrap-distance-right:0;mso-position-horizontal-relative:page" fillcolor="black" stroked="f">
            <w10:wrap type="topAndBottom" anchorx="page"/>
          </v:rect>
        </w:pict>
      </w:r>
    </w:p>
    <w:p w14:paraId="69CC51DA" w14:textId="77777777" w:rsidR="003F69BE" w:rsidRDefault="000D52D3">
      <w:pPr>
        <w:pStyle w:val="Title"/>
        <w:tabs>
          <w:tab w:val="left" w:pos="5125"/>
          <w:tab w:val="left" w:pos="7951"/>
        </w:tabs>
        <w:rPr>
          <w:b w:val="0"/>
          <w:i w:val="0"/>
          <w:sz w:val="17"/>
        </w:rPr>
      </w:pPr>
      <w:hyperlink r:id="rId7">
        <w:r>
          <w:rPr>
            <w:i w:val="0"/>
            <w:color w:val="003E60"/>
            <w:spacing w:val="-2"/>
            <w:sz w:val="18"/>
          </w:rPr>
          <w:t>www.orc.govt.nz</w:t>
        </w:r>
      </w:hyperlink>
      <w:r>
        <w:rPr>
          <w:i w:val="0"/>
          <w:color w:val="003E60"/>
          <w:sz w:val="18"/>
        </w:rPr>
        <w:tab/>
      </w:r>
      <w:r>
        <w:rPr>
          <w:b w:val="0"/>
          <w:i w:val="0"/>
          <w:color w:val="003E60"/>
          <w:spacing w:val="-2"/>
          <w:w w:val="95"/>
          <w:sz w:val="18"/>
        </w:rPr>
        <w:t>0800</w:t>
      </w:r>
      <w:r>
        <w:rPr>
          <w:b w:val="0"/>
          <w:i w:val="0"/>
          <w:color w:val="003E60"/>
          <w:spacing w:val="-4"/>
          <w:sz w:val="18"/>
        </w:rPr>
        <w:t xml:space="preserve"> </w:t>
      </w:r>
      <w:r>
        <w:rPr>
          <w:b w:val="0"/>
          <w:i w:val="0"/>
          <w:color w:val="003E60"/>
          <w:spacing w:val="-2"/>
          <w:w w:val="95"/>
          <w:sz w:val="18"/>
        </w:rPr>
        <w:t>474</w:t>
      </w:r>
      <w:r>
        <w:rPr>
          <w:b w:val="0"/>
          <w:i w:val="0"/>
          <w:color w:val="003E60"/>
          <w:spacing w:val="-4"/>
          <w:sz w:val="18"/>
        </w:rPr>
        <w:t xml:space="preserve"> </w:t>
      </w:r>
      <w:r>
        <w:rPr>
          <w:b w:val="0"/>
          <w:i w:val="0"/>
          <w:color w:val="003E60"/>
          <w:spacing w:val="-5"/>
          <w:w w:val="95"/>
          <w:sz w:val="18"/>
        </w:rPr>
        <w:t>082</w:t>
      </w:r>
      <w:r>
        <w:rPr>
          <w:b w:val="0"/>
          <w:i w:val="0"/>
          <w:color w:val="003E60"/>
          <w:sz w:val="18"/>
        </w:rPr>
        <w:tab/>
      </w:r>
      <w:r>
        <w:rPr>
          <w:b w:val="0"/>
          <w:i w:val="0"/>
          <w:color w:val="003E60"/>
          <w:w w:val="95"/>
          <w:sz w:val="17"/>
        </w:rPr>
        <w:t>Private</w:t>
      </w:r>
      <w:r>
        <w:rPr>
          <w:b w:val="0"/>
          <w:i w:val="0"/>
          <w:color w:val="003E60"/>
          <w:spacing w:val="7"/>
          <w:sz w:val="17"/>
        </w:rPr>
        <w:t xml:space="preserve"> </w:t>
      </w:r>
      <w:r>
        <w:rPr>
          <w:b w:val="0"/>
          <w:i w:val="0"/>
          <w:color w:val="003E60"/>
          <w:w w:val="95"/>
          <w:sz w:val="17"/>
        </w:rPr>
        <w:t>Bag</w:t>
      </w:r>
      <w:r>
        <w:rPr>
          <w:b w:val="0"/>
          <w:i w:val="0"/>
          <w:color w:val="003E60"/>
          <w:spacing w:val="7"/>
          <w:sz w:val="17"/>
        </w:rPr>
        <w:t xml:space="preserve"> </w:t>
      </w:r>
      <w:r>
        <w:rPr>
          <w:b w:val="0"/>
          <w:i w:val="0"/>
          <w:color w:val="003E60"/>
          <w:w w:val="95"/>
          <w:sz w:val="17"/>
        </w:rPr>
        <w:t>1954,</w:t>
      </w:r>
      <w:r>
        <w:rPr>
          <w:b w:val="0"/>
          <w:i w:val="0"/>
          <w:color w:val="003E60"/>
          <w:spacing w:val="7"/>
          <w:sz w:val="17"/>
        </w:rPr>
        <w:t xml:space="preserve"> </w:t>
      </w:r>
      <w:r>
        <w:rPr>
          <w:b w:val="0"/>
          <w:i w:val="0"/>
          <w:color w:val="003E60"/>
          <w:w w:val="95"/>
          <w:sz w:val="17"/>
        </w:rPr>
        <w:t>Dunedin</w:t>
      </w:r>
      <w:r>
        <w:rPr>
          <w:b w:val="0"/>
          <w:i w:val="0"/>
          <w:color w:val="003E60"/>
          <w:spacing w:val="7"/>
          <w:sz w:val="17"/>
        </w:rPr>
        <w:t xml:space="preserve"> </w:t>
      </w:r>
      <w:r>
        <w:rPr>
          <w:b w:val="0"/>
          <w:i w:val="0"/>
          <w:color w:val="003E60"/>
          <w:spacing w:val="-4"/>
          <w:w w:val="95"/>
          <w:sz w:val="17"/>
        </w:rPr>
        <w:t>9054</w:t>
      </w:r>
    </w:p>
    <w:sectPr w:rsidR="003F69BE">
      <w:type w:val="continuous"/>
      <w:pgSz w:w="11900" w:h="16840"/>
      <w:pgMar w:top="200" w:right="130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C5A7C"/>
    <w:multiLevelType w:val="hybridMultilevel"/>
    <w:tmpl w:val="19121A92"/>
    <w:lvl w:ilvl="0" w:tplc="1409000F">
      <w:start w:val="1"/>
      <w:numFmt w:val="decimal"/>
      <w:lvlText w:val="%1."/>
      <w:lvlJc w:val="left"/>
      <w:pPr>
        <w:ind w:left="107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qQU3rTwsEijAAudZ+tgKMXcOKk/BGmPTWY7cHfTG++Y9RrZ0PG6Jja4BqxD0R2lSCaxNuBo1w+w/8dNfEoUuQ==" w:salt="QMCWQF2JVRJqo8C+/aelXw=="/>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69BE"/>
    <w:rsid w:val="000D52D3"/>
    <w:rsid w:val="001570E9"/>
    <w:rsid w:val="003D7E0D"/>
    <w:rsid w:val="003F69BE"/>
    <w:rsid w:val="00750E81"/>
    <w:rsid w:val="00FA26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F256ED"/>
  <w15:docId w15:val="{511F39A2-F948-4827-B06C-3AAE18E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8"/>
      <w:ind w:left="1080"/>
    </w:pPr>
    <w:rPr>
      <w:rFonts w:ascii="Calibri" w:eastAsia="Calibri" w:hAnsi="Calibri" w:cs="Calibri"/>
      <w:b/>
      <w:bCs/>
      <w:i/>
      <w:i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750E81"/>
    <w:pPr>
      <w:widowControl/>
      <w:autoSpaceDE/>
      <w:autoSpaceDN/>
    </w:pPr>
    <w:rPr>
      <w:lang w:val="en-NZ"/>
    </w:rPr>
  </w:style>
  <w:style w:type="character" w:styleId="Hyperlink">
    <w:name w:val="Hyperlink"/>
    <w:basedOn w:val="DefaultParagraphFont"/>
    <w:uiPriority w:val="99"/>
    <w:unhideWhenUsed/>
    <w:rsid w:val="00750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on.weaver@orc.govt.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2413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Microsoft Word - orc_letterhead_001.dotx</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orc_letterhead_001.dotx</dc:title>
  <cp:lastModifiedBy>Henry Jian</cp:lastModifiedBy>
  <cp:revision>6</cp:revision>
  <dcterms:created xsi:type="dcterms:W3CDTF">2022-04-21T22:21:00Z</dcterms:created>
  <dcterms:modified xsi:type="dcterms:W3CDTF">2022-04-21T22:30:00Z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Word</vt:lpwstr>
  </property>
  <property fmtid="{D5CDD505-2E9C-101B-9397-08002B2CF9AE}" pid="4" name="LastSaved">
    <vt:filetime>2022-04-21T00:00:00Z</vt:filetime>
  </property>
</Properties>
</file>