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D7EB8" w14:textId="77777777" w:rsidR="00B5196F" w:rsidRPr="00472578" w:rsidRDefault="00B5196F" w:rsidP="00E92686">
      <w:pPr>
        <w:jc w:val="both"/>
        <w:rPr>
          <w:rFonts w:cstheme="minorHAnsi"/>
          <w:b/>
          <w:color w:val="000000" w:themeColor="text1"/>
          <w:sz w:val="52"/>
          <w:szCs w:val="52"/>
        </w:rPr>
      </w:pPr>
    </w:p>
    <w:p w14:paraId="0F3F5B96" w14:textId="77777777" w:rsidR="00B5196F" w:rsidRPr="00472578" w:rsidRDefault="00B5196F" w:rsidP="002556B0">
      <w:pPr>
        <w:jc w:val="center"/>
        <w:rPr>
          <w:rFonts w:cstheme="minorHAnsi"/>
          <w:b/>
          <w:color w:val="000000" w:themeColor="text1"/>
          <w:sz w:val="52"/>
          <w:szCs w:val="52"/>
        </w:rPr>
      </w:pPr>
      <w:r w:rsidRPr="00472578">
        <w:rPr>
          <w:rFonts w:cstheme="minorHAnsi"/>
          <w:b/>
          <w:color w:val="000000" w:themeColor="text1"/>
          <w:sz w:val="52"/>
          <w:szCs w:val="52"/>
        </w:rPr>
        <w:t>Proposed Otago Regional Policy Statement 2021</w:t>
      </w:r>
    </w:p>
    <w:p w14:paraId="0CA946A3" w14:textId="77777777" w:rsidR="00B5196F" w:rsidRPr="00472578" w:rsidRDefault="00B5196F" w:rsidP="00E92686">
      <w:pPr>
        <w:jc w:val="both"/>
        <w:rPr>
          <w:rFonts w:cstheme="minorHAnsi"/>
          <w:b/>
          <w:color w:val="000000" w:themeColor="text1"/>
          <w:sz w:val="48"/>
          <w:szCs w:val="48"/>
        </w:rPr>
      </w:pPr>
    </w:p>
    <w:p w14:paraId="550CB30B" w14:textId="77777777" w:rsidR="00B5196F" w:rsidRPr="00472578" w:rsidRDefault="00B5196F" w:rsidP="00E92686">
      <w:pPr>
        <w:jc w:val="both"/>
        <w:rPr>
          <w:rFonts w:cstheme="minorHAnsi"/>
          <w:b/>
          <w:color w:val="000000" w:themeColor="text1"/>
          <w:sz w:val="48"/>
          <w:szCs w:val="48"/>
        </w:rPr>
      </w:pPr>
    </w:p>
    <w:p w14:paraId="4BC381E5" w14:textId="77777777" w:rsidR="00B5196F" w:rsidRPr="00472578" w:rsidRDefault="00B5196F" w:rsidP="00E92686">
      <w:pPr>
        <w:jc w:val="both"/>
        <w:rPr>
          <w:rFonts w:cstheme="minorHAnsi"/>
          <w:b/>
          <w:color w:val="000000" w:themeColor="text1"/>
          <w:sz w:val="48"/>
          <w:szCs w:val="48"/>
        </w:rPr>
      </w:pPr>
    </w:p>
    <w:p w14:paraId="57BA4DE5" w14:textId="77777777" w:rsidR="00B5196F" w:rsidRPr="00472578" w:rsidRDefault="00B5196F" w:rsidP="00E92686">
      <w:pPr>
        <w:jc w:val="both"/>
        <w:rPr>
          <w:rFonts w:cstheme="minorHAnsi"/>
          <w:b/>
          <w:color w:val="000000" w:themeColor="text1"/>
          <w:sz w:val="48"/>
          <w:szCs w:val="48"/>
        </w:rPr>
      </w:pPr>
    </w:p>
    <w:p w14:paraId="55079715" w14:textId="77777777" w:rsidR="00B5196F" w:rsidRPr="00472578" w:rsidRDefault="00B5196F" w:rsidP="00E92686">
      <w:pPr>
        <w:jc w:val="both"/>
        <w:rPr>
          <w:rFonts w:cstheme="minorHAnsi"/>
          <w:b/>
          <w:color w:val="000000" w:themeColor="text1"/>
          <w:sz w:val="48"/>
          <w:szCs w:val="48"/>
        </w:rPr>
      </w:pPr>
    </w:p>
    <w:p w14:paraId="56F9969A" w14:textId="6FDD9BAF" w:rsidR="00B5196F" w:rsidRPr="00472578" w:rsidRDefault="00B5196F" w:rsidP="002556B0">
      <w:pPr>
        <w:jc w:val="center"/>
        <w:rPr>
          <w:rFonts w:cstheme="minorHAnsi"/>
          <w:b/>
          <w:color w:val="000000" w:themeColor="text1"/>
          <w:sz w:val="48"/>
          <w:szCs w:val="48"/>
        </w:rPr>
      </w:pPr>
      <w:r w:rsidRPr="00472578">
        <w:rPr>
          <w:rFonts w:cstheme="minorHAnsi"/>
          <w:b/>
          <w:bCs/>
          <w:color w:val="000000" w:themeColor="text1"/>
          <w:sz w:val="36"/>
          <w:szCs w:val="36"/>
        </w:rPr>
        <w:t>Version showing recommendations from the Hearing Reports prepared under Section 42A of the Resource Management Act 1991</w:t>
      </w:r>
    </w:p>
    <w:p w14:paraId="401363C4" w14:textId="77777777" w:rsidR="00B5196F" w:rsidRPr="00472578" w:rsidRDefault="00B5196F" w:rsidP="000B13BB"/>
    <w:p w14:paraId="42E73D88" w14:textId="77777777" w:rsidR="00B5196F" w:rsidRPr="00472578" w:rsidRDefault="00B5196F" w:rsidP="00E92686">
      <w:pPr>
        <w:jc w:val="both"/>
        <w:rPr>
          <w:rFonts w:cstheme="minorHAnsi"/>
          <w:color w:val="000000" w:themeColor="text1"/>
          <w:sz w:val="28"/>
          <w:szCs w:val="28"/>
        </w:rPr>
      </w:pPr>
    </w:p>
    <w:p w14:paraId="4FBDC545" w14:textId="77777777" w:rsidR="00B5196F" w:rsidRPr="00472578" w:rsidRDefault="00B5196F" w:rsidP="00E92686">
      <w:pPr>
        <w:autoSpaceDE w:val="0"/>
        <w:autoSpaceDN w:val="0"/>
        <w:adjustRightInd w:val="0"/>
        <w:jc w:val="both"/>
        <w:rPr>
          <w:rFonts w:cstheme="minorHAnsi"/>
          <w:bCs/>
          <w:i/>
          <w:iCs/>
          <w:color w:val="000000" w:themeColor="text1"/>
          <w:sz w:val="24"/>
          <w:szCs w:val="24"/>
        </w:rPr>
      </w:pPr>
    </w:p>
    <w:p w14:paraId="3E45D949" w14:textId="77777777" w:rsidR="00B5196F" w:rsidRPr="00472578" w:rsidRDefault="00B5196F" w:rsidP="00E92686">
      <w:pPr>
        <w:autoSpaceDE w:val="0"/>
        <w:autoSpaceDN w:val="0"/>
        <w:adjustRightInd w:val="0"/>
        <w:jc w:val="both"/>
        <w:rPr>
          <w:rFonts w:cstheme="minorHAnsi"/>
          <w:bCs/>
          <w:i/>
          <w:iCs/>
          <w:color w:val="000000" w:themeColor="text1"/>
          <w:sz w:val="24"/>
          <w:szCs w:val="24"/>
        </w:rPr>
      </w:pPr>
    </w:p>
    <w:p w14:paraId="18AD8A9B" w14:textId="77777777" w:rsidR="00B5196F" w:rsidRPr="00472578" w:rsidRDefault="00B5196F" w:rsidP="00E92686">
      <w:pPr>
        <w:jc w:val="both"/>
        <w:rPr>
          <w:rFonts w:cstheme="minorHAnsi"/>
          <w:color w:val="000000" w:themeColor="text1"/>
          <w:sz w:val="24"/>
          <w:szCs w:val="24"/>
        </w:rPr>
      </w:pPr>
    </w:p>
    <w:p w14:paraId="54AB21EB" w14:textId="77777777" w:rsidR="00B5196F" w:rsidRPr="00472578" w:rsidRDefault="00B5196F" w:rsidP="00E92686">
      <w:pPr>
        <w:jc w:val="both"/>
        <w:rPr>
          <w:rFonts w:cstheme="minorHAnsi"/>
          <w:color w:val="000000" w:themeColor="text1"/>
          <w:sz w:val="24"/>
          <w:szCs w:val="24"/>
        </w:rPr>
      </w:pPr>
    </w:p>
    <w:p w14:paraId="7193C188" w14:textId="77777777" w:rsidR="000B13BB" w:rsidRPr="00472578" w:rsidRDefault="000B13BB" w:rsidP="00E92686">
      <w:pPr>
        <w:jc w:val="both"/>
        <w:rPr>
          <w:rFonts w:cstheme="minorHAnsi"/>
          <w:color w:val="000000" w:themeColor="text1"/>
          <w:sz w:val="24"/>
          <w:szCs w:val="24"/>
        </w:rPr>
      </w:pPr>
    </w:p>
    <w:p w14:paraId="0D52703C" w14:textId="77777777" w:rsidR="00B5196F" w:rsidRPr="00472578" w:rsidRDefault="00B5196F" w:rsidP="00E92686">
      <w:pPr>
        <w:jc w:val="both"/>
        <w:rPr>
          <w:rFonts w:cstheme="minorHAnsi"/>
          <w:color w:val="000000" w:themeColor="text1"/>
          <w:sz w:val="24"/>
          <w:szCs w:val="24"/>
        </w:rPr>
      </w:pPr>
    </w:p>
    <w:p w14:paraId="0DC3581D" w14:textId="77777777" w:rsidR="00C417F7" w:rsidRDefault="00B5196F" w:rsidP="0FC8CE66">
      <w:pPr>
        <w:autoSpaceDE w:val="0"/>
        <w:autoSpaceDN w:val="0"/>
        <w:adjustRightInd w:val="0"/>
        <w:jc w:val="both"/>
        <w:rPr>
          <w:rFonts w:cstheme="minorHAnsi"/>
          <w:color w:val="000000" w:themeColor="text1"/>
          <w:sz w:val="24"/>
          <w:szCs w:val="24"/>
        </w:rPr>
      </w:pPr>
      <w:r w:rsidRPr="00472578">
        <w:rPr>
          <w:rFonts w:cstheme="minorHAnsi"/>
          <w:b/>
          <w:bCs/>
          <w:i/>
          <w:iCs/>
          <w:noProof/>
          <w:color w:val="000000" w:themeColor="text1"/>
          <w:szCs w:val="24"/>
          <w:lang w:eastAsia="en-NZ"/>
        </w:rPr>
        <w:drawing>
          <wp:anchor distT="0" distB="0" distL="114300" distR="114300" simplePos="0" relativeHeight="251659265" behindDoc="1" locked="0" layoutInCell="1" allowOverlap="1" wp14:anchorId="0D01A819" wp14:editId="73FE5195">
            <wp:simplePos x="0" y="0"/>
            <wp:positionH relativeFrom="column">
              <wp:posOffset>0</wp:posOffset>
            </wp:positionH>
            <wp:positionV relativeFrom="paragraph">
              <wp:posOffset>3175</wp:posOffset>
            </wp:positionV>
            <wp:extent cx="1701487" cy="971550"/>
            <wp:effectExtent l="0" t="0" r="0" b="0"/>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1487" cy="971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72578">
        <w:rPr>
          <w:rFonts w:cstheme="minorHAnsi"/>
          <w:color w:val="000000" w:themeColor="text1"/>
          <w:sz w:val="24"/>
          <w:szCs w:val="24"/>
        </w:rPr>
        <w:tab/>
      </w:r>
      <w:r w:rsidRPr="00472578">
        <w:rPr>
          <w:rFonts w:cstheme="minorHAnsi"/>
          <w:color w:val="000000" w:themeColor="text1"/>
          <w:sz w:val="24"/>
          <w:szCs w:val="24"/>
        </w:rPr>
        <w:tab/>
      </w:r>
      <w:r w:rsidRPr="00472578">
        <w:rPr>
          <w:rFonts w:cstheme="minorHAnsi"/>
          <w:color w:val="000000" w:themeColor="text1"/>
          <w:sz w:val="24"/>
          <w:szCs w:val="24"/>
        </w:rPr>
        <w:tab/>
      </w:r>
      <w:r w:rsidRPr="00472578">
        <w:rPr>
          <w:rFonts w:cstheme="minorHAnsi"/>
          <w:color w:val="000000" w:themeColor="text1"/>
          <w:sz w:val="24"/>
          <w:szCs w:val="24"/>
        </w:rPr>
        <w:tab/>
      </w:r>
      <w:r w:rsidRPr="00472578">
        <w:rPr>
          <w:rFonts w:cstheme="minorHAnsi"/>
          <w:color w:val="000000" w:themeColor="text1"/>
          <w:sz w:val="24"/>
          <w:szCs w:val="24"/>
        </w:rPr>
        <w:tab/>
      </w:r>
    </w:p>
    <w:p w14:paraId="6A052619" w14:textId="77777777" w:rsidR="00C417F7" w:rsidRDefault="00B5196F" w:rsidP="00C417F7">
      <w:pPr>
        <w:autoSpaceDE w:val="0"/>
        <w:autoSpaceDN w:val="0"/>
        <w:adjustRightInd w:val="0"/>
        <w:jc w:val="both"/>
        <w:rPr>
          <w:rFonts w:cstheme="minorHAnsi"/>
          <w:color w:val="000000" w:themeColor="text1"/>
          <w:sz w:val="24"/>
          <w:szCs w:val="24"/>
        </w:rPr>
      </w:pPr>
      <w:r w:rsidRPr="00472578">
        <w:rPr>
          <w:rFonts w:cstheme="minorHAnsi"/>
          <w:color w:val="000000" w:themeColor="text1"/>
          <w:sz w:val="24"/>
          <w:szCs w:val="24"/>
        </w:rPr>
        <w:tab/>
      </w:r>
      <w:r w:rsidR="00C417F7">
        <w:rPr>
          <w:rFonts w:cstheme="minorHAnsi"/>
          <w:color w:val="000000" w:themeColor="text1"/>
          <w:sz w:val="24"/>
          <w:szCs w:val="24"/>
        </w:rPr>
        <w:tab/>
      </w:r>
    </w:p>
    <w:p w14:paraId="799F6316" w14:textId="308EC7DC" w:rsidR="009A1120" w:rsidRDefault="00C417F7" w:rsidP="00C417F7">
      <w:pPr>
        <w:tabs>
          <w:tab w:val="right" w:pos="8931"/>
        </w:tabs>
        <w:autoSpaceDE w:val="0"/>
        <w:autoSpaceDN w:val="0"/>
        <w:adjustRightInd w:val="0"/>
        <w:jc w:val="both"/>
      </w:pPr>
      <w:r>
        <w:rPr>
          <w:rFonts w:cstheme="minorHAnsi"/>
          <w:color w:val="000000" w:themeColor="text1"/>
          <w:sz w:val="24"/>
          <w:szCs w:val="24"/>
        </w:rPr>
        <w:tab/>
      </w:r>
      <w:r w:rsidR="000B13BB">
        <w:rPr>
          <w:rFonts w:cs="Times New Roman"/>
          <w:b/>
          <w:bCs/>
          <w:color w:val="000000" w:themeColor="text1"/>
          <w:sz w:val="36"/>
          <w:szCs w:val="36"/>
        </w:rPr>
        <w:t>4 May</w:t>
      </w:r>
      <w:r w:rsidR="00B5196F" w:rsidRPr="00472578">
        <w:rPr>
          <w:rFonts w:cs="Times New Roman"/>
          <w:b/>
          <w:bCs/>
          <w:color w:val="000000" w:themeColor="text1"/>
          <w:sz w:val="36"/>
          <w:szCs w:val="36"/>
        </w:rPr>
        <w:t xml:space="preserve"> 2022</w:t>
      </w:r>
    </w:p>
    <w:p w14:paraId="0734787D" w14:textId="77777777" w:rsidR="00C417F7" w:rsidRDefault="00C417F7" w:rsidP="00E92686">
      <w:pPr>
        <w:jc w:val="both"/>
      </w:pPr>
    </w:p>
    <w:p w14:paraId="0FBFB353" w14:textId="62FC617A" w:rsidR="00C417F7" w:rsidRPr="00472578" w:rsidRDefault="00C417F7" w:rsidP="00E92686">
      <w:pPr>
        <w:jc w:val="both"/>
        <w:sectPr w:rsidR="00C417F7" w:rsidRPr="00472578" w:rsidSect="00B5196F">
          <w:headerReference w:type="first" r:id="rId10"/>
          <w:footerReference w:type="first" r:id="rId11"/>
          <w:pgSz w:w="11906" w:h="16838"/>
          <w:pgMar w:top="1440" w:right="1440" w:bottom="1440" w:left="1440" w:header="708" w:footer="708" w:gutter="0"/>
          <w:cols w:space="708"/>
          <w:docGrid w:linePitch="360"/>
        </w:sectPr>
      </w:pPr>
    </w:p>
    <w:p w14:paraId="5677C27F" w14:textId="77777777" w:rsidR="00B5196F" w:rsidRPr="00472578" w:rsidRDefault="00B5196F" w:rsidP="00E92686">
      <w:pPr>
        <w:pStyle w:val="Heading3"/>
        <w:jc w:val="both"/>
      </w:pPr>
      <w:bookmarkStart w:id="0" w:name="_Toc73105344"/>
      <w:r w:rsidRPr="00472578">
        <w:lastRenderedPageBreak/>
        <w:t>How to read this document</w:t>
      </w:r>
    </w:p>
    <w:p w14:paraId="528D06DC" w14:textId="321CCD0D" w:rsidR="008645F1" w:rsidRPr="00472578" w:rsidRDefault="00B5196F" w:rsidP="00E92686">
      <w:pPr>
        <w:jc w:val="both"/>
      </w:pPr>
      <w:r w:rsidRPr="00472578">
        <w:t xml:space="preserve">This version of the Proposed Otago Regional Policy Statement </w:t>
      </w:r>
      <w:r w:rsidR="008645F1" w:rsidRPr="00472578">
        <w:t xml:space="preserve">2021 </w:t>
      </w:r>
      <w:r w:rsidRPr="00472578">
        <w:t>does not have any legal weight. It has been prepared to help the Hearing Panel, Council staff, and submitters understand what changes have been recommended</w:t>
      </w:r>
      <w:r w:rsidR="00F95EE5">
        <w:t xml:space="preserve"> by the Reporting Officers</w:t>
      </w:r>
      <w:r w:rsidRPr="00472578">
        <w:t xml:space="preserve"> to the provisions in the regional policy statement since it was notified in June 2021.</w:t>
      </w:r>
      <w:r w:rsidR="008645F1" w:rsidRPr="00472578">
        <w:t xml:space="preserve"> This page is included for information purposes only and does not form part of the Proposed Otago Regional Policy Statement 2021.</w:t>
      </w:r>
    </w:p>
    <w:p w14:paraId="7439B59E" w14:textId="77777777" w:rsidR="00697DA3" w:rsidRPr="00472578" w:rsidRDefault="00697DA3" w:rsidP="00E92686">
      <w:pPr>
        <w:pStyle w:val="Heading3"/>
        <w:jc w:val="both"/>
      </w:pPr>
      <w:r w:rsidRPr="00472578">
        <w:t>Key</w:t>
      </w:r>
    </w:p>
    <w:tbl>
      <w:tblPr>
        <w:tblStyle w:val="TableGrid"/>
        <w:tblW w:w="0" w:type="auto"/>
        <w:tblLook w:val="04A0" w:firstRow="1" w:lastRow="0" w:firstColumn="1" w:lastColumn="0" w:noHBand="0" w:noVBand="1"/>
      </w:tblPr>
      <w:tblGrid>
        <w:gridCol w:w="3539"/>
        <w:gridCol w:w="5701"/>
      </w:tblGrid>
      <w:tr w:rsidR="00697DA3" w:rsidRPr="00472578" w14:paraId="28424FEB" w14:textId="77777777" w:rsidTr="005A2D1E">
        <w:tc>
          <w:tcPr>
            <w:tcW w:w="3539" w:type="dxa"/>
          </w:tcPr>
          <w:p w14:paraId="67BFBBBE" w14:textId="2B4A47C3" w:rsidR="00697DA3" w:rsidRPr="00472578" w:rsidRDefault="00697DA3" w:rsidP="00E92686">
            <w:pPr>
              <w:spacing w:before="120"/>
              <w:jc w:val="both"/>
              <w:rPr>
                <w:b/>
                <w:bCs/>
              </w:rPr>
            </w:pPr>
            <w:r w:rsidRPr="00472578">
              <w:rPr>
                <w:b/>
                <w:bCs/>
              </w:rPr>
              <w:t>Appearance</w:t>
            </w:r>
          </w:p>
        </w:tc>
        <w:tc>
          <w:tcPr>
            <w:tcW w:w="5701" w:type="dxa"/>
          </w:tcPr>
          <w:p w14:paraId="4192653B" w14:textId="5E4BAF07" w:rsidR="00697DA3" w:rsidRPr="00472578" w:rsidRDefault="00697DA3" w:rsidP="00E92686">
            <w:pPr>
              <w:spacing w:before="120"/>
              <w:jc w:val="both"/>
              <w:rPr>
                <w:b/>
                <w:bCs/>
              </w:rPr>
            </w:pPr>
            <w:r w:rsidRPr="00472578">
              <w:rPr>
                <w:b/>
                <w:bCs/>
              </w:rPr>
              <w:t>Explanation</w:t>
            </w:r>
          </w:p>
        </w:tc>
      </w:tr>
      <w:tr w:rsidR="00697DA3" w:rsidRPr="00472578" w14:paraId="4291DD0B" w14:textId="77777777" w:rsidTr="005A2D1E">
        <w:tc>
          <w:tcPr>
            <w:tcW w:w="3539" w:type="dxa"/>
          </w:tcPr>
          <w:p w14:paraId="1623B5FC" w14:textId="2C55FABD" w:rsidR="00697DA3" w:rsidRPr="00472578" w:rsidRDefault="00697DA3" w:rsidP="00E92686">
            <w:pPr>
              <w:spacing w:before="120"/>
              <w:jc w:val="both"/>
            </w:pPr>
            <w:r w:rsidRPr="00472578">
              <w:t>Black text</w:t>
            </w:r>
          </w:p>
        </w:tc>
        <w:tc>
          <w:tcPr>
            <w:tcW w:w="5701" w:type="dxa"/>
          </w:tcPr>
          <w:p w14:paraId="73093061" w14:textId="149591DF" w:rsidR="00697DA3" w:rsidRPr="00472578" w:rsidRDefault="00697DA3" w:rsidP="00E92686">
            <w:pPr>
              <w:spacing w:before="120"/>
              <w:jc w:val="both"/>
            </w:pPr>
            <w:r w:rsidRPr="00472578">
              <w:t xml:space="preserve">Parts of the Proposed Otago Regional Policy Statement as they were when notified on </w:t>
            </w:r>
            <w:r w:rsidR="005A2D1E" w:rsidRPr="00472578">
              <w:t>26 June 2021.</w:t>
            </w:r>
          </w:p>
        </w:tc>
      </w:tr>
      <w:tr w:rsidR="004463D9" w:rsidRPr="00472578" w14:paraId="1F3877C0" w14:textId="77777777" w:rsidTr="005A2D1E">
        <w:tc>
          <w:tcPr>
            <w:tcW w:w="3539" w:type="dxa"/>
          </w:tcPr>
          <w:p w14:paraId="5900CF26" w14:textId="012DA586" w:rsidR="004463D9" w:rsidRPr="00472578" w:rsidRDefault="004463D9" w:rsidP="00E92686">
            <w:pPr>
              <w:spacing w:before="120"/>
              <w:jc w:val="both"/>
              <w:rPr>
                <w:i/>
                <w:iCs/>
              </w:rPr>
            </w:pPr>
            <w:r w:rsidRPr="00472578">
              <w:rPr>
                <w:i/>
                <w:iCs/>
              </w:rPr>
              <w:t>Black text with italicising</w:t>
            </w:r>
          </w:p>
        </w:tc>
        <w:tc>
          <w:tcPr>
            <w:tcW w:w="5701" w:type="dxa"/>
          </w:tcPr>
          <w:p w14:paraId="0F17CDA2" w14:textId="6F306B02" w:rsidR="004463D9" w:rsidRPr="00472578" w:rsidRDefault="004463D9" w:rsidP="00E92686">
            <w:pPr>
              <w:spacing w:before="120"/>
              <w:jc w:val="both"/>
            </w:pPr>
            <w:r w:rsidRPr="00472578">
              <w:t>Terms defined in the Proposed Otago Regional Policy Statement.</w:t>
            </w:r>
          </w:p>
        </w:tc>
      </w:tr>
      <w:tr w:rsidR="00697DA3" w:rsidRPr="00472578" w14:paraId="1AA784BB" w14:textId="77777777" w:rsidTr="005A2D1E">
        <w:tc>
          <w:tcPr>
            <w:tcW w:w="3539" w:type="dxa"/>
          </w:tcPr>
          <w:p w14:paraId="300FA61C" w14:textId="68D97B0D" w:rsidR="00697DA3" w:rsidRPr="00472578" w:rsidRDefault="005A2D1E" w:rsidP="00E92686">
            <w:pPr>
              <w:spacing w:before="120"/>
              <w:jc w:val="both"/>
              <w:rPr>
                <w:u w:val="single"/>
              </w:rPr>
            </w:pPr>
            <w:r w:rsidRPr="00472578">
              <w:rPr>
                <w:u w:val="single"/>
              </w:rPr>
              <w:t>Black text with underlining</w:t>
            </w:r>
          </w:p>
        </w:tc>
        <w:tc>
          <w:tcPr>
            <w:tcW w:w="5701" w:type="dxa"/>
          </w:tcPr>
          <w:p w14:paraId="636451EB" w14:textId="34A607F9" w:rsidR="00697DA3" w:rsidRPr="00472578" w:rsidRDefault="005A2D1E" w:rsidP="00E92686">
            <w:pPr>
              <w:spacing w:before="120"/>
              <w:jc w:val="both"/>
            </w:pPr>
            <w:r w:rsidRPr="00472578">
              <w:t>Additions recommended by Reporting Officers through the Section 42A Reports.</w:t>
            </w:r>
          </w:p>
        </w:tc>
      </w:tr>
      <w:tr w:rsidR="00697DA3" w:rsidRPr="00472578" w14:paraId="1BE9154B" w14:textId="77777777" w:rsidTr="005A2D1E">
        <w:tc>
          <w:tcPr>
            <w:tcW w:w="3539" w:type="dxa"/>
          </w:tcPr>
          <w:p w14:paraId="1300A8CA" w14:textId="6FFE9B11" w:rsidR="00697DA3" w:rsidRPr="00472578" w:rsidRDefault="005A2D1E" w:rsidP="00E92686">
            <w:pPr>
              <w:spacing w:before="120"/>
              <w:jc w:val="both"/>
              <w:rPr>
                <w:strike/>
              </w:rPr>
            </w:pPr>
            <w:r w:rsidRPr="00472578">
              <w:rPr>
                <w:strike/>
              </w:rPr>
              <w:t>Black text with strikethrough</w:t>
            </w:r>
          </w:p>
        </w:tc>
        <w:tc>
          <w:tcPr>
            <w:tcW w:w="5701" w:type="dxa"/>
          </w:tcPr>
          <w:p w14:paraId="1B580CA0" w14:textId="4507C540" w:rsidR="00697DA3" w:rsidRPr="00472578" w:rsidRDefault="005A2D1E" w:rsidP="00E92686">
            <w:pPr>
              <w:spacing w:before="120"/>
              <w:jc w:val="both"/>
            </w:pPr>
            <w:r w:rsidRPr="00472578">
              <w:t>Deletions recommended by Reporting Officers through the Section 42A reports.</w:t>
            </w:r>
          </w:p>
        </w:tc>
      </w:tr>
    </w:tbl>
    <w:p w14:paraId="5F18E28A" w14:textId="77777777" w:rsidR="005A2D1E" w:rsidRPr="00472578" w:rsidRDefault="005A2D1E" w:rsidP="00E92686">
      <w:pPr>
        <w:jc w:val="both"/>
      </w:pPr>
    </w:p>
    <w:p w14:paraId="6D752B3D" w14:textId="77777777" w:rsidR="00BB4D5D" w:rsidRDefault="005A2D1E" w:rsidP="00E92686">
      <w:pPr>
        <w:jc w:val="both"/>
      </w:pPr>
      <w:r w:rsidRPr="00472578">
        <w:t xml:space="preserve">Where Reporting Officers have recommended additions or deletions, these changes are accompanied by a footnote </w:t>
      </w:r>
      <w:r w:rsidR="00E82881" w:rsidRPr="00472578">
        <w:t>referencing the basis for the recommended change. Usually these are references to specific submission points but in some cases refer to the provisions of Schedule 1 of the Resource Management Act 1991.</w:t>
      </w:r>
    </w:p>
    <w:p w14:paraId="53981BEA" w14:textId="7A3A362C" w:rsidR="003A2917" w:rsidRPr="00472578" w:rsidRDefault="00E23B53" w:rsidP="00E92686">
      <w:pPr>
        <w:jc w:val="both"/>
      </w:pPr>
      <w:r>
        <w:t xml:space="preserve">In addition to those footnotes, there are ‘permanent’ footnotes </w:t>
      </w:r>
      <w:r w:rsidR="00067374">
        <w:t xml:space="preserve">that set out references or provide additional information. To differentiate these from </w:t>
      </w:r>
      <w:r w:rsidR="00325813">
        <w:t xml:space="preserve">the officer recommendation footnotes above, both the in-text footnote numbers and the </w:t>
      </w:r>
      <w:r w:rsidR="00A061BF">
        <w:t xml:space="preserve">text at the bottom of the page has been shaded </w:t>
      </w:r>
      <w:r w:rsidR="00A061BF" w:rsidRPr="001578EA">
        <w:rPr>
          <w:shd w:val="clear" w:color="auto" w:fill="D9D9D9" w:themeFill="background1" w:themeFillShade="D9"/>
        </w:rPr>
        <w:t>grey</w:t>
      </w:r>
      <w:r w:rsidR="00A061BF">
        <w:t>.</w:t>
      </w:r>
      <w:r w:rsidR="003A2917" w:rsidRPr="00472578">
        <w:br w:type="page"/>
      </w:r>
    </w:p>
    <w:p w14:paraId="7D93D72A" w14:textId="3461182C" w:rsidR="009A1120" w:rsidRPr="00472578" w:rsidRDefault="009A1120" w:rsidP="00CD28EB">
      <w:pPr>
        <w:pStyle w:val="Heading1"/>
      </w:pPr>
      <w:bookmarkStart w:id="1" w:name="_Toc102551265"/>
      <w:r w:rsidRPr="00472578">
        <w:lastRenderedPageBreak/>
        <w:t>Part 1 – INTRODUCTION AND GENERAL PROVISIONS</w:t>
      </w:r>
      <w:bookmarkEnd w:id="0"/>
      <w:bookmarkEnd w:id="1"/>
    </w:p>
    <w:p w14:paraId="2BB26749" w14:textId="77777777" w:rsidR="009A1120" w:rsidRPr="00472578" w:rsidRDefault="009A1120" w:rsidP="00E92686">
      <w:pPr>
        <w:pStyle w:val="Heading2"/>
        <w:jc w:val="both"/>
      </w:pPr>
      <w:bookmarkStart w:id="2" w:name="_Toc73105345"/>
      <w:bookmarkStart w:id="3" w:name="_Toc102551266"/>
      <w:r w:rsidRPr="00472578">
        <w:t>Foreword or mihi</w:t>
      </w:r>
      <w:bookmarkEnd w:id="2"/>
      <w:bookmarkEnd w:id="3"/>
    </w:p>
    <w:p w14:paraId="76312D43" w14:textId="0C2FBBF8" w:rsidR="009A1120" w:rsidRPr="00472578" w:rsidRDefault="009A1120" w:rsidP="00E92686">
      <w:pPr>
        <w:jc w:val="both"/>
      </w:pPr>
      <w:bookmarkStart w:id="4" w:name="_Hlk74916387"/>
      <w:r w:rsidRPr="00472578">
        <w:t>Regional policy statements are significant planning tools; overarching documents that identify</w:t>
      </w:r>
      <w:r w:rsidRPr="00472578">
        <w:rPr>
          <w:u w:val="single"/>
        </w:rPr>
        <w:t xml:space="preserve"> </w:t>
      </w:r>
      <w:r w:rsidRPr="00472578">
        <w:t xml:space="preserve">our most pressing environmental issues and provide direction to </w:t>
      </w:r>
      <w:r w:rsidRPr="00472578">
        <w:rPr>
          <w:i/>
        </w:rPr>
        <w:t>district plans</w:t>
      </w:r>
      <w:r w:rsidRPr="00472578">
        <w:t xml:space="preserve"> and other resource management plans on how we will manage them. Developing this new Regional Policy Statement </w:t>
      </w:r>
      <w:r w:rsidR="001C09C0" w:rsidRPr="00472578">
        <w:rPr>
          <w:u w:val="single"/>
        </w:rPr>
        <w:t>(RPS)</w:t>
      </w:r>
      <w:r w:rsidR="001C09C0" w:rsidRPr="00472578">
        <w:rPr>
          <w:rStyle w:val="FootnoteReference"/>
          <w:u w:val="single"/>
        </w:rPr>
        <w:footnoteReference w:id="2"/>
      </w:r>
      <w:r w:rsidR="001C09C0" w:rsidRPr="00472578">
        <w:t xml:space="preserve"> </w:t>
      </w:r>
      <w:r w:rsidRPr="00472578">
        <w:t xml:space="preserve">has provided an </w:t>
      </w:r>
      <w:r w:rsidRPr="00472578">
        <w:rPr>
          <w:rFonts w:eastAsia="Times New Roman"/>
        </w:rPr>
        <w:t xml:space="preserve">opportunity for renewed partnership between </w:t>
      </w:r>
      <w:proofErr w:type="spellStart"/>
      <w:r w:rsidRPr="00472578">
        <w:rPr>
          <w:rFonts w:eastAsia="Times New Roman"/>
        </w:rPr>
        <w:t>Kāi</w:t>
      </w:r>
      <w:proofErr w:type="spellEnd"/>
      <w:r w:rsidRPr="00472578">
        <w:rPr>
          <w:rFonts w:eastAsia="Times New Roman"/>
        </w:rPr>
        <w:t xml:space="preserve"> </w:t>
      </w:r>
      <w:proofErr w:type="spellStart"/>
      <w:r w:rsidRPr="00472578">
        <w:rPr>
          <w:rFonts w:eastAsia="Times New Roman"/>
        </w:rPr>
        <w:t>Tahu</w:t>
      </w:r>
      <w:proofErr w:type="spellEnd"/>
      <w:r w:rsidRPr="00472578">
        <w:rPr>
          <w:rFonts w:eastAsia="Times New Roman"/>
        </w:rPr>
        <w:t xml:space="preserve"> </w:t>
      </w:r>
      <w:r w:rsidR="00787564" w:rsidRPr="00472578">
        <w:rPr>
          <w:rFonts w:eastAsia="Times New Roman"/>
          <w:strike/>
        </w:rPr>
        <w:t>in Otago</w:t>
      </w:r>
      <w:r w:rsidRPr="00472578">
        <w:rPr>
          <w:strike/>
        </w:rPr>
        <w:t xml:space="preserve"> and Southland,</w:t>
      </w:r>
      <w:r w:rsidRPr="00472578">
        <w:rPr>
          <w:rStyle w:val="FootnoteReference"/>
        </w:rPr>
        <w:footnoteReference w:id="3"/>
      </w:r>
      <w:r w:rsidRPr="00472578">
        <w:t xml:space="preserve"> and the</w:t>
      </w:r>
      <w:r w:rsidR="00C4013D" w:rsidRPr="00472578">
        <w:t xml:space="preserve"> </w:t>
      </w:r>
      <w:r w:rsidR="00C4013D" w:rsidRPr="00472578">
        <w:rPr>
          <w:u w:val="single"/>
        </w:rPr>
        <w:t>Otago Regional Council</w:t>
      </w:r>
      <w:r w:rsidRPr="00472578">
        <w:t xml:space="preserve"> </w:t>
      </w:r>
      <w:r w:rsidR="00C4013D" w:rsidRPr="00472578">
        <w:rPr>
          <w:u w:val="single"/>
        </w:rPr>
        <w:t>(</w:t>
      </w:r>
      <w:r w:rsidRPr="00472578">
        <w:t>ORC</w:t>
      </w:r>
      <w:r w:rsidR="00C4013D" w:rsidRPr="00472578">
        <w:rPr>
          <w:u w:val="single"/>
        </w:rPr>
        <w:t>)</w:t>
      </w:r>
      <w:r w:rsidR="00C4013D" w:rsidRPr="00472578">
        <w:rPr>
          <w:rStyle w:val="FootnoteReference"/>
        </w:rPr>
        <w:footnoteReference w:id="4"/>
      </w:r>
      <w:r w:rsidRPr="00472578">
        <w:t>. We present this foreword to the notified version together, in recognition of that partnership and in anticipation of the work to come</w:t>
      </w:r>
      <w:bookmarkEnd w:id="4"/>
      <w:r w:rsidRPr="00472578">
        <w:t>.</w:t>
      </w:r>
    </w:p>
    <w:p w14:paraId="57A26A0F" w14:textId="379A5FAF" w:rsidR="009A1120" w:rsidRPr="00472578" w:rsidRDefault="009A1120" w:rsidP="00E92686">
      <w:pPr>
        <w:jc w:val="both"/>
      </w:pPr>
      <w:r w:rsidRPr="00472578">
        <w:t>ORC didn’t expect to find itself writing another Regional Policy Statement so soon. The ink is hardly dry on the 2019 Partially Operative Regional Policy Statement (in fact, as the name suggests, all the ink isn’t even there yet), and here is the notification for the next. Nonetheless, a 2019 review of ORC’s water management framework and a slew of new national regulation meant a new RPS was needed to set the scene for work on a new Land and Water Regional</w:t>
      </w:r>
      <w:r w:rsidR="00C03766" w:rsidRPr="00472578">
        <w:t xml:space="preserve"> </w:t>
      </w:r>
      <w:r w:rsidRPr="00472578">
        <w:t>Plan.</w:t>
      </w:r>
    </w:p>
    <w:p w14:paraId="0CCBB212" w14:textId="4586BD0B" w:rsidR="009A1120" w:rsidRPr="00472578" w:rsidRDefault="009A1120" w:rsidP="00E92686">
      <w:pPr>
        <w:jc w:val="both"/>
      </w:pPr>
      <w:r w:rsidRPr="00472578">
        <w:t xml:space="preserve">Having this new RPS developed so soon after the last has allowed it to build directly on the previous process. With issues and concerns still fresh, more refinement has been possible, building better processes and </w:t>
      </w:r>
      <w:r w:rsidRPr="00472578">
        <w:rPr>
          <w:rFonts w:eastAsia="Times New Roman"/>
        </w:rPr>
        <w:t xml:space="preserve">driving rapid progress on significant issues facing the region, including resilience to climate change and natural hazards, managing urban development, improving freshwater and coastal environmental management, and supporting biodiversity. </w:t>
      </w:r>
      <w:r w:rsidRPr="00472578">
        <w:rPr>
          <w:iCs/>
        </w:rPr>
        <w:t>Mana whenua</w:t>
      </w:r>
      <w:r w:rsidRPr="00472578">
        <w:rPr>
          <w:iCs/>
          <w:u w:val="single"/>
        </w:rPr>
        <w:t>, the community</w:t>
      </w:r>
      <w:r w:rsidRPr="00472578">
        <w:rPr>
          <w:rStyle w:val="FootnoteReference"/>
        </w:rPr>
        <w:footnoteReference w:id="5"/>
      </w:r>
      <w:r w:rsidRPr="00472578">
        <w:t xml:space="preserve"> and ORC have faced this planning challenge together. We have placed the environment at the centre of all we do in our long-term vision:</w:t>
      </w:r>
    </w:p>
    <w:p w14:paraId="2484307C" w14:textId="28F9F555" w:rsidR="00AE5D63" w:rsidRPr="002C0B71" w:rsidRDefault="002C0B71" w:rsidP="002C0B71">
      <w:pPr>
        <w:ind w:left="567"/>
        <w:jc w:val="both"/>
        <w:rPr>
          <w:i/>
          <w:iCs/>
        </w:rPr>
      </w:pPr>
      <w:r w:rsidRPr="002C0B71">
        <w:rPr>
          <w:i/>
          <w:iCs/>
        </w:rPr>
        <w:t xml:space="preserve">The management of natural and physical resources </w:t>
      </w:r>
      <w:r w:rsidRPr="00F01E51">
        <w:rPr>
          <w:i/>
          <w:iCs/>
          <w:strike/>
        </w:rPr>
        <w:t>in Otago</w:t>
      </w:r>
      <w:r w:rsidRPr="002C0B71">
        <w:rPr>
          <w:i/>
          <w:iCs/>
        </w:rPr>
        <w:t>,</w:t>
      </w:r>
      <w:r w:rsidRPr="002C0B71">
        <w:rPr>
          <w:i/>
          <w:iCs/>
          <w:vertAlign w:val="superscript"/>
        </w:rPr>
        <w:footnoteReference w:id="6"/>
      </w:r>
      <w:r w:rsidRPr="002C0B71">
        <w:rPr>
          <w:i/>
          <w:iCs/>
        </w:rPr>
        <w:t xml:space="preserve"> by and for the people of Otago, </w:t>
      </w:r>
      <w:r w:rsidRPr="00990906">
        <w:rPr>
          <w:i/>
          <w:iCs/>
          <w:strike/>
        </w:rPr>
        <w:t>including</w:t>
      </w:r>
      <w:r w:rsidRPr="002C0B71">
        <w:rPr>
          <w:i/>
          <w:iCs/>
        </w:rPr>
        <w:t xml:space="preserve"> </w:t>
      </w:r>
      <w:r w:rsidRPr="002C0B71">
        <w:rPr>
          <w:i/>
          <w:iCs/>
          <w:u w:val="single"/>
        </w:rPr>
        <w:t>in partnership with</w:t>
      </w:r>
      <w:r w:rsidRPr="002C0B71">
        <w:rPr>
          <w:i/>
          <w:iCs/>
          <w:vertAlign w:val="superscript"/>
        </w:rPr>
        <w:footnoteReference w:id="7"/>
      </w:r>
      <w:r w:rsidRPr="002C0B71">
        <w:rPr>
          <w:i/>
          <w:iCs/>
        </w:rPr>
        <w:t xml:space="preserve"> </w:t>
      </w:r>
      <w:proofErr w:type="spellStart"/>
      <w:r w:rsidRPr="002C0B71">
        <w:rPr>
          <w:i/>
          <w:iCs/>
        </w:rPr>
        <w:t>Kāi</w:t>
      </w:r>
      <w:proofErr w:type="spellEnd"/>
      <w:r w:rsidRPr="002C0B71">
        <w:rPr>
          <w:i/>
          <w:iCs/>
        </w:rPr>
        <w:t xml:space="preserve"> </w:t>
      </w:r>
      <w:proofErr w:type="spellStart"/>
      <w:r w:rsidRPr="002C0B71">
        <w:rPr>
          <w:i/>
          <w:iCs/>
        </w:rPr>
        <w:t>Tahu</w:t>
      </w:r>
      <w:proofErr w:type="spellEnd"/>
      <w:r w:rsidRPr="002C0B71">
        <w:rPr>
          <w:i/>
          <w:iCs/>
        </w:rPr>
        <w:t xml:space="preserve">, </w:t>
      </w:r>
      <w:r w:rsidRPr="00990906">
        <w:rPr>
          <w:i/>
          <w:iCs/>
          <w:strike/>
        </w:rPr>
        <w:t>and as expressed in all resource management plans and decision making</w:t>
      </w:r>
      <w:r w:rsidRPr="002C0B71">
        <w:rPr>
          <w:i/>
          <w:iCs/>
        </w:rPr>
        <w:t>,</w:t>
      </w:r>
      <w:r w:rsidRPr="002C0B71">
        <w:rPr>
          <w:i/>
          <w:iCs/>
          <w:vertAlign w:val="superscript"/>
        </w:rPr>
        <w:footnoteReference w:id="8"/>
      </w:r>
      <w:r w:rsidRPr="002C0B71">
        <w:rPr>
          <w:i/>
          <w:iCs/>
        </w:rPr>
        <w:t xml:space="preserve"> achieves </w:t>
      </w:r>
      <w:r w:rsidRPr="002C0B71">
        <w:rPr>
          <w:i/>
          <w:iCs/>
          <w:u w:val="single"/>
        </w:rPr>
        <w:t>a</w:t>
      </w:r>
      <w:r w:rsidRPr="002C0B71">
        <w:rPr>
          <w:i/>
          <w:iCs/>
        </w:rPr>
        <w:t xml:space="preserve"> healthy</w:t>
      </w:r>
      <w:r w:rsidRPr="00FD5B6E">
        <w:rPr>
          <w:i/>
          <w:iCs/>
          <w:strike/>
        </w:rPr>
        <w:t>,</w:t>
      </w:r>
      <w:r w:rsidRPr="002C0B71">
        <w:rPr>
          <w:i/>
          <w:iCs/>
        </w:rPr>
        <w:t xml:space="preserve"> </w:t>
      </w:r>
      <w:r w:rsidRPr="002C0B71">
        <w:rPr>
          <w:i/>
          <w:iCs/>
          <w:u w:val="single"/>
        </w:rPr>
        <w:t>and</w:t>
      </w:r>
      <w:r w:rsidRPr="002C0B71">
        <w:rPr>
          <w:i/>
          <w:iCs/>
        </w:rPr>
        <w:t xml:space="preserve"> resilient</w:t>
      </w:r>
      <w:r w:rsidRPr="00FD5B6E">
        <w:rPr>
          <w:i/>
          <w:iCs/>
          <w:strike/>
        </w:rPr>
        <w:t>, and safeguarded</w:t>
      </w:r>
      <w:r w:rsidRPr="002C0B71">
        <w:rPr>
          <w:i/>
          <w:iCs/>
          <w:vertAlign w:val="superscript"/>
        </w:rPr>
        <w:footnoteReference w:id="9"/>
      </w:r>
      <w:r w:rsidRPr="002C0B71">
        <w:rPr>
          <w:i/>
          <w:iCs/>
        </w:rPr>
        <w:t xml:space="preserve"> natural </w:t>
      </w:r>
      <w:r w:rsidRPr="00FD5B6E">
        <w:rPr>
          <w:i/>
          <w:iCs/>
          <w:strike/>
        </w:rPr>
        <w:t>systems</w:t>
      </w:r>
      <w:r w:rsidRPr="002C0B71">
        <w:rPr>
          <w:i/>
          <w:iCs/>
          <w:u w:val="single"/>
        </w:rPr>
        <w:t xml:space="preserve"> environment</w:t>
      </w:r>
      <w:r w:rsidRPr="002C0B71">
        <w:rPr>
          <w:i/>
          <w:iCs/>
        </w:rPr>
        <w:t>,</w:t>
      </w:r>
      <w:r w:rsidRPr="002C0B71">
        <w:rPr>
          <w:i/>
          <w:iCs/>
          <w:vertAlign w:val="superscript"/>
        </w:rPr>
        <w:footnoteReference w:id="10"/>
      </w:r>
      <w:r w:rsidRPr="002C0B71">
        <w:rPr>
          <w:i/>
          <w:iCs/>
        </w:rPr>
        <w:t xml:space="preserve"> </w:t>
      </w:r>
      <w:r w:rsidRPr="00DB1DFA">
        <w:rPr>
          <w:i/>
          <w:iCs/>
          <w:strike/>
        </w:rPr>
        <w:t>and</w:t>
      </w:r>
      <w:r w:rsidRPr="002C0B71">
        <w:rPr>
          <w:i/>
          <w:iCs/>
        </w:rPr>
        <w:t xml:space="preserve"> </w:t>
      </w:r>
      <w:r w:rsidRPr="002C0B71">
        <w:rPr>
          <w:i/>
          <w:iCs/>
          <w:u w:val="single"/>
        </w:rPr>
        <w:t>including</w:t>
      </w:r>
      <w:r w:rsidRPr="002C0B71">
        <w:rPr>
          <w:i/>
          <w:iCs/>
          <w:vertAlign w:val="superscript"/>
        </w:rPr>
        <w:footnoteReference w:id="11"/>
      </w:r>
      <w:r w:rsidRPr="002C0B71">
        <w:rPr>
          <w:i/>
          <w:iCs/>
        </w:rPr>
        <w:t xml:space="preserve"> the ecosystem services </w:t>
      </w:r>
      <w:r w:rsidRPr="00DB1DFA">
        <w:rPr>
          <w:i/>
          <w:iCs/>
          <w:strike/>
        </w:rPr>
        <w:t>they offer</w:t>
      </w:r>
      <w:r w:rsidRPr="002C0B71">
        <w:rPr>
          <w:i/>
          <w:iCs/>
          <w:u w:val="single"/>
        </w:rPr>
        <w:t xml:space="preserve"> it provides</w:t>
      </w:r>
      <w:r w:rsidRPr="002C0B71">
        <w:rPr>
          <w:i/>
          <w:iCs/>
        </w:rPr>
        <w:t>,</w:t>
      </w:r>
      <w:r w:rsidRPr="002C0B71">
        <w:rPr>
          <w:i/>
          <w:iCs/>
          <w:vertAlign w:val="superscript"/>
        </w:rPr>
        <w:footnoteReference w:id="12"/>
      </w:r>
      <w:r w:rsidRPr="002C0B71">
        <w:rPr>
          <w:i/>
          <w:iCs/>
        </w:rPr>
        <w:t xml:space="preserve"> and supports the well-being of present and future generations</w:t>
      </w:r>
      <w:r w:rsidRPr="00DB1DFA">
        <w:rPr>
          <w:i/>
          <w:iCs/>
          <w:strike/>
        </w:rPr>
        <w:t>,</w:t>
      </w:r>
      <w:r w:rsidRPr="002C0B71">
        <w:rPr>
          <w:i/>
          <w:iCs/>
        </w:rPr>
        <w:t xml:space="preserve"> </w:t>
      </w:r>
      <w:r w:rsidRPr="002C0B71">
        <w:rPr>
          <w:i/>
          <w:iCs/>
          <w:u w:val="single"/>
        </w:rPr>
        <w:t>(</w:t>
      </w:r>
      <w:proofErr w:type="spellStart"/>
      <w:r w:rsidRPr="002C0B71">
        <w:rPr>
          <w:i/>
          <w:iCs/>
        </w:rPr>
        <w:t>mō</w:t>
      </w:r>
      <w:proofErr w:type="spellEnd"/>
      <w:r w:rsidRPr="002C0B71">
        <w:rPr>
          <w:i/>
          <w:iCs/>
        </w:rPr>
        <w:t xml:space="preserve"> </w:t>
      </w:r>
      <w:proofErr w:type="spellStart"/>
      <w:r w:rsidRPr="002C0B71">
        <w:rPr>
          <w:i/>
          <w:iCs/>
        </w:rPr>
        <w:t>tātou</w:t>
      </w:r>
      <w:proofErr w:type="spellEnd"/>
      <w:r w:rsidRPr="002C0B71">
        <w:rPr>
          <w:i/>
          <w:iCs/>
        </w:rPr>
        <w:t xml:space="preserve">, ā, </w:t>
      </w:r>
      <w:proofErr w:type="spellStart"/>
      <w:r w:rsidRPr="002C0B71">
        <w:rPr>
          <w:i/>
          <w:iCs/>
        </w:rPr>
        <w:t>mō</w:t>
      </w:r>
      <w:proofErr w:type="spellEnd"/>
      <w:r w:rsidRPr="002C0B71">
        <w:rPr>
          <w:i/>
          <w:iCs/>
        </w:rPr>
        <w:t xml:space="preserve"> </w:t>
      </w:r>
      <w:proofErr w:type="spellStart"/>
      <w:r w:rsidRPr="002C0B71">
        <w:rPr>
          <w:i/>
          <w:iCs/>
        </w:rPr>
        <w:t>kā</w:t>
      </w:r>
      <w:proofErr w:type="spellEnd"/>
      <w:r w:rsidRPr="002C0B71">
        <w:rPr>
          <w:i/>
          <w:iCs/>
        </w:rPr>
        <w:t xml:space="preserve"> </w:t>
      </w:r>
      <w:proofErr w:type="spellStart"/>
      <w:r w:rsidRPr="002C0B71">
        <w:rPr>
          <w:i/>
          <w:iCs/>
        </w:rPr>
        <w:t>uri</w:t>
      </w:r>
      <w:proofErr w:type="spellEnd"/>
      <w:r w:rsidRPr="002C0B71">
        <w:rPr>
          <w:i/>
          <w:iCs/>
        </w:rPr>
        <w:t xml:space="preserve"> ā muri </w:t>
      </w:r>
      <w:proofErr w:type="spellStart"/>
      <w:r w:rsidRPr="002C0B71">
        <w:rPr>
          <w:i/>
          <w:iCs/>
        </w:rPr>
        <w:t>ake</w:t>
      </w:r>
      <w:proofErr w:type="spellEnd"/>
      <w:r w:rsidRPr="002C0B71">
        <w:rPr>
          <w:i/>
          <w:iCs/>
        </w:rPr>
        <w:t xml:space="preserve"> </w:t>
      </w:r>
      <w:proofErr w:type="spellStart"/>
      <w:r w:rsidRPr="002C0B71">
        <w:rPr>
          <w:i/>
          <w:iCs/>
        </w:rPr>
        <w:t>nei</w:t>
      </w:r>
      <w:proofErr w:type="spellEnd"/>
      <w:r w:rsidRPr="002C0B71">
        <w:rPr>
          <w:i/>
          <w:iCs/>
          <w:u w:val="single"/>
        </w:rPr>
        <w:t>)</w:t>
      </w:r>
      <w:r w:rsidRPr="002C0B71">
        <w:rPr>
          <w:i/>
          <w:iCs/>
        </w:rPr>
        <w:t>.</w:t>
      </w:r>
      <w:r w:rsidRPr="002C0B71">
        <w:rPr>
          <w:i/>
          <w:iCs/>
          <w:vertAlign w:val="superscript"/>
        </w:rPr>
        <w:footnoteReference w:id="13"/>
      </w:r>
    </w:p>
    <w:p w14:paraId="752ADABC" w14:textId="77777777" w:rsidR="009A1120" w:rsidRPr="00472578" w:rsidRDefault="009A1120" w:rsidP="00E92686">
      <w:pPr>
        <w:jc w:val="both"/>
      </w:pPr>
      <w:r w:rsidRPr="00472578">
        <w:lastRenderedPageBreak/>
        <w:t>This statement reflects that a healthy, flourishing environment is fundamental to our well-being. Integration is the central tenet, seeing the environment as a single connected system, ki uta ki tai, and weaving this in to the RPS fabric.</w:t>
      </w:r>
    </w:p>
    <w:p w14:paraId="081651C4" w14:textId="438C18FF" w:rsidR="009A1120" w:rsidRPr="00472578" w:rsidRDefault="009A1120" w:rsidP="00E92686">
      <w:pPr>
        <w:jc w:val="both"/>
      </w:pPr>
      <w:r w:rsidRPr="00472578">
        <w:t xml:space="preserve">Our long-term vision takes its cue from the holistic perspective of </w:t>
      </w:r>
      <w:proofErr w:type="spellStart"/>
      <w:r w:rsidRPr="00472578">
        <w:t>Te</w:t>
      </w:r>
      <w:proofErr w:type="spellEnd"/>
      <w:r w:rsidRPr="00472578">
        <w:t xml:space="preserve"> Mana o </w:t>
      </w:r>
      <w:proofErr w:type="spellStart"/>
      <w:r w:rsidRPr="00472578">
        <w:t>te</w:t>
      </w:r>
      <w:proofErr w:type="spellEnd"/>
      <w:r w:rsidRPr="00472578">
        <w:t xml:space="preserve"> Wai in the National Policy Statement for Freshwater Management 2020. Guided by the need to give effect to </w:t>
      </w:r>
      <w:proofErr w:type="spellStart"/>
      <w:r w:rsidRPr="00472578">
        <w:t>Te</w:t>
      </w:r>
      <w:proofErr w:type="spellEnd"/>
      <w:r w:rsidRPr="00472578">
        <w:t xml:space="preserve"> Mana o </w:t>
      </w:r>
      <w:proofErr w:type="spellStart"/>
      <w:r w:rsidRPr="00472578">
        <w:t>te</w:t>
      </w:r>
      <w:proofErr w:type="spellEnd"/>
      <w:r w:rsidRPr="00472578">
        <w:t xml:space="preserve"> Wai we have worked with mana whenua and the wider community to develop long-term visions for Otago’s water bodies.</w:t>
      </w:r>
      <w:r w:rsidR="00015BC5">
        <w:t xml:space="preserve"> </w:t>
      </w:r>
      <w:r w:rsidRPr="00472578">
        <w:t>The purpose of these visions is to protect the mauri of water bodies in Otago, a responsibility shared by all. The aim is to achieve positive outcomes for water and habitat that also address the community’s needs and interests.</w:t>
      </w:r>
    </w:p>
    <w:p w14:paraId="5B4B7C3B" w14:textId="77777777" w:rsidR="009A1120" w:rsidRPr="00472578" w:rsidRDefault="009A1120" w:rsidP="00E92686">
      <w:pPr>
        <w:jc w:val="both"/>
      </w:pPr>
      <w:r w:rsidRPr="00472578">
        <w:t xml:space="preserve">A broad section of people from all walks of life have contributed to developing the Regional Policy Statement. Through a variety of means, including in-person public workshops, community reference groups, online surveys, and reports, people have helped shape policy development in its earliest stages and fed into the long-term freshwater visions for their own parts of Otago. </w:t>
      </w:r>
    </w:p>
    <w:p w14:paraId="79E9CDD4" w14:textId="77777777" w:rsidR="009A1120" w:rsidRPr="00472578" w:rsidRDefault="009A1120" w:rsidP="00E92686">
      <w:pPr>
        <w:jc w:val="both"/>
      </w:pPr>
      <w:r w:rsidRPr="00472578">
        <w:t xml:space="preserve">Thank you to all who have been involved in bringing this RPS to notification: </w:t>
      </w:r>
      <w:r w:rsidRPr="00472578">
        <w:rPr>
          <w:iCs/>
        </w:rPr>
        <w:t>mana whenua;</w:t>
      </w:r>
      <w:r w:rsidRPr="00472578">
        <w:t xml:space="preserve"> staff from ORC, </w:t>
      </w:r>
      <w:proofErr w:type="spellStart"/>
      <w:r w:rsidRPr="00472578">
        <w:t>Aukaha</w:t>
      </w:r>
      <w:proofErr w:type="spellEnd"/>
      <w:r w:rsidRPr="00472578">
        <w:t xml:space="preserve">, and </w:t>
      </w:r>
      <w:proofErr w:type="spellStart"/>
      <w:r w:rsidRPr="00472578">
        <w:t>Te</w:t>
      </w:r>
      <w:proofErr w:type="spellEnd"/>
      <w:r w:rsidRPr="00472578">
        <w:t xml:space="preserve"> </w:t>
      </w:r>
      <w:proofErr w:type="spellStart"/>
      <w:r w:rsidRPr="00472578">
        <w:t>Ao</w:t>
      </w:r>
      <w:proofErr w:type="spellEnd"/>
      <w:r w:rsidRPr="00472578">
        <w:t xml:space="preserve"> </w:t>
      </w:r>
      <w:proofErr w:type="spellStart"/>
      <w:r w:rsidRPr="00472578">
        <w:t>Marama</w:t>
      </w:r>
      <w:proofErr w:type="spellEnd"/>
      <w:r w:rsidRPr="00472578">
        <w:t xml:space="preserve"> Inc; councillors; stakeholders; and community members.</w:t>
      </w:r>
    </w:p>
    <w:p w14:paraId="198A3B86" w14:textId="77777777" w:rsidR="009A1120" w:rsidRPr="00472578" w:rsidRDefault="009A1120" w:rsidP="00E92686">
      <w:pPr>
        <w:jc w:val="both"/>
      </w:pPr>
      <w:r w:rsidRPr="00472578">
        <w:t>The objectives and policies in this RPS signal a significant step change in Otago, mindful of the need to consider the environment that will be inherited by future generations. We are asking our communities to join us in that change, to create a future of opportunity and security for all of us.</w:t>
      </w:r>
    </w:p>
    <w:p w14:paraId="671A40BF" w14:textId="459E3D1C" w:rsidR="009A1120" w:rsidRPr="00472578" w:rsidRDefault="009A1120" w:rsidP="00E92686">
      <w:pPr>
        <w:jc w:val="both"/>
        <w:rPr>
          <w:b/>
          <w:bCs/>
          <w:color w:val="001F5F"/>
          <w:sz w:val="44"/>
          <w:szCs w:val="44"/>
          <w:highlight w:val="yellow"/>
        </w:rPr>
      </w:pPr>
    </w:p>
    <w:p w14:paraId="78F6F29E" w14:textId="77777777" w:rsidR="00B02DBF" w:rsidRPr="00472578" w:rsidRDefault="00B02DBF" w:rsidP="00E92686">
      <w:pPr>
        <w:jc w:val="both"/>
        <w:rPr>
          <w:rFonts w:eastAsiaTheme="majorEastAsia" w:cstheme="majorBidi"/>
          <w:b/>
          <w:color w:val="1F3864" w:themeColor="accent1" w:themeShade="80"/>
          <w:sz w:val="40"/>
          <w:szCs w:val="26"/>
        </w:rPr>
      </w:pPr>
      <w:bookmarkStart w:id="5" w:name="_Toc73105347"/>
      <w:r w:rsidRPr="00472578">
        <w:rPr>
          <w:rFonts w:eastAsiaTheme="majorEastAsia" w:cstheme="majorBidi"/>
          <w:b/>
          <w:color w:val="1F3864" w:themeColor="accent1" w:themeShade="80"/>
          <w:sz w:val="40"/>
          <w:szCs w:val="26"/>
        </w:rPr>
        <w:br w:type="page"/>
      </w:r>
    </w:p>
    <w:p w14:paraId="1FA74F1E" w14:textId="77777777" w:rsidR="00B02DBF" w:rsidRDefault="00B02DBF" w:rsidP="00E92686">
      <w:pPr>
        <w:pStyle w:val="Heading2"/>
        <w:jc w:val="both"/>
      </w:pPr>
      <w:bookmarkStart w:id="6" w:name="_Toc102551267"/>
      <w:r w:rsidRPr="00472578">
        <w:lastRenderedPageBreak/>
        <w:t>Contents</w:t>
      </w:r>
      <w:bookmarkEnd w:id="6"/>
    </w:p>
    <w:p w14:paraId="09219E8F" w14:textId="6BDBA847" w:rsidR="00E77BDD" w:rsidRDefault="00E77BDD" w:rsidP="00A471F4">
      <w:pPr>
        <w:pStyle w:val="TOC1"/>
        <w:rPr>
          <w:rFonts w:asciiTheme="minorHAnsi" w:eastAsiaTheme="minorEastAsia" w:hAnsiTheme="minorHAnsi" w:cstheme="minorBidi"/>
          <w:noProof/>
          <w:lang w:eastAsia="en-NZ"/>
        </w:rPr>
      </w:pPr>
      <w:r>
        <w:fldChar w:fldCharType="begin"/>
      </w:r>
      <w:r>
        <w:instrText xml:space="preserve"> TOC \o "1-2" \h \z \u </w:instrText>
      </w:r>
      <w:r>
        <w:fldChar w:fldCharType="separate"/>
      </w:r>
      <w:hyperlink w:anchor="_Toc102551265" w:history="1">
        <w:r w:rsidRPr="000716B2">
          <w:rPr>
            <w:rStyle w:val="Hyperlink"/>
            <w:noProof/>
          </w:rPr>
          <w:t>Part 1 – INTRODUCTION AND GENERAL PROVISIONS</w:t>
        </w:r>
        <w:r>
          <w:rPr>
            <w:noProof/>
            <w:webHidden/>
          </w:rPr>
          <w:tab/>
        </w:r>
        <w:r>
          <w:rPr>
            <w:noProof/>
            <w:webHidden/>
          </w:rPr>
          <w:fldChar w:fldCharType="begin"/>
        </w:r>
        <w:r>
          <w:rPr>
            <w:noProof/>
            <w:webHidden/>
          </w:rPr>
          <w:instrText xml:space="preserve"> PAGEREF _Toc102551265 \h </w:instrText>
        </w:r>
        <w:r>
          <w:rPr>
            <w:noProof/>
            <w:webHidden/>
          </w:rPr>
        </w:r>
        <w:r>
          <w:rPr>
            <w:noProof/>
            <w:webHidden/>
          </w:rPr>
          <w:fldChar w:fldCharType="separate"/>
        </w:r>
        <w:r>
          <w:rPr>
            <w:noProof/>
            <w:webHidden/>
          </w:rPr>
          <w:t>3</w:t>
        </w:r>
        <w:r>
          <w:rPr>
            <w:noProof/>
            <w:webHidden/>
          </w:rPr>
          <w:fldChar w:fldCharType="end"/>
        </w:r>
      </w:hyperlink>
    </w:p>
    <w:p w14:paraId="69CC98BB" w14:textId="6C6F7CE3" w:rsidR="00E77BDD" w:rsidRDefault="00D22F06">
      <w:pPr>
        <w:pStyle w:val="TOC2"/>
        <w:tabs>
          <w:tab w:val="right" w:leader="dot" w:pos="9320"/>
        </w:tabs>
        <w:rPr>
          <w:rFonts w:asciiTheme="minorHAnsi" w:eastAsiaTheme="minorEastAsia" w:hAnsiTheme="minorHAnsi" w:cstheme="minorBidi"/>
          <w:noProof/>
          <w:lang w:eastAsia="en-NZ"/>
        </w:rPr>
      </w:pPr>
      <w:hyperlink w:anchor="_Toc102551266" w:history="1">
        <w:r w:rsidR="00E77BDD" w:rsidRPr="000716B2">
          <w:rPr>
            <w:rStyle w:val="Hyperlink"/>
            <w:noProof/>
          </w:rPr>
          <w:t>Foreword or mihi</w:t>
        </w:r>
        <w:r w:rsidR="00E77BDD">
          <w:rPr>
            <w:noProof/>
            <w:webHidden/>
          </w:rPr>
          <w:tab/>
        </w:r>
        <w:r w:rsidR="00E77BDD">
          <w:rPr>
            <w:noProof/>
            <w:webHidden/>
          </w:rPr>
          <w:fldChar w:fldCharType="begin"/>
        </w:r>
        <w:r w:rsidR="00E77BDD">
          <w:rPr>
            <w:noProof/>
            <w:webHidden/>
          </w:rPr>
          <w:instrText xml:space="preserve"> PAGEREF _Toc102551266 \h </w:instrText>
        </w:r>
        <w:r w:rsidR="00E77BDD">
          <w:rPr>
            <w:noProof/>
            <w:webHidden/>
          </w:rPr>
        </w:r>
        <w:r w:rsidR="00E77BDD">
          <w:rPr>
            <w:noProof/>
            <w:webHidden/>
          </w:rPr>
          <w:fldChar w:fldCharType="separate"/>
        </w:r>
        <w:r w:rsidR="00E77BDD">
          <w:rPr>
            <w:noProof/>
            <w:webHidden/>
          </w:rPr>
          <w:t>3</w:t>
        </w:r>
        <w:r w:rsidR="00E77BDD">
          <w:rPr>
            <w:noProof/>
            <w:webHidden/>
          </w:rPr>
          <w:fldChar w:fldCharType="end"/>
        </w:r>
      </w:hyperlink>
    </w:p>
    <w:p w14:paraId="690C3465" w14:textId="536D0728" w:rsidR="00E77BDD" w:rsidRDefault="00D22F06">
      <w:pPr>
        <w:pStyle w:val="TOC2"/>
        <w:tabs>
          <w:tab w:val="right" w:leader="dot" w:pos="9320"/>
        </w:tabs>
        <w:rPr>
          <w:rFonts w:asciiTheme="minorHAnsi" w:eastAsiaTheme="minorEastAsia" w:hAnsiTheme="minorHAnsi" w:cstheme="minorBidi"/>
          <w:noProof/>
          <w:lang w:eastAsia="en-NZ"/>
        </w:rPr>
      </w:pPr>
      <w:hyperlink w:anchor="_Toc102551267" w:history="1">
        <w:r w:rsidR="00E77BDD" w:rsidRPr="000716B2">
          <w:rPr>
            <w:rStyle w:val="Hyperlink"/>
            <w:noProof/>
          </w:rPr>
          <w:t>Contents</w:t>
        </w:r>
        <w:r w:rsidR="00E77BDD">
          <w:rPr>
            <w:noProof/>
            <w:webHidden/>
          </w:rPr>
          <w:tab/>
        </w:r>
        <w:r w:rsidR="00E77BDD">
          <w:rPr>
            <w:noProof/>
            <w:webHidden/>
          </w:rPr>
          <w:fldChar w:fldCharType="begin"/>
        </w:r>
        <w:r w:rsidR="00E77BDD">
          <w:rPr>
            <w:noProof/>
            <w:webHidden/>
          </w:rPr>
          <w:instrText xml:space="preserve"> PAGEREF _Toc102551267 \h </w:instrText>
        </w:r>
        <w:r w:rsidR="00E77BDD">
          <w:rPr>
            <w:noProof/>
            <w:webHidden/>
          </w:rPr>
        </w:r>
        <w:r w:rsidR="00E77BDD">
          <w:rPr>
            <w:noProof/>
            <w:webHidden/>
          </w:rPr>
          <w:fldChar w:fldCharType="separate"/>
        </w:r>
        <w:r w:rsidR="00E77BDD">
          <w:rPr>
            <w:noProof/>
            <w:webHidden/>
          </w:rPr>
          <w:t>5</w:t>
        </w:r>
        <w:r w:rsidR="00E77BDD">
          <w:rPr>
            <w:noProof/>
            <w:webHidden/>
          </w:rPr>
          <w:fldChar w:fldCharType="end"/>
        </w:r>
      </w:hyperlink>
    </w:p>
    <w:p w14:paraId="1442E734" w14:textId="57380ABD" w:rsidR="00E77BDD" w:rsidRDefault="00D22F06">
      <w:pPr>
        <w:pStyle w:val="TOC2"/>
        <w:tabs>
          <w:tab w:val="right" w:leader="dot" w:pos="9320"/>
        </w:tabs>
        <w:rPr>
          <w:rFonts w:asciiTheme="minorHAnsi" w:eastAsiaTheme="minorEastAsia" w:hAnsiTheme="minorHAnsi" w:cstheme="minorBidi"/>
          <w:noProof/>
          <w:lang w:eastAsia="en-NZ"/>
        </w:rPr>
      </w:pPr>
      <w:hyperlink w:anchor="_Toc102551268" w:history="1">
        <w:r w:rsidR="00E77BDD" w:rsidRPr="000716B2">
          <w:rPr>
            <w:rStyle w:val="Hyperlink"/>
            <w:noProof/>
          </w:rPr>
          <w:t>Purpose</w:t>
        </w:r>
        <w:r w:rsidR="00E77BDD">
          <w:rPr>
            <w:noProof/>
            <w:webHidden/>
          </w:rPr>
          <w:tab/>
        </w:r>
        <w:r w:rsidR="00E77BDD">
          <w:rPr>
            <w:noProof/>
            <w:webHidden/>
          </w:rPr>
          <w:fldChar w:fldCharType="begin"/>
        </w:r>
        <w:r w:rsidR="00E77BDD">
          <w:rPr>
            <w:noProof/>
            <w:webHidden/>
          </w:rPr>
          <w:instrText xml:space="preserve"> PAGEREF _Toc102551268 \h </w:instrText>
        </w:r>
        <w:r w:rsidR="00E77BDD">
          <w:rPr>
            <w:noProof/>
            <w:webHidden/>
          </w:rPr>
        </w:r>
        <w:r w:rsidR="00E77BDD">
          <w:rPr>
            <w:noProof/>
            <w:webHidden/>
          </w:rPr>
          <w:fldChar w:fldCharType="separate"/>
        </w:r>
        <w:r w:rsidR="00E77BDD">
          <w:rPr>
            <w:noProof/>
            <w:webHidden/>
          </w:rPr>
          <w:t>6</w:t>
        </w:r>
        <w:r w:rsidR="00E77BDD">
          <w:rPr>
            <w:noProof/>
            <w:webHidden/>
          </w:rPr>
          <w:fldChar w:fldCharType="end"/>
        </w:r>
      </w:hyperlink>
    </w:p>
    <w:p w14:paraId="65AC6791" w14:textId="64A33893" w:rsidR="00E77BDD" w:rsidRDefault="00D22F06">
      <w:pPr>
        <w:pStyle w:val="TOC2"/>
        <w:tabs>
          <w:tab w:val="right" w:leader="dot" w:pos="9320"/>
        </w:tabs>
        <w:rPr>
          <w:rFonts w:asciiTheme="minorHAnsi" w:eastAsiaTheme="minorEastAsia" w:hAnsiTheme="minorHAnsi" w:cstheme="minorBidi"/>
          <w:noProof/>
          <w:lang w:eastAsia="en-NZ"/>
        </w:rPr>
      </w:pPr>
      <w:hyperlink w:anchor="_Toc102551269" w:history="1">
        <w:r w:rsidR="00E77BDD" w:rsidRPr="000716B2">
          <w:rPr>
            <w:rStyle w:val="Hyperlink"/>
            <w:noProof/>
          </w:rPr>
          <w:t xml:space="preserve">Description of the </w:t>
        </w:r>
        <w:r w:rsidR="00E77BDD" w:rsidRPr="000716B2">
          <w:rPr>
            <w:rStyle w:val="Hyperlink"/>
            <w:strike/>
            <w:noProof/>
          </w:rPr>
          <w:t>R</w:t>
        </w:r>
        <w:r w:rsidR="00E77BDD" w:rsidRPr="000716B2">
          <w:rPr>
            <w:rStyle w:val="Hyperlink"/>
            <w:noProof/>
          </w:rPr>
          <w:t>region</w:t>
        </w:r>
        <w:r w:rsidR="00E77BDD">
          <w:rPr>
            <w:noProof/>
            <w:webHidden/>
          </w:rPr>
          <w:tab/>
        </w:r>
        <w:r w:rsidR="00E77BDD">
          <w:rPr>
            <w:noProof/>
            <w:webHidden/>
          </w:rPr>
          <w:fldChar w:fldCharType="begin"/>
        </w:r>
        <w:r w:rsidR="00E77BDD">
          <w:rPr>
            <w:noProof/>
            <w:webHidden/>
          </w:rPr>
          <w:instrText xml:space="preserve"> PAGEREF _Toc102551269 \h </w:instrText>
        </w:r>
        <w:r w:rsidR="00E77BDD">
          <w:rPr>
            <w:noProof/>
            <w:webHidden/>
          </w:rPr>
        </w:r>
        <w:r w:rsidR="00E77BDD">
          <w:rPr>
            <w:noProof/>
            <w:webHidden/>
          </w:rPr>
          <w:fldChar w:fldCharType="separate"/>
        </w:r>
        <w:r w:rsidR="00E77BDD">
          <w:rPr>
            <w:noProof/>
            <w:webHidden/>
          </w:rPr>
          <w:t>7</w:t>
        </w:r>
        <w:r w:rsidR="00E77BDD">
          <w:rPr>
            <w:noProof/>
            <w:webHidden/>
          </w:rPr>
          <w:fldChar w:fldCharType="end"/>
        </w:r>
      </w:hyperlink>
    </w:p>
    <w:p w14:paraId="220E0FED" w14:textId="686ED9FF" w:rsidR="00E77BDD" w:rsidRDefault="00D22F06">
      <w:pPr>
        <w:pStyle w:val="TOC2"/>
        <w:tabs>
          <w:tab w:val="right" w:leader="dot" w:pos="9320"/>
        </w:tabs>
        <w:rPr>
          <w:rFonts w:asciiTheme="minorHAnsi" w:eastAsiaTheme="minorEastAsia" w:hAnsiTheme="minorHAnsi" w:cstheme="minorBidi"/>
          <w:noProof/>
          <w:lang w:eastAsia="en-NZ"/>
        </w:rPr>
      </w:pPr>
      <w:hyperlink w:anchor="_Toc102551270" w:history="1">
        <w:r w:rsidR="00E77BDD" w:rsidRPr="000716B2">
          <w:rPr>
            <w:rStyle w:val="Hyperlink"/>
            <w:noProof/>
          </w:rPr>
          <w:t>How the policy statement works</w:t>
        </w:r>
        <w:r w:rsidR="00E77BDD">
          <w:rPr>
            <w:noProof/>
            <w:webHidden/>
          </w:rPr>
          <w:tab/>
        </w:r>
        <w:r w:rsidR="00E77BDD">
          <w:rPr>
            <w:noProof/>
            <w:webHidden/>
          </w:rPr>
          <w:fldChar w:fldCharType="begin"/>
        </w:r>
        <w:r w:rsidR="00E77BDD">
          <w:rPr>
            <w:noProof/>
            <w:webHidden/>
          </w:rPr>
          <w:instrText xml:space="preserve"> PAGEREF _Toc102551270 \h </w:instrText>
        </w:r>
        <w:r w:rsidR="00E77BDD">
          <w:rPr>
            <w:noProof/>
            <w:webHidden/>
          </w:rPr>
        </w:r>
        <w:r w:rsidR="00E77BDD">
          <w:rPr>
            <w:noProof/>
            <w:webHidden/>
          </w:rPr>
          <w:fldChar w:fldCharType="separate"/>
        </w:r>
        <w:r w:rsidR="00E77BDD">
          <w:rPr>
            <w:noProof/>
            <w:webHidden/>
          </w:rPr>
          <w:t>10</w:t>
        </w:r>
        <w:r w:rsidR="00E77BDD">
          <w:rPr>
            <w:noProof/>
            <w:webHidden/>
          </w:rPr>
          <w:fldChar w:fldCharType="end"/>
        </w:r>
      </w:hyperlink>
    </w:p>
    <w:p w14:paraId="1085C04E" w14:textId="3C365D12" w:rsidR="00E77BDD" w:rsidRDefault="00D22F06">
      <w:pPr>
        <w:pStyle w:val="TOC2"/>
        <w:tabs>
          <w:tab w:val="right" w:leader="dot" w:pos="9320"/>
        </w:tabs>
        <w:rPr>
          <w:rFonts w:asciiTheme="minorHAnsi" w:eastAsiaTheme="minorEastAsia" w:hAnsiTheme="minorHAnsi" w:cstheme="minorBidi"/>
          <w:noProof/>
          <w:lang w:eastAsia="en-NZ"/>
        </w:rPr>
      </w:pPr>
      <w:hyperlink w:anchor="_Toc102551271" w:history="1">
        <w:r w:rsidR="00E77BDD" w:rsidRPr="000716B2">
          <w:rPr>
            <w:rStyle w:val="Hyperlink"/>
            <w:noProof/>
          </w:rPr>
          <w:t>Interpretation</w:t>
        </w:r>
        <w:r w:rsidR="00E77BDD">
          <w:rPr>
            <w:noProof/>
            <w:webHidden/>
          </w:rPr>
          <w:tab/>
        </w:r>
        <w:r w:rsidR="00E77BDD">
          <w:rPr>
            <w:noProof/>
            <w:webHidden/>
          </w:rPr>
          <w:fldChar w:fldCharType="begin"/>
        </w:r>
        <w:r w:rsidR="00E77BDD">
          <w:rPr>
            <w:noProof/>
            <w:webHidden/>
          </w:rPr>
          <w:instrText xml:space="preserve"> PAGEREF _Toc102551271 \h </w:instrText>
        </w:r>
        <w:r w:rsidR="00E77BDD">
          <w:rPr>
            <w:noProof/>
            <w:webHidden/>
          </w:rPr>
        </w:r>
        <w:r w:rsidR="00E77BDD">
          <w:rPr>
            <w:noProof/>
            <w:webHidden/>
          </w:rPr>
          <w:fldChar w:fldCharType="separate"/>
        </w:r>
        <w:r w:rsidR="00E77BDD">
          <w:rPr>
            <w:noProof/>
            <w:webHidden/>
          </w:rPr>
          <w:t>16</w:t>
        </w:r>
        <w:r w:rsidR="00E77BDD">
          <w:rPr>
            <w:noProof/>
            <w:webHidden/>
          </w:rPr>
          <w:fldChar w:fldCharType="end"/>
        </w:r>
      </w:hyperlink>
    </w:p>
    <w:p w14:paraId="762F3591" w14:textId="215B6622" w:rsidR="00E77BDD" w:rsidRDefault="00D22F06">
      <w:pPr>
        <w:pStyle w:val="TOC2"/>
        <w:tabs>
          <w:tab w:val="right" w:leader="dot" w:pos="9320"/>
        </w:tabs>
        <w:rPr>
          <w:rFonts w:asciiTheme="minorHAnsi" w:eastAsiaTheme="minorEastAsia" w:hAnsiTheme="minorHAnsi" w:cstheme="minorBidi"/>
          <w:noProof/>
          <w:lang w:eastAsia="en-NZ"/>
        </w:rPr>
      </w:pPr>
      <w:hyperlink w:anchor="_Toc102551272" w:history="1">
        <w:r w:rsidR="00E77BDD" w:rsidRPr="000716B2">
          <w:rPr>
            <w:rStyle w:val="Hyperlink"/>
            <w:noProof/>
          </w:rPr>
          <w:t>National direction instruments</w:t>
        </w:r>
        <w:r w:rsidR="00E77BDD">
          <w:rPr>
            <w:noProof/>
            <w:webHidden/>
          </w:rPr>
          <w:tab/>
        </w:r>
        <w:r w:rsidR="00E77BDD">
          <w:rPr>
            <w:noProof/>
            <w:webHidden/>
          </w:rPr>
          <w:fldChar w:fldCharType="begin"/>
        </w:r>
        <w:r w:rsidR="00E77BDD">
          <w:rPr>
            <w:noProof/>
            <w:webHidden/>
          </w:rPr>
          <w:instrText xml:space="preserve"> PAGEREF _Toc102551272 \h </w:instrText>
        </w:r>
        <w:r w:rsidR="00E77BDD">
          <w:rPr>
            <w:noProof/>
            <w:webHidden/>
          </w:rPr>
        </w:r>
        <w:r w:rsidR="00E77BDD">
          <w:rPr>
            <w:noProof/>
            <w:webHidden/>
          </w:rPr>
          <w:fldChar w:fldCharType="separate"/>
        </w:r>
        <w:r w:rsidR="00E77BDD">
          <w:rPr>
            <w:noProof/>
            <w:webHidden/>
          </w:rPr>
          <w:t>50</w:t>
        </w:r>
        <w:r w:rsidR="00E77BDD">
          <w:rPr>
            <w:noProof/>
            <w:webHidden/>
          </w:rPr>
          <w:fldChar w:fldCharType="end"/>
        </w:r>
      </w:hyperlink>
    </w:p>
    <w:p w14:paraId="0C26F596" w14:textId="7E88352F" w:rsidR="00E77BDD" w:rsidRDefault="00D22F06">
      <w:pPr>
        <w:pStyle w:val="TOC2"/>
        <w:tabs>
          <w:tab w:val="right" w:leader="dot" w:pos="9320"/>
        </w:tabs>
        <w:rPr>
          <w:rFonts w:asciiTheme="minorHAnsi" w:eastAsiaTheme="minorEastAsia" w:hAnsiTheme="minorHAnsi" w:cstheme="minorBidi"/>
          <w:noProof/>
          <w:lang w:eastAsia="en-NZ"/>
        </w:rPr>
      </w:pPr>
      <w:hyperlink w:anchor="_Toc102551273" w:history="1">
        <w:r w:rsidR="00E77BDD" w:rsidRPr="000716B2">
          <w:rPr>
            <w:rStyle w:val="Hyperlink"/>
            <w:noProof/>
          </w:rPr>
          <w:t xml:space="preserve">MW – </w:t>
        </w:r>
        <w:r w:rsidR="00E77BDD" w:rsidRPr="000716B2">
          <w:rPr>
            <w:rStyle w:val="Hyperlink"/>
            <w:i/>
            <w:iCs/>
            <w:noProof/>
          </w:rPr>
          <w:t>Mana whenua</w:t>
        </w:r>
        <w:r w:rsidR="00E77BDD">
          <w:rPr>
            <w:noProof/>
            <w:webHidden/>
          </w:rPr>
          <w:tab/>
        </w:r>
        <w:r w:rsidR="00E77BDD">
          <w:rPr>
            <w:noProof/>
            <w:webHidden/>
          </w:rPr>
          <w:fldChar w:fldCharType="begin"/>
        </w:r>
        <w:r w:rsidR="00E77BDD">
          <w:rPr>
            <w:noProof/>
            <w:webHidden/>
          </w:rPr>
          <w:instrText xml:space="preserve"> PAGEREF _Toc102551273 \h </w:instrText>
        </w:r>
        <w:r w:rsidR="00E77BDD">
          <w:rPr>
            <w:noProof/>
            <w:webHidden/>
          </w:rPr>
        </w:r>
        <w:r w:rsidR="00E77BDD">
          <w:rPr>
            <w:noProof/>
            <w:webHidden/>
          </w:rPr>
          <w:fldChar w:fldCharType="separate"/>
        </w:r>
        <w:r w:rsidR="00E77BDD">
          <w:rPr>
            <w:noProof/>
            <w:webHidden/>
          </w:rPr>
          <w:t>52</w:t>
        </w:r>
        <w:r w:rsidR="00E77BDD">
          <w:rPr>
            <w:noProof/>
            <w:webHidden/>
          </w:rPr>
          <w:fldChar w:fldCharType="end"/>
        </w:r>
      </w:hyperlink>
    </w:p>
    <w:p w14:paraId="4DA84359" w14:textId="14F6AE49" w:rsidR="00E77BDD" w:rsidRDefault="00D22F06" w:rsidP="00A471F4">
      <w:pPr>
        <w:pStyle w:val="TOC1"/>
        <w:rPr>
          <w:rFonts w:asciiTheme="minorHAnsi" w:eastAsiaTheme="minorEastAsia" w:hAnsiTheme="minorHAnsi" w:cstheme="minorBidi"/>
          <w:noProof/>
          <w:lang w:eastAsia="en-NZ"/>
        </w:rPr>
      </w:pPr>
      <w:hyperlink w:anchor="_Toc102551274" w:history="1">
        <w:r w:rsidR="00E77BDD" w:rsidRPr="000716B2">
          <w:rPr>
            <w:rStyle w:val="Hyperlink"/>
            <w:noProof/>
          </w:rPr>
          <w:t>PART 2 – RESOURCE MANAGEMENT OVERVIEW</w:t>
        </w:r>
        <w:r w:rsidR="00E77BDD">
          <w:rPr>
            <w:noProof/>
            <w:webHidden/>
          </w:rPr>
          <w:tab/>
        </w:r>
        <w:r w:rsidR="00E77BDD">
          <w:rPr>
            <w:noProof/>
            <w:webHidden/>
          </w:rPr>
          <w:fldChar w:fldCharType="begin"/>
        </w:r>
        <w:r w:rsidR="00E77BDD">
          <w:rPr>
            <w:noProof/>
            <w:webHidden/>
          </w:rPr>
          <w:instrText xml:space="preserve"> PAGEREF _Toc102551274 \h </w:instrText>
        </w:r>
        <w:r w:rsidR="00E77BDD">
          <w:rPr>
            <w:noProof/>
            <w:webHidden/>
          </w:rPr>
        </w:r>
        <w:r w:rsidR="00E77BDD">
          <w:rPr>
            <w:noProof/>
            <w:webHidden/>
          </w:rPr>
          <w:fldChar w:fldCharType="separate"/>
        </w:r>
        <w:r w:rsidR="00E77BDD">
          <w:rPr>
            <w:noProof/>
            <w:webHidden/>
          </w:rPr>
          <w:t>74</w:t>
        </w:r>
        <w:r w:rsidR="00E77BDD">
          <w:rPr>
            <w:noProof/>
            <w:webHidden/>
          </w:rPr>
          <w:fldChar w:fldCharType="end"/>
        </w:r>
      </w:hyperlink>
    </w:p>
    <w:p w14:paraId="4B2C8E97" w14:textId="6C085D8F" w:rsidR="00E77BDD" w:rsidRDefault="00D22F06">
      <w:pPr>
        <w:pStyle w:val="TOC2"/>
        <w:tabs>
          <w:tab w:val="right" w:leader="dot" w:pos="9320"/>
        </w:tabs>
        <w:rPr>
          <w:rFonts w:asciiTheme="minorHAnsi" w:eastAsiaTheme="minorEastAsia" w:hAnsiTheme="minorHAnsi" w:cstheme="minorBidi"/>
          <w:noProof/>
          <w:lang w:eastAsia="en-NZ"/>
        </w:rPr>
      </w:pPr>
      <w:hyperlink w:anchor="_Toc102551275" w:history="1">
        <w:r w:rsidR="00E77BDD" w:rsidRPr="000716B2">
          <w:rPr>
            <w:rStyle w:val="Hyperlink"/>
            <w:noProof/>
          </w:rPr>
          <w:t>SRMR – Significant resource management issues for the region</w:t>
        </w:r>
        <w:r w:rsidR="00E77BDD">
          <w:rPr>
            <w:noProof/>
            <w:webHidden/>
          </w:rPr>
          <w:tab/>
        </w:r>
        <w:r w:rsidR="00E77BDD">
          <w:rPr>
            <w:noProof/>
            <w:webHidden/>
          </w:rPr>
          <w:fldChar w:fldCharType="begin"/>
        </w:r>
        <w:r w:rsidR="00E77BDD">
          <w:rPr>
            <w:noProof/>
            <w:webHidden/>
          </w:rPr>
          <w:instrText xml:space="preserve"> PAGEREF _Toc102551275 \h </w:instrText>
        </w:r>
        <w:r w:rsidR="00E77BDD">
          <w:rPr>
            <w:noProof/>
            <w:webHidden/>
          </w:rPr>
        </w:r>
        <w:r w:rsidR="00E77BDD">
          <w:rPr>
            <w:noProof/>
            <w:webHidden/>
          </w:rPr>
          <w:fldChar w:fldCharType="separate"/>
        </w:r>
        <w:r w:rsidR="00E77BDD">
          <w:rPr>
            <w:noProof/>
            <w:webHidden/>
          </w:rPr>
          <w:t>74</w:t>
        </w:r>
        <w:r w:rsidR="00E77BDD">
          <w:rPr>
            <w:noProof/>
            <w:webHidden/>
          </w:rPr>
          <w:fldChar w:fldCharType="end"/>
        </w:r>
      </w:hyperlink>
    </w:p>
    <w:p w14:paraId="076707DB" w14:textId="62A6B804" w:rsidR="00E77BDD" w:rsidRDefault="00D22F06">
      <w:pPr>
        <w:pStyle w:val="TOC2"/>
        <w:tabs>
          <w:tab w:val="right" w:leader="dot" w:pos="9320"/>
        </w:tabs>
        <w:rPr>
          <w:rFonts w:asciiTheme="minorHAnsi" w:eastAsiaTheme="minorEastAsia" w:hAnsiTheme="minorHAnsi" w:cstheme="minorBidi"/>
          <w:noProof/>
          <w:lang w:eastAsia="en-NZ"/>
        </w:rPr>
      </w:pPr>
      <w:hyperlink w:anchor="_Toc102551276" w:history="1">
        <w:r w:rsidR="00E77BDD" w:rsidRPr="000716B2">
          <w:rPr>
            <w:rStyle w:val="Hyperlink"/>
            <w:noProof/>
          </w:rPr>
          <w:t>RMIA – Resource management issues of significance to iwi authorities in the region</w:t>
        </w:r>
        <w:r w:rsidR="00E77BDD">
          <w:rPr>
            <w:noProof/>
            <w:webHidden/>
          </w:rPr>
          <w:tab/>
        </w:r>
        <w:r w:rsidR="00E77BDD">
          <w:rPr>
            <w:noProof/>
            <w:webHidden/>
          </w:rPr>
          <w:fldChar w:fldCharType="begin"/>
        </w:r>
        <w:r w:rsidR="00E77BDD">
          <w:rPr>
            <w:noProof/>
            <w:webHidden/>
          </w:rPr>
          <w:instrText xml:space="preserve"> PAGEREF _Toc102551276 \h </w:instrText>
        </w:r>
        <w:r w:rsidR="00E77BDD">
          <w:rPr>
            <w:noProof/>
            <w:webHidden/>
          </w:rPr>
        </w:r>
        <w:r w:rsidR="00E77BDD">
          <w:rPr>
            <w:noProof/>
            <w:webHidden/>
          </w:rPr>
          <w:fldChar w:fldCharType="separate"/>
        </w:r>
        <w:r w:rsidR="00E77BDD">
          <w:rPr>
            <w:noProof/>
            <w:webHidden/>
          </w:rPr>
          <w:t>100</w:t>
        </w:r>
        <w:r w:rsidR="00E77BDD">
          <w:rPr>
            <w:noProof/>
            <w:webHidden/>
          </w:rPr>
          <w:fldChar w:fldCharType="end"/>
        </w:r>
      </w:hyperlink>
    </w:p>
    <w:p w14:paraId="16A51D99" w14:textId="11B15720" w:rsidR="00E77BDD" w:rsidRDefault="00D22F06">
      <w:pPr>
        <w:pStyle w:val="TOC2"/>
        <w:tabs>
          <w:tab w:val="right" w:leader="dot" w:pos="9320"/>
        </w:tabs>
        <w:rPr>
          <w:rFonts w:asciiTheme="minorHAnsi" w:eastAsiaTheme="minorEastAsia" w:hAnsiTheme="minorHAnsi" w:cstheme="minorBidi"/>
          <w:noProof/>
          <w:lang w:eastAsia="en-NZ"/>
        </w:rPr>
      </w:pPr>
      <w:hyperlink w:anchor="_Toc102551277" w:history="1">
        <w:r w:rsidR="00E77BDD" w:rsidRPr="000716B2">
          <w:rPr>
            <w:rStyle w:val="Hyperlink"/>
            <w:noProof/>
          </w:rPr>
          <w:t>IM – Integrated management</w:t>
        </w:r>
        <w:r w:rsidR="00E77BDD">
          <w:rPr>
            <w:noProof/>
            <w:webHidden/>
          </w:rPr>
          <w:tab/>
        </w:r>
        <w:r w:rsidR="00E77BDD">
          <w:rPr>
            <w:noProof/>
            <w:webHidden/>
          </w:rPr>
          <w:fldChar w:fldCharType="begin"/>
        </w:r>
        <w:r w:rsidR="00E77BDD">
          <w:rPr>
            <w:noProof/>
            <w:webHidden/>
          </w:rPr>
          <w:instrText xml:space="preserve"> PAGEREF _Toc102551277 \h </w:instrText>
        </w:r>
        <w:r w:rsidR="00E77BDD">
          <w:rPr>
            <w:noProof/>
            <w:webHidden/>
          </w:rPr>
        </w:r>
        <w:r w:rsidR="00E77BDD">
          <w:rPr>
            <w:noProof/>
            <w:webHidden/>
          </w:rPr>
          <w:fldChar w:fldCharType="separate"/>
        </w:r>
        <w:r w:rsidR="00E77BDD">
          <w:rPr>
            <w:noProof/>
            <w:webHidden/>
          </w:rPr>
          <w:t>112</w:t>
        </w:r>
        <w:r w:rsidR="00E77BDD">
          <w:rPr>
            <w:noProof/>
            <w:webHidden/>
          </w:rPr>
          <w:fldChar w:fldCharType="end"/>
        </w:r>
      </w:hyperlink>
    </w:p>
    <w:p w14:paraId="576D4388" w14:textId="2268E2E6" w:rsidR="00E77BDD" w:rsidRDefault="00D22F06" w:rsidP="00A471F4">
      <w:pPr>
        <w:pStyle w:val="TOC1"/>
        <w:rPr>
          <w:rFonts w:asciiTheme="minorHAnsi" w:eastAsiaTheme="minorEastAsia" w:hAnsiTheme="minorHAnsi" w:cstheme="minorBidi"/>
          <w:noProof/>
          <w:lang w:eastAsia="en-NZ"/>
        </w:rPr>
      </w:pPr>
      <w:hyperlink w:anchor="_Toc102551278" w:history="1">
        <w:r w:rsidR="00E77BDD" w:rsidRPr="000716B2">
          <w:rPr>
            <w:rStyle w:val="Hyperlink"/>
            <w:noProof/>
          </w:rPr>
          <w:t>PART 3 – DOMAINS AND TOPICS</w:t>
        </w:r>
        <w:r w:rsidR="00E77BDD">
          <w:rPr>
            <w:noProof/>
            <w:webHidden/>
          </w:rPr>
          <w:tab/>
        </w:r>
        <w:r w:rsidR="00E77BDD">
          <w:rPr>
            <w:noProof/>
            <w:webHidden/>
          </w:rPr>
          <w:fldChar w:fldCharType="begin"/>
        </w:r>
        <w:r w:rsidR="00E77BDD">
          <w:rPr>
            <w:noProof/>
            <w:webHidden/>
          </w:rPr>
          <w:instrText xml:space="preserve"> PAGEREF _Toc102551278 \h </w:instrText>
        </w:r>
        <w:r w:rsidR="00E77BDD">
          <w:rPr>
            <w:noProof/>
            <w:webHidden/>
          </w:rPr>
        </w:r>
        <w:r w:rsidR="00E77BDD">
          <w:rPr>
            <w:noProof/>
            <w:webHidden/>
          </w:rPr>
          <w:fldChar w:fldCharType="separate"/>
        </w:r>
        <w:r w:rsidR="00E77BDD">
          <w:rPr>
            <w:noProof/>
            <w:webHidden/>
          </w:rPr>
          <w:t>123</w:t>
        </w:r>
        <w:r w:rsidR="00E77BDD">
          <w:rPr>
            <w:noProof/>
            <w:webHidden/>
          </w:rPr>
          <w:fldChar w:fldCharType="end"/>
        </w:r>
      </w:hyperlink>
    </w:p>
    <w:p w14:paraId="15C4A727" w14:textId="34C448EB" w:rsidR="00E77BDD" w:rsidRDefault="00D22F06" w:rsidP="00A471F4">
      <w:pPr>
        <w:pStyle w:val="TOC1"/>
        <w:rPr>
          <w:rFonts w:asciiTheme="minorHAnsi" w:eastAsiaTheme="minorEastAsia" w:hAnsiTheme="minorHAnsi" w:cstheme="minorBidi"/>
          <w:noProof/>
          <w:lang w:eastAsia="en-NZ"/>
        </w:rPr>
      </w:pPr>
      <w:hyperlink w:anchor="_Toc102551279" w:history="1">
        <w:r w:rsidR="00E77BDD" w:rsidRPr="000716B2">
          <w:rPr>
            <w:rStyle w:val="Hyperlink"/>
            <w:noProof/>
          </w:rPr>
          <w:t>DOMAINS</w:t>
        </w:r>
        <w:r w:rsidR="00E77BDD">
          <w:rPr>
            <w:noProof/>
            <w:webHidden/>
          </w:rPr>
          <w:tab/>
        </w:r>
        <w:r w:rsidR="00E77BDD">
          <w:rPr>
            <w:noProof/>
            <w:webHidden/>
          </w:rPr>
          <w:fldChar w:fldCharType="begin"/>
        </w:r>
        <w:r w:rsidR="00E77BDD">
          <w:rPr>
            <w:noProof/>
            <w:webHidden/>
          </w:rPr>
          <w:instrText xml:space="preserve"> PAGEREF _Toc102551279 \h </w:instrText>
        </w:r>
        <w:r w:rsidR="00E77BDD">
          <w:rPr>
            <w:noProof/>
            <w:webHidden/>
          </w:rPr>
        </w:r>
        <w:r w:rsidR="00E77BDD">
          <w:rPr>
            <w:noProof/>
            <w:webHidden/>
          </w:rPr>
          <w:fldChar w:fldCharType="separate"/>
        </w:r>
        <w:r w:rsidR="00E77BDD">
          <w:rPr>
            <w:noProof/>
            <w:webHidden/>
          </w:rPr>
          <w:t>123</w:t>
        </w:r>
        <w:r w:rsidR="00E77BDD">
          <w:rPr>
            <w:noProof/>
            <w:webHidden/>
          </w:rPr>
          <w:fldChar w:fldCharType="end"/>
        </w:r>
      </w:hyperlink>
    </w:p>
    <w:p w14:paraId="344D487A" w14:textId="14D93B2D" w:rsidR="00E77BDD" w:rsidRDefault="00D22F06">
      <w:pPr>
        <w:pStyle w:val="TOC2"/>
        <w:tabs>
          <w:tab w:val="right" w:leader="dot" w:pos="9320"/>
        </w:tabs>
        <w:rPr>
          <w:rFonts w:asciiTheme="minorHAnsi" w:eastAsiaTheme="minorEastAsia" w:hAnsiTheme="minorHAnsi" w:cstheme="minorBidi"/>
          <w:noProof/>
          <w:lang w:eastAsia="en-NZ"/>
        </w:rPr>
      </w:pPr>
      <w:hyperlink w:anchor="_Toc102551280" w:history="1">
        <w:r w:rsidR="00E77BDD" w:rsidRPr="000716B2">
          <w:rPr>
            <w:rStyle w:val="Hyperlink"/>
            <w:noProof/>
          </w:rPr>
          <w:t>AIR – Air</w:t>
        </w:r>
        <w:r w:rsidR="00E77BDD">
          <w:rPr>
            <w:noProof/>
            <w:webHidden/>
          </w:rPr>
          <w:tab/>
        </w:r>
        <w:r w:rsidR="00E77BDD">
          <w:rPr>
            <w:noProof/>
            <w:webHidden/>
          </w:rPr>
          <w:fldChar w:fldCharType="begin"/>
        </w:r>
        <w:r w:rsidR="00E77BDD">
          <w:rPr>
            <w:noProof/>
            <w:webHidden/>
          </w:rPr>
          <w:instrText xml:space="preserve"> PAGEREF _Toc102551280 \h </w:instrText>
        </w:r>
        <w:r w:rsidR="00E77BDD">
          <w:rPr>
            <w:noProof/>
            <w:webHidden/>
          </w:rPr>
        </w:r>
        <w:r w:rsidR="00E77BDD">
          <w:rPr>
            <w:noProof/>
            <w:webHidden/>
          </w:rPr>
          <w:fldChar w:fldCharType="separate"/>
        </w:r>
        <w:r w:rsidR="00E77BDD">
          <w:rPr>
            <w:noProof/>
            <w:webHidden/>
          </w:rPr>
          <w:t>123</w:t>
        </w:r>
        <w:r w:rsidR="00E77BDD">
          <w:rPr>
            <w:noProof/>
            <w:webHidden/>
          </w:rPr>
          <w:fldChar w:fldCharType="end"/>
        </w:r>
      </w:hyperlink>
    </w:p>
    <w:p w14:paraId="13E24AD6" w14:textId="12AE8793" w:rsidR="00E77BDD" w:rsidRDefault="00D22F06">
      <w:pPr>
        <w:pStyle w:val="TOC2"/>
        <w:tabs>
          <w:tab w:val="right" w:leader="dot" w:pos="9320"/>
        </w:tabs>
        <w:rPr>
          <w:rFonts w:asciiTheme="minorHAnsi" w:eastAsiaTheme="minorEastAsia" w:hAnsiTheme="minorHAnsi" w:cstheme="minorBidi"/>
          <w:noProof/>
          <w:lang w:eastAsia="en-NZ"/>
        </w:rPr>
      </w:pPr>
      <w:hyperlink w:anchor="_Toc102551281" w:history="1">
        <w:r w:rsidR="00E77BDD" w:rsidRPr="000716B2">
          <w:rPr>
            <w:rStyle w:val="Hyperlink"/>
            <w:noProof/>
          </w:rPr>
          <w:t>CE – Coastal environment</w:t>
        </w:r>
        <w:r w:rsidR="00E77BDD">
          <w:rPr>
            <w:noProof/>
            <w:webHidden/>
          </w:rPr>
          <w:tab/>
        </w:r>
        <w:r w:rsidR="00E77BDD">
          <w:rPr>
            <w:noProof/>
            <w:webHidden/>
          </w:rPr>
          <w:fldChar w:fldCharType="begin"/>
        </w:r>
        <w:r w:rsidR="00E77BDD">
          <w:rPr>
            <w:noProof/>
            <w:webHidden/>
          </w:rPr>
          <w:instrText xml:space="preserve"> PAGEREF _Toc102551281 \h </w:instrText>
        </w:r>
        <w:r w:rsidR="00E77BDD">
          <w:rPr>
            <w:noProof/>
            <w:webHidden/>
          </w:rPr>
        </w:r>
        <w:r w:rsidR="00E77BDD">
          <w:rPr>
            <w:noProof/>
            <w:webHidden/>
          </w:rPr>
          <w:fldChar w:fldCharType="separate"/>
        </w:r>
        <w:r w:rsidR="00E77BDD">
          <w:rPr>
            <w:noProof/>
            <w:webHidden/>
          </w:rPr>
          <w:t>128</w:t>
        </w:r>
        <w:r w:rsidR="00E77BDD">
          <w:rPr>
            <w:noProof/>
            <w:webHidden/>
          </w:rPr>
          <w:fldChar w:fldCharType="end"/>
        </w:r>
      </w:hyperlink>
    </w:p>
    <w:p w14:paraId="6B5DB766" w14:textId="2BD46BD9" w:rsidR="00E77BDD" w:rsidRDefault="00D22F06">
      <w:pPr>
        <w:pStyle w:val="TOC2"/>
        <w:tabs>
          <w:tab w:val="right" w:leader="dot" w:pos="9320"/>
        </w:tabs>
        <w:rPr>
          <w:rFonts w:asciiTheme="minorHAnsi" w:eastAsiaTheme="minorEastAsia" w:hAnsiTheme="minorHAnsi" w:cstheme="minorBidi"/>
          <w:noProof/>
          <w:lang w:eastAsia="en-NZ"/>
        </w:rPr>
      </w:pPr>
      <w:hyperlink w:anchor="_Toc102551282" w:history="1">
        <w:r w:rsidR="00E77BDD" w:rsidRPr="000716B2">
          <w:rPr>
            <w:rStyle w:val="Hyperlink"/>
            <w:noProof/>
          </w:rPr>
          <w:t xml:space="preserve">LF – </w:t>
        </w:r>
        <w:r w:rsidR="00E77BDD" w:rsidRPr="000716B2">
          <w:rPr>
            <w:rStyle w:val="Hyperlink"/>
            <w:i/>
            <w:noProof/>
          </w:rPr>
          <w:t>Land</w:t>
        </w:r>
        <w:r w:rsidR="00E77BDD" w:rsidRPr="000716B2">
          <w:rPr>
            <w:rStyle w:val="Hyperlink"/>
            <w:noProof/>
          </w:rPr>
          <w:t xml:space="preserve"> and </w:t>
        </w:r>
        <w:r w:rsidR="00E77BDD" w:rsidRPr="000716B2">
          <w:rPr>
            <w:rStyle w:val="Hyperlink"/>
            <w:i/>
            <w:noProof/>
          </w:rPr>
          <w:t>freshwater</w:t>
        </w:r>
        <w:r w:rsidR="00E77BDD">
          <w:rPr>
            <w:noProof/>
            <w:webHidden/>
          </w:rPr>
          <w:tab/>
        </w:r>
        <w:r w:rsidR="00E77BDD">
          <w:rPr>
            <w:noProof/>
            <w:webHidden/>
          </w:rPr>
          <w:fldChar w:fldCharType="begin"/>
        </w:r>
        <w:r w:rsidR="00E77BDD">
          <w:rPr>
            <w:noProof/>
            <w:webHidden/>
          </w:rPr>
          <w:instrText xml:space="preserve"> PAGEREF _Toc102551282 \h </w:instrText>
        </w:r>
        <w:r w:rsidR="00E77BDD">
          <w:rPr>
            <w:noProof/>
            <w:webHidden/>
          </w:rPr>
        </w:r>
        <w:r w:rsidR="00E77BDD">
          <w:rPr>
            <w:noProof/>
            <w:webHidden/>
          </w:rPr>
          <w:fldChar w:fldCharType="separate"/>
        </w:r>
        <w:r w:rsidR="00E77BDD">
          <w:rPr>
            <w:noProof/>
            <w:webHidden/>
          </w:rPr>
          <w:t>148</w:t>
        </w:r>
        <w:r w:rsidR="00E77BDD">
          <w:rPr>
            <w:noProof/>
            <w:webHidden/>
          </w:rPr>
          <w:fldChar w:fldCharType="end"/>
        </w:r>
      </w:hyperlink>
    </w:p>
    <w:p w14:paraId="0551C516" w14:textId="721A1D2D" w:rsidR="00E77BDD" w:rsidRDefault="00D22F06">
      <w:pPr>
        <w:pStyle w:val="TOC2"/>
        <w:tabs>
          <w:tab w:val="right" w:leader="dot" w:pos="9320"/>
        </w:tabs>
        <w:rPr>
          <w:rFonts w:asciiTheme="minorHAnsi" w:eastAsiaTheme="minorEastAsia" w:hAnsiTheme="minorHAnsi" w:cstheme="minorBidi"/>
          <w:noProof/>
          <w:lang w:eastAsia="en-NZ"/>
        </w:rPr>
      </w:pPr>
      <w:hyperlink w:anchor="_Toc102551283" w:history="1">
        <w:r w:rsidR="00E77BDD" w:rsidRPr="000716B2">
          <w:rPr>
            <w:rStyle w:val="Hyperlink"/>
            <w:noProof/>
          </w:rPr>
          <w:t xml:space="preserve">ECO – Ecosystems and indigenous </w:t>
        </w:r>
        <w:r w:rsidR="00E77BDD" w:rsidRPr="000716B2">
          <w:rPr>
            <w:rStyle w:val="Hyperlink"/>
            <w:i/>
            <w:noProof/>
          </w:rPr>
          <w:t>biodiversity</w:t>
        </w:r>
        <w:r w:rsidR="00E77BDD">
          <w:rPr>
            <w:noProof/>
            <w:webHidden/>
          </w:rPr>
          <w:tab/>
        </w:r>
        <w:r w:rsidR="00E77BDD">
          <w:rPr>
            <w:noProof/>
            <w:webHidden/>
          </w:rPr>
          <w:fldChar w:fldCharType="begin"/>
        </w:r>
        <w:r w:rsidR="00E77BDD">
          <w:rPr>
            <w:noProof/>
            <w:webHidden/>
          </w:rPr>
          <w:instrText xml:space="preserve"> PAGEREF _Toc102551283 \h </w:instrText>
        </w:r>
        <w:r w:rsidR="00E77BDD">
          <w:rPr>
            <w:noProof/>
            <w:webHidden/>
          </w:rPr>
        </w:r>
        <w:r w:rsidR="00E77BDD">
          <w:rPr>
            <w:noProof/>
            <w:webHidden/>
          </w:rPr>
          <w:fldChar w:fldCharType="separate"/>
        </w:r>
        <w:r w:rsidR="00E77BDD">
          <w:rPr>
            <w:noProof/>
            <w:webHidden/>
          </w:rPr>
          <w:t>180</w:t>
        </w:r>
        <w:r w:rsidR="00E77BDD">
          <w:rPr>
            <w:noProof/>
            <w:webHidden/>
          </w:rPr>
          <w:fldChar w:fldCharType="end"/>
        </w:r>
      </w:hyperlink>
    </w:p>
    <w:p w14:paraId="2D028861" w14:textId="619514FB" w:rsidR="00E77BDD" w:rsidRDefault="00D22F06">
      <w:pPr>
        <w:pStyle w:val="TOC2"/>
        <w:tabs>
          <w:tab w:val="right" w:leader="dot" w:pos="9320"/>
        </w:tabs>
        <w:rPr>
          <w:rFonts w:asciiTheme="minorHAnsi" w:eastAsiaTheme="minorEastAsia" w:hAnsiTheme="minorHAnsi" w:cstheme="minorBidi"/>
          <w:noProof/>
          <w:lang w:eastAsia="en-NZ"/>
        </w:rPr>
      </w:pPr>
      <w:hyperlink w:anchor="_Toc102551284" w:history="1">
        <w:r w:rsidR="00E77BDD" w:rsidRPr="000716B2">
          <w:rPr>
            <w:rStyle w:val="Hyperlink"/>
            <w:noProof/>
          </w:rPr>
          <w:t>EIT – Energy, infrastructure and transport</w:t>
        </w:r>
        <w:r w:rsidR="00E77BDD">
          <w:rPr>
            <w:noProof/>
            <w:webHidden/>
          </w:rPr>
          <w:tab/>
        </w:r>
        <w:r w:rsidR="00E77BDD">
          <w:rPr>
            <w:noProof/>
            <w:webHidden/>
          </w:rPr>
          <w:fldChar w:fldCharType="begin"/>
        </w:r>
        <w:r w:rsidR="00E77BDD">
          <w:rPr>
            <w:noProof/>
            <w:webHidden/>
          </w:rPr>
          <w:instrText xml:space="preserve"> PAGEREF _Toc102551284 \h </w:instrText>
        </w:r>
        <w:r w:rsidR="00E77BDD">
          <w:rPr>
            <w:noProof/>
            <w:webHidden/>
          </w:rPr>
        </w:r>
        <w:r w:rsidR="00E77BDD">
          <w:rPr>
            <w:noProof/>
            <w:webHidden/>
          </w:rPr>
          <w:fldChar w:fldCharType="separate"/>
        </w:r>
        <w:r w:rsidR="00E77BDD">
          <w:rPr>
            <w:noProof/>
            <w:webHidden/>
          </w:rPr>
          <w:t>192</w:t>
        </w:r>
        <w:r w:rsidR="00E77BDD">
          <w:rPr>
            <w:noProof/>
            <w:webHidden/>
          </w:rPr>
          <w:fldChar w:fldCharType="end"/>
        </w:r>
      </w:hyperlink>
    </w:p>
    <w:p w14:paraId="5536AB3B" w14:textId="7BE255A2" w:rsidR="00E77BDD" w:rsidRDefault="00D22F06">
      <w:pPr>
        <w:pStyle w:val="TOC2"/>
        <w:tabs>
          <w:tab w:val="right" w:leader="dot" w:pos="9320"/>
        </w:tabs>
        <w:rPr>
          <w:rFonts w:asciiTheme="minorHAnsi" w:eastAsiaTheme="minorEastAsia" w:hAnsiTheme="minorHAnsi" w:cstheme="minorBidi"/>
          <w:noProof/>
          <w:lang w:eastAsia="en-NZ"/>
        </w:rPr>
      </w:pPr>
      <w:hyperlink w:anchor="_Toc102551285" w:history="1">
        <w:r w:rsidR="00E77BDD" w:rsidRPr="000716B2">
          <w:rPr>
            <w:rStyle w:val="Hyperlink"/>
            <w:noProof/>
          </w:rPr>
          <w:t>HAZ – Hazards and Risks</w:t>
        </w:r>
        <w:r w:rsidR="00E77BDD">
          <w:rPr>
            <w:noProof/>
            <w:webHidden/>
          </w:rPr>
          <w:tab/>
        </w:r>
        <w:r w:rsidR="00E77BDD">
          <w:rPr>
            <w:noProof/>
            <w:webHidden/>
          </w:rPr>
          <w:fldChar w:fldCharType="begin"/>
        </w:r>
        <w:r w:rsidR="00E77BDD">
          <w:rPr>
            <w:noProof/>
            <w:webHidden/>
          </w:rPr>
          <w:instrText xml:space="preserve"> PAGEREF _Toc102551285 \h </w:instrText>
        </w:r>
        <w:r w:rsidR="00E77BDD">
          <w:rPr>
            <w:noProof/>
            <w:webHidden/>
          </w:rPr>
        </w:r>
        <w:r w:rsidR="00E77BDD">
          <w:rPr>
            <w:noProof/>
            <w:webHidden/>
          </w:rPr>
          <w:fldChar w:fldCharType="separate"/>
        </w:r>
        <w:r w:rsidR="00E77BDD">
          <w:rPr>
            <w:noProof/>
            <w:webHidden/>
          </w:rPr>
          <w:t>209</w:t>
        </w:r>
        <w:r w:rsidR="00E77BDD">
          <w:rPr>
            <w:noProof/>
            <w:webHidden/>
          </w:rPr>
          <w:fldChar w:fldCharType="end"/>
        </w:r>
      </w:hyperlink>
    </w:p>
    <w:p w14:paraId="2D53E6E7" w14:textId="2A8BAFDA" w:rsidR="00E77BDD" w:rsidRDefault="00D22F06">
      <w:pPr>
        <w:pStyle w:val="TOC2"/>
        <w:tabs>
          <w:tab w:val="right" w:leader="dot" w:pos="9320"/>
        </w:tabs>
        <w:rPr>
          <w:rFonts w:asciiTheme="minorHAnsi" w:eastAsiaTheme="minorEastAsia" w:hAnsiTheme="minorHAnsi" w:cstheme="minorBidi"/>
          <w:noProof/>
          <w:lang w:eastAsia="en-NZ"/>
        </w:rPr>
      </w:pPr>
      <w:hyperlink w:anchor="_Toc102551286" w:history="1">
        <w:r w:rsidR="00E77BDD" w:rsidRPr="000716B2">
          <w:rPr>
            <w:rStyle w:val="Hyperlink"/>
            <w:noProof/>
          </w:rPr>
          <w:t>HCV – Historical and cultural values</w:t>
        </w:r>
        <w:r w:rsidR="00E77BDD">
          <w:rPr>
            <w:noProof/>
            <w:webHidden/>
          </w:rPr>
          <w:tab/>
        </w:r>
        <w:r w:rsidR="00E77BDD">
          <w:rPr>
            <w:noProof/>
            <w:webHidden/>
          </w:rPr>
          <w:fldChar w:fldCharType="begin"/>
        </w:r>
        <w:r w:rsidR="00E77BDD">
          <w:rPr>
            <w:noProof/>
            <w:webHidden/>
          </w:rPr>
          <w:instrText xml:space="preserve"> PAGEREF _Toc102551286 \h </w:instrText>
        </w:r>
        <w:r w:rsidR="00E77BDD">
          <w:rPr>
            <w:noProof/>
            <w:webHidden/>
          </w:rPr>
        </w:r>
        <w:r w:rsidR="00E77BDD">
          <w:rPr>
            <w:noProof/>
            <w:webHidden/>
          </w:rPr>
          <w:fldChar w:fldCharType="separate"/>
        </w:r>
        <w:r w:rsidR="00E77BDD">
          <w:rPr>
            <w:noProof/>
            <w:webHidden/>
          </w:rPr>
          <w:t>223</w:t>
        </w:r>
        <w:r w:rsidR="00E77BDD">
          <w:rPr>
            <w:noProof/>
            <w:webHidden/>
          </w:rPr>
          <w:fldChar w:fldCharType="end"/>
        </w:r>
      </w:hyperlink>
    </w:p>
    <w:p w14:paraId="06CDF80D" w14:textId="4BF063EC" w:rsidR="00E77BDD" w:rsidRDefault="00D22F06">
      <w:pPr>
        <w:pStyle w:val="TOC2"/>
        <w:tabs>
          <w:tab w:val="right" w:leader="dot" w:pos="9320"/>
        </w:tabs>
        <w:rPr>
          <w:rFonts w:asciiTheme="minorHAnsi" w:eastAsiaTheme="minorEastAsia" w:hAnsiTheme="minorHAnsi" w:cstheme="minorBidi"/>
          <w:noProof/>
          <w:lang w:eastAsia="en-NZ"/>
        </w:rPr>
      </w:pPr>
      <w:hyperlink w:anchor="_Toc102551287" w:history="1">
        <w:r w:rsidR="00E77BDD" w:rsidRPr="000716B2">
          <w:rPr>
            <w:rStyle w:val="Hyperlink"/>
            <w:noProof/>
          </w:rPr>
          <w:t>NFL – Natural features and landscapes</w:t>
        </w:r>
        <w:r w:rsidR="00E77BDD">
          <w:rPr>
            <w:noProof/>
            <w:webHidden/>
          </w:rPr>
          <w:tab/>
        </w:r>
        <w:r w:rsidR="00E77BDD">
          <w:rPr>
            <w:noProof/>
            <w:webHidden/>
          </w:rPr>
          <w:fldChar w:fldCharType="begin"/>
        </w:r>
        <w:r w:rsidR="00E77BDD">
          <w:rPr>
            <w:noProof/>
            <w:webHidden/>
          </w:rPr>
          <w:instrText xml:space="preserve"> PAGEREF _Toc102551287 \h </w:instrText>
        </w:r>
        <w:r w:rsidR="00E77BDD">
          <w:rPr>
            <w:noProof/>
            <w:webHidden/>
          </w:rPr>
        </w:r>
        <w:r w:rsidR="00E77BDD">
          <w:rPr>
            <w:noProof/>
            <w:webHidden/>
          </w:rPr>
          <w:fldChar w:fldCharType="separate"/>
        </w:r>
        <w:r w:rsidR="00E77BDD">
          <w:rPr>
            <w:noProof/>
            <w:webHidden/>
          </w:rPr>
          <w:t>232</w:t>
        </w:r>
        <w:r w:rsidR="00E77BDD">
          <w:rPr>
            <w:noProof/>
            <w:webHidden/>
          </w:rPr>
          <w:fldChar w:fldCharType="end"/>
        </w:r>
      </w:hyperlink>
    </w:p>
    <w:p w14:paraId="26B1ACD1" w14:textId="698D91A4" w:rsidR="00E77BDD" w:rsidRDefault="00D22F06">
      <w:pPr>
        <w:pStyle w:val="TOC2"/>
        <w:tabs>
          <w:tab w:val="right" w:leader="dot" w:pos="9320"/>
        </w:tabs>
        <w:rPr>
          <w:rFonts w:asciiTheme="minorHAnsi" w:eastAsiaTheme="minorEastAsia" w:hAnsiTheme="minorHAnsi" w:cstheme="minorBidi"/>
          <w:noProof/>
          <w:lang w:eastAsia="en-NZ"/>
        </w:rPr>
      </w:pPr>
      <w:hyperlink w:anchor="_Toc102551288" w:history="1">
        <w:r w:rsidR="00E77BDD" w:rsidRPr="000716B2">
          <w:rPr>
            <w:rStyle w:val="Hyperlink"/>
            <w:noProof/>
          </w:rPr>
          <w:t>UFD – Urban form and development</w:t>
        </w:r>
        <w:r w:rsidR="00E77BDD">
          <w:rPr>
            <w:noProof/>
            <w:webHidden/>
          </w:rPr>
          <w:tab/>
        </w:r>
        <w:r w:rsidR="00E77BDD">
          <w:rPr>
            <w:noProof/>
            <w:webHidden/>
          </w:rPr>
          <w:fldChar w:fldCharType="begin"/>
        </w:r>
        <w:r w:rsidR="00E77BDD">
          <w:rPr>
            <w:noProof/>
            <w:webHidden/>
          </w:rPr>
          <w:instrText xml:space="preserve"> PAGEREF _Toc102551288 \h </w:instrText>
        </w:r>
        <w:r w:rsidR="00E77BDD">
          <w:rPr>
            <w:noProof/>
            <w:webHidden/>
          </w:rPr>
        </w:r>
        <w:r w:rsidR="00E77BDD">
          <w:rPr>
            <w:noProof/>
            <w:webHidden/>
          </w:rPr>
          <w:fldChar w:fldCharType="separate"/>
        </w:r>
        <w:r w:rsidR="00E77BDD">
          <w:rPr>
            <w:noProof/>
            <w:webHidden/>
          </w:rPr>
          <w:t>237</w:t>
        </w:r>
        <w:r w:rsidR="00E77BDD">
          <w:rPr>
            <w:noProof/>
            <w:webHidden/>
          </w:rPr>
          <w:fldChar w:fldCharType="end"/>
        </w:r>
      </w:hyperlink>
    </w:p>
    <w:p w14:paraId="093F9A35" w14:textId="7430B625" w:rsidR="00E77BDD" w:rsidRDefault="00D22F06" w:rsidP="00A471F4">
      <w:pPr>
        <w:pStyle w:val="TOC1"/>
        <w:rPr>
          <w:rFonts w:asciiTheme="minorHAnsi" w:eastAsiaTheme="minorEastAsia" w:hAnsiTheme="minorHAnsi" w:cstheme="minorBidi"/>
          <w:noProof/>
          <w:lang w:eastAsia="en-NZ"/>
        </w:rPr>
      </w:pPr>
      <w:hyperlink w:anchor="_Toc102551289" w:history="1">
        <w:r w:rsidR="00E77BDD" w:rsidRPr="000716B2">
          <w:rPr>
            <w:rStyle w:val="Hyperlink"/>
            <w:noProof/>
          </w:rPr>
          <w:t>PART 4 – EVALUATION AND MONITORING</w:t>
        </w:r>
        <w:r w:rsidR="00E77BDD">
          <w:rPr>
            <w:noProof/>
            <w:webHidden/>
          </w:rPr>
          <w:tab/>
        </w:r>
        <w:r w:rsidR="00E77BDD">
          <w:rPr>
            <w:noProof/>
            <w:webHidden/>
          </w:rPr>
          <w:fldChar w:fldCharType="begin"/>
        </w:r>
        <w:r w:rsidR="00E77BDD">
          <w:rPr>
            <w:noProof/>
            <w:webHidden/>
          </w:rPr>
          <w:instrText xml:space="preserve"> PAGEREF _Toc102551289 \h </w:instrText>
        </w:r>
        <w:r w:rsidR="00E77BDD">
          <w:rPr>
            <w:noProof/>
            <w:webHidden/>
          </w:rPr>
        </w:r>
        <w:r w:rsidR="00E77BDD">
          <w:rPr>
            <w:noProof/>
            <w:webHidden/>
          </w:rPr>
          <w:fldChar w:fldCharType="separate"/>
        </w:r>
        <w:r w:rsidR="00E77BDD">
          <w:rPr>
            <w:noProof/>
            <w:webHidden/>
          </w:rPr>
          <w:t>253</w:t>
        </w:r>
        <w:r w:rsidR="00E77BDD">
          <w:rPr>
            <w:noProof/>
            <w:webHidden/>
          </w:rPr>
          <w:fldChar w:fldCharType="end"/>
        </w:r>
      </w:hyperlink>
    </w:p>
    <w:p w14:paraId="680B9348" w14:textId="230ADF7B" w:rsidR="00E77BDD" w:rsidRDefault="00D22F06">
      <w:pPr>
        <w:pStyle w:val="TOC2"/>
        <w:tabs>
          <w:tab w:val="right" w:leader="dot" w:pos="9320"/>
        </w:tabs>
        <w:rPr>
          <w:rFonts w:asciiTheme="minorHAnsi" w:eastAsiaTheme="minorEastAsia" w:hAnsiTheme="minorHAnsi" w:cstheme="minorBidi"/>
          <w:noProof/>
          <w:lang w:eastAsia="en-NZ"/>
        </w:rPr>
      </w:pPr>
      <w:hyperlink w:anchor="_Toc102551290" w:history="1">
        <w:r w:rsidR="00E77BDD" w:rsidRPr="000716B2">
          <w:rPr>
            <w:rStyle w:val="Hyperlink"/>
            <w:noProof/>
          </w:rPr>
          <w:t>Monitoring the efficiency and effectiveness of the policy statement</w:t>
        </w:r>
        <w:r w:rsidR="00E77BDD">
          <w:rPr>
            <w:noProof/>
            <w:webHidden/>
          </w:rPr>
          <w:tab/>
        </w:r>
        <w:r w:rsidR="00E77BDD">
          <w:rPr>
            <w:noProof/>
            <w:webHidden/>
          </w:rPr>
          <w:fldChar w:fldCharType="begin"/>
        </w:r>
        <w:r w:rsidR="00E77BDD">
          <w:rPr>
            <w:noProof/>
            <w:webHidden/>
          </w:rPr>
          <w:instrText xml:space="preserve"> PAGEREF _Toc102551290 \h </w:instrText>
        </w:r>
        <w:r w:rsidR="00E77BDD">
          <w:rPr>
            <w:noProof/>
            <w:webHidden/>
          </w:rPr>
        </w:r>
        <w:r w:rsidR="00E77BDD">
          <w:rPr>
            <w:noProof/>
            <w:webHidden/>
          </w:rPr>
          <w:fldChar w:fldCharType="separate"/>
        </w:r>
        <w:r w:rsidR="00E77BDD">
          <w:rPr>
            <w:noProof/>
            <w:webHidden/>
          </w:rPr>
          <w:t>253</w:t>
        </w:r>
        <w:r w:rsidR="00E77BDD">
          <w:rPr>
            <w:noProof/>
            <w:webHidden/>
          </w:rPr>
          <w:fldChar w:fldCharType="end"/>
        </w:r>
      </w:hyperlink>
    </w:p>
    <w:p w14:paraId="1F1E1B8F" w14:textId="7422EB1D" w:rsidR="00E77BDD" w:rsidRDefault="00D22F06" w:rsidP="00A471F4">
      <w:pPr>
        <w:pStyle w:val="TOC1"/>
        <w:rPr>
          <w:rFonts w:asciiTheme="minorHAnsi" w:eastAsiaTheme="minorEastAsia" w:hAnsiTheme="minorHAnsi" w:cstheme="minorBidi"/>
          <w:noProof/>
          <w:lang w:eastAsia="en-NZ"/>
        </w:rPr>
      </w:pPr>
      <w:hyperlink w:anchor="_Toc102551291" w:history="1">
        <w:r w:rsidR="00E77BDD" w:rsidRPr="000716B2">
          <w:rPr>
            <w:rStyle w:val="Hyperlink"/>
            <w:noProof/>
          </w:rPr>
          <w:t>PART 5 – APPENDICES AND MAPS</w:t>
        </w:r>
        <w:r w:rsidR="00E77BDD">
          <w:rPr>
            <w:noProof/>
            <w:webHidden/>
          </w:rPr>
          <w:tab/>
        </w:r>
        <w:r w:rsidR="00E77BDD">
          <w:rPr>
            <w:noProof/>
            <w:webHidden/>
          </w:rPr>
          <w:fldChar w:fldCharType="begin"/>
        </w:r>
        <w:r w:rsidR="00E77BDD">
          <w:rPr>
            <w:noProof/>
            <w:webHidden/>
          </w:rPr>
          <w:instrText xml:space="preserve"> PAGEREF _Toc102551291 \h </w:instrText>
        </w:r>
        <w:r w:rsidR="00E77BDD">
          <w:rPr>
            <w:noProof/>
            <w:webHidden/>
          </w:rPr>
        </w:r>
        <w:r w:rsidR="00E77BDD">
          <w:rPr>
            <w:noProof/>
            <w:webHidden/>
          </w:rPr>
          <w:fldChar w:fldCharType="separate"/>
        </w:r>
        <w:r w:rsidR="00E77BDD">
          <w:rPr>
            <w:noProof/>
            <w:webHidden/>
          </w:rPr>
          <w:t>255</w:t>
        </w:r>
        <w:r w:rsidR="00E77BDD">
          <w:rPr>
            <w:noProof/>
            <w:webHidden/>
          </w:rPr>
          <w:fldChar w:fldCharType="end"/>
        </w:r>
      </w:hyperlink>
    </w:p>
    <w:p w14:paraId="6113EDBA" w14:textId="5934CD1D" w:rsidR="00E77BDD" w:rsidRDefault="00D22F06">
      <w:pPr>
        <w:pStyle w:val="TOC2"/>
        <w:tabs>
          <w:tab w:val="right" w:leader="dot" w:pos="9320"/>
        </w:tabs>
        <w:rPr>
          <w:rFonts w:asciiTheme="minorHAnsi" w:eastAsiaTheme="minorEastAsia" w:hAnsiTheme="minorHAnsi" w:cstheme="minorBidi"/>
          <w:noProof/>
          <w:lang w:eastAsia="en-NZ"/>
        </w:rPr>
      </w:pPr>
      <w:hyperlink w:anchor="_Toc102551292" w:history="1">
        <w:r w:rsidR="00E77BDD" w:rsidRPr="000716B2">
          <w:rPr>
            <w:rStyle w:val="Hyperlink"/>
            <w:noProof/>
          </w:rPr>
          <w:t>Appendices</w:t>
        </w:r>
        <w:r w:rsidR="00E77BDD">
          <w:rPr>
            <w:noProof/>
            <w:webHidden/>
          </w:rPr>
          <w:tab/>
        </w:r>
        <w:r w:rsidR="00E77BDD">
          <w:rPr>
            <w:noProof/>
            <w:webHidden/>
          </w:rPr>
          <w:fldChar w:fldCharType="begin"/>
        </w:r>
        <w:r w:rsidR="00E77BDD">
          <w:rPr>
            <w:noProof/>
            <w:webHidden/>
          </w:rPr>
          <w:instrText xml:space="preserve"> PAGEREF _Toc102551292 \h </w:instrText>
        </w:r>
        <w:r w:rsidR="00E77BDD">
          <w:rPr>
            <w:noProof/>
            <w:webHidden/>
          </w:rPr>
        </w:r>
        <w:r w:rsidR="00E77BDD">
          <w:rPr>
            <w:noProof/>
            <w:webHidden/>
          </w:rPr>
          <w:fldChar w:fldCharType="separate"/>
        </w:r>
        <w:r w:rsidR="00E77BDD">
          <w:rPr>
            <w:noProof/>
            <w:webHidden/>
          </w:rPr>
          <w:t>256</w:t>
        </w:r>
        <w:r w:rsidR="00E77BDD">
          <w:rPr>
            <w:noProof/>
            <w:webHidden/>
          </w:rPr>
          <w:fldChar w:fldCharType="end"/>
        </w:r>
      </w:hyperlink>
    </w:p>
    <w:p w14:paraId="5493DBED" w14:textId="46B3A002" w:rsidR="00E77BDD" w:rsidRDefault="00D22F06">
      <w:pPr>
        <w:pStyle w:val="TOC2"/>
        <w:tabs>
          <w:tab w:val="right" w:leader="dot" w:pos="9320"/>
        </w:tabs>
        <w:rPr>
          <w:rFonts w:asciiTheme="minorHAnsi" w:eastAsiaTheme="minorEastAsia" w:hAnsiTheme="minorHAnsi" w:cstheme="minorBidi"/>
          <w:noProof/>
          <w:lang w:eastAsia="en-NZ"/>
        </w:rPr>
      </w:pPr>
      <w:hyperlink w:anchor="_Toc102551293" w:history="1">
        <w:r w:rsidR="00E77BDD" w:rsidRPr="000716B2">
          <w:rPr>
            <w:rStyle w:val="Hyperlink"/>
            <w:noProof/>
          </w:rPr>
          <w:t>Maps</w:t>
        </w:r>
        <w:r w:rsidR="00E77BDD">
          <w:rPr>
            <w:noProof/>
            <w:webHidden/>
          </w:rPr>
          <w:tab/>
        </w:r>
        <w:r w:rsidR="00E77BDD">
          <w:rPr>
            <w:noProof/>
            <w:webHidden/>
          </w:rPr>
          <w:fldChar w:fldCharType="begin"/>
        </w:r>
        <w:r w:rsidR="00E77BDD">
          <w:rPr>
            <w:noProof/>
            <w:webHidden/>
          </w:rPr>
          <w:instrText xml:space="preserve"> PAGEREF _Toc102551293 \h </w:instrText>
        </w:r>
        <w:r w:rsidR="00E77BDD">
          <w:rPr>
            <w:noProof/>
            <w:webHidden/>
          </w:rPr>
        </w:r>
        <w:r w:rsidR="00E77BDD">
          <w:rPr>
            <w:noProof/>
            <w:webHidden/>
          </w:rPr>
          <w:fldChar w:fldCharType="separate"/>
        </w:r>
        <w:r w:rsidR="00E77BDD">
          <w:rPr>
            <w:noProof/>
            <w:webHidden/>
          </w:rPr>
          <w:t>280</w:t>
        </w:r>
        <w:r w:rsidR="00E77BDD">
          <w:rPr>
            <w:noProof/>
            <w:webHidden/>
          </w:rPr>
          <w:fldChar w:fldCharType="end"/>
        </w:r>
      </w:hyperlink>
    </w:p>
    <w:p w14:paraId="496E399A" w14:textId="4768E764" w:rsidR="00E77BDD" w:rsidRPr="00E77BDD" w:rsidRDefault="00E77BDD" w:rsidP="00E77BDD">
      <w:r>
        <w:fldChar w:fldCharType="end"/>
      </w:r>
    </w:p>
    <w:p w14:paraId="4236FABE" w14:textId="102612AE" w:rsidR="00B02DBF" w:rsidRPr="00472578" w:rsidRDefault="00B02DBF" w:rsidP="00E92686">
      <w:pPr>
        <w:jc w:val="both"/>
        <w:rPr>
          <w:rFonts w:eastAsiaTheme="majorEastAsia" w:cstheme="majorBidi"/>
          <w:b/>
          <w:color w:val="1F3864" w:themeColor="accent1" w:themeShade="80"/>
          <w:sz w:val="40"/>
          <w:szCs w:val="26"/>
        </w:rPr>
      </w:pPr>
      <w:r w:rsidRPr="00472578">
        <w:rPr>
          <w:rFonts w:eastAsiaTheme="majorEastAsia" w:cstheme="majorBidi"/>
          <w:b/>
          <w:color w:val="1F3864" w:themeColor="accent1" w:themeShade="80"/>
          <w:sz w:val="40"/>
          <w:szCs w:val="26"/>
        </w:rPr>
        <w:br w:type="page"/>
      </w:r>
    </w:p>
    <w:p w14:paraId="7532BAA5" w14:textId="34C69B0C" w:rsidR="009A1120" w:rsidRPr="00472578" w:rsidRDefault="009A1120" w:rsidP="00E92686">
      <w:pPr>
        <w:pStyle w:val="Heading2"/>
        <w:jc w:val="both"/>
      </w:pPr>
      <w:bookmarkStart w:id="7" w:name="_Toc102551268"/>
      <w:r w:rsidRPr="00472578">
        <w:lastRenderedPageBreak/>
        <w:t>Purpose</w:t>
      </w:r>
      <w:bookmarkEnd w:id="5"/>
      <w:bookmarkEnd w:id="7"/>
      <w:r w:rsidRPr="00472578">
        <w:t xml:space="preserve"> </w:t>
      </w:r>
    </w:p>
    <w:p w14:paraId="362F5549" w14:textId="77777777" w:rsidR="009A1120" w:rsidRPr="00472578" w:rsidRDefault="009A1120" w:rsidP="00E92686">
      <w:pPr>
        <w:spacing w:line="256" w:lineRule="auto"/>
        <w:jc w:val="both"/>
      </w:pPr>
      <w:r w:rsidRPr="00472578">
        <w:t xml:space="preserve">As a community, we in Otago are moving into an age that requires solutions to both entrenched legacy issues and significant emerging issues </w:t>
      </w:r>
      <w:proofErr w:type="gramStart"/>
      <w:r w:rsidRPr="00472578">
        <w:t>in order to</w:t>
      </w:r>
      <w:proofErr w:type="gramEnd"/>
      <w:r w:rsidRPr="00472578">
        <w:t xml:space="preserve"> promote positive sustainable change while also enabling the Otago community to flourish, and to enjoy all that the region has to offer. </w:t>
      </w:r>
    </w:p>
    <w:p w14:paraId="50E7A969" w14:textId="17084090" w:rsidR="009A1120" w:rsidRPr="00472578" w:rsidRDefault="009A1120" w:rsidP="00E92686">
      <w:pPr>
        <w:spacing w:line="256" w:lineRule="auto"/>
        <w:jc w:val="both"/>
      </w:pPr>
      <w:r w:rsidRPr="00472578">
        <w:t xml:space="preserve">The Otago Regional Policy Statement (ORPS) provides a policy framework that aims to achieve long-term environmental sustainability by integrating the protection, restoration, enhancement, and use of Otago’s natural and physical resources. </w:t>
      </w:r>
      <w:r w:rsidRPr="00472578">
        <w:rPr>
          <w:u w:val="single"/>
        </w:rPr>
        <w:t>The ORPS also promotes a thriving and healthy natural environment as being vital to sustaining our wellbeing.</w:t>
      </w:r>
      <w:r w:rsidRPr="00472578">
        <w:rPr>
          <w:rStyle w:val="FootnoteReference"/>
        </w:rPr>
        <w:footnoteReference w:id="14"/>
      </w:r>
    </w:p>
    <w:p w14:paraId="57BA42F3" w14:textId="29C00371" w:rsidR="009A1120" w:rsidRPr="00472578" w:rsidRDefault="009A1120" w:rsidP="00E92686">
      <w:pPr>
        <w:spacing w:line="256" w:lineRule="auto"/>
        <w:jc w:val="both"/>
        <w:rPr>
          <w:b/>
          <w:bCs/>
          <w:u w:val="single"/>
        </w:rPr>
      </w:pPr>
      <w:r w:rsidRPr="00472578">
        <w:t xml:space="preserve">The ORPS responds to identified significant regional values and resource management issues relating to Otago’s </w:t>
      </w:r>
      <w:r w:rsidRPr="00472578">
        <w:rPr>
          <w:i/>
          <w:iCs/>
        </w:rPr>
        <w:t>environment</w:t>
      </w:r>
      <w:r w:rsidRPr="00472578">
        <w:t xml:space="preserve">, historic heritage, economy, recreational </w:t>
      </w:r>
      <w:proofErr w:type="gramStart"/>
      <w:r w:rsidRPr="00472578">
        <w:t>opportunities</w:t>
      </w:r>
      <w:proofErr w:type="gramEnd"/>
      <w:r w:rsidRPr="00472578">
        <w:t xml:space="preserve"> and communities. The ORPS sets out objectives, policies, and methods to resolve, over time, the identified issues as effectively and efficiently as possible. The ORPS gives effect to the statutory requirements set out in the Resource Management Act 1991 (RMA</w:t>
      </w:r>
      <w:r w:rsidRPr="00E62632">
        <w:rPr>
          <w:strike/>
        </w:rPr>
        <w:t xml:space="preserve"> 1991</w:t>
      </w:r>
      <w:r w:rsidRPr="00472578">
        <w:t>)</w:t>
      </w:r>
      <w:r w:rsidR="006072DC">
        <w:rPr>
          <w:rStyle w:val="FootnoteReference"/>
        </w:rPr>
        <w:footnoteReference w:id="15"/>
      </w:r>
      <w:r w:rsidRPr="00472578">
        <w:t>, as well as relevant national direction instruments</w:t>
      </w:r>
      <w:r w:rsidRPr="00472578">
        <w:rPr>
          <w:u w:val="single"/>
        </w:rPr>
        <w:t>,</w:t>
      </w:r>
      <w:r w:rsidRPr="00472578">
        <w:t xml:space="preserve"> and </w:t>
      </w:r>
      <w:r w:rsidRPr="00472578">
        <w:rPr>
          <w:u w:val="single"/>
        </w:rPr>
        <w:t>is informed by</w:t>
      </w:r>
      <w:r w:rsidRPr="00472578">
        <w:rPr>
          <w:rStyle w:val="FootnoteReference"/>
        </w:rPr>
        <w:footnoteReference w:id="16"/>
      </w:r>
      <w:r w:rsidRPr="00472578">
        <w:t xml:space="preserve"> iwi authority planning documents. </w:t>
      </w:r>
      <w:r w:rsidRPr="00472578">
        <w:rPr>
          <w:i/>
          <w:iCs/>
        </w:rPr>
        <w:t xml:space="preserve">Regional </w:t>
      </w:r>
      <w:r w:rsidR="00376047" w:rsidRPr="00472578">
        <w:rPr>
          <w:i/>
          <w:iCs/>
          <w:u w:val="single"/>
        </w:rPr>
        <w:t>plan</w:t>
      </w:r>
      <w:r w:rsidR="00AC23E9" w:rsidRPr="00472578">
        <w:rPr>
          <w:i/>
          <w:iCs/>
          <w:u w:val="single"/>
        </w:rPr>
        <w:t>s</w:t>
      </w:r>
      <w:r w:rsidR="003A0C93" w:rsidRPr="00472578">
        <w:rPr>
          <w:rStyle w:val="FootnoteReference"/>
        </w:rPr>
        <w:footnoteReference w:id="17"/>
      </w:r>
      <w:r w:rsidRPr="00472578">
        <w:t>and</w:t>
      </w:r>
      <w:r w:rsidRPr="00472578">
        <w:rPr>
          <w:i/>
          <w:iCs/>
        </w:rPr>
        <w:t xml:space="preserve"> district plans</w:t>
      </w:r>
      <w:r w:rsidRPr="00472578">
        <w:t xml:space="preserve"> must give effect to the ORPS. </w:t>
      </w:r>
      <w:bookmarkStart w:id="8" w:name="_Toc49763430"/>
    </w:p>
    <w:p w14:paraId="78E5EA05" w14:textId="77777777" w:rsidR="00B02DBF" w:rsidRPr="00472578" w:rsidRDefault="00B02DBF" w:rsidP="00E92686">
      <w:pPr>
        <w:jc w:val="both"/>
        <w:rPr>
          <w:rFonts w:eastAsiaTheme="majorEastAsia" w:cstheme="majorBidi"/>
          <w:b/>
          <w:color w:val="1F3864" w:themeColor="accent1" w:themeShade="80"/>
          <w:sz w:val="40"/>
          <w:szCs w:val="26"/>
        </w:rPr>
      </w:pPr>
      <w:bookmarkStart w:id="9" w:name="_Toc73105348"/>
      <w:r w:rsidRPr="00472578">
        <w:rPr>
          <w:rFonts w:eastAsiaTheme="majorEastAsia" w:cstheme="majorBidi"/>
          <w:b/>
          <w:color w:val="1F3864" w:themeColor="accent1" w:themeShade="80"/>
          <w:sz w:val="40"/>
          <w:szCs w:val="26"/>
        </w:rPr>
        <w:br w:type="page"/>
      </w:r>
    </w:p>
    <w:p w14:paraId="1FA74F21" w14:textId="69E53181" w:rsidR="009A1120" w:rsidRPr="00472578" w:rsidRDefault="009A1120" w:rsidP="00E92686">
      <w:pPr>
        <w:pStyle w:val="Heading2"/>
        <w:jc w:val="both"/>
      </w:pPr>
      <w:bookmarkStart w:id="10" w:name="_Toc102551269"/>
      <w:r w:rsidRPr="00472578">
        <w:lastRenderedPageBreak/>
        <w:t xml:space="preserve">Description of the </w:t>
      </w:r>
      <w:proofErr w:type="spellStart"/>
      <w:r w:rsidRPr="00472578">
        <w:rPr>
          <w:strike/>
        </w:rPr>
        <w:t>R</w:t>
      </w:r>
      <w:r w:rsidR="007F0C76" w:rsidRPr="00472578">
        <w:rPr>
          <w:u w:val="single"/>
        </w:rPr>
        <w:t>r</w:t>
      </w:r>
      <w:r w:rsidRPr="00472578">
        <w:t>egion</w:t>
      </w:r>
      <w:bookmarkEnd w:id="8"/>
      <w:bookmarkEnd w:id="9"/>
      <w:proofErr w:type="spellEnd"/>
      <w:r w:rsidR="007F0C76" w:rsidRPr="00472578">
        <w:rPr>
          <w:rStyle w:val="FootnoteReference"/>
          <w:b w:val="0"/>
          <w:color w:val="auto"/>
        </w:rPr>
        <w:footnoteReference w:id="18"/>
      </w:r>
      <w:bookmarkEnd w:id="10"/>
    </w:p>
    <w:p w14:paraId="70935936" w14:textId="703B7C8F" w:rsidR="009A1120" w:rsidRPr="00472578" w:rsidRDefault="009A1120" w:rsidP="00E92686">
      <w:pPr>
        <w:jc w:val="both"/>
      </w:pPr>
      <w:r w:rsidRPr="00472578">
        <w:t>At 32,000 km</w:t>
      </w:r>
      <w:r w:rsidRPr="00472578">
        <w:rPr>
          <w:vertAlign w:val="superscript"/>
        </w:rPr>
        <w:t>2</w:t>
      </w:r>
      <w:r w:rsidRPr="00472578">
        <w:t>, the Otago region is the second largest region in New Zealand, making up 12% of New Zealand’s land mass.</w:t>
      </w:r>
    </w:p>
    <w:p w14:paraId="5FD25D9C" w14:textId="6D29DCEA" w:rsidR="009A1120" w:rsidRPr="00472578" w:rsidRDefault="009A1120" w:rsidP="00E92686">
      <w:pPr>
        <w:jc w:val="both"/>
      </w:pPr>
      <w:r w:rsidRPr="00472578">
        <w:t xml:space="preserve">The region’s eastern edge is entirely marine, extending 12 nautical miles out to sea from a scenic and varied coastline. Otago meets Canterbury at the southern bank of the Waitaki River, its northern border following the river upstream then branching off along </w:t>
      </w:r>
      <w:proofErr w:type="spellStart"/>
      <w:r w:rsidRPr="00472578">
        <w:t>Awamoko</w:t>
      </w:r>
      <w:proofErr w:type="spellEnd"/>
      <w:r w:rsidRPr="00472578">
        <w:t xml:space="preserve"> Stream, following the north branch of the </w:t>
      </w:r>
      <w:proofErr w:type="spellStart"/>
      <w:r w:rsidRPr="00472578">
        <w:t>Kakanui</w:t>
      </w:r>
      <w:proofErr w:type="spellEnd"/>
      <w:r w:rsidRPr="00472578">
        <w:t xml:space="preserve"> River before heading inland once again along the </w:t>
      </w:r>
      <w:proofErr w:type="spellStart"/>
      <w:r w:rsidRPr="00472578">
        <w:t>Hawkdun</w:t>
      </w:r>
      <w:proofErr w:type="spellEnd"/>
      <w:r w:rsidRPr="00472578">
        <w:t xml:space="preserve"> Range, following catchment boundaries and ridgelines into the Southern Alps at Otago’s westernmost border. In the south, beginning at Brother’s Point in the scenic </w:t>
      </w:r>
      <w:proofErr w:type="spellStart"/>
      <w:r w:rsidRPr="00472578">
        <w:t>Catlins</w:t>
      </w:r>
      <w:proofErr w:type="spellEnd"/>
      <w:r w:rsidRPr="00472578">
        <w:t xml:space="preserve">, the border with Southland tends </w:t>
      </w:r>
      <w:proofErr w:type="spellStart"/>
      <w:r w:rsidRPr="00472578">
        <w:t>northeasterly</w:t>
      </w:r>
      <w:proofErr w:type="spellEnd"/>
      <w:r w:rsidRPr="00472578">
        <w:t xml:space="preserve">, taking in the </w:t>
      </w:r>
      <w:proofErr w:type="spellStart"/>
      <w:r w:rsidRPr="00472578">
        <w:rPr>
          <w:strike/>
        </w:rPr>
        <w:t>Pomohaka</w:t>
      </w:r>
      <w:proofErr w:type="spellEnd"/>
      <w:r w:rsidR="00310CC8" w:rsidRPr="00472578">
        <w:rPr>
          <w:strike/>
        </w:rPr>
        <w:t xml:space="preserve"> </w:t>
      </w:r>
      <w:proofErr w:type="spellStart"/>
      <w:r w:rsidR="00310CC8" w:rsidRPr="00472578">
        <w:rPr>
          <w:u w:val="single"/>
        </w:rPr>
        <w:t>Pom</w:t>
      </w:r>
      <w:r w:rsidR="00361FAA" w:rsidRPr="00472578">
        <w:rPr>
          <w:u w:val="single"/>
        </w:rPr>
        <w:t>a</w:t>
      </w:r>
      <w:r w:rsidR="00310CC8" w:rsidRPr="00472578">
        <w:rPr>
          <w:u w:val="single"/>
        </w:rPr>
        <w:t>haka</w:t>
      </w:r>
      <w:proofErr w:type="spellEnd"/>
      <w:r w:rsidR="00310CC8" w:rsidRPr="00472578">
        <w:rPr>
          <w:rStyle w:val="FootnoteReference"/>
        </w:rPr>
        <w:t xml:space="preserve"> </w:t>
      </w:r>
      <w:r w:rsidR="00310CC8" w:rsidRPr="00472578">
        <w:rPr>
          <w:rStyle w:val="FootnoteReference"/>
        </w:rPr>
        <w:footnoteReference w:id="19"/>
      </w:r>
      <w:r w:rsidRPr="00472578">
        <w:t xml:space="preserve"> River catchment, and Umbrella and </w:t>
      </w:r>
      <w:proofErr w:type="spellStart"/>
      <w:r w:rsidRPr="00472578">
        <w:rPr>
          <w:strike/>
        </w:rPr>
        <w:t>Kopuwai</w:t>
      </w:r>
      <w:proofErr w:type="spellEnd"/>
      <w:r w:rsidRPr="00472578">
        <w:t xml:space="preserve"> </w:t>
      </w:r>
      <w:proofErr w:type="spellStart"/>
      <w:r w:rsidRPr="00472578">
        <w:rPr>
          <w:u w:val="single"/>
        </w:rPr>
        <w:t>Kōpūwai</w:t>
      </w:r>
      <w:proofErr w:type="spellEnd"/>
      <w:r w:rsidRPr="00472578">
        <w:rPr>
          <w:rStyle w:val="FootnoteReference"/>
        </w:rPr>
        <w:footnoteReference w:id="20"/>
      </w:r>
      <w:r w:rsidRPr="00472578">
        <w:rPr>
          <w:sz w:val="20"/>
          <w:szCs w:val="20"/>
        </w:rPr>
        <w:t xml:space="preserve"> </w:t>
      </w:r>
      <w:r w:rsidRPr="00472578">
        <w:t xml:space="preserve">Ranges to encompass the headwaters of the glacial alpine lakes, </w:t>
      </w:r>
      <w:proofErr w:type="spellStart"/>
      <w:r w:rsidRPr="00472578">
        <w:t>Whakatipu-wai-m</w:t>
      </w:r>
      <w:r w:rsidRPr="00472578">
        <w:rPr>
          <w:color w:val="202122"/>
          <w:shd w:val="clear" w:color="auto" w:fill="FFFFFF"/>
        </w:rPr>
        <w:t>ā</w:t>
      </w:r>
      <w:r w:rsidRPr="00472578">
        <w:t>ori</w:t>
      </w:r>
      <w:proofErr w:type="spellEnd"/>
      <w:r w:rsidRPr="00472578">
        <w:t xml:space="preserve"> (Lake Wakatipu), </w:t>
      </w:r>
      <w:r w:rsidRPr="00472578">
        <w:rPr>
          <w:strike/>
        </w:rPr>
        <w:t>Wanaka</w:t>
      </w:r>
      <w:r w:rsidRPr="00472578">
        <w:t xml:space="preserve"> </w:t>
      </w:r>
      <w:proofErr w:type="spellStart"/>
      <w:r w:rsidRPr="00472578">
        <w:rPr>
          <w:u w:val="single"/>
        </w:rPr>
        <w:t>Wānaka</w:t>
      </w:r>
      <w:proofErr w:type="spellEnd"/>
      <w:r w:rsidRPr="00472578">
        <w:t>,</w:t>
      </w:r>
      <w:r w:rsidRPr="00472578">
        <w:rPr>
          <w:rStyle w:val="FootnoteReference"/>
        </w:rPr>
        <w:footnoteReference w:id="21"/>
      </w:r>
      <w:r w:rsidRPr="00472578">
        <w:t xml:space="preserve"> and </w:t>
      </w:r>
      <w:proofErr w:type="spellStart"/>
      <w:r w:rsidRPr="00472578">
        <w:rPr>
          <w:color w:val="202122"/>
          <w:shd w:val="clear" w:color="auto" w:fill="FFFFFF"/>
        </w:rPr>
        <w:t>Hāwea</w:t>
      </w:r>
      <w:proofErr w:type="spellEnd"/>
      <w:r w:rsidRPr="00472578">
        <w:t xml:space="preserve">. </w:t>
      </w:r>
    </w:p>
    <w:p w14:paraId="245E0037" w14:textId="4EBD1E7D" w:rsidR="009A1120" w:rsidRPr="00472578" w:rsidRDefault="009A1120" w:rsidP="00E92686">
      <w:pPr>
        <w:jc w:val="both"/>
      </w:pPr>
      <w:r w:rsidRPr="00472578">
        <w:t xml:space="preserve">Otago is made up of five </w:t>
      </w:r>
      <w:r w:rsidRPr="00472578">
        <w:rPr>
          <w:i/>
          <w:iCs/>
        </w:rPr>
        <w:t>territorial authorities</w:t>
      </w:r>
      <w:r w:rsidRPr="00472578">
        <w:t xml:space="preserve">: </w:t>
      </w:r>
      <w:r w:rsidR="00387799">
        <w:t>DCC</w:t>
      </w:r>
      <w:r w:rsidRPr="00472578">
        <w:t xml:space="preserve">, and Queenstown Lakes, Waitaki, Central Otago, and Clutha District Councils. </w:t>
      </w:r>
    </w:p>
    <w:p w14:paraId="453B0FF4" w14:textId="1D269E94" w:rsidR="009A1120" w:rsidRPr="00472578" w:rsidRDefault="009A1120" w:rsidP="00E92686">
      <w:pPr>
        <w:spacing w:line="256" w:lineRule="auto"/>
        <w:jc w:val="both"/>
      </w:pPr>
      <w:r w:rsidRPr="00472578">
        <w:t>Otago’s population at the 2018 Census was 225,186</w:t>
      </w:r>
      <w:r w:rsidRPr="00131059">
        <w:rPr>
          <w:shd w:val="clear" w:color="auto" w:fill="D9D9D9" w:themeFill="background1" w:themeFillShade="D9"/>
          <w:vertAlign w:val="superscript"/>
        </w:rPr>
        <w:footnoteReference w:id="22"/>
      </w:r>
      <w:r w:rsidRPr="00472578">
        <w:t xml:space="preserve">. Dunedin City has the largest population of the Otago </w:t>
      </w:r>
      <w:r w:rsidRPr="00472578">
        <w:rPr>
          <w:i/>
          <w:iCs/>
        </w:rPr>
        <w:t>territorial authorities</w:t>
      </w:r>
      <w:r w:rsidRPr="00472578">
        <w:t xml:space="preserve"> at 126,255, followed by Queenstown Lakes District at 39,153, Waitaki District at 22,308, Central Otago District at 21,558, and Clutha District at 17,667. Growth is not evenly distributed across the region, with the fastest growing district being Queenstown Lakes. </w:t>
      </w:r>
    </w:p>
    <w:p w14:paraId="05DFD28B" w14:textId="01D3DF4B" w:rsidR="009A1120" w:rsidRPr="00472578" w:rsidRDefault="009A1120" w:rsidP="00E92686">
      <w:pPr>
        <w:spacing w:line="256" w:lineRule="auto"/>
        <w:jc w:val="both"/>
      </w:pPr>
      <w:r w:rsidRPr="00472578">
        <w:t xml:space="preserve">Otago’s economy centres around </w:t>
      </w:r>
      <w:r w:rsidRPr="00472578">
        <w:rPr>
          <w:u w:val="single"/>
        </w:rPr>
        <w:t xml:space="preserve">construction, </w:t>
      </w:r>
      <w:r w:rsidRPr="00015BC5">
        <w:rPr>
          <w:i/>
          <w:iCs/>
          <w:u w:val="single"/>
        </w:rPr>
        <w:t>primary production</w:t>
      </w:r>
      <w:r w:rsidRPr="00472578">
        <w:t xml:space="preserve"> </w:t>
      </w:r>
      <w:r w:rsidRPr="00472578">
        <w:rPr>
          <w:strike/>
        </w:rPr>
        <w:t>agriculture</w:t>
      </w:r>
      <w:r w:rsidRPr="00472578">
        <w:t xml:space="preserve">, tourism, </w:t>
      </w:r>
      <w:r w:rsidRPr="00472578">
        <w:rPr>
          <w:i/>
          <w:iCs/>
          <w:strike/>
        </w:rPr>
        <w:t>mineral</w:t>
      </w:r>
      <w:r w:rsidRPr="00472578">
        <w:rPr>
          <w:strike/>
        </w:rPr>
        <w:t xml:space="preserve"> mining,</w:t>
      </w:r>
      <w:r w:rsidRPr="00472578">
        <w:rPr>
          <w:vertAlign w:val="superscript"/>
        </w:rPr>
        <w:footnoteReference w:id="23"/>
      </w:r>
      <w:r w:rsidRPr="00472578">
        <w:t xml:space="preserve"> and education. </w:t>
      </w:r>
      <w:r w:rsidRPr="00472578">
        <w:rPr>
          <w:u w:val="single"/>
        </w:rPr>
        <w:t xml:space="preserve">The construction industry is a major contributor to employment numbers in Otago, supported by the region’s population growth. The </w:t>
      </w:r>
      <w:r w:rsidRPr="00015BC5">
        <w:rPr>
          <w:i/>
          <w:iCs/>
          <w:u w:val="single"/>
        </w:rPr>
        <w:t>primary production</w:t>
      </w:r>
      <w:r w:rsidRPr="00472578">
        <w:rPr>
          <w:u w:val="single"/>
        </w:rPr>
        <w:t xml:space="preserve"> sector is a source of revenue and employment for the districts and the wider region. Otago’s farms are also a key contributor to the national food supply network.</w:t>
      </w:r>
      <w:r w:rsidRPr="00472578">
        <w:rPr>
          <w:rStyle w:val="FootnoteReference"/>
        </w:rPr>
        <w:footnoteReference w:id="24"/>
      </w:r>
      <w:r w:rsidRPr="00472578">
        <w:t xml:space="preserve"> The University of Otago enrols approximately 20,000 students each year from around New Zealand and internationally, contributing to annual population spikes in Dunedin and significantly boosting the economy. Tourism </w:t>
      </w:r>
      <w:r w:rsidRPr="00472578">
        <w:rPr>
          <w:strike/>
        </w:rPr>
        <w:t>has</w:t>
      </w:r>
      <w:r w:rsidRPr="00472578">
        <w:rPr>
          <w:rStyle w:val="FootnoteReference"/>
        </w:rPr>
        <w:footnoteReference w:id="25"/>
      </w:r>
      <w:r w:rsidRPr="00472578">
        <w:t xml:space="preserve"> also</w:t>
      </w:r>
      <w:r w:rsidR="00BB4D5D">
        <w:t xml:space="preserve"> </w:t>
      </w:r>
      <w:r w:rsidR="00BB4D5D">
        <w:rPr>
          <w:u w:val="single"/>
        </w:rPr>
        <w:t>has</w:t>
      </w:r>
      <w:r w:rsidRPr="00472578">
        <w:t xml:space="preserve"> </w:t>
      </w:r>
      <w:r w:rsidRPr="00EA1220">
        <w:rPr>
          <w:strike/>
        </w:rPr>
        <w:t>ha</w:t>
      </w:r>
      <w:r w:rsidRPr="00472578">
        <w:rPr>
          <w:strike/>
        </w:rPr>
        <w:t>d</w:t>
      </w:r>
      <w:r w:rsidRPr="00472578">
        <w:rPr>
          <w:rStyle w:val="FootnoteReference"/>
        </w:rPr>
        <w:footnoteReference w:id="26"/>
      </w:r>
      <w:r w:rsidRPr="00472578">
        <w:t xml:space="preserve"> a significant impact on the regional economy, contributing about a quarter of the region’s total gross domestic product. This is the highest of any region in New Zealand, and primarily concentrated in the Queenstown Lakes District. </w:t>
      </w:r>
    </w:p>
    <w:p w14:paraId="769CDC3C" w14:textId="77777777" w:rsidR="009A1120" w:rsidRPr="00472578" w:rsidRDefault="009A1120" w:rsidP="00E92686">
      <w:pPr>
        <w:spacing w:line="256" w:lineRule="auto"/>
        <w:jc w:val="both"/>
      </w:pPr>
      <w:r w:rsidRPr="00472578">
        <w:t>Renewable energy generation facilities</w:t>
      </w:r>
      <w:r w:rsidRPr="00131059">
        <w:rPr>
          <w:shd w:val="clear" w:color="auto" w:fill="D9D9D9" w:themeFill="background1" w:themeFillShade="D9"/>
          <w:vertAlign w:val="superscript"/>
        </w:rPr>
        <w:footnoteReference w:id="27"/>
      </w:r>
      <w:r w:rsidRPr="00472578">
        <w:t xml:space="preserve"> meet a large portion of regional and national energy requirements. Significant hydroelectric generation facilities in Otago </w:t>
      </w:r>
      <w:proofErr w:type="gramStart"/>
      <w:r w:rsidRPr="00472578">
        <w:t>are located in</w:t>
      </w:r>
      <w:proofErr w:type="gramEnd"/>
      <w:r w:rsidRPr="00472578">
        <w:t xml:space="preserve"> the Central Otago, Clutha, and Queenstown Lakes Districts. Additionally, Otago has two wind farms, located in the Clutha District. </w:t>
      </w:r>
    </w:p>
    <w:p w14:paraId="7AB9DD68" w14:textId="15E742D1" w:rsidR="009A1120" w:rsidRPr="00472578" w:rsidRDefault="009A1120" w:rsidP="00E92686">
      <w:pPr>
        <w:spacing w:line="256" w:lineRule="auto"/>
        <w:jc w:val="both"/>
        <w:rPr>
          <w:u w:val="single"/>
        </w:rPr>
      </w:pPr>
      <w:r w:rsidRPr="00472578">
        <w:rPr>
          <w:u w:val="single"/>
        </w:rPr>
        <w:t xml:space="preserve">Otago is home to important indigenous biodiversity for Aotearoa, some of which is specific to Otago. Nationally significant indigenous biodiversity features include inland saline habitats, ephemeral wetlands, </w:t>
      </w:r>
      <w:r w:rsidRPr="00472578">
        <w:rPr>
          <w:u w:val="single"/>
        </w:rPr>
        <w:lastRenderedPageBreak/>
        <w:t>endemic and threatened inland galaxiid fish and lizard populations, western forest habitats, and coastal fauna.</w:t>
      </w:r>
      <w:r w:rsidRPr="00472578">
        <w:rPr>
          <w:rStyle w:val="FootnoteReference"/>
        </w:rPr>
        <w:footnoteReference w:id="28"/>
      </w:r>
      <w:r w:rsidRPr="00472578">
        <w:t xml:space="preserve"> </w:t>
      </w:r>
    </w:p>
    <w:p w14:paraId="476FE979" w14:textId="77777777" w:rsidR="009A1120" w:rsidRPr="00472578" w:rsidRDefault="009A1120" w:rsidP="00E92686">
      <w:pPr>
        <w:pStyle w:val="Heading3"/>
        <w:jc w:val="both"/>
      </w:pPr>
      <w:r w:rsidRPr="00472578">
        <w:t>Climate</w:t>
      </w:r>
    </w:p>
    <w:p w14:paraId="2B5CA931" w14:textId="340901E2" w:rsidR="009A1120" w:rsidRPr="00472578" w:rsidRDefault="009A1120" w:rsidP="00E92686">
      <w:pPr>
        <w:spacing w:line="256" w:lineRule="auto"/>
        <w:jc w:val="both"/>
        <w:rPr>
          <w:color w:val="000000" w:themeColor="text1"/>
        </w:rPr>
      </w:pPr>
      <w:r w:rsidRPr="00472578">
        <w:t xml:space="preserve">The Otago region experiences two distinct climates due to the geographic variety between the temperate coastal areas, and the almost continental inland areas. </w:t>
      </w:r>
      <w:r w:rsidRPr="00472578">
        <w:rPr>
          <w:color w:val="000000" w:themeColor="text1"/>
        </w:rPr>
        <w:t xml:space="preserve">The coastal settlements experience a cyclic weather pattern that alternates frequently between a warmer and drier climate, and a cooler, damper climate. Central Otago’s climate is characterised by hot, dry summers and contrastingly cold, frosty winters. </w:t>
      </w:r>
      <w:r w:rsidRPr="00472578">
        <w:rPr>
          <w:color w:val="000000" w:themeColor="text1"/>
          <w:u w:val="single"/>
        </w:rPr>
        <w:t>The unique climate supports many of the diverse industries in Otago.</w:t>
      </w:r>
      <w:r w:rsidRPr="00472578">
        <w:rPr>
          <w:rStyle w:val="FootnoteReference"/>
          <w:color w:val="000000" w:themeColor="text1"/>
        </w:rPr>
        <w:footnoteReference w:id="29"/>
      </w:r>
    </w:p>
    <w:p w14:paraId="1CD3754D" w14:textId="51F9C06C" w:rsidR="009A1120" w:rsidRPr="00472578" w:rsidRDefault="009A1120" w:rsidP="00E92686">
      <w:pPr>
        <w:spacing w:line="256" w:lineRule="auto"/>
        <w:jc w:val="both"/>
      </w:pPr>
      <w:r w:rsidRPr="00472578">
        <w:t>General temperature ranges for the region fall between 18°C and 24°C on summer afternoons, and -2°C and 3°C during winter nights.</w:t>
      </w:r>
      <w:r w:rsidRPr="007B0299">
        <w:rPr>
          <w:shd w:val="clear" w:color="auto" w:fill="D9D9D9" w:themeFill="background1" w:themeFillShade="D9"/>
          <w:vertAlign w:val="superscript"/>
        </w:rPr>
        <w:footnoteReference w:id="30"/>
      </w:r>
      <w:r w:rsidRPr="00472578">
        <w:t xml:space="preserve"> The mean daily temperatures in summer in Central Otago range between approximately 10°C and 25°C, while the mean daily temperatures in winter range between approximately -1°C and 10°C.</w:t>
      </w:r>
      <w:r w:rsidRPr="007B0299">
        <w:rPr>
          <w:shd w:val="clear" w:color="auto" w:fill="D9D9D9" w:themeFill="background1" w:themeFillShade="D9"/>
          <w:vertAlign w:val="superscript"/>
        </w:rPr>
        <w:footnoteReference w:id="31"/>
      </w:r>
      <w:r w:rsidRPr="00472578">
        <w:t xml:space="preserve"> Central Otago has held national records for both the hottest and coldest temperature readings in New Zealand. Ophir, a small settlement in Central Otago, has recorded temperatures of 35.2°C in 1959 and -21.6°C in 1995. Significant rises in the use of heating sources occur during the drastically colder winter periods. The highest regional rainfalls, averaging 2000mm per year, occur typically over western areas of Otago such as around the Lakes District and Southern Alps. In contrast, the average rainfall in Central Otago is the lowest in New Zealand averaging around 400-500mm per year.</w:t>
      </w:r>
    </w:p>
    <w:p w14:paraId="7747BCCC" w14:textId="77777777" w:rsidR="009A1120" w:rsidRPr="00472578" w:rsidRDefault="009A1120" w:rsidP="00E92686">
      <w:pPr>
        <w:pStyle w:val="Heading3"/>
        <w:jc w:val="both"/>
      </w:pPr>
      <w:r w:rsidRPr="00472578">
        <w:t>Coast</w:t>
      </w:r>
    </w:p>
    <w:p w14:paraId="1622D64C" w14:textId="2F63D342" w:rsidR="009A1120" w:rsidRPr="00472578" w:rsidRDefault="009A1120" w:rsidP="00E92686">
      <w:pPr>
        <w:spacing w:line="256" w:lineRule="auto"/>
        <w:jc w:val="both"/>
      </w:pPr>
      <w:r w:rsidRPr="00472578">
        <w:t xml:space="preserve">The Otago coastline stretches for 480 km and is extremely diverse, encompassing pebble and sandy beaches, basalt formations, dune systems, eelgrass and saltmarshes, estuaries, rolling downlands, and striking cliff heads. </w:t>
      </w:r>
      <w:r w:rsidRPr="00472578">
        <w:rPr>
          <w:u w:val="single"/>
        </w:rPr>
        <w:t>Working farms abut most of the coastline, and</w:t>
      </w:r>
      <w:r w:rsidRPr="00472578">
        <w:rPr>
          <w:rStyle w:val="FootnoteReference"/>
        </w:rPr>
        <w:footnoteReference w:id="32"/>
      </w:r>
      <w:r w:rsidRPr="00472578">
        <w:t xml:space="preserve"> </w:t>
      </w:r>
      <w:proofErr w:type="spellStart"/>
      <w:r w:rsidRPr="00472578">
        <w:rPr>
          <w:strike/>
        </w:rPr>
        <w:t>S</w:t>
      </w:r>
      <w:r w:rsidRPr="00472578">
        <w:rPr>
          <w:u w:val="single"/>
        </w:rPr>
        <w:t>s</w:t>
      </w:r>
      <w:r w:rsidRPr="00472578">
        <w:t>ignificant</w:t>
      </w:r>
      <w:proofErr w:type="spellEnd"/>
      <w:r w:rsidRPr="00472578">
        <w:t xml:space="preserve"> coastal settlements include Dunedin and </w:t>
      </w:r>
      <w:r w:rsidRPr="00472578">
        <w:rPr>
          <w:strike/>
        </w:rPr>
        <w:t>Oamaru</w:t>
      </w:r>
      <w:r w:rsidRPr="00472578">
        <w:t xml:space="preserve"> </w:t>
      </w:r>
      <w:proofErr w:type="spellStart"/>
      <w:r w:rsidRPr="00472578">
        <w:rPr>
          <w:u w:val="single"/>
        </w:rPr>
        <w:t>Ōamaru</w:t>
      </w:r>
      <w:proofErr w:type="spellEnd"/>
      <w:r w:rsidRPr="00472578">
        <w:rPr>
          <w:u w:val="single"/>
        </w:rPr>
        <w:t>.</w:t>
      </w:r>
      <w:r w:rsidRPr="00472578">
        <w:rPr>
          <w:rStyle w:val="FootnoteReference"/>
        </w:rPr>
        <w:footnoteReference w:id="33"/>
      </w:r>
      <w:r w:rsidRPr="00472578">
        <w:t xml:space="preserve"> </w:t>
      </w:r>
      <w:r w:rsidRPr="00472578">
        <w:rPr>
          <w:strike/>
        </w:rPr>
        <w:t>, with t</w:t>
      </w:r>
      <w:r w:rsidRPr="00472578">
        <w:rPr>
          <w:rStyle w:val="FootnoteReference"/>
        </w:rPr>
        <w:footnoteReference w:id="34"/>
      </w:r>
      <w:r w:rsidRPr="00472578">
        <w:rPr>
          <w:u w:val="single"/>
        </w:rPr>
        <w:t>T</w:t>
      </w:r>
      <w:r w:rsidRPr="00472578">
        <w:t>he Otago port</w:t>
      </w:r>
      <w:r w:rsidR="00146ABE" w:rsidRPr="00472578">
        <w:t xml:space="preserve"> </w:t>
      </w:r>
      <w:r w:rsidR="00146ABE" w:rsidRPr="00472578">
        <w:rPr>
          <w:u w:val="single"/>
        </w:rPr>
        <w:t>is</w:t>
      </w:r>
      <w:r w:rsidRPr="00472578">
        <w:t xml:space="preserve"> based in Port Chalmers</w:t>
      </w:r>
      <w:r w:rsidRPr="00472578">
        <w:rPr>
          <w:strike/>
        </w:rPr>
        <w:t>.</w:t>
      </w:r>
      <w:r w:rsidRPr="00472578">
        <w:rPr>
          <w:strike/>
          <w:u w:val="single"/>
        </w:rPr>
        <w:t>,</w:t>
      </w:r>
      <w:r w:rsidRPr="00472578">
        <w:rPr>
          <w:u w:val="single"/>
        </w:rPr>
        <w:t xml:space="preserve"> within the Otago Harbour</w:t>
      </w:r>
      <w:r w:rsidR="00C55447">
        <w:rPr>
          <w:u w:val="single"/>
        </w:rPr>
        <w:t>,</w:t>
      </w:r>
      <w:r w:rsidRPr="00472578">
        <w:rPr>
          <w:strike/>
        </w:rPr>
        <w:t>.</w:t>
      </w:r>
      <w:r w:rsidRPr="00472578">
        <w:rPr>
          <w:rStyle w:val="FootnoteReference"/>
        </w:rPr>
        <w:footnoteReference w:id="35"/>
      </w:r>
      <w:r w:rsidRPr="00472578">
        <w:rPr>
          <w:u w:val="single"/>
        </w:rPr>
        <w:t xml:space="preserve"> and </w:t>
      </w:r>
      <w:r w:rsidRPr="00472578">
        <w:rPr>
          <w:strike/>
        </w:rPr>
        <w:t xml:space="preserve">Otago </w:t>
      </w:r>
      <w:proofErr w:type="spellStart"/>
      <w:r w:rsidRPr="00472578">
        <w:rPr>
          <w:strike/>
        </w:rPr>
        <w:t>Harbor</w:t>
      </w:r>
      <w:proofErr w:type="spellEnd"/>
      <w:r w:rsidRPr="00472578">
        <w:rPr>
          <w:rStyle w:val="FootnoteReference"/>
        </w:rPr>
        <w:footnoteReference w:id="36"/>
      </w:r>
      <w:r w:rsidRPr="00472578">
        <w:t xml:space="preserve"> is the region’s only commercial freight handling harbo</w:t>
      </w:r>
      <w:r w:rsidRPr="00472578">
        <w:rPr>
          <w:u w:val="single"/>
        </w:rPr>
        <w:t>u</w:t>
      </w:r>
      <w:r w:rsidRPr="00472578">
        <w:t>r</w:t>
      </w:r>
      <w:proofErr w:type="gramStart"/>
      <w:r w:rsidR="005E0293" w:rsidRPr="00472578">
        <w:rPr>
          <w:u w:val="single"/>
        </w:rPr>
        <w:t>.</w:t>
      </w:r>
      <w:r w:rsidR="005E0293" w:rsidRPr="00472578">
        <w:rPr>
          <w:strike/>
        </w:rPr>
        <w:t xml:space="preserve"> ,</w:t>
      </w:r>
      <w:proofErr w:type="gramEnd"/>
      <w:r w:rsidRPr="00472578">
        <w:t xml:space="preserve"> </w:t>
      </w:r>
      <w:proofErr w:type="spellStart"/>
      <w:r w:rsidRPr="00472578">
        <w:rPr>
          <w:strike/>
        </w:rPr>
        <w:t>h</w:t>
      </w:r>
      <w:r w:rsidR="00506A4C" w:rsidRPr="00472578">
        <w:rPr>
          <w:u w:val="single"/>
        </w:rPr>
        <w:t>H</w:t>
      </w:r>
      <w:r w:rsidRPr="00472578">
        <w:t>owever</w:t>
      </w:r>
      <w:proofErr w:type="spellEnd"/>
      <w:r w:rsidR="00506A4C" w:rsidRPr="00472578">
        <w:rPr>
          <w:rStyle w:val="FootnoteReference"/>
        </w:rPr>
        <w:footnoteReference w:id="37"/>
      </w:r>
      <w:r w:rsidRPr="00472578">
        <w:t xml:space="preserve"> commercial</w:t>
      </w:r>
      <w:r w:rsidR="00B06D13" w:rsidRPr="00472578">
        <w:t xml:space="preserve"> </w:t>
      </w:r>
      <w:r w:rsidRPr="00472578">
        <w:t xml:space="preserve">fishing ramps </w:t>
      </w:r>
      <w:r w:rsidRPr="00472578">
        <w:rPr>
          <w:u w:val="single"/>
        </w:rPr>
        <w:t>(supporting fishing fleets)</w:t>
      </w:r>
      <w:r w:rsidRPr="00472578">
        <w:rPr>
          <w:rStyle w:val="FootnoteReference"/>
        </w:rPr>
        <w:footnoteReference w:id="38"/>
      </w:r>
      <w:r w:rsidRPr="00472578">
        <w:t xml:space="preserve"> are present in </w:t>
      </w:r>
      <w:r w:rsidRPr="00472578">
        <w:rPr>
          <w:strike/>
        </w:rPr>
        <w:t>Oamaru</w:t>
      </w:r>
      <w:r w:rsidRPr="00472578">
        <w:t xml:space="preserve"> </w:t>
      </w:r>
      <w:proofErr w:type="spellStart"/>
      <w:r w:rsidRPr="00472578">
        <w:rPr>
          <w:u w:val="single"/>
        </w:rPr>
        <w:t>Ōamaru</w:t>
      </w:r>
      <w:proofErr w:type="spellEnd"/>
      <w:r w:rsidRPr="00472578">
        <w:rPr>
          <w:u w:val="single"/>
        </w:rPr>
        <w:t>,</w:t>
      </w:r>
      <w:r w:rsidRPr="00472578">
        <w:rPr>
          <w:rStyle w:val="FootnoteReference"/>
        </w:rPr>
        <w:footnoteReference w:id="39"/>
      </w:r>
      <w:r w:rsidRPr="00472578">
        <w:t xml:space="preserve"> Moeraki, </w:t>
      </w:r>
      <w:proofErr w:type="spellStart"/>
      <w:r w:rsidRPr="00472578">
        <w:rPr>
          <w:strike/>
        </w:rPr>
        <w:t>Karitane</w:t>
      </w:r>
      <w:proofErr w:type="spellEnd"/>
      <w:r w:rsidRPr="00472578">
        <w:t xml:space="preserve"> </w:t>
      </w:r>
      <w:proofErr w:type="spellStart"/>
      <w:r w:rsidRPr="00472578">
        <w:rPr>
          <w:u w:val="single"/>
        </w:rPr>
        <w:t>Karitāne</w:t>
      </w:r>
      <w:proofErr w:type="spellEnd"/>
      <w:r w:rsidRPr="00472578">
        <w:t>,</w:t>
      </w:r>
      <w:r w:rsidRPr="00472578">
        <w:rPr>
          <w:rStyle w:val="FootnoteReference"/>
        </w:rPr>
        <w:footnoteReference w:id="40"/>
      </w:r>
      <w:r w:rsidRPr="00472578">
        <w:t xml:space="preserve"> and Taieri Mouth. Coastal erosion and the decline of the regional coastline is well documented, posing a long-term threat to residential and commercial coastal developments </w:t>
      </w:r>
      <w:r w:rsidRPr="00472578">
        <w:rPr>
          <w:u w:val="single"/>
        </w:rPr>
        <w:t xml:space="preserve">and historic heritage, particularly </w:t>
      </w:r>
      <w:proofErr w:type="spellStart"/>
      <w:r w:rsidRPr="00472578">
        <w:rPr>
          <w:u w:val="single"/>
        </w:rPr>
        <w:t>wāhi</w:t>
      </w:r>
      <w:proofErr w:type="spellEnd"/>
      <w:r w:rsidRPr="00472578">
        <w:rPr>
          <w:u w:val="single"/>
        </w:rPr>
        <w:t xml:space="preserve"> </w:t>
      </w:r>
      <w:proofErr w:type="spellStart"/>
      <w:r w:rsidRPr="00472578">
        <w:rPr>
          <w:u w:val="single"/>
        </w:rPr>
        <w:t>tūpuna</w:t>
      </w:r>
      <w:proofErr w:type="spellEnd"/>
      <w:r w:rsidRPr="00472578">
        <w:t>.</w:t>
      </w:r>
      <w:r w:rsidRPr="00472578">
        <w:rPr>
          <w:rStyle w:val="FootnoteReference"/>
        </w:rPr>
        <w:footnoteReference w:id="41"/>
      </w:r>
      <w:r w:rsidRPr="00472578">
        <w:t xml:space="preserve"> </w:t>
      </w:r>
    </w:p>
    <w:p w14:paraId="5183E292" w14:textId="77777777" w:rsidR="009A1120" w:rsidRPr="00472578" w:rsidRDefault="009A1120" w:rsidP="00E92686">
      <w:pPr>
        <w:spacing w:line="256" w:lineRule="auto"/>
        <w:jc w:val="both"/>
      </w:pPr>
      <w:r w:rsidRPr="00472578">
        <w:t xml:space="preserve">Otago’s benthic and marine ecosystems are varied and diverse including rocky reef systems, sponge gardens, bryozoan and horse mussel beds, biogenic reefs, kelp forests and submarine canyons within 12 nautical miles of the shore. More than thirty species of seabird are regularly found off the coast of Otago. Rare sea birds such as the Royal Albatross and </w:t>
      </w:r>
      <w:proofErr w:type="spellStart"/>
      <w:r w:rsidRPr="00472578">
        <w:t>hoiho</w:t>
      </w:r>
      <w:proofErr w:type="spellEnd"/>
      <w:r w:rsidRPr="00472578">
        <w:t xml:space="preserve"> (Yellow-eyed penguin) can be found along the </w:t>
      </w:r>
      <w:r w:rsidRPr="00472578">
        <w:lastRenderedPageBreak/>
        <w:t xml:space="preserve">landward coastal environment. Surfing is a significant recreational activity, in Dunedin particularly, and there are four </w:t>
      </w:r>
      <w:r w:rsidRPr="00472578">
        <w:rPr>
          <w:i/>
          <w:iCs/>
        </w:rPr>
        <w:t>surf breaks</w:t>
      </w:r>
      <w:r w:rsidRPr="00472578">
        <w:t xml:space="preserve"> of national significance along the Otago coastline. </w:t>
      </w:r>
    </w:p>
    <w:p w14:paraId="4B97E763" w14:textId="77777777" w:rsidR="009A1120" w:rsidRPr="00472578" w:rsidRDefault="009A1120" w:rsidP="00E92686">
      <w:pPr>
        <w:pStyle w:val="Heading3"/>
        <w:jc w:val="both"/>
      </w:pPr>
      <w:r w:rsidRPr="00472578">
        <w:t>Water bodies</w:t>
      </w:r>
    </w:p>
    <w:p w14:paraId="1D948D78" w14:textId="4578DC2D" w:rsidR="009A1120" w:rsidRPr="00472578" w:rsidRDefault="009A1120" w:rsidP="00E92686">
      <w:pPr>
        <w:spacing w:line="256" w:lineRule="auto"/>
        <w:jc w:val="both"/>
      </w:pPr>
      <w:r w:rsidRPr="00472578">
        <w:t xml:space="preserve">The Otago region has significant </w:t>
      </w:r>
      <w:r w:rsidRPr="00472578">
        <w:rPr>
          <w:i/>
          <w:iCs/>
        </w:rPr>
        <w:t>freshwater</w:t>
      </w:r>
      <w:r w:rsidRPr="00472578">
        <w:t xml:space="preserve"> resources in the form of surface water, natural and artificial </w:t>
      </w:r>
      <w:r w:rsidRPr="00472578">
        <w:rPr>
          <w:i/>
          <w:iCs/>
        </w:rPr>
        <w:t>lakes</w:t>
      </w:r>
      <w:r w:rsidRPr="00472578">
        <w:t xml:space="preserve">, </w:t>
      </w:r>
      <w:r w:rsidRPr="00472578">
        <w:rPr>
          <w:i/>
          <w:iCs/>
        </w:rPr>
        <w:t>groundwater</w:t>
      </w:r>
      <w:r w:rsidRPr="00472578">
        <w:t xml:space="preserve">, and </w:t>
      </w:r>
      <w:r w:rsidRPr="00472578">
        <w:rPr>
          <w:i/>
          <w:iCs/>
        </w:rPr>
        <w:t>wetlands</w:t>
      </w:r>
      <w:r w:rsidRPr="00472578">
        <w:t xml:space="preserve">. Otago’s communities are reliant on the use of these </w:t>
      </w:r>
      <w:r w:rsidRPr="00472578">
        <w:rPr>
          <w:i/>
          <w:iCs/>
        </w:rPr>
        <w:t>water</w:t>
      </w:r>
      <w:r w:rsidRPr="00472578">
        <w:t xml:space="preserve"> resources for their social, </w:t>
      </w:r>
      <w:proofErr w:type="gramStart"/>
      <w:r w:rsidRPr="00472578">
        <w:t>cultural</w:t>
      </w:r>
      <w:proofErr w:type="gramEnd"/>
      <w:r w:rsidRPr="00472578">
        <w:t xml:space="preserve"> and economic well-being. </w:t>
      </w:r>
      <w:r w:rsidRPr="00472578">
        <w:rPr>
          <w:i/>
          <w:iCs/>
        </w:rPr>
        <w:t xml:space="preserve">Rivers </w:t>
      </w:r>
      <w:r w:rsidRPr="00472578">
        <w:t>and</w:t>
      </w:r>
      <w:r w:rsidRPr="00472578">
        <w:rPr>
          <w:i/>
          <w:iCs/>
        </w:rPr>
        <w:t xml:space="preserve"> lakes</w:t>
      </w:r>
      <w:r w:rsidRPr="00472578">
        <w:t xml:space="preserve"> make up most of the regional surface </w:t>
      </w:r>
      <w:r w:rsidRPr="00472578">
        <w:rPr>
          <w:i/>
          <w:iCs/>
        </w:rPr>
        <w:t>water</w:t>
      </w:r>
      <w:r w:rsidRPr="00472578">
        <w:t xml:space="preserve">. The big </w:t>
      </w:r>
      <w:r w:rsidRPr="00472578">
        <w:rPr>
          <w:i/>
          <w:iCs/>
        </w:rPr>
        <w:t>lakes</w:t>
      </w:r>
      <w:r w:rsidRPr="00472578">
        <w:t xml:space="preserve">, such as </w:t>
      </w:r>
      <w:r w:rsidRPr="00472578">
        <w:rPr>
          <w:strike/>
        </w:rPr>
        <w:t>Wanaka</w:t>
      </w:r>
      <w:r w:rsidRPr="00472578">
        <w:t xml:space="preserve"> </w:t>
      </w:r>
      <w:proofErr w:type="spellStart"/>
      <w:r w:rsidRPr="00472578">
        <w:rPr>
          <w:u w:val="single"/>
        </w:rPr>
        <w:t>Wānaka</w:t>
      </w:r>
      <w:proofErr w:type="spellEnd"/>
      <w:r w:rsidRPr="00472578">
        <w:t>,</w:t>
      </w:r>
      <w:r w:rsidRPr="00472578">
        <w:rPr>
          <w:rStyle w:val="FootnoteReference"/>
        </w:rPr>
        <w:footnoteReference w:id="42"/>
      </w:r>
      <w:r w:rsidRPr="00472578">
        <w:t xml:space="preserve"> </w:t>
      </w:r>
      <w:proofErr w:type="spellStart"/>
      <w:r w:rsidRPr="00472578">
        <w:t>Whakatipu-wai-m</w:t>
      </w:r>
      <w:r w:rsidRPr="00472578">
        <w:rPr>
          <w:color w:val="202122"/>
          <w:shd w:val="clear" w:color="auto" w:fill="FFFFFF"/>
        </w:rPr>
        <w:t>ā</w:t>
      </w:r>
      <w:r w:rsidRPr="00472578">
        <w:t>ori</w:t>
      </w:r>
      <w:proofErr w:type="spellEnd"/>
      <w:r w:rsidRPr="00472578">
        <w:t xml:space="preserve"> (Lake Wakatipu) and </w:t>
      </w:r>
      <w:proofErr w:type="spellStart"/>
      <w:r w:rsidRPr="00472578">
        <w:rPr>
          <w:color w:val="202122"/>
          <w:shd w:val="clear" w:color="auto" w:fill="FFFFFF"/>
        </w:rPr>
        <w:t>Hāwea</w:t>
      </w:r>
      <w:proofErr w:type="spellEnd"/>
      <w:r w:rsidRPr="00472578">
        <w:rPr>
          <w:color w:val="202122"/>
          <w:shd w:val="clear" w:color="auto" w:fill="FFFFFF"/>
        </w:rPr>
        <w:t xml:space="preserve"> and including </w:t>
      </w:r>
      <w:r w:rsidRPr="00472578">
        <w:t xml:space="preserve">artificial </w:t>
      </w:r>
      <w:r w:rsidRPr="00472578">
        <w:rPr>
          <w:i/>
          <w:iCs/>
        </w:rPr>
        <w:t>lakes</w:t>
      </w:r>
      <w:r w:rsidRPr="00472578">
        <w:t xml:space="preserve"> Dunstan, Roxburgh and </w:t>
      </w:r>
      <w:proofErr w:type="spellStart"/>
      <w:r w:rsidRPr="00472578">
        <w:t>Onslow</w:t>
      </w:r>
      <w:proofErr w:type="spellEnd"/>
      <w:r w:rsidRPr="00472578">
        <w:t>,</w:t>
      </w:r>
      <w:r w:rsidRPr="00472578" w:rsidDel="002801D9">
        <w:t xml:space="preserve"> </w:t>
      </w:r>
      <w:r w:rsidRPr="00472578">
        <w:t xml:space="preserve">constitute about 23% of New Zealand’s total </w:t>
      </w:r>
      <w:r w:rsidRPr="00472578">
        <w:rPr>
          <w:i/>
          <w:iCs/>
        </w:rPr>
        <w:t>lake</w:t>
      </w:r>
      <w:r w:rsidRPr="00472578">
        <w:t xml:space="preserve"> surface area. The primary catchments are Lakes </w:t>
      </w:r>
      <w:r w:rsidRPr="00472578">
        <w:rPr>
          <w:strike/>
        </w:rPr>
        <w:t>Wanaka</w:t>
      </w:r>
      <w:r w:rsidRPr="00472578">
        <w:t xml:space="preserve"> </w:t>
      </w:r>
      <w:proofErr w:type="spellStart"/>
      <w:r w:rsidRPr="00472578">
        <w:rPr>
          <w:u w:val="single"/>
        </w:rPr>
        <w:t>Wānaka</w:t>
      </w:r>
      <w:proofErr w:type="spellEnd"/>
      <w:r w:rsidRPr="00472578">
        <w:t>,</w:t>
      </w:r>
      <w:r w:rsidRPr="00472578">
        <w:rPr>
          <w:rStyle w:val="FootnoteReference"/>
        </w:rPr>
        <w:footnoteReference w:id="43"/>
      </w:r>
      <w:r w:rsidRPr="00472578">
        <w:t xml:space="preserve"> </w:t>
      </w:r>
      <w:proofErr w:type="spellStart"/>
      <w:r w:rsidRPr="00472578">
        <w:t>Whakatipu-wai-m</w:t>
      </w:r>
      <w:r w:rsidRPr="00472578">
        <w:rPr>
          <w:color w:val="202122"/>
          <w:shd w:val="clear" w:color="auto" w:fill="FFFFFF"/>
        </w:rPr>
        <w:t>ā</w:t>
      </w:r>
      <w:r w:rsidRPr="00472578">
        <w:t>ori</w:t>
      </w:r>
      <w:proofErr w:type="spellEnd"/>
      <w:r w:rsidRPr="00472578">
        <w:t xml:space="preserve"> (Lake Wakatipu) and </w:t>
      </w:r>
      <w:proofErr w:type="spellStart"/>
      <w:r w:rsidRPr="00472578">
        <w:rPr>
          <w:color w:val="202122"/>
          <w:shd w:val="clear" w:color="auto" w:fill="FFFFFF"/>
        </w:rPr>
        <w:t>Hāwea</w:t>
      </w:r>
      <w:proofErr w:type="spellEnd"/>
      <w:r w:rsidRPr="00472578">
        <w:t xml:space="preserve">, which feed into Otago’s largest </w:t>
      </w:r>
      <w:r w:rsidRPr="00472578">
        <w:rPr>
          <w:i/>
          <w:iCs/>
        </w:rPr>
        <w:t>river</w:t>
      </w:r>
      <w:r w:rsidRPr="00472578">
        <w:t xml:space="preserve">, the Clutha River/Mata-Au. Otago also has many </w:t>
      </w:r>
      <w:r w:rsidRPr="00472578">
        <w:rPr>
          <w:i/>
          <w:iCs/>
        </w:rPr>
        <w:t>groundwater</w:t>
      </w:r>
      <w:r w:rsidRPr="00472578">
        <w:t xml:space="preserve"> sources. </w:t>
      </w:r>
      <w:r w:rsidRPr="00472578">
        <w:rPr>
          <w:i/>
          <w:iCs/>
        </w:rPr>
        <w:t>Wetlands</w:t>
      </w:r>
      <w:r w:rsidRPr="00472578">
        <w:t xml:space="preserve"> make up many significant landscape and ecosystem elements in Otago, including blanket and string bogs, saline areas, swamp forest remnants, shallow </w:t>
      </w:r>
      <w:r w:rsidRPr="00472578">
        <w:rPr>
          <w:i/>
          <w:iCs/>
        </w:rPr>
        <w:t>lake</w:t>
      </w:r>
      <w:r w:rsidRPr="00472578">
        <w:t xml:space="preserve"> complexes, estuarine saltmarshes, and valley floor swamps. </w:t>
      </w:r>
    </w:p>
    <w:p w14:paraId="6703F987" w14:textId="77777777" w:rsidR="009A1120" w:rsidRPr="00472578" w:rsidRDefault="009A1120" w:rsidP="00E92686">
      <w:pPr>
        <w:pStyle w:val="Heading3"/>
        <w:jc w:val="both"/>
      </w:pPr>
      <w:r w:rsidRPr="00472578">
        <w:t>Natural character and landscapes</w:t>
      </w:r>
    </w:p>
    <w:p w14:paraId="1E888E15" w14:textId="77777777" w:rsidR="009A1120" w:rsidRPr="00472578" w:rsidRDefault="009A1120" w:rsidP="00E92686">
      <w:pPr>
        <w:spacing w:line="256" w:lineRule="auto"/>
        <w:jc w:val="both"/>
        <w:rPr>
          <w:u w:val="single"/>
        </w:rPr>
      </w:pPr>
      <w:r w:rsidRPr="00472578">
        <w:t xml:space="preserve">Otago’s landscapes are diverse. Moving inland from Otago’s diverse and varied coastline, the landscapes change dramatically. Rolling plains separated by mountain ranges, steep hillsides of tussock, and deep gorges make up a lot of </w:t>
      </w:r>
      <w:r w:rsidRPr="00472578">
        <w:rPr>
          <w:u w:val="single"/>
        </w:rPr>
        <w:t>rural Otago</w:t>
      </w:r>
      <w:r w:rsidRPr="00472578">
        <w:t xml:space="preserve"> </w:t>
      </w:r>
      <w:r w:rsidRPr="00472578">
        <w:rPr>
          <w:strike/>
        </w:rPr>
        <w:t>South and Central Otago</w:t>
      </w:r>
      <w:r w:rsidRPr="00472578">
        <w:rPr>
          <w:rStyle w:val="FootnoteReference"/>
        </w:rPr>
        <w:footnoteReference w:id="44"/>
      </w:r>
      <w:r w:rsidRPr="00472578">
        <w:t xml:space="preserve">. This </w:t>
      </w:r>
      <w:r w:rsidRPr="00472578">
        <w:rPr>
          <w:i/>
          <w:iCs/>
        </w:rPr>
        <w:t>land</w:t>
      </w:r>
      <w:r w:rsidRPr="00472578">
        <w:t xml:space="preserve"> is dissected by flowing bodies of water, towering </w:t>
      </w:r>
      <w:proofErr w:type="spellStart"/>
      <w:r w:rsidRPr="00472578">
        <w:t>mountainscapes</w:t>
      </w:r>
      <w:proofErr w:type="spellEnd"/>
      <w:r w:rsidRPr="00472578">
        <w:t xml:space="preserve">, and fascinating geological formations. Modified landscapes encompassing farmland and remnants of the region’s early gold mining activity are ever-present, creating a rich sense of heritage and regional identity. </w:t>
      </w:r>
    </w:p>
    <w:p w14:paraId="77BF6D87" w14:textId="77777777" w:rsidR="009A1120" w:rsidRPr="00472578" w:rsidRDefault="009A1120" w:rsidP="00E92686">
      <w:pPr>
        <w:pStyle w:val="Heading3"/>
        <w:jc w:val="both"/>
      </w:pPr>
      <w:r w:rsidRPr="00472578">
        <w:t>Urban form</w:t>
      </w:r>
    </w:p>
    <w:p w14:paraId="05D9D333" w14:textId="144AC84E" w:rsidR="009A1120" w:rsidRPr="00472578" w:rsidRDefault="009A1120" w:rsidP="00E92686">
      <w:pPr>
        <w:spacing w:line="256" w:lineRule="auto"/>
        <w:jc w:val="both"/>
      </w:pPr>
      <w:r w:rsidRPr="00472578">
        <w:t xml:space="preserve">Urbanised areas in Otago occupy only about 1% of total </w:t>
      </w:r>
      <w:r w:rsidRPr="00472578">
        <w:rPr>
          <w:i/>
          <w:iCs/>
        </w:rPr>
        <w:t>land</w:t>
      </w:r>
      <w:r w:rsidRPr="00472578">
        <w:t xml:space="preserve"> area, however 87% of people live in urban settlements. Dunedin is Otago’s largest urban area, surrounded by hills and harbo</w:t>
      </w:r>
      <w:r w:rsidR="00222AB8" w:rsidRPr="00472578">
        <w:rPr>
          <w:u w:val="single"/>
        </w:rPr>
        <w:t>u</w:t>
      </w:r>
      <w:r w:rsidRPr="00472578">
        <w:t>r</w:t>
      </w:r>
      <w:r w:rsidR="008F5D41" w:rsidRPr="00472578">
        <w:rPr>
          <w:rStyle w:val="FootnoteReference"/>
        </w:rPr>
        <w:footnoteReference w:id="45"/>
      </w:r>
      <w:r w:rsidRPr="00472578">
        <w:t xml:space="preserve">, and has a large suburban area and commuter catchment especially to the south, with more recent expansion moving out to connect with an expanding Mosgiel. The Queenstown Lakes District population is approximately 91% urban. Its outstanding landscape has </w:t>
      </w:r>
      <w:r w:rsidRPr="00F34BB3">
        <w:rPr>
          <w:strike/>
        </w:rPr>
        <w:t>historically determined</w:t>
      </w:r>
      <w:r w:rsidRPr="00472578">
        <w:t xml:space="preserve">, and will continue </w:t>
      </w:r>
      <w:r w:rsidRPr="00472578">
        <w:rPr>
          <w:u w:val="single"/>
        </w:rPr>
        <w:t>to</w:t>
      </w:r>
      <w:r w:rsidR="00F34BB3">
        <w:rPr>
          <w:u w:val="single"/>
        </w:rPr>
        <w:t>,</w:t>
      </w:r>
      <w:r w:rsidRPr="00472578">
        <w:rPr>
          <w:u w:val="single"/>
        </w:rPr>
        <w:t xml:space="preserve"> influence </w:t>
      </w:r>
      <w:r w:rsidRPr="00472578">
        <w:rPr>
          <w:strike/>
        </w:rPr>
        <w:t>determine</w:t>
      </w:r>
      <w:r w:rsidRPr="00F34BB3">
        <w:rPr>
          <w:strike/>
        </w:rPr>
        <w:t>,</w:t>
      </w:r>
      <w:r w:rsidRPr="00472578">
        <w:rPr>
          <w:rStyle w:val="FootnoteReference"/>
        </w:rPr>
        <w:footnoteReference w:id="46"/>
      </w:r>
      <w:r w:rsidRPr="00472578">
        <w:rPr>
          <w:strike/>
        </w:rPr>
        <w:t xml:space="preserve"> </w:t>
      </w:r>
      <w:r w:rsidRPr="00472578">
        <w:t xml:space="preserve">how urban form develops. </w:t>
      </w:r>
    </w:p>
    <w:p w14:paraId="10880873" w14:textId="77777777" w:rsidR="009A1120" w:rsidRPr="00472578" w:rsidRDefault="009A1120" w:rsidP="00E92686">
      <w:pPr>
        <w:spacing w:line="256" w:lineRule="auto"/>
        <w:jc w:val="both"/>
        <w:rPr>
          <w:rFonts w:asciiTheme="majorHAnsi" w:eastAsiaTheme="majorEastAsia" w:hAnsiTheme="majorHAnsi" w:cstheme="majorBidi"/>
          <w:color w:val="2F5496" w:themeColor="accent1" w:themeShade="BF"/>
          <w:sz w:val="32"/>
          <w:szCs w:val="26"/>
        </w:rPr>
      </w:pPr>
      <w:r w:rsidRPr="00472578">
        <w:t>In the remainder of the region, smaller urban settlements are geographically scattered, maintaining clear distinctions between rural and urban forms, and with significant variability in growth pressures and infrastructure capacity. Growth in overall numbers of people is not the only driver of urban change pressures in Otago; many areas face low or no growth, and all areas are expected to have an aging population.</w:t>
      </w:r>
      <w:r w:rsidRPr="00472578">
        <w:br w:type="page"/>
      </w:r>
    </w:p>
    <w:p w14:paraId="4DB8CABD" w14:textId="77777777" w:rsidR="009A1120" w:rsidRPr="00472578" w:rsidRDefault="009A1120" w:rsidP="00E92686">
      <w:pPr>
        <w:pStyle w:val="Heading2"/>
        <w:jc w:val="both"/>
      </w:pPr>
      <w:bookmarkStart w:id="11" w:name="_Toc73105349"/>
      <w:bookmarkStart w:id="12" w:name="_Toc102551270"/>
      <w:r w:rsidRPr="00472578">
        <w:lastRenderedPageBreak/>
        <w:t>How the policy statement works</w:t>
      </w:r>
      <w:bookmarkEnd w:id="11"/>
      <w:bookmarkEnd w:id="12"/>
    </w:p>
    <w:p w14:paraId="45469FE2" w14:textId="77777777" w:rsidR="009A1120" w:rsidRPr="00472578" w:rsidRDefault="009A1120" w:rsidP="00E92686">
      <w:pPr>
        <w:pStyle w:val="Heading3"/>
        <w:jc w:val="both"/>
      </w:pPr>
      <w:r w:rsidRPr="00472578">
        <w:t>Statutory context</w:t>
      </w:r>
    </w:p>
    <w:p w14:paraId="4170782B" w14:textId="77777777" w:rsidR="009A1120" w:rsidRPr="00472578" w:rsidRDefault="009A1120" w:rsidP="00E92686">
      <w:pPr>
        <w:pStyle w:val="Heading4"/>
        <w:jc w:val="both"/>
      </w:pPr>
      <w:r w:rsidRPr="00472578">
        <w:t>Resource Management Act 1991</w:t>
      </w:r>
    </w:p>
    <w:p w14:paraId="12BEE603" w14:textId="61A235A6" w:rsidR="009A1120" w:rsidRPr="00472578" w:rsidRDefault="009A1120" w:rsidP="00E92686">
      <w:pPr>
        <w:jc w:val="both"/>
      </w:pPr>
      <w:r w:rsidRPr="00472578">
        <w:t>The Resource Management Act 1991 (RMA</w:t>
      </w:r>
      <w:r w:rsidRPr="006072DC">
        <w:rPr>
          <w:strike/>
        </w:rPr>
        <w:t xml:space="preserve"> 1991</w:t>
      </w:r>
      <w:r w:rsidRPr="00472578">
        <w:t>)</w:t>
      </w:r>
      <w:r w:rsidR="006072DC">
        <w:rPr>
          <w:rStyle w:val="FootnoteReference"/>
        </w:rPr>
        <w:footnoteReference w:id="47"/>
      </w:r>
      <w:r w:rsidRPr="00472578">
        <w:t xml:space="preserve"> is the primary resource management statute in New Zealand and sets out the related responsibilities and powers of national, regional, and city/district government. </w:t>
      </w:r>
    </w:p>
    <w:p w14:paraId="408AB324" w14:textId="51526CFE" w:rsidR="009A1120" w:rsidRPr="00472578" w:rsidRDefault="009A1120" w:rsidP="00E92686">
      <w:pPr>
        <w:jc w:val="both"/>
      </w:pPr>
      <w:r w:rsidRPr="00472578">
        <w:t>The RMA</w:t>
      </w:r>
      <w:r w:rsidRPr="006072DC">
        <w:rPr>
          <w:strike/>
        </w:rPr>
        <w:t xml:space="preserve"> 1991</w:t>
      </w:r>
      <w:r w:rsidR="006072DC" w:rsidRPr="006072DC">
        <w:rPr>
          <w:rStyle w:val="FootnoteReference"/>
        </w:rPr>
        <w:footnoteReference w:id="48"/>
      </w:r>
      <w:r w:rsidRPr="00472578">
        <w:t xml:space="preserve"> requires regional councils to have a regional policy statement (RPS) under Section 60, prepared in accordance with the process set out in Schedule 1. The purpose of the RPS, as set out in Section 59 of the RMA, is to provide an overview of the specific resource management issues for the region and establish policies and methods to achieve the integrated management of both the </w:t>
      </w:r>
      <w:r w:rsidRPr="00472578">
        <w:rPr>
          <w:i/>
          <w:iCs/>
        </w:rPr>
        <w:t>natural and physical resources</w:t>
      </w:r>
      <w:r w:rsidRPr="00472578">
        <w:t xml:space="preserve"> of the region. The RPS must be prepared in accordance with and contain the matters set out in Sections 30, 60, 61, and 62 of the RMA</w:t>
      </w:r>
      <w:r w:rsidRPr="006072DC">
        <w:rPr>
          <w:strike/>
        </w:rPr>
        <w:t xml:space="preserve"> 1991</w:t>
      </w:r>
      <w:r w:rsidRPr="00472578">
        <w:t>.</w:t>
      </w:r>
      <w:r w:rsidR="006072DC">
        <w:rPr>
          <w:rStyle w:val="FootnoteReference"/>
        </w:rPr>
        <w:footnoteReference w:id="49"/>
      </w:r>
    </w:p>
    <w:p w14:paraId="240752CF" w14:textId="7489E792" w:rsidR="009A1120" w:rsidRPr="00472578" w:rsidRDefault="009A1120" w:rsidP="00E92686">
      <w:pPr>
        <w:jc w:val="both"/>
      </w:pPr>
      <w:r w:rsidRPr="00472578">
        <w:t xml:space="preserve">The regional policy statement must </w:t>
      </w:r>
      <w:r w:rsidR="000655B4" w:rsidRPr="00472578">
        <w:rPr>
          <w:u w:val="single"/>
        </w:rPr>
        <w:t>be prepared in accordance with and/or</w:t>
      </w:r>
      <w:r w:rsidR="00055426">
        <w:rPr>
          <w:rStyle w:val="FootnoteReference"/>
          <w:u w:val="single"/>
        </w:rPr>
        <w:footnoteReference w:id="50"/>
      </w:r>
      <w:r w:rsidR="000655B4" w:rsidRPr="00472578">
        <w:t xml:space="preserve"> </w:t>
      </w:r>
      <w:r w:rsidRPr="00472578">
        <w:t>give effect to higher order national direction instruments, including</w:t>
      </w:r>
      <w:r w:rsidR="000655B4" w:rsidRPr="00472578">
        <w:t xml:space="preserve"> </w:t>
      </w:r>
      <w:r w:rsidR="000655B4" w:rsidRPr="00472578">
        <w:rPr>
          <w:u w:val="single"/>
        </w:rPr>
        <w:t xml:space="preserve">any </w:t>
      </w:r>
      <w:r w:rsidR="00EE4498" w:rsidRPr="00472578">
        <w:rPr>
          <w:u w:val="single"/>
        </w:rPr>
        <w:t>regu</w:t>
      </w:r>
      <w:r w:rsidR="000655B4" w:rsidRPr="00472578">
        <w:rPr>
          <w:u w:val="single"/>
        </w:rPr>
        <w:t>lation</w:t>
      </w:r>
      <w:r w:rsidR="00EE4498" w:rsidRPr="00472578">
        <w:rPr>
          <w:u w:val="single"/>
        </w:rPr>
        <w:t>s</w:t>
      </w:r>
      <w:r w:rsidRPr="00472578">
        <w:rPr>
          <w:strike/>
        </w:rPr>
        <w:t xml:space="preserve"> National Environmental Standards (NES),</w:t>
      </w:r>
      <w:r w:rsidRPr="00472578">
        <w:rPr>
          <w:rStyle w:val="FootnoteReference"/>
        </w:rPr>
        <w:footnoteReference w:id="51"/>
      </w:r>
      <w:r w:rsidRPr="00472578">
        <w:t xml:space="preserve"> National Policy Statements (NPS), the New Zealand Coastal Policy Statement (NZCPS) and be written to comply with the National Planning Standards. </w:t>
      </w:r>
      <w:r w:rsidRPr="4449E6FC">
        <w:rPr>
          <w:rFonts w:ascii="Calibri" w:eastAsia="Calibri" w:hAnsi="Calibri" w:cs="Calibri"/>
          <w:u w:val="single"/>
        </w:rPr>
        <w:t xml:space="preserve">Further ORC must </w:t>
      </w:r>
      <w:r w:rsidR="4449E6FC" w:rsidRPr="4449E6FC">
        <w:rPr>
          <w:rFonts w:ascii="Calibri" w:eastAsia="Calibri" w:hAnsi="Calibri" w:cs="Calibri"/>
          <w:u w:val="single"/>
        </w:rPr>
        <w:t>observe and enforce observance of</w:t>
      </w:r>
      <w:r w:rsidRPr="4449E6FC">
        <w:rPr>
          <w:rFonts w:ascii="Calibri" w:eastAsia="Calibri" w:hAnsi="Calibri" w:cs="Calibri"/>
          <w:u w:val="single"/>
        </w:rPr>
        <w:t xml:space="preserve"> any National Environmental Standards (NES) to the extent to which their powers enable them to do </w:t>
      </w:r>
      <w:r w:rsidRPr="00055426">
        <w:rPr>
          <w:rFonts w:ascii="Calibri" w:eastAsia="Calibri" w:hAnsi="Calibri" w:cs="Calibri"/>
          <w:u w:val="single"/>
        </w:rPr>
        <w:t>so</w:t>
      </w:r>
      <w:r w:rsidRPr="00055426">
        <w:rPr>
          <w:rStyle w:val="FootnoteReference"/>
        </w:rPr>
        <w:footnoteReference w:id="52"/>
      </w:r>
      <w:r w:rsidRPr="00055426">
        <w:t xml:space="preserve"> </w:t>
      </w:r>
      <w:r w:rsidRPr="00472578">
        <w:t xml:space="preserve">The RPS sets out requirements that </w:t>
      </w:r>
      <w:r w:rsidRPr="00472578">
        <w:rPr>
          <w:i/>
          <w:iCs/>
        </w:rPr>
        <w:t>regional plans, district plans</w:t>
      </w:r>
      <w:r w:rsidRPr="00472578">
        <w:t xml:space="preserve">, and regional coastal plans must give effect to. More information about the relevant national direction instruments can be found in the ‘national direction instruments’ section of this Regional Policy Statement. </w:t>
      </w:r>
    </w:p>
    <w:p w14:paraId="480083CC" w14:textId="2EA09AAC" w:rsidR="009A1120" w:rsidRPr="00472578" w:rsidRDefault="009A1120" w:rsidP="00E92686">
      <w:pPr>
        <w:spacing w:after="200"/>
        <w:jc w:val="both"/>
        <w:rPr>
          <w:i/>
          <w:iCs/>
          <w:color w:val="44546A" w:themeColor="text2"/>
          <w:sz w:val="18"/>
          <w:szCs w:val="18"/>
        </w:rPr>
      </w:pPr>
      <w:r w:rsidRPr="00472578">
        <w:rPr>
          <w:i/>
          <w:iCs/>
          <w:color w:val="44546A" w:themeColor="text2"/>
          <w:sz w:val="18"/>
          <w:szCs w:val="18"/>
        </w:rPr>
        <w:t xml:space="preserve">Figure </w:t>
      </w:r>
      <w:r w:rsidRPr="00472578">
        <w:rPr>
          <w:i/>
          <w:iCs/>
          <w:color w:val="44546A" w:themeColor="text2"/>
          <w:sz w:val="18"/>
          <w:szCs w:val="18"/>
        </w:rPr>
        <w:fldChar w:fldCharType="begin"/>
      </w:r>
      <w:r w:rsidRPr="00472578">
        <w:rPr>
          <w:i/>
          <w:iCs/>
          <w:color w:val="44546A" w:themeColor="text2"/>
          <w:sz w:val="18"/>
          <w:szCs w:val="18"/>
        </w:rPr>
        <w:instrText>SEQ Figure \* ARABIC</w:instrText>
      </w:r>
      <w:r w:rsidRPr="00472578">
        <w:rPr>
          <w:i/>
          <w:iCs/>
          <w:color w:val="44546A" w:themeColor="text2"/>
          <w:sz w:val="18"/>
          <w:szCs w:val="18"/>
        </w:rPr>
        <w:fldChar w:fldCharType="separate"/>
      </w:r>
      <w:r w:rsidR="00346EDF" w:rsidRPr="00472578">
        <w:rPr>
          <w:i/>
          <w:iCs/>
          <w:noProof/>
          <w:color w:val="44546A" w:themeColor="text2"/>
          <w:sz w:val="18"/>
          <w:szCs w:val="18"/>
        </w:rPr>
        <w:t>1</w:t>
      </w:r>
      <w:r w:rsidRPr="00472578">
        <w:rPr>
          <w:i/>
          <w:iCs/>
          <w:color w:val="44546A" w:themeColor="text2"/>
          <w:sz w:val="18"/>
          <w:szCs w:val="18"/>
        </w:rPr>
        <w:fldChar w:fldCharType="end"/>
      </w:r>
      <w:r w:rsidRPr="00472578">
        <w:rPr>
          <w:i/>
          <w:iCs/>
          <w:color w:val="44546A" w:themeColor="text2"/>
          <w:sz w:val="18"/>
          <w:szCs w:val="18"/>
        </w:rPr>
        <w:t xml:space="preserve"> – </w:t>
      </w:r>
      <w:r w:rsidRPr="00472578">
        <w:rPr>
          <w:i/>
          <w:iCs/>
          <w:color w:val="44546A" w:themeColor="text2"/>
          <w:sz w:val="18"/>
          <w:szCs w:val="18"/>
          <w:u w:val="single"/>
        </w:rPr>
        <w:t>Position of the Regional Policy Statement within the resource management planning framework</w:t>
      </w:r>
      <w:r w:rsidRPr="00472578">
        <w:rPr>
          <w:i/>
          <w:iCs/>
          <w:color w:val="44546A" w:themeColor="text2"/>
          <w:sz w:val="18"/>
          <w:szCs w:val="18"/>
        </w:rPr>
        <w:t xml:space="preserve"> </w:t>
      </w:r>
      <w:r w:rsidRPr="00472578">
        <w:rPr>
          <w:i/>
          <w:iCs/>
          <w:strike/>
          <w:color w:val="44546A" w:themeColor="text2"/>
          <w:sz w:val="18"/>
          <w:szCs w:val="18"/>
        </w:rPr>
        <w:t>Statutory framework</w:t>
      </w:r>
      <w:r w:rsidRPr="00472578">
        <w:rPr>
          <w:rStyle w:val="FootnoteReference"/>
          <w:i/>
          <w:iCs/>
          <w:color w:val="44546A" w:themeColor="text2"/>
          <w:sz w:val="18"/>
          <w:szCs w:val="18"/>
        </w:rPr>
        <w:footnoteReference w:id="53"/>
      </w:r>
    </w:p>
    <w:p w14:paraId="56CD1694" w14:textId="77777777" w:rsidR="009A1120" w:rsidRPr="00472578" w:rsidRDefault="009A1120" w:rsidP="00715BD1">
      <w:pPr>
        <w:jc w:val="center"/>
      </w:pPr>
      <w:r w:rsidRPr="00472578">
        <w:rPr>
          <w:noProof/>
        </w:rPr>
        <w:lastRenderedPageBreak/>
        <w:drawing>
          <wp:inline distT="0" distB="0" distL="0" distR="0" wp14:anchorId="79DDD9B0" wp14:editId="4EF53165">
            <wp:extent cx="4127898" cy="3506381"/>
            <wp:effectExtent l="0" t="0" r="6350" b="0"/>
            <wp:docPr id="299" name="Picture 29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screenshot of a compu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7898" cy="3506381"/>
                    </a:xfrm>
                    <a:prstGeom prst="rect">
                      <a:avLst/>
                    </a:prstGeom>
                  </pic:spPr>
                </pic:pic>
              </a:graphicData>
            </a:graphic>
          </wp:inline>
        </w:drawing>
      </w:r>
    </w:p>
    <w:p w14:paraId="14E81412" w14:textId="32EF0682" w:rsidR="009A1120" w:rsidRPr="00472578" w:rsidRDefault="009A1120" w:rsidP="00E92686">
      <w:pPr>
        <w:pStyle w:val="Heading4"/>
        <w:jc w:val="both"/>
      </w:pPr>
      <w:r w:rsidRPr="00472578">
        <w:t xml:space="preserve">Partnership, </w:t>
      </w:r>
      <w:proofErr w:type="spellStart"/>
      <w:r w:rsidRPr="00472578">
        <w:t>Te</w:t>
      </w:r>
      <w:proofErr w:type="spellEnd"/>
      <w:r w:rsidRPr="00472578">
        <w:t xml:space="preserve"> </w:t>
      </w:r>
      <w:proofErr w:type="spellStart"/>
      <w:r w:rsidRPr="00472578">
        <w:t>Tiriti</w:t>
      </w:r>
      <w:proofErr w:type="spellEnd"/>
      <w:r w:rsidRPr="00472578">
        <w:t xml:space="preserve"> o Waitangi and </w:t>
      </w:r>
      <w:proofErr w:type="spellStart"/>
      <w:r w:rsidRPr="00472578">
        <w:t>Kāi</w:t>
      </w:r>
      <w:proofErr w:type="spellEnd"/>
      <w:r w:rsidRPr="00472578">
        <w:t xml:space="preserve"> </w:t>
      </w:r>
      <w:proofErr w:type="spellStart"/>
      <w:r w:rsidRPr="00472578">
        <w:t>Tahu</w:t>
      </w:r>
      <w:proofErr w:type="spellEnd"/>
      <w:r w:rsidRPr="00715BD1">
        <w:rPr>
          <w:shd w:val="clear" w:color="auto" w:fill="D9D9D9" w:themeFill="background1" w:themeFillShade="D9"/>
          <w:vertAlign w:val="superscript"/>
        </w:rPr>
        <w:footnoteReference w:id="54"/>
      </w:r>
    </w:p>
    <w:p w14:paraId="2656A406" w14:textId="29B3C32E" w:rsidR="009A1120" w:rsidRPr="00472578" w:rsidRDefault="009A1120" w:rsidP="00E92686">
      <w:pPr>
        <w:jc w:val="both"/>
      </w:pPr>
      <w:r w:rsidRPr="00472578">
        <w:t xml:space="preserve">The Otago Regional Policy Statement has been developed in partnership with </w:t>
      </w:r>
      <w:proofErr w:type="spellStart"/>
      <w:r w:rsidRPr="00472578">
        <w:t>Kāi</w:t>
      </w:r>
      <w:proofErr w:type="spellEnd"/>
      <w:r w:rsidRPr="00472578">
        <w:t xml:space="preserve"> </w:t>
      </w:r>
      <w:proofErr w:type="spellStart"/>
      <w:r w:rsidRPr="00472578">
        <w:t>Tahu</w:t>
      </w:r>
      <w:proofErr w:type="spellEnd"/>
      <w:r w:rsidRPr="00472578">
        <w:t xml:space="preserve">, the iwi and </w:t>
      </w:r>
      <w:proofErr w:type="spellStart"/>
      <w:r w:rsidRPr="00472578">
        <w:rPr>
          <w:i/>
          <w:iCs/>
        </w:rPr>
        <w:t>tangata</w:t>
      </w:r>
      <w:proofErr w:type="spellEnd"/>
      <w:r w:rsidRPr="00472578">
        <w:rPr>
          <w:i/>
          <w:iCs/>
        </w:rPr>
        <w:t xml:space="preserve"> whenua</w:t>
      </w:r>
      <w:r w:rsidRPr="00472578">
        <w:t xml:space="preserve"> of Otago. The partnership between the Otago Regional Council and </w:t>
      </w:r>
      <w:proofErr w:type="spellStart"/>
      <w:r w:rsidRPr="00472578">
        <w:t>Kāi</w:t>
      </w:r>
      <w:proofErr w:type="spellEnd"/>
      <w:r w:rsidRPr="00472578">
        <w:t xml:space="preserve"> </w:t>
      </w:r>
      <w:proofErr w:type="spellStart"/>
      <w:r w:rsidRPr="00472578">
        <w:t>Tahu</w:t>
      </w:r>
      <w:proofErr w:type="spellEnd"/>
      <w:r w:rsidRPr="00472578">
        <w:t xml:space="preserve"> is an important and valuable relationship, evident throughout the ORPS and woven into its provisions. The RMA</w:t>
      </w:r>
      <w:r w:rsidRPr="006072DC">
        <w:rPr>
          <w:strike/>
        </w:rPr>
        <w:t xml:space="preserve"> 1991</w:t>
      </w:r>
      <w:r w:rsidR="006072DC" w:rsidRPr="006072DC">
        <w:rPr>
          <w:rStyle w:val="FootnoteReference"/>
        </w:rPr>
        <w:footnoteReference w:id="55"/>
      </w:r>
      <w:r w:rsidRPr="006072DC">
        <w:t xml:space="preserve"> r</w:t>
      </w:r>
      <w:r w:rsidRPr="00472578">
        <w:t xml:space="preserve">equires Regional and Local Councils to address matters of National Importance, including matters associated with </w:t>
      </w:r>
      <w:proofErr w:type="spellStart"/>
      <w:r w:rsidRPr="00472578">
        <w:t>Te</w:t>
      </w:r>
      <w:proofErr w:type="spellEnd"/>
      <w:r w:rsidRPr="00472578">
        <w:t xml:space="preserve"> </w:t>
      </w:r>
      <w:proofErr w:type="spellStart"/>
      <w:r w:rsidRPr="00472578">
        <w:t>Tiriti</w:t>
      </w:r>
      <w:proofErr w:type="spellEnd"/>
      <w:r w:rsidRPr="00472578">
        <w:t xml:space="preserve"> o Waitangi (The Treaty of Waitangi) and key issues and concerns of iw</w:t>
      </w:r>
      <w:r w:rsidR="00715BD1">
        <w:t>i.</w:t>
      </w:r>
      <w:r w:rsidR="00715BD1" w:rsidRPr="00715BD1">
        <w:rPr>
          <w:rStyle w:val="FootnoteReference"/>
          <w:shd w:val="clear" w:color="auto" w:fill="D9D9D9" w:themeFill="background1" w:themeFillShade="D9"/>
        </w:rPr>
        <w:footnoteReference w:id="56"/>
      </w:r>
    </w:p>
    <w:p w14:paraId="64DF3778" w14:textId="77777777" w:rsidR="009A1120" w:rsidRPr="00472578" w:rsidRDefault="009A1120" w:rsidP="00E92686">
      <w:pPr>
        <w:jc w:val="both"/>
      </w:pPr>
      <w:r w:rsidRPr="00472578">
        <w:t xml:space="preserve">The ORC has also considered the </w:t>
      </w:r>
      <w:proofErr w:type="spellStart"/>
      <w:r w:rsidRPr="00472578">
        <w:t>Kāi</w:t>
      </w:r>
      <w:proofErr w:type="spellEnd"/>
      <w:r w:rsidRPr="00472578">
        <w:t xml:space="preserve"> </w:t>
      </w:r>
      <w:proofErr w:type="spellStart"/>
      <w:r w:rsidRPr="00472578">
        <w:t>Tahu</w:t>
      </w:r>
      <w:proofErr w:type="spellEnd"/>
      <w:r w:rsidRPr="00472578">
        <w:t xml:space="preserve"> ki Otago 2005 Resource Management Plan and </w:t>
      </w:r>
      <w:proofErr w:type="spellStart"/>
      <w:r w:rsidRPr="00472578">
        <w:t>Te</w:t>
      </w:r>
      <w:proofErr w:type="spellEnd"/>
      <w:r w:rsidRPr="00472578">
        <w:t xml:space="preserve"> Tangi a </w:t>
      </w:r>
      <w:proofErr w:type="spellStart"/>
      <w:r w:rsidRPr="00472578">
        <w:t>Tauira</w:t>
      </w:r>
      <w:proofErr w:type="spellEnd"/>
      <w:r w:rsidRPr="00472578">
        <w:t xml:space="preserve">: </w:t>
      </w:r>
      <w:proofErr w:type="spellStart"/>
      <w:r w:rsidRPr="00472578">
        <w:t>Ngāi</w:t>
      </w:r>
      <w:proofErr w:type="spellEnd"/>
      <w:r w:rsidRPr="00472578">
        <w:t xml:space="preserve"> </w:t>
      </w:r>
      <w:proofErr w:type="spellStart"/>
      <w:r w:rsidRPr="00472578">
        <w:t>Tahu</w:t>
      </w:r>
      <w:proofErr w:type="spellEnd"/>
      <w:r w:rsidRPr="00472578">
        <w:t xml:space="preserve"> ki </w:t>
      </w:r>
      <w:proofErr w:type="spellStart"/>
      <w:r w:rsidRPr="00472578">
        <w:t>Murihiku</w:t>
      </w:r>
      <w:proofErr w:type="spellEnd"/>
      <w:r w:rsidRPr="00472578">
        <w:t xml:space="preserve"> Natural Resource and Environmental Iwi Management Plan 2008. ORPS chapters on Significant Resource Management Issues for Iwi and on </w:t>
      </w:r>
      <w:r w:rsidRPr="00472578">
        <w:rPr>
          <w:i/>
          <w:iCs/>
        </w:rPr>
        <w:t>Mana Whenua</w:t>
      </w:r>
      <w:r w:rsidRPr="00472578">
        <w:t xml:space="preserve"> provide an in-depth discussion of iwi issues and set a basis for the remaining policy framework. </w:t>
      </w:r>
    </w:p>
    <w:p w14:paraId="625FE6C2" w14:textId="77777777" w:rsidR="009A1120" w:rsidRPr="00472578" w:rsidRDefault="009A1120" w:rsidP="00E92686">
      <w:pPr>
        <w:jc w:val="both"/>
      </w:pPr>
      <w:r w:rsidRPr="00472578">
        <w:t xml:space="preserve">The key issues identified by </w:t>
      </w:r>
      <w:proofErr w:type="spellStart"/>
      <w:r w:rsidRPr="00472578">
        <w:t>Kāi</w:t>
      </w:r>
      <w:proofErr w:type="spellEnd"/>
      <w:r w:rsidRPr="00472578">
        <w:t xml:space="preserve"> </w:t>
      </w:r>
      <w:proofErr w:type="spellStart"/>
      <w:r w:rsidRPr="00472578">
        <w:t>Tahu</w:t>
      </w:r>
      <w:proofErr w:type="spellEnd"/>
      <w:r w:rsidRPr="00472578">
        <w:t xml:space="preserve"> include:</w:t>
      </w:r>
    </w:p>
    <w:p w14:paraId="14249D76" w14:textId="77777777" w:rsidR="009A1120" w:rsidRPr="00472578" w:rsidRDefault="009A1120" w:rsidP="00E92686">
      <w:pPr>
        <w:numPr>
          <w:ilvl w:val="0"/>
          <w:numId w:val="17"/>
        </w:numPr>
        <w:ind w:left="567" w:hanging="567"/>
        <w:jc w:val="both"/>
      </w:pPr>
      <w:r w:rsidRPr="00472578">
        <w:t xml:space="preserve">recognising the rights and interests of </w:t>
      </w:r>
      <w:bookmarkStart w:id="13" w:name="_Hlk51332712"/>
      <w:proofErr w:type="spellStart"/>
      <w:r w:rsidRPr="00472578">
        <w:t>Kāi</w:t>
      </w:r>
      <w:proofErr w:type="spellEnd"/>
      <w:r w:rsidRPr="00472578">
        <w:t xml:space="preserve"> </w:t>
      </w:r>
      <w:proofErr w:type="spellStart"/>
      <w:r w:rsidRPr="00472578">
        <w:t>Tahu</w:t>
      </w:r>
      <w:proofErr w:type="spellEnd"/>
      <w:r w:rsidRPr="00472578">
        <w:t xml:space="preserve"> </w:t>
      </w:r>
      <w:bookmarkEnd w:id="13"/>
      <w:r w:rsidRPr="00472578">
        <w:t xml:space="preserve">in natural and resource management </w:t>
      </w:r>
      <w:proofErr w:type="gramStart"/>
      <w:r w:rsidRPr="00472578">
        <w:t>processes;</w:t>
      </w:r>
      <w:proofErr w:type="gramEnd"/>
    </w:p>
    <w:p w14:paraId="5BB96A71" w14:textId="77777777" w:rsidR="009A1120" w:rsidRPr="00472578" w:rsidRDefault="009A1120" w:rsidP="00E92686">
      <w:pPr>
        <w:numPr>
          <w:ilvl w:val="0"/>
          <w:numId w:val="17"/>
        </w:numPr>
        <w:ind w:left="567" w:hanging="567"/>
        <w:jc w:val="both"/>
      </w:pPr>
      <w:r w:rsidRPr="00472578">
        <w:t xml:space="preserve">recognising the important role of </w:t>
      </w:r>
      <w:proofErr w:type="spellStart"/>
      <w:r w:rsidRPr="00472578">
        <w:t>mātauraka</w:t>
      </w:r>
      <w:proofErr w:type="spellEnd"/>
      <w:r w:rsidRPr="00472578">
        <w:t xml:space="preserve"> in natural resource </w:t>
      </w:r>
      <w:proofErr w:type="gramStart"/>
      <w:r w:rsidRPr="00472578">
        <w:t>management;</w:t>
      </w:r>
      <w:proofErr w:type="gramEnd"/>
    </w:p>
    <w:p w14:paraId="73356231" w14:textId="77777777" w:rsidR="009A1120" w:rsidRPr="00472578" w:rsidRDefault="009A1120" w:rsidP="00E92686">
      <w:pPr>
        <w:numPr>
          <w:ilvl w:val="0"/>
          <w:numId w:val="17"/>
        </w:numPr>
        <w:ind w:left="567" w:hanging="567"/>
        <w:jc w:val="both"/>
      </w:pPr>
      <w:r w:rsidRPr="00472578">
        <w:t xml:space="preserve">recognising the integral relationship of </w:t>
      </w:r>
      <w:proofErr w:type="spellStart"/>
      <w:r w:rsidRPr="00472578">
        <w:t>Kāi</w:t>
      </w:r>
      <w:proofErr w:type="spellEnd"/>
      <w:r w:rsidRPr="00472578">
        <w:t xml:space="preserve"> </w:t>
      </w:r>
      <w:proofErr w:type="spellStart"/>
      <w:r w:rsidRPr="00472578">
        <w:t>Tahu</w:t>
      </w:r>
      <w:proofErr w:type="spellEnd"/>
      <w:r w:rsidRPr="00472578">
        <w:t xml:space="preserve"> with </w:t>
      </w:r>
      <w:r w:rsidRPr="00472578">
        <w:rPr>
          <w:i/>
          <w:iCs/>
        </w:rPr>
        <w:t>natural and physical resources</w:t>
      </w:r>
      <w:r w:rsidRPr="00472578">
        <w:t xml:space="preserve">, including the coast, waterways, </w:t>
      </w:r>
      <w:r w:rsidRPr="00472578">
        <w:rPr>
          <w:i/>
          <w:iCs/>
        </w:rPr>
        <w:t>lakes</w:t>
      </w:r>
      <w:r w:rsidRPr="00472578">
        <w:t xml:space="preserve">, </w:t>
      </w:r>
      <w:r w:rsidRPr="00472578">
        <w:rPr>
          <w:i/>
          <w:iCs/>
        </w:rPr>
        <w:t>wetlands</w:t>
      </w:r>
      <w:r w:rsidRPr="00472578">
        <w:t xml:space="preserve"> and indigenous flora and fauna, protecting these resources from </w:t>
      </w:r>
      <w:r w:rsidRPr="00472578">
        <w:lastRenderedPageBreak/>
        <w:t xml:space="preserve">degradation, improving them where they have been degraded, and sustaining them for future </w:t>
      </w:r>
      <w:proofErr w:type="gramStart"/>
      <w:r w:rsidRPr="00472578">
        <w:t>generations;</w:t>
      </w:r>
      <w:proofErr w:type="gramEnd"/>
    </w:p>
    <w:p w14:paraId="6204D647" w14:textId="1504E77F" w:rsidR="009A1120" w:rsidRPr="00472578" w:rsidRDefault="009A1120" w:rsidP="00E92686">
      <w:pPr>
        <w:numPr>
          <w:ilvl w:val="0"/>
          <w:numId w:val="17"/>
        </w:numPr>
        <w:ind w:left="567" w:hanging="567"/>
        <w:jc w:val="both"/>
      </w:pPr>
      <w:r w:rsidRPr="00472578">
        <w:t xml:space="preserve">protecting and restoring the abundance of </w:t>
      </w:r>
      <w:proofErr w:type="spellStart"/>
      <w:r w:rsidRPr="009C237D">
        <w:rPr>
          <w:strike/>
        </w:rPr>
        <w:t>mahika</w:t>
      </w:r>
      <w:proofErr w:type="spellEnd"/>
      <w:r w:rsidRPr="009C237D">
        <w:rPr>
          <w:strike/>
        </w:rPr>
        <w:t xml:space="preserve"> kai</w:t>
      </w:r>
      <w:r w:rsidRPr="00472578">
        <w:t xml:space="preserve"> </w:t>
      </w:r>
      <w:proofErr w:type="spellStart"/>
      <w:r w:rsidR="009C237D" w:rsidRPr="00645B28">
        <w:rPr>
          <w:i/>
          <w:iCs/>
          <w:u w:val="single"/>
        </w:rPr>
        <w:t>mahika</w:t>
      </w:r>
      <w:proofErr w:type="spellEnd"/>
      <w:r w:rsidR="009C237D" w:rsidRPr="00645B28">
        <w:rPr>
          <w:i/>
          <w:iCs/>
          <w:u w:val="single"/>
        </w:rPr>
        <w:t xml:space="preserve"> kai</w:t>
      </w:r>
      <w:r w:rsidR="009C237D">
        <w:rPr>
          <w:rStyle w:val="FootnoteReference"/>
        </w:rPr>
        <w:footnoteReference w:id="57"/>
      </w:r>
      <w:r w:rsidR="0029576C">
        <w:t xml:space="preserve"> </w:t>
      </w:r>
      <w:r w:rsidRPr="00472578">
        <w:t xml:space="preserve">and restoring access to </w:t>
      </w:r>
      <w:proofErr w:type="spellStart"/>
      <w:r w:rsidR="0029576C" w:rsidRPr="009C237D">
        <w:rPr>
          <w:strike/>
        </w:rPr>
        <w:t>mahika</w:t>
      </w:r>
      <w:proofErr w:type="spellEnd"/>
      <w:r w:rsidR="0029576C" w:rsidRPr="009C237D">
        <w:rPr>
          <w:strike/>
        </w:rPr>
        <w:t xml:space="preserve"> kai</w:t>
      </w:r>
      <w:r w:rsidR="0029576C" w:rsidRPr="00472578">
        <w:t xml:space="preserve"> </w:t>
      </w:r>
      <w:proofErr w:type="spellStart"/>
      <w:r w:rsidR="0029576C" w:rsidRPr="00645B28">
        <w:rPr>
          <w:i/>
          <w:iCs/>
          <w:u w:val="single"/>
        </w:rPr>
        <w:t>mahika</w:t>
      </w:r>
      <w:proofErr w:type="spellEnd"/>
      <w:r w:rsidR="0029576C" w:rsidRPr="00645B28">
        <w:rPr>
          <w:i/>
          <w:iCs/>
          <w:u w:val="single"/>
        </w:rPr>
        <w:t xml:space="preserve"> kai</w:t>
      </w:r>
      <w:r w:rsidR="0029576C">
        <w:rPr>
          <w:rStyle w:val="FootnoteReference"/>
        </w:rPr>
        <w:footnoteReference w:id="58"/>
      </w:r>
      <w:r w:rsidRPr="00472578">
        <w:t xml:space="preserve"> </w:t>
      </w:r>
      <w:proofErr w:type="gramStart"/>
      <w:r w:rsidRPr="00472578">
        <w:t>areas;</w:t>
      </w:r>
      <w:proofErr w:type="gramEnd"/>
    </w:p>
    <w:p w14:paraId="6E9D51F5" w14:textId="77777777" w:rsidR="009A1120" w:rsidRPr="00472578" w:rsidRDefault="009A1120" w:rsidP="00E92686">
      <w:pPr>
        <w:numPr>
          <w:ilvl w:val="0"/>
          <w:numId w:val="17"/>
        </w:numPr>
        <w:ind w:left="567" w:hanging="567"/>
        <w:jc w:val="both"/>
      </w:pPr>
      <w:r w:rsidRPr="00472578">
        <w:t xml:space="preserve">protecting the values of </w:t>
      </w:r>
      <w:proofErr w:type="spellStart"/>
      <w:r w:rsidRPr="00472578">
        <w:rPr>
          <w:i/>
          <w:iCs/>
        </w:rPr>
        <w:t>wāhi</w:t>
      </w:r>
      <w:proofErr w:type="spellEnd"/>
      <w:r w:rsidRPr="00472578">
        <w:rPr>
          <w:i/>
          <w:iCs/>
        </w:rPr>
        <w:t xml:space="preserve"> </w:t>
      </w:r>
      <w:proofErr w:type="spellStart"/>
      <w:r w:rsidRPr="00472578">
        <w:rPr>
          <w:i/>
          <w:iCs/>
        </w:rPr>
        <w:t>tūpuna</w:t>
      </w:r>
      <w:proofErr w:type="spellEnd"/>
      <w:r w:rsidRPr="00472578">
        <w:t xml:space="preserve"> and the ability for </w:t>
      </w:r>
      <w:proofErr w:type="spellStart"/>
      <w:r w:rsidRPr="00472578">
        <w:t>Kāi</w:t>
      </w:r>
      <w:proofErr w:type="spellEnd"/>
      <w:r w:rsidRPr="00472578">
        <w:t xml:space="preserve"> </w:t>
      </w:r>
      <w:proofErr w:type="spellStart"/>
      <w:r w:rsidRPr="00472578">
        <w:t>Tahu</w:t>
      </w:r>
      <w:proofErr w:type="spellEnd"/>
      <w:r w:rsidRPr="00472578">
        <w:t xml:space="preserve"> to maintain their relationship with these </w:t>
      </w:r>
      <w:proofErr w:type="gramStart"/>
      <w:r w:rsidRPr="00472578">
        <w:t>areas;</w:t>
      </w:r>
      <w:proofErr w:type="gramEnd"/>
      <w:r w:rsidRPr="00472578">
        <w:t xml:space="preserve"> </w:t>
      </w:r>
    </w:p>
    <w:p w14:paraId="245E20FC" w14:textId="77777777" w:rsidR="009A1120" w:rsidRPr="00472578" w:rsidRDefault="009A1120" w:rsidP="00E92686">
      <w:pPr>
        <w:numPr>
          <w:ilvl w:val="0"/>
          <w:numId w:val="17"/>
        </w:numPr>
        <w:ind w:left="567" w:hanging="567"/>
        <w:jc w:val="both"/>
      </w:pPr>
      <w:r w:rsidRPr="00472578">
        <w:t xml:space="preserve">enabling development of </w:t>
      </w:r>
      <w:r w:rsidRPr="00472578">
        <w:rPr>
          <w:i/>
          <w:iCs/>
        </w:rPr>
        <w:t>land</w:t>
      </w:r>
      <w:r w:rsidRPr="00472578">
        <w:t xml:space="preserve"> and resources within native reserves, including </w:t>
      </w:r>
      <w:proofErr w:type="spellStart"/>
      <w:r w:rsidRPr="00472578">
        <w:rPr>
          <w:i/>
          <w:iCs/>
        </w:rPr>
        <w:t>papakāika</w:t>
      </w:r>
      <w:proofErr w:type="spellEnd"/>
      <w:r w:rsidRPr="00472578">
        <w:t xml:space="preserve"> </w:t>
      </w:r>
      <w:r w:rsidRPr="00472578">
        <w:rPr>
          <w:strike/>
        </w:rPr>
        <w:t>housing</w:t>
      </w:r>
      <w:r w:rsidRPr="00472578">
        <w:t>; and</w:t>
      </w:r>
    </w:p>
    <w:p w14:paraId="4A243C7D" w14:textId="77777777" w:rsidR="009A1120" w:rsidRPr="00472578" w:rsidRDefault="009A1120" w:rsidP="00E92686">
      <w:pPr>
        <w:numPr>
          <w:ilvl w:val="0"/>
          <w:numId w:val="17"/>
        </w:numPr>
        <w:ind w:left="567" w:hanging="567"/>
        <w:jc w:val="both"/>
      </w:pPr>
      <w:r w:rsidRPr="00472578">
        <w:t>the need for integrated management that recognises the interconnections between resources and across different parts of the environment.</w:t>
      </w:r>
    </w:p>
    <w:p w14:paraId="6B315230" w14:textId="77777777" w:rsidR="009A1120" w:rsidRPr="00472578" w:rsidRDefault="009A1120" w:rsidP="00E92686">
      <w:pPr>
        <w:pStyle w:val="Heading3"/>
        <w:jc w:val="both"/>
      </w:pPr>
      <w:r w:rsidRPr="00472578">
        <w:t>Cross-boundary matters</w:t>
      </w:r>
    </w:p>
    <w:p w14:paraId="5E2ADFEA" w14:textId="77777777" w:rsidR="009A1120" w:rsidRPr="00472578" w:rsidRDefault="009A1120" w:rsidP="00E92686">
      <w:pPr>
        <w:jc w:val="both"/>
      </w:pPr>
      <w:r w:rsidRPr="00472578">
        <w:t>Ecosystems and human activities cross jurisdictional boundaries. When different jurisdictions manage similar activities or resources in different ways there is potential for inconsistent outcomes, resulting in inefficient and ineffective management.</w:t>
      </w:r>
    </w:p>
    <w:p w14:paraId="2DDD042D" w14:textId="552B723E" w:rsidR="009A1120" w:rsidRPr="00472578" w:rsidRDefault="009A1120" w:rsidP="00E92686">
      <w:pPr>
        <w:jc w:val="both"/>
      </w:pPr>
      <w:r w:rsidRPr="00472578">
        <w:t>To achieve integration, those involved in resource management need to coordinate their policies, plans and actions. This is encompassed by the philosophy “ki uta ki tai”</w:t>
      </w:r>
      <w:r w:rsidRPr="00472578">
        <w:rPr>
          <w:u w:val="single"/>
        </w:rPr>
        <w:t>, often translated as “</w:t>
      </w:r>
      <w:r w:rsidRPr="00472578">
        <w:t>from the mountains to the sea</w:t>
      </w:r>
      <w:r w:rsidRPr="00472578">
        <w:rPr>
          <w:u w:val="single"/>
        </w:rPr>
        <w:t>”</w:t>
      </w:r>
      <w:r w:rsidRPr="00472578">
        <w:t>.</w:t>
      </w:r>
      <w:r w:rsidRPr="00472578">
        <w:rPr>
          <w:rStyle w:val="FootnoteReference"/>
        </w:rPr>
        <w:footnoteReference w:id="59"/>
      </w:r>
      <w:r w:rsidRPr="00472578">
        <w:t xml:space="preserve"> Accordingly, section 62 of the RMA</w:t>
      </w:r>
      <w:r w:rsidRPr="006072DC">
        <w:rPr>
          <w:strike/>
        </w:rPr>
        <w:t xml:space="preserve"> 1991</w:t>
      </w:r>
      <w:r w:rsidR="006072DC" w:rsidRPr="006072DC">
        <w:rPr>
          <w:rStyle w:val="FootnoteReference"/>
        </w:rPr>
        <w:footnoteReference w:id="60"/>
      </w:r>
      <w:r w:rsidRPr="006072DC">
        <w:t xml:space="preserve"> </w:t>
      </w:r>
      <w:r w:rsidRPr="00472578">
        <w:t xml:space="preserve">requires regional councils to include in the RPS the processes to be used to deal with issues that cross </w:t>
      </w:r>
      <w:r w:rsidRPr="00472578">
        <w:rPr>
          <w:i/>
          <w:iCs/>
        </w:rPr>
        <w:t>local authority</w:t>
      </w:r>
      <w:r w:rsidRPr="00472578">
        <w:t xml:space="preserve"> boundaries, and issues between </w:t>
      </w:r>
      <w:r w:rsidRPr="00472578">
        <w:rPr>
          <w:i/>
          <w:iCs/>
        </w:rPr>
        <w:t>territorial authorities</w:t>
      </w:r>
      <w:r w:rsidRPr="00472578">
        <w:t xml:space="preserve"> or between regions.</w:t>
      </w:r>
    </w:p>
    <w:p w14:paraId="12F608F8" w14:textId="77777777" w:rsidR="009A1120" w:rsidRPr="00472578" w:rsidRDefault="009A1120" w:rsidP="00E92686">
      <w:pPr>
        <w:jc w:val="both"/>
      </w:pPr>
      <w:r w:rsidRPr="00472578">
        <w:t xml:space="preserve">Cross-boundary issues can arise in several ways, and generally manifest in issues for either plan preparation and review, or plan administration and the processing of applications for </w:t>
      </w:r>
      <w:r w:rsidRPr="00472578">
        <w:rPr>
          <w:i/>
          <w:iCs/>
        </w:rPr>
        <w:t>resource consents</w:t>
      </w:r>
      <w:r w:rsidRPr="00472578">
        <w:t>. Otago’s cross-boundary matters include:</w:t>
      </w:r>
    </w:p>
    <w:p w14:paraId="03C2C4AD" w14:textId="435AFF63" w:rsidR="009A1120" w:rsidRPr="00472578" w:rsidRDefault="009A1120" w:rsidP="00E92686">
      <w:pPr>
        <w:numPr>
          <w:ilvl w:val="0"/>
          <w:numId w:val="26"/>
        </w:numPr>
        <w:ind w:left="567" w:hanging="567"/>
        <w:jc w:val="both"/>
      </w:pPr>
      <w:r w:rsidRPr="00472578">
        <w:rPr>
          <w:strike/>
        </w:rPr>
        <w:t>adverse</w:t>
      </w:r>
      <w:r w:rsidRPr="00472578">
        <w:rPr>
          <w:rStyle w:val="FootnoteReference"/>
        </w:rPr>
        <w:footnoteReference w:id="61"/>
      </w:r>
      <w:r w:rsidRPr="00472578">
        <w:t xml:space="preserve"> </w:t>
      </w:r>
      <w:r w:rsidRPr="00472578">
        <w:rPr>
          <w:i/>
          <w:iCs/>
        </w:rPr>
        <w:t>effects</w:t>
      </w:r>
      <w:r w:rsidRPr="00472578">
        <w:t xml:space="preserve"> in one jurisdiction due to the activities in another, </w:t>
      </w:r>
      <w:r w:rsidRPr="00472578">
        <w:rPr>
          <w:strike/>
        </w:rPr>
        <w:t>particularly</w:t>
      </w:r>
      <w:r w:rsidRPr="00472578">
        <w:t xml:space="preserve"> </w:t>
      </w:r>
      <w:r w:rsidRPr="00472578">
        <w:rPr>
          <w:u w:val="single"/>
        </w:rPr>
        <w:t>including</w:t>
      </w:r>
      <w:r w:rsidRPr="00472578">
        <w:rPr>
          <w:rStyle w:val="FootnoteReference"/>
        </w:rPr>
        <w:footnoteReference w:id="62"/>
      </w:r>
      <w:r w:rsidRPr="00472578">
        <w:t xml:space="preserve"> where </w:t>
      </w:r>
      <w:r w:rsidRPr="00472578">
        <w:rPr>
          <w:i/>
          <w:iCs/>
        </w:rPr>
        <w:t>territorial authority</w:t>
      </w:r>
      <w:r w:rsidRPr="00472578">
        <w:t xml:space="preserve"> boundaries do not match catchment boundaries, as with the Clutha </w:t>
      </w:r>
      <w:proofErr w:type="spellStart"/>
      <w:r w:rsidRPr="00472578">
        <w:t>Mata-au</w:t>
      </w:r>
      <w:proofErr w:type="spellEnd"/>
      <w:r w:rsidRPr="00472578">
        <w:t xml:space="preserve">, or the Waitaki River catchment over which Otago and Canterbury Regional Councils share jurisdiction, or Otago’s coastal environment, which covers three </w:t>
      </w:r>
      <w:r w:rsidRPr="00472578">
        <w:rPr>
          <w:i/>
          <w:iCs/>
        </w:rPr>
        <w:t>territorial authorities’</w:t>
      </w:r>
      <w:r w:rsidRPr="00472578">
        <w:t xml:space="preserve"> jurisdictions, and may be affected by </w:t>
      </w:r>
      <w:r w:rsidRPr="00472578">
        <w:rPr>
          <w:i/>
          <w:iCs/>
        </w:rPr>
        <w:t>land uses</w:t>
      </w:r>
      <w:r w:rsidRPr="00472578">
        <w:t xml:space="preserve"> </w:t>
      </w:r>
      <w:r w:rsidRPr="00472578">
        <w:rPr>
          <w:u w:val="single"/>
        </w:rPr>
        <w:t>and dam structures</w:t>
      </w:r>
      <w:r w:rsidRPr="00472578">
        <w:rPr>
          <w:rStyle w:val="FootnoteReference"/>
        </w:rPr>
        <w:footnoteReference w:id="63"/>
      </w:r>
      <w:r w:rsidRPr="00472578">
        <w:t xml:space="preserve"> in the other two (through sediment flowing down the Clutha </w:t>
      </w:r>
      <w:proofErr w:type="spellStart"/>
      <w:r w:rsidRPr="00472578">
        <w:t>Mata-au</w:t>
      </w:r>
      <w:proofErr w:type="spellEnd"/>
      <w:r w:rsidRPr="00472578">
        <w:t>, for instance)</w:t>
      </w:r>
      <w:r w:rsidRPr="00472578">
        <w:rPr>
          <w:u w:val="single"/>
        </w:rPr>
        <w:t>. Effects within the Otago Coastal environment may also have effects on adjoining regional council jurisdiction</w:t>
      </w:r>
      <w:r w:rsidRPr="00472578">
        <w:t>;</w:t>
      </w:r>
      <w:r w:rsidRPr="00472578">
        <w:rPr>
          <w:rStyle w:val="FootnoteReference"/>
        </w:rPr>
        <w:t xml:space="preserve"> </w:t>
      </w:r>
      <w:r w:rsidRPr="00472578">
        <w:rPr>
          <w:rStyle w:val="FootnoteReference"/>
        </w:rPr>
        <w:footnoteReference w:id="64"/>
      </w:r>
    </w:p>
    <w:p w14:paraId="61FFC543" w14:textId="77777777" w:rsidR="009A1120" w:rsidRPr="00472578" w:rsidRDefault="009A1120" w:rsidP="00E92686">
      <w:pPr>
        <w:numPr>
          <w:ilvl w:val="0"/>
          <w:numId w:val="26"/>
        </w:numPr>
        <w:ind w:left="567" w:hanging="567"/>
        <w:jc w:val="both"/>
      </w:pPr>
      <w:proofErr w:type="spellStart"/>
      <w:r w:rsidRPr="00472578">
        <w:t>Kāi</w:t>
      </w:r>
      <w:proofErr w:type="spellEnd"/>
      <w:r w:rsidRPr="00472578">
        <w:t xml:space="preserve"> </w:t>
      </w:r>
      <w:proofErr w:type="spellStart"/>
      <w:r w:rsidRPr="00472578">
        <w:t>Tahu</w:t>
      </w:r>
      <w:proofErr w:type="spellEnd"/>
      <w:r w:rsidRPr="00472578">
        <w:t xml:space="preserve"> interests, which span Otago as a whole, across </w:t>
      </w:r>
      <w:r w:rsidRPr="00472578">
        <w:rPr>
          <w:i/>
          <w:iCs/>
        </w:rPr>
        <w:t>local authority</w:t>
      </w:r>
      <w:r w:rsidRPr="00472578">
        <w:t xml:space="preserve"> </w:t>
      </w:r>
      <w:proofErr w:type="gramStart"/>
      <w:r w:rsidRPr="00472578">
        <w:t>boundaries;</w:t>
      </w:r>
      <w:proofErr w:type="gramEnd"/>
    </w:p>
    <w:p w14:paraId="2C3F7FD2" w14:textId="77777777" w:rsidR="009A1120" w:rsidRPr="00472578" w:rsidRDefault="009A1120" w:rsidP="00E92686">
      <w:pPr>
        <w:numPr>
          <w:ilvl w:val="0"/>
          <w:numId w:val="26"/>
        </w:numPr>
        <w:ind w:left="567" w:hanging="567"/>
        <w:jc w:val="both"/>
      </w:pPr>
      <w:r w:rsidRPr="00472578">
        <w:lastRenderedPageBreak/>
        <w:t xml:space="preserve">resources that cross local authority boundaries which must be managed in a uniform manner, such as </w:t>
      </w:r>
      <w:r w:rsidRPr="00472578">
        <w:rPr>
          <w:u w:val="single"/>
        </w:rPr>
        <w:t>water,</w:t>
      </w:r>
      <w:r w:rsidRPr="00472578">
        <w:rPr>
          <w:rStyle w:val="FootnoteReference"/>
        </w:rPr>
        <w:footnoteReference w:id="65"/>
      </w:r>
      <w:r w:rsidRPr="00472578">
        <w:t xml:space="preserve"> outstanding natural features, outstanding natural landscapes and significant natural </w:t>
      </w:r>
      <w:proofErr w:type="gramStart"/>
      <w:r w:rsidRPr="00472578">
        <w:t>areas;</w:t>
      </w:r>
      <w:proofErr w:type="gramEnd"/>
    </w:p>
    <w:p w14:paraId="1B176505" w14:textId="6A46A111" w:rsidR="009A1120" w:rsidRPr="00472578" w:rsidRDefault="009A1120" w:rsidP="00E92686">
      <w:pPr>
        <w:numPr>
          <w:ilvl w:val="0"/>
          <w:numId w:val="26"/>
        </w:numPr>
        <w:ind w:left="567" w:hanging="567"/>
        <w:jc w:val="both"/>
      </w:pPr>
      <w:r w:rsidRPr="00472578">
        <w:t xml:space="preserve">differences in policies or methods across plans, particularly where </w:t>
      </w:r>
      <w:r w:rsidRPr="00472578">
        <w:rPr>
          <w:i/>
          <w:iCs/>
        </w:rPr>
        <w:t xml:space="preserve">district </w:t>
      </w:r>
      <w:r w:rsidR="0045729C" w:rsidRPr="00472578">
        <w:rPr>
          <w:i/>
          <w:iCs/>
          <w:u w:val="single"/>
        </w:rPr>
        <w:t>plans</w:t>
      </w:r>
      <w:r w:rsidR="0045729C" w:rsidRPr="009563C7">
        <w:rPr>
          <w:rStyle w:val="FootnoteReference"/>
        </w:rPr>
        <w:footnoteReference w:id="66"/>
      </w:r>
      <w:r w:rsidR="009563C7" w:rsidRPr="00DF35FA">
        <w:rPr>
          <w:i/>
          <w:iCs/>
        </w:rPr>
        <w:t xml:space="preserve"> </w:t>
      </w:r>
      <w:r w:rsidRPr="00472578">
        <w:t>and</w:t>
      </w:r>
      <w:r w:rsidRPr="00472578">
        <w:rPr>
          <w:i/>
          <w:iCs/>
        </w:rPr>
        <w:t xml:space="preserve"> regional plans</w:t>
      </w:r>
      <w:r w:rsidRPr="00472578">
        <w:t xml:space="preserve"> are at different planning stages and may be out of step with current </w:t>
      </w:r>
      <w:proofErr w:type="gramStart"/>
      <w:r w:rsidRPr="00472578">
        <w:t>regulation;</w:t>
      </w:r>
      <w:proofErr w:type="gramEnd"/>
    </w:p>
    <w:p w14:paraId="6B8B4076" w14:textId="29199266" w:rsidR="009A1120" w:rsidRPr="00472578" w:rsidRDefault="009A1120" w:rsidP="00E92686">
      <w:pPr>
        <w:numPr>
          <w:ilvl w:val="0"/>
          <w:numId w:val="26"/>
        </w:numPr>
        <w:ind w:left="567" w:hanging="567"/>
        <w:jc w:val="both"/>
      </w:pPr>
      <w:r w:rsidRPr="00472578">
        <w:t xml:space="preserve">local, </w:t>
      </w:r>
      <w:r w:rsidRPr="00472578">
        <w:rPr>
          <w:i/>
          <w:iCs/>
        </w:rPr>
        <w:t xml:space="preserve">regionally </w:t>
      </w:r>
      <w:r w:rsidRPr="00472578">
        <w:rPr>
          <w:i/>
          <w:iCs/>
          <w:u w:val="single"/>
        </w:rPr>
        <w:t>significant infrastructure</w:t>
      </w:r>
      <w:r w:rsidR="003770FF" w:rsidRPr="00AF4021">
        <w:rPr>
          <w:rStyle w:val="FootnoteReference"/>
        </w:rPr>
        <w:footnoteReference w:id="67"/>
      </w:r>
      <w:r w:rsidRPr="00472578">
        <w:t xml:space="preserve"> or </w:t>
      </w:r>
      <w:r w:rsidRPr="00472578">
        <w:rPr>
          <w:i/>
          <w:iCs/>
        </w:rPr>
        <w:t>nationally significant infrastructure</w:t>
      </w:r>
      <w:r w:rsidRPr="00472578">
        <w:t xml:space="preserve"> </w:t>
      </w:r>
      <w:r w:rsidRPr="00472578">
        <w:rPr>
          <w:u w:val="single"/>
        </w:rPr>
        <w:t>being developed and operated</w:t>
      </w:r>
      <w:r w:rsidRPr="00472578">
        <w:t xml:space="preserve"> </w:t>
      </w:r>
      <w:r w:rsidRPr="00472578">
        <w:rPr>
          <w:strike/>
        </w:rPr>
        <w:t>operating</w:t>
      </w:r>
      <w:r w:rsidRPr="00472578">
        <w:rPr>
          <w:rStyle w:val="FootnoteReference"/>
        </w:rPr>
        <w:footnoteReference w:id="68"/>
      </w:r>
      <w:r w:rsidRPr="00472578">
        <w:t xml:space="preserve"> across </w:t>
      </w:r>
      <w:r w:rsidRPr="00472578">
        <w:rPr>
          <w:i/>
          <w:iCs/>
        </w:rPr>
        <w:t>local authority</w:t>
      </w:r>
      <w:r w:rsidRPr="00472578">
        <w:t xml:space="preserve"> boundaries, as with transport and electricity </w:t>
      </w:r>
      <w:r w:rsidRPr="00472578">
        <w:rPr>
          <w:strike/>
        </w:rPr>
        <w:t>supply</w:t>
      </w:r>
      <w:r w:rsidRPr="00472578">
        <w:t xml:space="preserve"> networks, and potentially shared services such as </w:t>
      </w:r>
      <w:r w:rsidRPr="00472578">
        <w:rPr>
          <w:u w:val="single"/>
        </w:rPr>
        <w:t>waste management and minimisation</w:t>
      </w:r>
      <w:r w:rsidRPr="00472578">
        <w:t xml:space="preserve"> </w:t>
      </w:r>
      <w:r w:rsidRPr="00472578">
        <w:rPr>
          <w:strike/>
        </w:rPr>
        <w:t>waste disposal</w:t>
      </w:r>
      <w:r w:rsidRPr="00472578">
        <w:rPr>
          <w:rStyle w:val="FootnoteReference"/>
        </w:rPr>
        <w:footnoteReference w:id="69"/>
      </w:r>
      <w:r w:rsidRPr="00472578">
        <w:t>; and</w:t>
      </w:r>
    </w:p>
    <w:p w14:paraId="5834F24A" w14:textId="77777777" w:rsidR="009A1120" w:rsidRPr="00472578" w:rsidRDefault="009A1120" w:rsidP="00E92686">
      <w:pPr>
        <w:numPr>
          <w:ilvl w:val="0"/>
          <w:numId w:val="26"/>
        </w:numPr>
        <w:ind w:left="567" w:hanging="567"/>
        <w:jc w:val="both"/>
      </w:pPr>
      <w:r w:rsidRPr="00472578">
        <w:t xml:space="preserve">duplicated effort for </w:t>
      </w:r>
      <w:r w:rsidRPr="00472578">
        <w:rPr>
          <w:i/>
          <w:iCs/>
        </w:rPr>
        <w:t>local authorities</w:t>
      </w:r>
      <w:r w:rsidRPr="00472578">
        <w:t xml:space="preserve"> and increased cost for people seeking consents for activities that occur across </w:t>
      </w:r>
      <w:r w:rsidRPr="00472578">
        <w:rPr>
          <w:i/>
          <w:iCs/>
        </w:rPr>
        <w:t>local authority</w:t>
      </w:r>
      <w:r w:rsidRPr="00472578">
        <w:t xml:space="preserve"> boundaries or require </w:t>
      </w:r>
      <w:r w:rsidRPr="00472578">
        <w:rPr>
          <w:i/>
          <w:iCs/>
        </w:rPr>
        <w:t>resource consent</w:t>
      </w:r>
      <w:r w:rsidRPr="00472578">
        <w:t xml:space="preserve"> from two or more consent authorities. </w:t>
      </w:r>
    </w:p>
    <w:p w14:paraId="023FF1CE" w14:textId="77777777" w:rsidR="009A1120" w:rsidRPr="00472578" w:rsidRDefault="009A1120" w:rsidP="00E92686">
      <w:pPr>
        <w:jc w:val="both"/>
      </w:pPr>
      <w:r w:rsidRPr="00472578">
        <w:t>Processes that will be used to address these matters are described in the sections below.</w:t>
      </w:r>
    </w:p>
    <w:p w14:paraId="6A2C150B" w14:textId="77777777" w:rsidR="009A1120" w:rsidRPr="00472578" w:rsidRDefault="009A1120" w:rsidP="00E92686">
      <w:pPr>
        <w:pStyle w:val="Heading4"/>
        <w:jc w:val="both"/>
      </w:pPr>
      <w:r w:rsidRPr="00472578">
        <w:t>Clear direction in the ORPS</w:t>
      </w:r>
    </w:p>
    <w:p w14:paraId="38304375" w14:textId="6120438F" w:rsidR="009A1120" w:rsidRPr="00472578" w:rsidRDefault="009A1120" w:rsidP="00E92686">
      <w:pPr>
        <w:jc w:val="both"/>
      </w:pPr>
      <w:r w:rsidRPr="00472578">
        <w:t xml:space="preserve">The ORPS provides a vision and broad policy framework for all resource management in Otago, including various methods that require </w:t>
      </w:r>
      <w:r w:rsidRPr="00472578">
        <w:rPr>
          <w:i/>
          <w:iCs/>
        </w:rPr>
        <w:t>local authorities</w:t>
      </w:r>
      <w:r w:rsidRPr="00472578">
        <w:t xml:space="preserve"> to work together to achieve good outcomes and, in some cases, set implementation timeframes. </w:t>
      </w:r>
      <w:r w:rsidRPr="00472578">
        <w:rPr>
          <w:i/>
          <w:iCs/>
        </w:rPr>
        <w:t xml:space="preserve">Regional </w:t>
      </w:r>
      <w:r w:rsidR="00EE30D1" w:rsidRPr="00472578">
        <w:rPr>
          <w:i/>
          <w:iCs/>
          <w:u w:val="single"/>
        </w:rPr>
        <w:t>plans</w:t>
      </w:r>
      <w:r w:rsidR="00EE30D1" w:rsidRPr="00472578">
        <w:rPr>
          <w:rStyle w:val="FootnoteReference"/>
          <w:i/>
          <w:iCs/>
        </w:rPr>
        <w:footnoteReference w:id="70"/>
      </w:r>
      <w:r w:rsidR="00F97C38" w:rsidRPr="00472578">
        <w:rPr>
          <w:i/>
          <w:iCs/>
        </w:rPr>
        <w:t xml:space="preserve"> </w:t>
      </w:r>
      <w:r w:rsidRPr="00472578">
        <w:t>and</w:t>
      </w:r>
      <w:r w:rsidRPr="00472578">
        <w:rPr>
          <w:i/>
          <w:iCs/>
        </w:rPr>
        <w:t xml:space="preserve"> district plans</w:t>
      </w:r>
      <w:r w:rsidRPr="00472578">
        <w:t xml:space="preserve"> as they develop over the next 10 years and beyond, are required to give effect to the ORPS. In doing so one result should be consistency between them. The ORPS has been drafted using direct language and clarity of outcomes sought. </w:t>
      </w:r>
    </w:p>
    <w:p w14:paraId="2E989EAB" w14:textId="2B9E2E4A" w:rsidR="009A1120" w:rsidRPr="00472578" w:rsidRDefault="009A1120" w:rsidP="00E92686">
      <w:pPr>
        <w:jc w:val="both"/>
      </w:pPr>
      <w:r w:rsidRPr="00472578">
        <w:t>ORPS methods also indicate actions that fall outside the RMA</w:t>
      </w:r>
      <w:r w:rsidRPr="006072DC">
        <w:rPr>
          <w:strike/>
        </w:rPr>
        <w:t xml:space="preserve"> 1991</w:t>
      </w:r>
      <w:r w:rsidR="006072DC" w:rsidRPr="006072DC">
        <w:rPr>
          <w:rStyle w:val="FootnoteReference"/>
        </w:rPr>
        <w:footnoteReference w:id="71"/>
      </w:r>
      <w:r w:rsidRPr="00472578">
        <w:t xml:space="preserve"> framework. This recognises that only </w:t>
      </w:r>
      <w:r w:rsidRPr="00472578">
        <w:rPr>
          <w:i/>
          <w:iCs/>
        </w:rPr>
        <w:t>district</w:t>
      </w:r>
      <w:r w:rsidRPr="00472578">
        <w:rPr>
          <w:i/>
          <w:u w:val="single"/>
        </w:rPr>
        <w:t xml:space="preserve"> </w:t>
      </w:r>
      <w:r w:rsidR="00744E42" w:rsidRPr="00472578">
        <w:rPr>
          <w:i/>
          <w:iCs/>
          <w:u w:val="single"/>
        </w:rPr>
        <w:t>plans</w:t>
      </w:r>
      <w:r w:rsidR="00744E42" w:rsidRPr="00472578">
        <w:rPr>
          <w:rStyle w:val="FootnoteReference"/>
        </w:rPr>
        <w:footnoteReference w:id="72"/>
      </w:r>
      <w:r w:rsidRPr="00472578">
        <w:rPr>
          <w:i/>
          <w:iCs/>
        </w:rPr>
        <w:t xml:space="preserve"> </w:t>
      </w:r>
      <w:r w:rsidRPr="00472578">
        <w:t xml:space="preserve">and </w:t>
      </w:r>
      <w:r w:rsidRPr="00472578">
        <w:rPr>
          <w:i/>
          <w:iCs/>
        </w:rPr>
        <w:t>regional plans</w:t>
      </w:r>
      <w:r w:rsidRPr="00472578">
        <w:t xml:space="preserve"> are required to give effect to a regional policy statement, and non-regulatory methods may sometimes be useful to help address cross-boundary matters and achieve desired outcomes. </w:t>
      </w:r>
    </w:p>
    <w:p w14:paraId="300BE4AF" w14:textId="77777777" w:rsidR="009A1120" w:rsidRPr="00472578" w:rsidRDefault="009A1120" w:rsidP="00E92686">
      <w:pPr>
        <w:pStyle w:val="Heading4"/>
        <w:jc w:val="both"/>
      </w:pPr>
      <w:r w:rsidRPr="00472578">
        <w:t>Cooperation and partnerships with stakeholders</w:t>
      </w:r>
    </w:p>
    <w:p w14:paraId="5350C9E4" w14:textId="273F7476" w:rsidR="009A1120" w:rsidRPr="00472578" w:rsidRDefault="009A1120" w:rsidP="00E92686">
      <w:pPr>
        <w:jc w:val="both"/>
      </w:pPr>
      <w:r w:rsidRPr="00472578">
        <w:t xml:space="preserve">Stakeholders, </w:t>
      </w:r>
      <w:r w:rsidRPr="00472578">
        <w:rPr>
          <w:strike/>
        </w:rPr>
        <w:t>from</w:t>
      </w:r>
      <w:r w:rsidRPr="00472578">
        <w:t xml:space="preserve"> </w:t>
      </w:r>
      <w:r w:rsidRPr="00472578">
        <w:rPr>
          <w:u w:val="single"/>
        </w:rPr>
        <w:t>including Government agencies</w:t>
      </w:r>
      <w:r w:rsidRPr="00472578">
        <w:t>,</w:t>
      </w:r>
      <w:r w:rsidRPr="00472578">
        <w:rPr>
          <w:rStyle w:val="FootnoteReference"/>
        </w:rPr>
        <w:footnoteReference w:id="73"/>
      </w:r>
      <w:r w:rsidRPr="00472578">
        <w:t xml:space="preserve"> industry representatives</w:t>
      </w:r>
      <w:r w:rsidRPr="00472578">
        <w:rPr>
          <w:u w:val="single"/>
        </w:rPr>
        <w:t>, landowners, and</w:t>
      </w:r>
      <w:r w:rsidR="00185982" w:rsidRPr="00472578">
        <w:rPr>
          <w:u w:val="single"/>
        </w:rPr>
        <w:t xml:space="preserve"> </w:t>
      </w:r>
      <w:r w:rsidR="00185982" w:rsidRPr="00472578">
        <w:rPr>
          <w:strike/>
        </w:rPr>
        <w:t>to</w:t>
      </w:r>
      <w:r w:rsidR="00185982" w:rsidRPr="00472578">
        <w:rPr>
          <w:rStyle w:val="FootnoteReference"/>
        </w:rPr>
        <w:footnoteReference w:id="74"/>
      </w:r>
      <w:r w:rsidR="00185982" w:rsidRPr="00472578">
        <w:t xml:space="preserve"> </w:t>
      </w:r>
      <w:r w:rsidRPr="00472578">
        <w:t xml:space="preserve">community-based volunteer groups, provide valuable strategic input to planning and decision-making. Inter-agency groups, such as </w:t>
      </w:r>
      <w:proofErr w:type="spellStart"/>
      <w:r w:rsidRPr="00472578">
        <w:t>Te</w:t>
      </w:r>
      <w:proofErr w:type="spellEnd"/>
      <w:r w:rsidRPr="00472578">
        <w:t xml:space="preserve"> </w:t>
      </w:r>
      <w:proofErr w:type="spellStart"/>
      <w:r w:rsidRPr="00472578">
        <w:t>Roopu</w:t>
      </w:r>
      <w:proofErr w:type="spellEnd"/>
      <w:r w:rsidRPr="00472578">
        <w:t xml:space="preserve"> </w:t>
      </w:r>
      <w:proofErr w:type="spellStart"/>
      <w:r w:rsidRPr="00472578">
        <w:t>Taiao</w:t>
      </w:r>
      <w:proofErr w:type="spellEnd"/>
      <w:r w:rsidRPr="00472578">
        <w:t>, can assist with managing cross-boundary issues and issues affecting people across Otago strategically and collaboratively.</w:t>
      </w:r>
    </w:p>
    <w:p w14:paraId="5D5E1222" w14:textId="2DCCB245" w:rsidR="009A1120" w:rsidRPr="00472578" w:rsidRDefault="009A1120" w:rsidP="00E92686">
      <w:pPr>
        <w:jc w:val="both"/>
      </w:pPr>
      <w:r w:rsidRPr="00472578">
        <w:t xml:space="preserve">ORC will seek to establish and build upon working relationships with other resource management stakeholders. This will help ensure that the processes it undertakes are efficient and, wherever possible, reduce duplication of effort. As new issues emerge in the region and work on existing issues continues, </w:t>
      </w:r>
      <w:r w:rsidRPr="00472578">
        <w:lastRenderedPageBreak/>
        <w:t xml:space="preserve">they are best managed through collaboration, which will improve effectiveness and deliver better outcomes. This is particularly important for enhancing and managing </w:t>
      </w:r>
      <w:r w:rsidRPr="00472578">
        <w:rPr>
          <w:u w:val="single"/>
        </w:rPr>
        <w:t>important region-wide matters such as</w:t>
      </w:r>
      <w:r w:rsidRPr="00472578">
        <w:rPr>
          <w:rStyle w:val="FootnoteReference"/>
        </w:rPr>
        <w:footnoteReference w:id="75"/>
      </w:r>
      <w:r w:rsidRPr="00472578">
        <w:t xml:space="preserve"> </w:t>
      </w:r>
      <w:r w:rsidRPr="00472578">
        <w:rPr>
          <w:i/>
        </w:rPr>
        <w:t xml:space="preserve">regionally significant infrastructure </w:t>
      </w:r>
      <w:r w:rsidRPr="00472578">
        <w:t xml:space="preserve">and </w:t>
      </w:r>
      <w:r w:rsidRPr="00472578">
        <w:rPr>
          <w:i/>
        </w:rPr>
        <w:t>significant natural areas</w:t>
      </w:r>
      <w:r w:rsidRPr="00472578">
        <w:t>.</w:t>
      </w:r>
    </w:p>
    <w:p w14:paraId="7CEA882D" w14:textId="77777777" w:rsidR="009A1120" w:rsidRPr="00472578" w:rsidRDefault="009A1120" w:rsidP="00E92686">
      <w:pPr>
        <w:keepNext/>
        <w:keepLines/>
        <w:spacing w:before="360"/>
        <w:jc w:val="both"/>
        <w:outlineLvl w:val="3"/>
        <w:rPr>
          <w:rFonts w:eastAsiaTheme="majorEastAsia" w:cstheme="majorBidi"/>
          <w:b/>
          <w:iCs/>
          <w:color w:val="1F3864" w:themeColor="accent1" w:themeShade="80"/>
          <w:sz w:val="24"/>
        </w:rPr>
      </w:pPr>
      <w:r w:rsidRPr="00472578">
        <w:rPr>
          <w:rFonts w:eastAsiaTheme="majorEastAsia" w:cstheme="majorBidi"/>
          <w:b/>
          <w:iCs/>
          <w:color w:val="1F3864" w:themeColor="accent1" w:themeShade="80"/>
          <w:sz w:val="24"/>
        </w:rPr>
        <w:t xml:space="preserve">Cooperation and partnerships with other </w:t>
      </w:r>
      <w:r w:rsidRPr="00472578">
        <w:rPr>
          <w:rFonts w:eastAsiaTheme="majorEastAsia" w:cstheme="majorBidi"/>
          <w:b/>
          <w:i/>
          <w:color w:val="1F3864" w:themeColor="accent1" w:themeShade="80"/>
          <w:sz w:val="24"/>
        </w:rPr>
        <w:t>local authorities</w:t>
      </w:r>
    </w:p>
    <w:p w14:paraId="4C7720C8" w14:textId="77777777" w:rsidR="009A1120" w:rsidRPr="00472578" w:rsidRDefault="009A1120" w:rsidP="00E92686">
      <w:pPr>
        <w:jc w:val="both"/>
      </w:pPr>
      <w:r w:rsidRPr="00472578">
        <w:t xml:space="preserve">There are many opportunities to work more closely with other </w:t>
      </w:r>
      <w:r w:rsidRPr="00472578">
        <w:rPr>
          <w:i/>
          <w:iCs/>
        </w:rPr>
        <w:t>local authorities</w:t>
      </w:r>
      <w:r w:rsidRPr="00472578">
        <w:t xml:space="preserve"> to achieve a consistent and integrated approach to managing </w:t>
      </w:r>
      <w:r w:rsidRPr="00472578">
        <w:rPr>
          <w:i/>
          <w:iCs/>
        </w:rPr>
        <w:t>natural and physical resources</w:t>
      </w:r>
      <w:r w:rsidRPr="00472578">
        <w:t>.</w:t>
      </w:r>
    </w:p>
    <w:p w14:paraId="11316B01" w14:textId="77777777" w:rsidR="009A1120" w:rsidRPr="00472578" w:rsidRDefault="009A1120" w:rsidP="00E92686">
      <w:pPr>
        <w:contextualSpacing/>
        <w:jc w:val="both"/>
      </w:pPr>
      <w:r w:rsidRPr="00472578">
        <w:rPr>
          <w:i/>
        </w:rPr>
        <w:t>Local authorities</w:t>
      </w:r>
      <w:r w:rsidRPr="00472578">
        <w:t xml:space="preserve"> together can:</w:t>
      </w:r>
    </w:p>
    <w:p w14:paraId="2FE2D0BE" w14:textId="77777777" w:rsidR="009A1120" w:rsidRPr="00472578" w:rsidRDefault="009A1120" w:rsidP="00E92686">
      <w:pPr>
        <w:numPr>
          <w:ilvl w:val="0"/>
          <w:numId w:val="10"/>
        </w:numPr>
        <w:ind w:left="567" w:hanging="567"/>
        <w:jc w:val="both"/>
      </w:pPr>
      <w:r w:rsidRPr="00472578">
        <w:t xml:space="preserve">share information, for instance to understand the long-term growth and economic development opportunities and threats and the spatial pattern of </w:t>
      </w:r>
      <w:r w:rsidRPr="00472578">
        <w:rPr>
          <w:i/>
          <w:iCs/>
        </w:rPr>
        <w:t>land use</w:t>
      </w:r>
      <w:r w:rsidRPr="00472578">
        <w:t xml:space="preserve"> and development, or to ensure natural resources are not artificially </w:t>
      </w:r>
      <w:proofErr w:type="gramStart"/>
      <w:r w:rsidRPr="00472578">
        <w:t>fragmented;</w:t>
      </w:r>
      <w:proofErr w:type="gramEnd"/>
    </w:p>
    <w:p w14:paraId="2B6ED886" w14:textId="77777777" w:rsidR="009A1120" w:rsidRPr="00472578" w:rsidRDefault="009A1120" w:rsidP="00E92686">
      <w:pPr>
        <w:numPr>
          <w:ilvl w:val="0"/>
          <w:numId w:val="10"/>
        </w:numPr>
        <w:ind w:left="567" w:hanging="567"/>
        <w:jc w:val="both"/>
      </w:pPr>
      <w:r w:rsidRPr="00472578">
        <w:t xml:space="preserve">hold joint processes for processing </w:t>
      </w:r>
      <w:r w:rsidRPr="00472578">
        <w:rPr>
          <w:i/>
        </w:rPr>
        <w:t>resource consents</w:t>
      </w:r>
      <w:r w:rsidRPr="00472578">
        <w:t xml:space="preserve"> and associated hearings </w:t>
      </w:r>
      <w:proofErr w:type="gramStart"/>
      <w:r w:rsidRPr="00472578">
        <w:t>where</w:t>
      </w:r>
      <w:proofErr w:type="gramEnd"/>
      <w:r w:rsidRPr="00472578">
        <w:t xml:space="preserve"> activities or </w:t>
      </w:r>
      <w:r w:rsidRPr="00472578">
        <w:rPr>
          <w:i/>
        </w:rPr>
        <w:t>effects</w:t>
      </w:r>
      <w:r w:rsidRPr="00472578">
        <w:t xml:space="preserve"> cross jurisdictional boundaries. This allows all </w:t>
      </w:r>
      <w:r w:rsidRPr="00472578">
        <w:rPr>
          <w:i/>
        </w:rPr>
        <w:t>effects</w:t>
      </w:r>
      <w:r w:rsidRPr="00472578">
        <w:t xml:space="preserve"> of </w:t>
      </w:r>
      <w:r w:rsidRPr="00472578">
        <w:rPr>
          <w:strike/>
        </w:rPr>
        <w:t>new</w:t>
      </w:r>
      <w:r w:rsidRPr="00472578">
        <w:rPr>
          <w:rStyle w:val="FootnoteReference"/>
        </w:rPr>
        <w:footnoteReference w:id="76"/>
      </w:r>
      <w:r w:rsidRPr="00472578">
        <w:t xml:space="preserve"> activities to be considered holistically at the same time, including any cumulative </w:t>
      </w:r>
      <w:r w:rsidRPr="00472578">
        <w:rPr>
          <w:i/>
        </w:rPr>
        <w:t>effects</w:t>
      </w:r>
      <w:r w:rsidRPr="00472578">
        <w:t xml:space="preserve">. Joint processes could also reduce the processing cost (in both money and time) for the </w:t>
      </w:r>
      <w:proofErr w:type="gramStart"/>
      <w:r w:rsidRPr="00472578">
        <w:t>applicant;</w:t>
      </w:r>
      <w:proofErr w:type="gramEnd"/>
    </w:p>
    <w:p w14:paraId="56755BCE" w14:textId="77777777" w:rsidR="009A1120" w:rsidRPr="00472578" w:rsidRDefault="009A1120" w:rsidP="00E92686">
      <w:pPr>
        <w:numPr>
          <w:ilvl w:val="0"/>
          <w:numId w:val="10"/>
        </w:numPr>
        <w:ind w:left="567" w:hanging="567"/>
        <w:jc w:val="both"/>
      </w:pPr>
      <w:r w:rsidRPr="00472578">
        <w:t xml:space="preserve">work collaboratively on plan changes and develop combined planning documents for shared areas of </w:t>
      </w:r>
      <w:proofErr w:type="gramStart"/>
      <w:r w:rsidRPr="00472578">
        <w:t>responsibility;</w:t>
      </w:r>
      <w:proofErr w:type="gramEnd"/>
    </w:p>
    <w:p w14:paraId="6F4FC07B" w14:textId="77777777" w:rsidR="009A1120" w:rsidRPr="00472578" w:rsidRDefault="009A1120" w:rsidP="00E92686">
      <w:pPr>
        <w:numPr>
          <w:ilvl w:val="0"/>
          <w:numId w:val="10"/>
        </w:numPr>
        <w:ind w:left="567" w:hanging="567"/>
        <w:jc w:val="both"/>
      </w:pPr>
      <w:r w:rsidRPr="00472578">
        <w:t>clearly define their resource management roles and responsibilities to reduce duplication of effort and streamline processes for Otago’s communities; and</w:t>
      </w:r>
    </w:p>
    <w:p w14:paraId="619815EF" w14:textId="7CA90500" w:rsidR="009A1120" w:rsidRPr="00472578" w:rsidRDefault="009A1120" w:rsidP="00E92686">
      <w:pPr>
        <w:numPr>
          <w:ilvl w:val="0"/>
          <w:numId w:val="10"/>
        </w:numPr>
        <w:ind w:left="567" w:hanging="567"/>
        <w:jc w:val="both"/>
      </w:pPr>
      <w:r w:rsidRPr="00472578">
        <w:t xml:space="preserve">cooperate and budget for joint processes and major projects through Annual and Long-term Planning processes under the </w:t>
      </w:r>
      <w:r w:rsidRPr="00BA307C">
        <w:rPr>
          <w:strike/>
        </w:rPr>
        <w:t>Local Government Act 2002 (LGA 2002)</w:t>
      </w:r>
      <w:r w:rsidR="00BA307C">
        <w:t xml:space="preserve"> </w:t>
      </w:r>
      <w:r w:rsidR="00BA307C" w:rsidRPr="00BA307C">
        <w:rPr>
          <w:u w:val="single"/>
        </w:rPr>
        <w:t>LGA</w:t>
      </w:r>
      <w:r w:rsidR="00BA307C" w:rsidRPr="00BA307C">
        <w:rPr>
          <w:rStyle w:val="FootnoteReference"/>
        </w:rPr>
        <w:footnoteReference w:id="77"/>
      </w:r>
      <w:r w:rsidRPr="00472578">
        <w:t xml:space="preserve">. This allows pooling resources, reducing </w:t>
      </w:r>
      <w:proofErr w:type="gramStart"/>
      <w:r w:rsidRPr="00472578">
        <w:t>inefficiency</w:t>
      </w:r>
      <w:proofErr w:type="gramEnd"/>
      <w:r w:rsidRPr="00472578">
        <w:t xml:space="preserve"> and integrating management approaches through time, to ensure that cooperation between agencies is budgeted for, including setting up structures and processes for joint management.</w:t>
      </w:r>
    </w:p>
    <w:p w14:paraId="228E575B" w14:textId="77777777" w:rsidR="009A1120" w:rsidRPr="00472578" w:rsidRDefault="009A1120" w:rsidP="00E92686">
      <w:pPr>
        <w:jc w:val="both"/>
      </w:pPr>
      <w:r w:rsidRPr="00472578">
        <w:t xml:space="preserve">These approaches are more likely to properly address cross-boundary issues and </w:t>
      </w:r>
      <w:r w:rsidRPr="00472578">
        <w:rPr>
          <w:i/>
          <w:iCs/>
        </w:rPr>
        <w:t>effects</w:t>
      </w:r>
      <w:r w:rsidRPr="00472578">
        <w:t xml:space="preserve"> than </w:t>
      </w:r>
      <w:r w:rsidRPr="00472578">
        <w:rPr>
          <w:i/>
          <w:iCs/>
        </w:rPr>
        <w:t>local authorities</w:t>
      </w:r>
      <w:r w:rsidRPr="00472578">
        <w:t xml:space="preserve"> working alone.</w:t>
      </w:r>
    </w:p>
    <w:p w14:paraId="49B9F641" w14:textId="77777777" w:rsidR="009A1120" w:rsidRPr="00472578" w:rsidRDefault="009A1120" w:rsidP="00E92686">
      <w:pPr>
        <w:pStyle w:val="Heading4"/>
        <w:jc w:val="both"/>
      </w:pPr>
      <w:r w:rsidRPr="00472578">
        <w:t>Triennial agreement</w:t>
      </w:r>
    </w:p>
    <w:p w14:paraId="7E28FE4A" w14:textId="55AB953D" w:rsidR="009A1120" w:rsidRPr="00472578" w:rsidRDefault="009A1120" w:rsidP="00E92686">
      <w:pPr>
        <w:jc w:val="both"/>
      </w:pPr>
      <w:r w:rsidRPr="00472578">
        <w:t xml:space="preserve">Triennial agreements under the LGA </w:t>
      </w:r>
      <w:r w:rsidRPr="00BA307C">
        <w:rPr>
          <w:strike/>
        </w:rPr>
        <w:t>2002</w:t>
      </w:r>
      <w:r w:rsidR="009231E7">
        <w:rPr>
          <w:rStyle w:val="FootnoteReference"/>
        </w:rPr>
        <w:footnoteReference w:id="78"/>
      </w:r>
      <w:r w:rsidRPr="00472578">
        <w:t xml:space="preserve"> are an opportunity for </w:t>
      </w:r>
      <w:r w:rsidRPr="00472578">
        <w:rPr>
          <w:i/>
          <w:iCs/>
        </w:rPr>
        <w:t>local authorities</w:t>
      </w:r>
      <w:r w:rsidRPr="00472578">
        <w:t xml:space="preserve"> within a region to set out processes for consultation, </w:t>
      </w:r>
      <w:proofErr w:type="gramStart"/>
      <w:r w:rsidRPr="00472578">
        <w:t>protocols</w:t>
      </w:r>
      <w:proofErr w:type="gramEnd"/>
      <w:r w:rsidRPr="00472578">
        <w:t xml:space="preserve"> and processes for resolving cross-boundary issues.</w:t>
      </w:r>
    </w:p>
    <w:p w14:paraId="05B0658E" w14:textId="77777777" w:rsidR="009A1120" w:rsidRPr="00472578" w:rsidRDefault="009A1120" w:rsidP="00E92686">
      <w:pPr>
        <w:pStyle w:val="Heading4"/>
        <w:jc w:val="both"/>
      </w:pPr>
      <w:r w:rsidRPr="00472578">
        <w:t>Cooperation at a national level</w:t>
      </w:r>
    </w:p>
    <w:p w14:paraId="5B34B80D" w14:textId="306B79E4" w:rsidR="009A1120" w:rsidRPr="00472578" w:rsidRDefault="009A1120" w:rsidP="00E92686">
      <w:pPr>
        <w:jc w:val="both"/>
      </w:pPr>
      <w:r w:rsidRPr="00472578">
        <w:t xml:space="preserve">Cross-boundary issues may arise that are significant at a national level. This is particularly likely when addressing nationally </w:t>
      </w:r>
      <w:r w:rsidRPr="639E38F9">
        <w:rPr>
          <w:strike/>
        </w:rPr>
        <w:t>important</w:t>
      </w:r>
      <w:r w:rsidRPr="00472578">
        <w:t xml:space="preserve"> </w:t>
      </w:r>
      <w:r w:rsidRPr="639E38F9">
        <w:rPr>
          <w:u w:val="single"/>
        </w:rPr>
        <w:t>significant</w:t>
      </w:r>
      <w:r w:rsidRPr="639E38F9">
        <w:rPr>
          <w:rStyle w:val="FootnoteReference"/>
        </w:rPr>
        <w:footnoteReference w:id="79"/>
      </w:r>
      <w:r>
        <w:t xml:space="preserve"> </w:t>
      </w:r>
      <w:r w:rsidRPr="00472578">
        <w:t xml:space="preserve">infrastructure such as the </w:t>
      </w:r>
      <w:r w:rsidRPr="639E38F9">
        <w:rPr>
          <w:u w:val="single"/>
        </w:rPr>
        <w:t>National Grid</w:t>
      </w:r>
      <w:r>
        <w:t xml:space="preserve"> </w:t>
      </w:r>
      <w:r w:rsidRPr="639E38F9">
        <w:rPr>
          <w:strike/>
        </w:rPr>
        <w:t>electricity transmission grid</w:t>
      </w:r>
      <w:r w:rsidRPr="639E38F9">
        <w:rPr>
          <w:rStyle w:val="FootnoteReference"/>
        </w:rPr>
        <w:footnoteReference w:id="80"/>
      </w:r>
      <w:r w:rsidRPr="00472578">
        <w:t xml:space="preserve"> or </w:t>
      </w:r>
      <w:r w:rsidRPr="00472578">
        <w:rPr>
          <w:i/>
          <w:iCs/>
        </w:rPr>
        <w:t>land</w:t>
      </w:r>
      <w:r w:rsidRPr="00472578">
        <w:t xml:space="preserve"> transport infrastructure.</w:t>
      </w:r>
    </w:p>
    <w:p w14:paraId="10859ECC" w14:textId="24DD8E2B" w:rsidR="009A1120" w:rsidRPr="00472578" w:rsidRDefault="009A1120" w:rsidP="00E92686">
      <w:pPr>
        <w:jc w:val="both"/>
      </w:pPr>
      <w:r w:rsidRPr="00472578">
        <w:lastRenderedPageBreak/>
        <w:t xml:space="preserve">In such cases, ORC will advise and work with the Minister for the Environment, the Minister of Conservation in the </w:t>
      </w:r>
      <w:r w:rsidRPr="00472578">
        <w:rPr>
          <w:i/>
          <w:iCs/>
        </w:rPr>
        <w:t>coastal marine area</w:t>
      </w:r>
      <w:r w:rsidRPr="00472578">
        <w:t xml:space="preserve"> and any other relevant agency to identify and resolve cross boundary issues or proposals, to ensure that consideration of the matter occurs in a transparent and timely manner. ORC will </w:t>
      </w:r>
      <w:r w:rsidR="001926DE" w:rsidRPr="00472578">
        <w:t>endeavour</w:t>
      </w:r>
      <w:r w:rsidRPr="00472578">
        <w:t xml:space="preserve"> to represent its communities’ interests in such situations.</w:t>
      </w:r>
    </w:p>
    <w:p w14:paraId="7129A3F1" w14:textId="77777777" w:rsidR="009A1120" w:rsidRPr="00472578" w:rsidRDefault="009A1120" w:rsidP="00E92686">
      <w:pPr>
        <w:pStyle w:val="Heading4"/>
        <w:jc w:val="both"/>
      </w:pPr>
      <w:bookmarkStart w:id="14" w:name="_Hlk98494286"/>
      <w:r w:rsidRPr="00472578">
        <w:t xml:space="preserve">Transferring and delegating functions, </w:t>
      </w:r>
      <w:proofErr w:type="gramStart"/>
      <w:r w:rsidRPr="00472578">
        <w:t>powers</w:t>
      </w:r>
      <w:proofErr w:type="gramEnd"/>
      <w:r w:rsidRPr="00472578">
        <w:t xml:space="preserve"> and duties to other authorities</w:t>
      </w:r>
    </w:p>
    <w:bookmarkEnd w:id="14"/>
    <w:p w14:paraId="6583385A" w14:textId="71E9D58E" w:rsidR="009A1120" w:rsidRPr="00472578" w:rsidRDefault="009A1120" w:rsidP="00E92686">
      <w:pPr>
        <w:jc w:val="both"/>
      </w:pPr>
      <w:r w:rsidRPr="00472578">
        <w:rPr>
          <w:strike/>
        </w:rPr>
        <w:t xml:space="preserve">The RMA 1991 enables ORC to transfer or delegate its powers to another public authority, community boards, </w:t>
      </w:r>
      <w:proofErr w:type="gramStart"/>
      <w:r w:rsidRPr="00472578">
        <w:rPr>
          <w:strike/>
        </w:rPr>
        <w:t>commissioners</w:t>
      </w:r>
      <w:proofErr w:type="gramEnd"/>
      <w:r w:rsidRPr="00472578">
        <w:rPr>
          <w:strike/>
        </w:rPr>
        <w:t xml:space="preserve"> or employees. ORC can also enter joint management agreements with other statutory bodies (such as </w:t>
      </w:r>
      <w:proofErr w:type="spellStart"/>
      <w:r w:rsidRPr="00472578">
        <w:rPr>
          <w:strike/>
        </w:rPr>
        <w:t>Te</w:t>
      </w:r>
      <w:proofErr w:type="spellEnd"/>
      <w:r w:rsidRPr="00472578">
        <w:rPr>
          <w:strike/>
        </w:rPr>
        <w:t xml:space="preserve"> </w:t>
      </w:r>
      <w:proofErr w:type="spellStart"/>
      <w:r w:rsidRPr="00472578">
        <w:rPr>
          <w:strike/>
        </w:rPr>
        <w:t>Rūnanga</w:t>
      </w:r>
      <w:proofErr w:type="spellEnd"/>
      <w:r w:rsidRPr="00472578">
        <w:rPr>
          <w:strike/>
        </w:rPr>
        <w:t xml:space="preserve"> o </w:t>
      </w:r>
      <w:proofErr w:type="spellStart"/>
      <w:r w:rsidRPr="00472578">
        <w:rPr>
          <w:strike/>
        </w:rPr>
        <w:t>Ngāi</w:t>
      </w:r>
      <w:proofErr w:type="spellEnd"/>
      <w:r w:rsidRPr="00472578">
        <w:rPr>
          <w:strike/>
        </w:rPr>
        <w:t xml:space="preserve"> </w:t>
      </w:r>
      <w:proofErr w:type="spellStart"/>
      <w:r w:rsidRPr="00472578">
        <w:rPr>
          <w:strike/>
        </w:rPr>
        <w:t>Tahu</w:t>
      </w:r>
      <w:proofErr w:type="spellEnd"/>
      <w:r w:rsidRPr="00472578">
        <w:rPr>
          <w:strike/>
        </w:rPr>
        <w:t>).</w:t>
      </w:r>
      <w:r w:rsidRPr="00472578">
        <w:t xml:space="preserve"> </w:t>
      </w:r>
      <w:r w:rsidRPr="5716B200">
        <w:rPr>
          <w:u w:val="single"/>
        </w:rPr>
        <w:t>The RMA enables</w:t>
      </w:r>
      <w:r w:rsidRPr="00472578">
        <w:rPr>
          <w:u w:val="single"/>
        </w:rPr>
        <w:t xml:space="preserve"> ORC to transfer its powers, </w:t>
      </w:r>
      <w:proofErr w:type="gramStart"/>
      <w:r w:rsidRPr="00472578">
        <w:rPr>
          <w:u w:val="single"/>
        </w:rPr>
        <w:t>functions</w:t>
      </w:r>
      <w:proofErr w:type="gramEnd"/>
      <w:r w:rsidRPr="00472578">
        <w:rPr>
          <w:u w:val="single"/>
        </w:rPr>
        <w:t xml:space="preserve"> and duties to another public authority, including an iwi authority or other statutory body. It may also delegate these </w:t>
      </w:r>
      <w:proofErr w:type="spellStart"/>
      <w:r w:rsidRPr="00472578">
        <w:rPr>
          <w:u w:val="single"/>
        </w:rPr>
        <w:t>to</w:t>
      </w:r>
      <w:proofErr w:type="spellEnd"/>
      <w:r w:rsidRPr="00472578">
        <w:rPr>
          <w:u w:val="single"/>
        </w:rPr>
        <w:t xml:space="preserve"> committees, community boards, </w:t>
      </w:r>
      <w:proofErr w:type="gramStart"/>
      <w:r w:rsidRPr="00472578">
        <w:rPr>
          <w:u w:val="single"/>
        </w:rPr>
        <w:t>commissioners</w:t>
      </w:r>
      <w:proofErr w:type="gramEnd"/>
      <w:r w:rsidRPr="00472578">
        <w:rPr>
          <w:u w:val="single"/>
        </w:rPr>
        <w:t xml:space="preserve"> or employees. ORC can also enter joint management agreements with other statutory bodies and an iwi authority (such as </w:t>
      </w:r>
      <w:proofErr w:type="spellStart"/>
      <w:r w:rsidRPr="00472578">
        <w:rPr>
          <w:u w:val="single"/>
        </w:rPr>
        <w:t>Te</w:t>
      </w:r>
      <w:proofErr w:type="spellEnd"/>
      <w:r w:rsidRPr="00472578">
        <w:rPr>
          <w:u w:val="single"/>
        </w:rPr>
        <w:t xml:space="preserve"> </w:t>
      </w:r>
      <w:proofErr w:type="spellStart"/>
      <w:r w:rsidRPr="00472578">
        <w:rPr>
          <w:u w:val="single"/>
        </w:rPr>
        <w:t>Rūnanga</w:t>
      </w:r>
      <w:proofErr w:type="spellEnd"/>
      <w:r w:rsidRPr="00472578">
        <w:rPr>
          <w:u w:val="single"/>
        </w:rPr>
        <w:t xml:space="preserve"> o </w:t>
      </w:r>
      <w:proofErr w:type="spellStart"/>
      <w:r w:rsidRPr="00472578">
        <w:rPr>
          <w:u w:val="single"/>
        </w:rPr>
        <w:t>Ngāi</w:t>
      </w:r>
      <w:proofErr w:type="spellEnd"/>
      <w:r w:rsidRPr="00472578">
        <w:rPr>
          <w:u w:val="single"/>
        </w:rPr>
        <w:t xml:space="preserve"> </w:t>
      </w:r>
      <w:proofErr w:type="spellStart"/>
      <w:r w:rsidRPr="00472578">
        <w:rPr>
          <w:u w:val="single"/>
        </w:rPr>
        <w:t>Tahu</w:t>
      </w:r>
      <w:proofErr w:type="spellEnd"/>
      <w:r w:rsidRPr="00472578">
        <w:rPr>
          <w:u w:val="single"/>
        </w:rPr>
        <w:t>).</w:t>
      </w:r>
      <w:r w:rsidRPr="00472578">
        <w:rPr>
          <w:rStyle w:val="FootnoteReference"/>
        </w:rPr>
        <w:footnoteReference w:id="81"/>
      </w:r>
    </w:p>
    <w:p w14:paraId="7615D2CC" w14:textId="77777777" w:rsidR="009A1120" w:rsidRPr="00472578" w:rsidRDefault="009A1120" w:rsidP="00E92686">
      <w:pPr>
        <w:jc w:val="both"/>
      </w:pPr>
      <w:r w:rsidRPr="00472578">
        <w:t>These tools can be used to achieve integrated management and to reduce duplication of effort by local and public authorities</w:t>
      </w:r>
      <w:r w:rsidRPr="00472578">
        <w:rPr>
          <w:u w:val="single"/>
        </w:rPr>
        <w:t>, and to enable a Treaty partnership approach to resource management</w:t>
      </w:r>
      <w:r w:rsidRPr="00472578">
        <w:t>.</w:t>
      </w:r>
      <w:r w:rsidRPr="00472578">
        <w:rPr>
          <w:rStyle w:val="FootnoteReference"/>
        </w:rPr>
        <w:footnoteReference w:id="82"/>
      </w:r>
      <w:r w:rsidRPr="00472578">
        <w:t xml:space="preserve"> Joint management agreements enable </w:t>
      </w:r>
      <w:r w:rsidRPr="00472578">
        <w:rPr>
          <w:u w:val="single"/>
        </w:rPr>
        <w:t>iwi partners and</w:t>
      </w:r>
      <w:r w:rsidRPr="00472578">
        <w:rPr>
          <w:rStyle w:val="FootnoteReference"/>
        </w:rPr>
        <w:footnoteReference w:id="83"/>
      </w:r>
      <w:r w:rsidRPr="00472578">
        <w:t xml:space="preserve"> important stakeholders to have an active role in the management of specific resources, and for specific purposes. They can also be used to build community capacity and share understanding in resource management.</w:t>
      </w:r>
    </w:p>
    <w:p w14:paraId="3E44D0D9" w14:textId="77777777" w:rsidR="009A1120" w:rsidRPr="00472578" w:rsidRDefault="009A1120" w:rsidP="00E92686">
      <w:pPr>
        <w:pStyle w:val="Heading4"/>
        <w:jc w:val="both"/>
      </w:pPr>
      <w:r w:rsidRPr="00472578">
        <w:t xml:space="preserve">Helping to build capacity for, and improve, </w:t>
      </w:r>
      <w:proofErr w:type="spellStart"/>
      <w:r w:rsidRPr="00472578">
        <w:rPr>
          <w:i/>
        </w:rPr>
        <w:t>takata</w:t>
      </w:r>
      <w:proofErr w:type="spellEnd"/>
      <w:r w:rsidRPr="00472578">
        <w:rPr>
          <w:i/>
        </w:rPr>
        <w:t xml:space="preserve"> whenua</w:t>
      </w:r>
      <w:r w:rsidRPr="00472578">
        <w:t xml:space="preserve"> involvement</w:t>
      </w:r>
    </w:p>
    <w:p w14:paraId="710CEEAB" w14:textId="77777777" w:rsidR="009A1120" w:rsidRPr="00472578" w:rsidRDefault="009A1120" w:rsidP="00E92686">
      <w:pPr>
        <w:jc w:val="both"/>
      </w:pPr>
      <w:r w:rsidRPr="00472578">
        <w:rPr>
          <w:i/>
        </w:rPr>
        <w:t>Takata whenua</w:t>
      </w:r>
      <w:r w:rsidRPr="00472578">
        <w:t xml:space="preserve"> have the prerogative to express and explain how their </w:t>
      </w:r>
      <w:proofErr w:type="spellStart"/>
      <w:r w:rsidRPr="00472578">
        <w:t>tikaka</w:t>
      </w:r>
      <w:proofErr w:type="spellEnd"/>
      <w:r w:rsidRPr="00472578">
        <w:t xml:space="preserve"> and </w:t>
      </w:r>
      <w:proofErr w:type="spellStart"/>
      <w:r w:rsidRPr="00472578">
        <w:t>m</w:t>
      </w:r>
      <w:r w:rsidRPr="00472578">
        <w:rPr>
          <w:rFonts w:cstheme="minorHAnsi"/>
        </w:rPr>
        <w:t>ā</w:t>
      </w:r>
      <w:r w:rsidRPr="00472578">
        <w:t>tauraka</w:t>
      </w:r>
      <w:proofErr w:type="spellEnd"/>
      <w:r w:rsidRPr="00472578">
        <w:t xml:space="preserve"> should be realised in resource management. Councils have a vital role in assisting this process through finding ways to partner, resource, and upskill </w:t>
      </w:r>
      <w:proofErr w:type="spellStart"/>
      <w:r w:rsidRPr="00472578">
        <w:t>r</w:t>
      </w:r>
      <w:r w:rsidRPr="00472578">
        <w:rPr>
          <w:rFonts w:cstheme="minorHAnsi"/>
        </w:rPr>
        <w:t>ū</w:t>
      </w:r>
      <w:r w:rsidRPr="00472578">
        <w:t>naka</w:t>
      </w:r>
      <w:proofErr w:type="spellEnd"/>
      <w:r w:rsidRPr="00472578">
        <w:t xml:space="preserve"> so they can be fully involved in the resource management partnership.</w:t>
      </w:r>
    </w:p>
    <w:p w14:paraId="182D0E29" w14:textId="77777777" w:rsidR="009A1120" w:rsidRPr="00472578" w:rsidRDefault="009A1120" w:rsidP="00E92686">
      <w:pPr>
        <w:jc w:val="both"/>
      </w:pPr>
      <w:r w:rsidRPr="00472578">
        <w:rPr>
          <w:u w:val="single"/>
        </w:rPr>
        <w:t xml:space="preserve">Establishing and implementing relationship agreements such as Mana </w:t>
      </w:r>
      <w:proofErr w:type="spellStart"/>
      <w:r w:rsidRPr="00472578">
        <w:rPr>
          <w:u w:val="single"/>
        </w:rPr>
        <w:t>Whakahono</w:t>
      </w:r>
      <w:proofErr w:type="spellEnd"/>
      <w:r w:rsidRPr="00472578">
        <w:rPr>
          <w:u w:val="single"/>
        </w:rPr>
        <w:t xml:space="preserve"> a </w:t>
      </w:r>
      <w:proofErr w:type="spellStart"/>
      <w:r w:rsidRPr="00472578">
        <w:rPr>
          <w:u w:val="single"/>
        </w:rPr>
        <w:t>Rohe</w:t>
      </w:r>
      <w:proofErr w:type="spellEnd"/>
      <w:r w:rsidRPr="00472578">
        <w:rPr>
          <w:u w:val="single"/>
        </w:rPr>
        <w:t xml:space="preserve"> agreements, protocols and charters can provide a framework for the council to provide necessary support. Increasing skills and capacity within council staff and decision-makers through training in </w:t>
      </w:r>
      <w:proofErr w:type="spellStart"/>
      <w:r w:rsidRPr="00472578">
        <w:rPr>
          <w:u w:val="single"/>
        </w:rPr>
        <w:t>Te</w:t>
      </w:r>
      <w:proofErr w:type="spellEnd"/>
      <w:r w:rsidRPr="00472578">
        <w:rPr>
          <w:u w:val="single"/>
        </w:rPr>
        <w:t xml:space="preserve"> </w:t>
      </w:r>
      <w:proofErr w:type="spellStart"/>
      <w:r w:rsidRPr="00472578">
        <w:rPr>
          <w:u w:val="single"/>
        </w:rPr>
        <w:t>Tiriti</w:t>
      </w:r>
      <w:proofErr w:type="spellEnd"/>
      <w:r w:rsidRPr="00472578">
        <w:rPr>
          <w:u w:val="single"/>
        </w:rPr>
        <w:t xml:space="preserve"> o Waitangi, locally relevant Treaty Settlement mechanisms and tikanga Māori, and developing familiarity with </w:t>
      </w:r>
      <w:proofErr w:type="spellStart"/>
      <w:r w:rsidRPr="00472578">
        <w:rPr>
          <w:u w:val="single"/>
        </w:rPr>
        <w:t>Kāi</w:t>
      </w:r>
      <w:proofErr w:type="spellEnd"/>
      <w:r w:rsidRPr="00472578">
        <w:rPr>
          <w:u w:val="single"/>
        </w:rPr>
        <w:t xml:space="preserve"> </w:t>
      </w:r>
      <w:proofErr w:type="spellStart"/>
      <w:r w:rsidRPr="00472578">
        <w:rPr>
          <w:u w:val="single"/>
        </w:rPr>
        <w:t>Tahu</w:t>
      </w:r>
      <w:proofErr w:type="spellEnd"/>
      <w:r w:rsidRPr="00472578">
        <w:rPr>
          <w:u w:val="single"/>
        </w:rPr>
        <w:t xml:space="preserve"> documents, are also important means of improving </w:t>
      </w:r>
      <w:proofErr w:type="spellStart"/>
      <w:r w:rsidRPr="00472578">
        <w:rPr>
          <w:u w:val="single"/>
        </w:rPr>
        <w:t>takata</w:t>
      </w:r>
      <w:proofErr w:type="spellEnd"/>
      <w:r w:rsidRPr="00472578">
        <w:rPr>
          <w:u w:val="single"/>
        </w:rPr>
        <w:t xml:space="preserve"> whenua involvement in council processes.</w:t>
      </w:r>
      <w:r w:rsidRPr="00472578">
        <w:rPr>
          <w:rStyle w:val="FootnoteReference"/>
        </w:rPr>
        <w:footnoteReference w:id="84"/>
      </w:r>
    </w:p>
    <w:p w14:paraId="1384EE13" w14:textId="77777777" w:rsidR="009A1120" w:rsidRPr="00472578" w:rsidRDefault="009A1120" w:rsidP="00E92686">
      <w:pPr>
        <w:jc w:val="both"/>
        <w:rPr>
          <w:rFonts w:asciiTheme="majorHAnsi" w:eastAsiaTheme="majorEastAsia" w:hAnsiTheme="majorHAnsi" w:cstheme="majorBidi"/>
          <w:color w:val="2F5496" w:themeColor="accent1" w:themeShade="BF"/>
          <w:sz w:val="32"/>
          <w:szCs w:val="26"/>
        </w:rPr>
      </w:pPr>
      <w:bookmarkStart w:id="15" w:name="_Toc49763436"/>
      <w:bookmarkStart w:id="16" w:name="_Toc52435133"/>
      <w:r w:rsidRPr="00472578">
        <w:br w:type="page"/>
      </w:r>
    </w:p>
    <w:p w14:paraId="6DAE04B3" w14:textId="77777777" w:rsidR="009A1120" w:rsidRPr="00472578" w:rsidRDefault="009A1120" w:rsidP="00E92686">
      <w:pPr>
        <w:pStyle w:val="Heading2"/>
        <w:jc w:val="both"/>
      </w:pPr>
      <w:bookmarkStart w:id="17" w:name="_Toc73105350"/>
      <w:bookmarkStart w:id="18" w:name="_Toc102551271"/>
      <w:r w:rsidRPr="00472578">
        <w:lastRenderedPageBreak/>
        <w:t>Interpretation</w:t>
      </w:r>
      <w:bookmarkEnd w:id="15"/>
      <w:bookmarkEnd w:id="16"/>
      <w:bookmarkEnd w:id="17"/>
      <w:bookmarkEnd w:id="18"/>
    </w:p>
    <w:p w14:paraId="47F730E7" w14:textId="77777777" w:rsidR="009A1120" w:rsidRPr="00472578" w:rsidRDefault="009A1120" w:rsidP="00E92686">
      <w:pPr>
        <w:pStyle w:val="Heading3"/>
        <w:jc w:val="both"/>
      </w:pPr>
      <w:bookmarkStart w:id="19" w:name="_Toc49763437"/>
      <w:r w:rsidRPr="00472578">
        <w:t>Definitions</w:t>
      </w:r>
      <w:bookmarkEnd w:id="1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04"/>
        <w:gridCol w:w="7146"/>
      </w:tblGrid>
      <w:tr w:rsidR="009A1120" w:rsidRPr="00472578" w14:paraId="7EB9C537" w14:textId="77777777" w:rsidTr="007612BD">
        <w:trPr>
          <w:tblHeader/>
        </w:trPr>
        <w:tc>
          <w:tcPr>
            <w:tcW w:w="2104" w:type="dxa"/>
            <w:shd w:val="clear" w:color="auto" w:fill="B4C6E7" w:themeFill="accent1" w:themeFillTint="66"/>
          </w:tcPr>
          <w:p w14:paraId="711BDAB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Term</w:t>
            </w:r>
          </w:p>
        </w:tc>
        <w:tc>
          <w:tcPr>
            <w:tcW w:w="7146" w:type="dxa"/>
            <w:shd w:val="clear" w:color="auto" w:fill="B4C6E7" w:themeFill="accent1" w:themeFillTint="66"/>
          </w:tcPr>
          <w:p w14:paraId="54A2A5A6" w14:textId="77777777" w:rsidR="009A1120" w:rsidRPr="00472578" w:rsidRDefault="009A1120" w:rsidP="00E92686">
            <w:pPr>
              <w:tabs>
                <w:tab w:val="center" w:pos="4513"/>
                <w:tab w:val="right" w:pos="9026"/>
              </w:tabs>
              <w:spacing w:before="60" w:after="60"/>
              <w:jc w:val="both"/>
              <w:rPr>
                <w:b/>
                <w:bCs/>
                <w:sz w:val="20"/>
                <w:szCs w:val="20"/>
              </w:rPr>
            </w:pPr>
            <w:r w:rsidRPr="00472578">
              <w:rPr>
                <w:b/>
                <w:bCs/>
                <w:sz w:val="20"/>
                <w:szCs w:val="20"/>
              </w:rPr>
              <w:t>Definition</w:t>
            </w:r>
          </w:p>
        </w:tc>
      </w:tr>
      <w:tr w:rsidR="009A1120" w:rsidRPr="00472578" w14:paraId="24C441A1" w14:textId="77777777" w:rsidTr="007612BD">
        <w:tc>
          <w:tcPr>
            <w:tcW w:w="2104" w:type="dxa"/>
          </w:tcPr>
          <w:p w14:paraId="37CFCF1C" w14:textId="77777777" w:rsidR="009A1120" w:rsidRPr="00472578" w:rsidRDefault="009A1120" w:rsidP="00DC6CD9">
            <w:pPr>
              <w:tabs>
                <w:tab w:val="center" w:pos="4513"/>
                <w:tab w:val="right" w:pos="9026"/>
              </w:tabs>
              <w:spacing w:before="60" w:after="60"/>
              <w:rPr>
                <w:b/>
                <w:bCs/>
                <w:strike/>
                <w:sz w:val="20"/>
                <w:szCs w:val="20"/>
              </w:rPr>
            </w:pPr>
            <w:r w:rsidRPr="00472578">
              <w:rPr>
                <w:b/>
                <w:strike/>
                <w:sz w:val="20"/>
                <w:szCs w:val="20"/>
              </w:rPr>
              <w:t>1990 mean sea level (Otago Metric Datum)</w:t>
            </w:r>
            <w:r w:rsidRPr="00472578">
              <w:rPr>
                <w:rStyle w:val="FootnoteReference"/>
                <w:b/>
                <w:sz w:val="20"/>
                <w:szCs w:val="20"/>
              </w:rPr>
              <w:footnoteReference w:id="85"/>
            </w:r>
          </w:p>
        </w:tc>
        <w:tc>
          <w:tcPr>
            <w:tcW w:w="7146" w:type="dxa"/>
          </w:tcPr>
          <w:p w14:paraId="3A493007" w14:textId="77777777" w:rsidR="009A1120" w:rsidRPr="00472578" w:rsidRDefault="009A1120" w:rsidP="00E92686">
            <w:pPr>
              <w:tabs>
                <w:tab w:val="center" w:pos="4513"/>
                <w:tab w:val="right" w:pos="9026"/>
              </w:tabs>
              <w:spacing w:before="60" w:after="60"/>
              <w:jc w:val="both"/>
              <w:rPr>
                <w:strike/>
                <w:sz w:val="20"/>
                <w:szCs w:val="20"/>
              </w:rPr>
            </w:pPr>
            <w:r w:rsidRPr="00472578">
              <w:rPr>
                <w:strike/>
                <w:sz w:val="20"/>
                <w:szCs w:val="20"/>
              </w:rPr>
              <w:t>means the fixed level for basing subsequent level measurements on. In this case Otago Metric Datum is the Dunedin Vertical Datum (DVD 1958) plus 100 metres.</w:t>
            </w:r>
          </w:p>
        </w:tc>
      </w:tr>
      <w:tr w:rsidR="009A1120" w:rsidRPr="00472578" w14:paraId="2497397F" w14:textId="77777777" w:rsidTr="007612BD">
        <w:tc>
          <w:tcPr>
            <w:tcW w:w="2104" w:type="dxa"/>
          </w:tcPr>
          <w:p w14:paraId="1816831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Active transport</w:t>
            </w:r>
          </w:p>
        </w:tc>
        <w:tc>
          <w:tcPr>
            <w:tcW w:w="7146" w:type="dxa"/>
          </w:tcPr>
          <w:p w14:paraId="32B0261B"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1.3 of the National Policy Statement on Urban Development 2020 (as set out in the box below)</w:t>
            </w:r>
          </w:p>
          <w:p w14:paraId="2AB2B359"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F74BE4B" wp14:editId="2CB50B7A">
                      <wp:extent cx="3697356" cy="593766"/>
                      <wp:effectExtent l="0" t="0" r="17780" b="1587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93766"/>
                              </a:xfrm>
                              <a:prstGeom prst="rect">
                                <a:avLst/>
                              </a:prstGeom>
                              <a:solidFill>
                                <a:srgbClr val="FFFFFF"/>
                              </a:solidFill>
                              <a:ln w="9525">
                                <a:solidFill>
                                  <a:srgbClr val="000000"/>
                                </a:solidFill>
                                <a:miter lim="800000"/>
                                <a:headEnd/>
                                <a:tailEnd/>
                              </a:ln>
                            </wps:spPr>
                            <wps:txbx>
                              <w:txbxContent>
                                <w:p w14:paraId="066C259A" w14:textId="77777777" w:rsidR="009A1120" w:rsidRPr="00B67E33" w:rsidRDefault="009A1120" w:rsidP="009A1120">
                                  <w:pPr>
                                    <w:rPr>
                                      <w:sz w:val="20"/>
                                      <w:szCs w:val="20"/>
                                      <w:lang w:val="en-GB"/>
                                    </w:rPr>
                                  </w:pPr>
                                  <w:r>
                                    <w:rPr>
                                      <w:sz w:val="20"/>
                                      <w:szCs w:val="20"/>
                                      <w:lang w:val="en-GB"/>
                                    </w:rPr>
                                    <w:t xml:space="preserve">means forms of transport that involve physical exercise, such as walking or cycling, and includes transport that may use a mobility aid such as a wheelchair </w:t>
                                  </w:r>
                                </w:p>
                              </w:txbxContent>
                            </wps:txbx>
                            <wps:bodyPr rot="0" vert="horz" wrap="square" lIns="91440" tIns="45720" rIns="91440" bIns="45720" anchor="t" anchorCtr="0">
                              <a:noAutofit/>
                            </wps:bodyPr>
                          </wps:wsp>
                        </a:graphicData>
                      </a:graphic>
                    </wp:inline>
                  </w:drawing>
                </mc:Choice>
                <mc:Fallback>
                  <w:pict>
                    <v:shapetype w14:anchorId="2F74BE4B" id="_x0000_t202" coordsize="21600,21600" o:spt="202" path="m,l,21600r21600,l21600,xe">
                      <v:stroke joinstyle="miter"/>
                      <v:path gradientshapeok="t" o:connecttype="rect"/>
                    </v:shapetype>
                    <v:shape id="Text Box 2" o:spid="_x0000_s1026" type="#_x0000_t202" style="width:291.15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">
                      <v:textbox>
                        <w:txbxContent>
                          <w:p w14:paraId="066C259A" w14:textId="77777777" w:rsidR="009A1120" w:rsidRPr="00B67E33" w:rsidRDefault="009A1120" w:rsidP="009A1120">
                            <w:pPr>
                              <w:rPr>
                                <w:sz w:val="20"/>
                                <w:szCs w:val="20"/>
                                <w:lang w:val="en-GB"/>
                              </w:rPr>
                            </w:pPr>
                            <w:r>
                              <w:rPr>
                                <w:sz w:val="20"/>
                                <w:szCs w:val="20"/>
                                <w:lang w:val="en-GB"/>
                              </w:rPr>
                              <w:t xml:space="preserve">means forms of transport that involve physical exercise, such as walking or cycling, and includes transport that may use a mobility aid such as a wheelchair </w:t>
                            </w:r>
                          </w:p>
                        </w:txbxContent>
                      </v:textbox>
                      <w10:anchorlock/>
                    </v:shape>
                  </w:pict>
                </mc:Fallback>
              </mc:AlternateContent>
            </w:r>
          </w:p>
        </w:tc>
      </w:tr>
      <w:tr w:rsidR="009A1120" w:rsidRPr="00472578" w14:paraId="3FF5220F" w14:textId="77777777" w:rsidTr="007612BD">
        <w:tc>
          <w:tcPr>
            <w:tcW w:w="2104" w:type="dxa"/>
          </w:tcPr>
          <w:p w14:paraId="588580A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Additional infrastructure</w:t>
            </w:r>
          </w:p>
        </w:tc>
        <w:tc>
          <w:tcPr>
            <w:tcW w:w="7146" w:type="dxa"/>
          </w:tcPr>
          <w:p w14:paraId="14A52D0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1.3 of the National Policy Statement on Urban Development 2020 (as set out in the box below)</w:t>
            </w:r>
          </w:p>
          <w:p w14:paraId="1FBD65B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886250E" wp14:editId="4ED0A616">
                      <wp:extent cx="3697356" cy="2232561"/>
                      <wp:effectExtent l="0" t="0" r="17780" b="1587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232561"/>
                              </a:xfrm>
                              <a:prstGeom prst="rect">
                                <a:avLst/>
                              </a:prstGeom>
                              <a:solidFill>
                                <a:srgbClr val="FFFFFF"/>
                              </a:solidFill>
                              <a:ln w="9525">
                                <a:solidFill>
                                  <a:srgbClr val="000000"/>
                                </a:solidFill>
                                <a:miter lim="800000"/>
                                <a:headEnd/>
                                <a:tailEnd/>
                              </a:ln>
                            </wps:spPr>
                            <wps:txbx>
                              <w:txbxContent>
                                <w:p w14:paraId="7DEB466E" w14:textId="77777777" w:rsidR="009A1120" w:rsidDel="008D668C" w:rsidRDefault="009A1120" w:rsidP="009A1120">
                                  <w:pPr>
                                    <w:spacing w:before="60" w:after="60"/>
                                    <w:ind w:left="284" w:hanging="284"/>
                                    <w:rPr>
                                      <w:sz w:val="20"/>
                                      <w:szCs w:val="20"/>
                                      <w:lang w:val="en-GB"/>
                                    </w:rPr>
                                  </w:pPr>
                                  <w:r>
                                    <w:rPr>
                                      <w:sz w:val="20"/>
                                      <w:szCs w:val="20"/>
                                      <w:lang w:val="en-GB"/>
                                    </w:rPr>
                                    <w:t xml:space="preserve">means: </w:t>
                                  </w:r>
                                </w:p>
                                <w:p w14:paraId="45F9E0B9" w14:textId="77777777" w:rsidR="009A1120" w:rsidRPr="001A38AB" w:rsidRDefault="009A1120" w:rsidP="009A1120">
                                  <w:pPr>
                                    <w:spacing w:before="60" w:after="60"/>
                                    <w:ind w:left="284" w:hanging="284"/>
                                    <w:rPr>
                                      <w:sz w:val="20"/>
                                      <w:szCs w:val="20"/>
                                    </w:rPr>
                                  </w:pPr>
                                  <w:r w:rsidRPr="001A38AB">
                                    <w:rPr>
                                      <w:sz w:val="20"/>
                                      <w:szCs w:val="20"/>
                                    </w:rPr>
                                    <w:t>(a)</w:t>
                                  </w:r>
                                  <w:r>
                                    <w:rPr>
                                      <w:sz w:val="20"/>
                                      <w:szCs w:val="20"/>
                                    </w:rPr>
                                    <w:t xml:space="preserve">  public open space</w:t>
                                  </w:r>
                                </w:p>
                                <w:p w14:paraId="1E2EEF4D" w14:textId="77777777" w:rsidR="009A1120" w:rsidRDefault="009A1120" w:rsidP="009A1120">
                                  <w:pPr>
                                    <w:spacing w:before="60" w:after="60"/>
                                    <w:ind w:left="319" w:hanging="319"/>
                                    <w:rPr>
                                      <w:sz w:val="20"/>
                                      <w:szCs w:val="20"/>
                                    </w:rPr>
                                  </w:pPr>
                                  <w:r w:rsidRPr="001A38AB">
                                    <w:rPr>
                                      <w:sz w:val="20"/>
                                      <w:szCs w:val="20"/>
                                    </w:rPr>
                                    <w:t>(b)</w:t>
                                  </w:r>
                                  <w:r w:rsidRPr="001A38AB">
                                    <w:rPr>
                                      <w:sz w:val="20"/>
                                      <w:szCs w:val="20"/>
                                    </w:rPr>
                                    <w:tab/>
                                  </w:r>
                                  <w:r w:rsidRPr="00AB63F1">
                                    <w:rPr>
                                      <w:sz w:val="20"/>
                                      <w:szCs w:val="20"/>
                                    </w:rPr>
                                    <w:t>community infrastructure as defined in section 197 of the Local Government</w:t>
                                  </w:r>
                                  <w:r>
                                    <w:rPr>
                                      <w:sz w:val="20"/>
                                      <w:szCs w:val="20"/>
                                    </w:rPr>
                                    <w:t xml:space="preserve"> </w:t>
                                  </w:r>
                                  <w:r w:rsidRPr="00AB63F1">
                                    <w:rPr>
                                      <w:sz w:val="20"/>
                                      <w:szCs w:val="20"/>
                                    </w:rPr>
                                    <w:t>Act 2002</w:t>
                                  </w:r>
                                </w:p>
                                <w:p w14:paraId="099F2B80" w14:textId="77777777" w:rsidR="009A1120" w:rsidRDefault="009A1120" w:rsidP="009A1120">
                                  <w:pPr>
                                    <w:spacing w:before="60" w:after="60"/>
                                    <w:ind w:left="319" w:hanging="319"/>
                                    <w:rPr>
                                      <w:sz w:val="20"/>
                                      <w:szCs w:val="20"/>
                                    </w:rPr>
                                  </w:pPr>
                                  <w:r>
                                    <w:rPr>
                                      <w:sz w:val="20"/>
                                      <w:szCs w:val="20"/>
                                    </w:rPr>
                                    <w:t>(c)</w:t>
                                  </w:r>
                                  <w:r>
                                    <w:rPr>
                                      <w:sz w:val="20"/>
                                      <w:szCs w:val="20"/>
                                    </w:rPr>
                                    <w:tab/>
                                  </w:r>
                                  <w:r w:rsidRPr="00F640F2">
                                    <w:rPr>
                                      <w:sz w:val="20"/>
                                      <w:szCs w:val="20"/>
                                    </w:rPr>
                                    <w:t>land transport (as defined in the Land Transport Management Act 2003) that is</w:t>
                                  </w:r>
                                  <w:r>
                                    <w:rPr>
                                      <w:sz w:val="20"/>
                                      <w:szCs w:val="20"/>
                                    </w:rPr>
                                    <w:t xml:space="preserve"> </w:t>
                                  </w:r>
                                  <w:r w:rsidRPr="00F640F2">
                                    <w:rPr>
                                      <w:sz w:val="20"/>
                                      <w:szCs w:val="20"/>
                                    </w:rPr>
                                    <w:t>not controlled by local authorities</w:t>
                                  </w:r>
                                </w:p>
                                <w:p w14:paraId="3A548EC3" w14:textId="77777777" w:rsidR="009A1120" w:rsidRDefault="009A1120" w:rsidP="009A1120">
                                  <w:pPr>
                                    <w:spacing w:before="60" w:after="60"/>
                                    <w:ind w:left="319" w:hanging="319"/>
                                    <w:rPr>
                                      <w:sz w:val="20"/>
                                      <w:szCs w:val="20"/>
                                    </w:rPr>
                                  </w:pPr>
                                  <w:r>
                                    <w:rPr>
                                      <w:sz w:val="20"/>
                                      <w:szCs w:val="20"/>
                                    </w:rPr>
                                    <w:t>(d)</w:t>
                                  </w:r>
                                  <w:r>
                                    <w:rPr>
                                      <w:sz w:val="20"/>
                                      <w:szCs w:val="20"/>
                                    </w:rPr>
                                    <w:tab/>
                                  </w:r>
                                  <w:r w:rsidRPr="00056748">
                                    <w:rPr>
                                      <w:sz w:val="20"/>
                                      <w:szCs w:val="20"/>
                                    </w:rPr>
                                    <w:t>social infrastructure, such as schools and healthcare facilities</w:t>
                                  </w:r>
                                </w:p>
                                <w:p w14:paraId="58F5B0B2" w14:textId="77777777" w:rsidR="009A1120" w:rsidRDefault="009A1120" w:rsidP="009A1120">
                                  <w:pPr>
                                    <w:spacing w:before="60" w:after="60"/>
                                    <w:ind w:left="319" w:hanging="319"/>
                                    <w:rPr>
                                      <w:sz w:val="20"/>
                                      <w:szCs w:val="20"/>
                                    </w:rPr>
                                  </w:pPr>
                                  <w:r>
                                    <w:rPr>
                                      <w:sz w:val="20"/>
                                      <w:szCs w:val="20"/>
                                    </w:rPr>
                                    <w:t>(e)</w:t>
                                  </w:r>
                                  <w:r>
                                    <w:rPr>
                                      <w:sz w:val="20"/>
                                      <w:szCs w:val="20"/>
                                    </w:rPr>
                                    <w:tab/>
                                  </w:r>
                                  <w:r w:rsidRPr="00FE7DDF">
                                    <w:rPr>
                                      <w:sz w:val="20"/>
                                      <w:szCs w:val="20"/>
                                    </w:rPr>
                                    <w:t>a network operated for the purpose of telecommunications (as defined in</w:t>
                                  </w:r>
                                  <w:r>
                                    <w:rPr>
                                      <w:sz w:val="20"/>
                                      <w:szCs w:val="20"/>
                                    </w:rPr>
                                    <w:t xml:space="preserve"> </w:t>
                                  </w:r>
                                  <w:r w:rsidRPr="00FE7DDF">
                                    <w:rPr>
                                      <w:sz w:val="20"/>
                                      <w:szCs w:val="20"/>
                                    </w:rPr>
                                    <w:t>section 5 of the Telecommunications Act 2001)</w:t>
                                  </w:r>
                                </w:p>
                                <w:p w14:paraId="64887F0B" w14:textId="77777777" w:rsidR="009A1120" w:rsidRPr="001A38AB" w:rsidRDefault="009A1120" w:rsidP="009A1120">
                                  <w:pPr>
                                    <w:spacing w:before="60" w:after="60"/>
                                    <w:ind w:left="319" w:hanging="319"/>
                                    <w:rPr>
                                      <w:sz w:val="20"/>
                                      <w:szCs w:val="20"/>
                                    </w:rPr>
                                  </w:pPr>
                                  <w:r>
                                    <w:rPr>
                                      <w:sz w:val="20"/>
                                      <w:szCs w:val="20"/>
                                    </w:rPr>
                                    <w:t>(f)</w:t>
                                  </w:r>
                                  <w:r>
                                    <w:rPr>
                                      <w:sz w:val="20"/>
                                      <w:szCs w:val="20"/>
                                    </w:rPr>
                                    <w:tab/>
                                  </w:r>
                                  <w:r w:rsidRPr="00EA1046">
                                    <w:rPr>
                                      <w:sz w:val="20"/>
                                      <w:szCs w:val="20"/>
                                    </w:rPr>
                                    <w:t>a network operated for the purpose of transmitting or distributing electricity</w:t>
                                  </w:r>
                                  <w:r>
                                    <w:rPr>
                                      <w:sz w:val="20"/>
                                      <w:szCs w:val="20"/>
                                    </w:rPr>
                                    <w:t xml:space="preserve"> </w:t>
                                  </w:r>
                                  <w:r w:rsidRPr="00EA1046">
                                    <w:rPr>
                                      <w:sz w:val="20"/>
                                      <w:szCs w:val="20"/>
                                    </w:rPr>
                                    <w:t>or gas</w:t>
                                  </w:r>
                                </w:p>
                                <w:p w14:paraId="637EB5CA" w14:textId="77777777" w:rsidR="009A1120" w:rsidRPr="001569AA" w:rsidRDefault="009A1120" w:rsidP="009A1120">
                                  <w:pPr>
                                    <w:rPr>
                                      <w:sz w:val="20"/>
                                      <w:szCs w:val="20"/>
                                      <w:lang w:val="en-GB"/>
                                    </w:rPr>
                                  </w:pPr>
                                </w:p>
                              </w:txbxContent>
                            </wps:txbx>
                            <wps:bodyPr rot="0" vert="horz" wrap="square" lIns="91440" tIns="45720" rIns="91440" bIns="45720" anchor="t" anchorCtr="0">
                              <a:noAutofit/>
                            </wps:bodyPr>
                          </wps:wsp>
                        </a:graphicData>
                      </a:graphic>
                    </wp:inline>
                  </w:drawing>
                </mc:Choice>
                <mc:Fallback>
                  <w:pict>
                    <v:shape w14:anchorId="3886250E" id="_x0000_s1027" type="#_x0000_t202" style="width:291.15pt;height:1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INJwIAAE0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">
                      <v:textbox>
                        <w:txbxContent>
                          <w:p w14:paraId="7DEB466E" w14:textId="77777777" w:rsidR="009A1120" w:rsidDel="008D668C" w:rsidRDefault="009A1120" w:rsidP="009A1120">
                            <w:pPr>
                              <w:spacing w:before="60" w:after="60"/>
                              <w:ind w:left="284" w:hanging="284"/>
                              <w:rPr>
                                <w:sz w:val="20"/>
                                <w:szCs w:val="20"/>
                                <w:lang w:val="en-GB"/>
                              </w:rPr>
                            </w:pPr>
                            <w:r>
                              <w:rPr>
                                <w:sz w:val="20"/>
                                <w:szCs w:val="20"/>
                                <w:lang w:val="en-GB"/>
                              </w:rPr>
                              <w:t xml:space="preserve">means: </w:t>
                            </w:r>
                          </w:p>
                          <w:p w14:paraId="45F9E0B9" w14:textId="77777777" w:rsidR="009A1120" w:rsidRPr="001A38AB" w:rsidRDefault="009A1120" w:rsidP="009A1120">
                            <w:pPr>
                              <w:spacing w:before="60" w:after="60"/>
                              <w:ind w:left="284" w:hanging="284"/>
                              <w:rPr>
                                <w:sz w:val="20"/>
                                <w:szCs w:val="20"/>
                              </w:rPr>
                            </w:pPr>
                            <w:r w:rsidRPr="001A38AB">
                              <w:rPr>
                                <w:sz w:val="20"/>
                                <w:szCs w:val="20"/>
                              </w:rPr>
                              <w:t>(a)</w:t>
                            </w:r>
                            <w:r>
                              <w:rPr>
                                <w:sz w:val="20"/>
                                <w:szCs w:val="20"/>
                              </w:rPr>
                              <w:t xml:space="preserve">  public open space</w:t>
                            </w:r>
                          </w:p>
                          <w:p w14:paraId="1E2EEF4D" w14:textId="77777777" w:rsidR="009A1120" w:rsidRDefault="009A1120" w:rsidP="009A1120">
                            <w:pPr>
                              <w:spacing w:before="60" w:after="60"/>
                              <w:ind w:left="319" w:hanging="319"/>
                              <w:rPr>
                                <w:sz w:val="20"/>
                                <w:szCs w:val="20"/>
                              </w:rPr>
                            </w:pPr>
                            <w:r w:rsidRPr="001A38AB">
                              <w:rPr>
                                <w:sz w:val="20"/>
                                <w:szCs w:val="20"/>
                              </w:rPr>
                              <w:t>(b)</w:t>
                            </w:r>
                            <w:r w:rsidRPr="001A38AB">
                              <w:rPr>
                                <w:sz w:val="20"/>
                                <w:szCs w:val="20"/>
                              </w:rPr>
                              <w:tab/>
                            </w:r>
                            <w:r w:rsidRPr="00AB63F1">
                              <w:rPr>
                                <w:sz w:val="20"/>
                                <w:szCs w:val="20"/>
                              </w:rPr>
                              <w:t>community infrastructure as defined in section 197 of the Local Government</w:t>
                            </w:r>
                            <w:r>
                              <w:rPr>
                                <w:sz w:val="20"/>
                                <w:szCs w:val="20"/>
                              </w:rPr>
                              <w:t xml:space="preserve"> </w:t>
                            </w:r>
                            <w:r w:rsidRPr="00AB63F1">
                              <w:rPr>
                                <w:sz w:val="20"/>
                                <w:szCs w:val="20"/>
                              </w:rPr>
                              <w:t>Act 2002</w:t>
                            </w:r>
                          </w:p>
                          <w:p w14:paraId="099F2B80" w14:textId="77777777" w:rsidR="009A1120" w:rsidRDefault="009A1120" w:rsidP="009A1120">
                            <w:pPr>
                              <w:spacing w:before="60" w:after="60"/>
                              <w:ind w:left="319" w:hanging="319"/>
                              <w:rPr>
                                <w:sz w:val="20"/>
                                <w:szCs w:val="20"/>
                              </w:rPr>
                            </w:pPr>
                            <w:r>
                              <w:rPr>
                                <w:sz w:val="20"/>
                                <w:szCs w:val="20"/>
                              </w:rPr>
                              <w:t>(c)</w:t>
                            </w:r>
                            <w:r>
                              <w:rPr>
                                <w:sz w:val="20"/>
                                <w:szCs w:val="20"/>
                              </w:rPr>
                              <w:tab/>
                            </w:r>
                            <w:r w:rsidRPr="00F640F2">
                              <w:rPr>
                                <w:sz w:val="20"/>
                                <w:szCs w:val="20"/>
                              </w:rPr>
                              <w:t>land transport (as defined in the Land Transport Management Act 2003) that is</w:t>
                            </w:r>
                            <w:r>
                              <w:rPr>
                                <w:sz w:val="20"/>
                                <w:szCs w:val="20"/>
                              </w:rPr>
                              <w:t xml:space="preserve"> </w:t>
                            </w:r>
                            <w:r w:rsidRPr="00F640F2">
                              <w:rPr>
                                <w:sz w:val="20"/>
                                <w:szCs w:val="20"/>
                              </w:rPr>
                              <w:t>not controlled by local authorities</w:t>
                            </w:r>
                          </w:p>
                          <w:p w14:paraId="3A548EC3" w14:textId="77777777" w:rsidR="009A1120" w:rsidRDefault="009A1120" w:rsidP="009A1120">
                            <w:pPr>
                              <w:spacing w:before="60" w:after="60"/>
                              <w:ind w:left="319" w:hanging="319"/>
                              <w:rPr>
                                <w:sz w:val="20"/>
                                <w:szCs w:val="20"/>
                              </w:rPr>
                            </w:pPr>
                            <w:r>
                              <w:rPr>
                                <w:sz w:val="20"/>
                                <w:szCs w:val="20"/>
                              </w:rPr>
                              <w:t>(d)</w:t>
                            </w:r>
                            <w:r>
                              <w:rPr>
                                <w:sz w:val="20"/>
                                <w:szCs w:val="20"/>
                              </w:rPr>
                              <w:tab/>
                            </w:r>
                            <w:r w:rsidRPr="00056748">
                              <w:rPr>
                                <w:sz w:val="20"/>
                                <w:szCs w:val="20"/>
                              </w:rPr>
                              <w:t>social infrastructure, such as schools and healthcare facilities</w:t>
                            </w:r>
                          </w:p>
                          <w:p w14:paraId="58F5B0B2" w14:textId="77777777" w:rsidR="009A1120" w:rsidRDefault="009A1120" w:rsidP="009A1120">
                            <w:pPr>
                              <w:spacing w:before="60" w:after="60"/>
                              <w:ind w:left="319" w:hanging="319"/>
                              <w:rPr>
                                <w:sz w:val="20"/>
                                <w:szCs w:val="20"/>
                              </w:rPr>
                            </w:pPr>
                            <w:r>
                              <w:rPr>
                                <w:sz w:val="20"/>
                                <w:szCs w:val="20"/>
                              </w:rPr>
                              <w:t>(e)</w:t>
                            </w:r>
                            <w:r>
                              <w:rPr>
                                <w:sz w:val="20"/>
                                <w:szCs w:val="20"/>
                              </w:rPr>
                              <w:tab/>
                            </w:r>
                            <w:r w:rsidRPr="00FE7DDF">
                              <w:rPr>
                                <w:sz w:val="20"/>
                                <w:szCs w:val="20"/>
                              </w:rPr>
                              <w:t>a network operated for the purpose of telecommunications (as defined in</w:t>
                            </w:r>
                            <w:r>
                              <w:rPr>
                                <w:sz w:val="20"/>
                                <w:szCs w:val="20"/>
                              </w:rPr>
                              <w:t xml:space="preserve"> </w:t>
                            </w:r>
                            <w:r w:rsidRPr="00FE7DDF">
                              <w:rPr>
                                <w:sz w:val="20"/>
                                <w:szCs w:val="20"/>
                              </w:rPr>
                              <w:t>section 5 of the Telecommunications Act 2001)</w:t>
                            </w:r>
                          </w:p>
                          <w:p w14:paraId="64887F0B" w14:textId="77777777" w:rsidR="009A1120" w:rsidRPr="001A38AB" w:rsidRDefault="009A1120" w:rsidP="009A1120">
                            <w:pPr>
                              <w:spacing w:before="60" w:after="60"/>
                              <w:ind w:left="319" w:hanging="319"/>
                              <w:rPr>
                                <w:sz w:val="20"/>
                                <w:szCs w:val="20"/>
                              </w:rPr>
                            </w:pPr>
                            <w:r>
                              <w:rPr>
                                <w:sz w:val="20"/>
                                <w:szCs w:val="20"/>
                              </w:rPr>
                              <w:t>(f)</w:t>
                            </w:r>
                            <w:r>
                              <w:rPr>
                                <w:sz w:val="20"/>
                                <w:szCs w:val="20"/>
                              </w:rPr>
                              <w:tab/>
                            </w:r>
                            <w:r w:rsidRPr="00EA1046">
                              <w:rPr>
                                <w:sz w:val="20"/>
                                <w:szCs w:val="20"/>
                              </w:rPr>
                              <w:t>a network operated for the purpose of transmitting or distributing electricity</w:t>
                            </w:r>
                            <w:r>
                              <w:rPr>
                                <w:sz w:val="20"/>
                                <w:szCs w:val="20"/>
                              </w:rPr>
                              <w:t xml:space="preserve"> </w:t>
                            </w:r>
                            <w:r w:rsidRPr="00EA1046">
                              <w:rPr>
                                <w:sz w:val="20"/>
                                <w:szCs w:val="20"/>
                              </w:rPr>
                              <w:t>or gas</w:t>
                            </w:r>
                          </w:p>
                          <w:p w14:paraId="637EB5CA" w14:textId="77777777" w:rsidR="009A1120" w:rsidRPr="001569AA" w:rsidRDefault="009A1120" w:rsidP="009A1120">
                            <w:pPr>
                              <w:rPr>
                                <w:sz w:val="20"/>
                                <w:szCs w:val="20"/>
                                <w:lang w:val="en-GB"/>
                              </w:rPr>
                            </w:pPr>
                          </w:p>
                        </w:txbxContent>
                      </v:textbox>
                      <w10:anchorlock/>
                    </v:shape>
                  </w:pict>
                </mc:Fallback>
              </mc:AlternateContent>
            </w:r>
          </w:p>
        </w:tc>
      </w:tr>
      <w:tr w:rsidR="009A1120" w:rsidRPr="00472578" w14:paraId="7D3D6AD3" w14:textId="77777777" w:rsidTr="007612BD">
        <w:tc>
          <w:tcPr>
            <w:tcW w:w="2104" w:type="dxa"/>
          </w:tcPr>
          <w:p w14:paraId="3A2872D7"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Airshed</w:t>
            </w:r>
          </w:p>
        </w:tc>
        <w:tc>
          <w:tcPr>
            <w:tcW w:w="7146" w:type="dxa"/>
          </w:tcPr>
          <w:p w14:paraId="3CCA7055"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Air Quality) Regulations 2004 (as set out in the box below)</w:t>
            </w:r>
          </w:p>
          <w:p w14:paraId="3D4438A2" w14:textId="77777777" w:rsidR="009A1120" w:rsidRPr="00472578" w:rsidRDefault="009A1120" w:rsidP="00E92686">
            <w:pPr>
              <w:tabs>
                <w:tab w:val="center" w:pos="4513"/>
                <w:tab w:val="right" w:pos="9026"/>
              </w:tabs>
              <w:spacing w:before="60" w:after="60"/>
              <w:ind w:left="319" w:hanging="319"/>
              <w:jc w:val="both"/>
              <w:rPr>
                <w:sz w:val="20"/>
                <w:szCs w:val="20"/>
              </w:rPr>
            </w:pPr>
            <w:r w:rsidRPr="00472578">
              <w:rPr>
                <w:noProof/>
                <w:sz w:val="20"/>
                <w:szCs w:val="20"/>
              </w:rPr>
              <mc:AlternateContent>
                <mc:Choice Requires="wps">
                  <w:drawing>
                    <wp:inline distT="0" distB="0" distL="0" distR="0" wp14:anchorId="2E845D62" wp14:editId="2541D2F2">
                      <wp:extent cx="3697356" cy="1045029"/>
                      <wp:effectExtent l="0" t="0" r="17780" b="222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045029"/>
                              </a:xfrm>
                              <a:prstGeom prst="rect">
                                <a:avLst/>
                              </a:prstGeom>
                              <a:solidFill>
                                <a:srgbClr val="FFFFFF"/>
                              </a:solidFill>
                              <a:ln w="9525">
                                <a:solidFill>
                                  <a:srgbClr val="000000"/>
                                </a:solidFill>
                                <a:miter lim="800000"/>
                                <a:headEnd/>
                                <a:tailEnd/>
                              </a:ln>
                            </wps:spPr>
                            <wps:txbx>
                              <w:txbxContent>
                                <w:p w14:paraId="0F10FCB3" w14:textId="77777777" w:rsidR="009A1120" w:rsidRPr="001A38AB" w:rsidRDefault="009A1120" w:rsidP="009A1120">
                                  <w:pPr>
                                    <w:spacing w:before="60" w:after="60"/>
                                    <w:rPr>
                                      <w:sz w:val="20"/>
                                      <w:szCs w:val="20"/>
                                    </w:rPr>
                                  </w:pPr>
                                  <w:r w:rsidRPr="001A38AB">
                                    <w:rPr>
                                      <w:sz w:val="20"/>
                                      <w:szCs w:val="20"/>
                                    </w:rPr>
                                    <w:t>airshed means—</w:t>
                                  </w:r>
                                </w:p>
                                <w:p w14:paraId="19BB0B3D" w14:textId="77777777" w:rsidR="009A1120" w:rsidRPr="001A38AB" w:rsidRDefault="009A1120" w:rsidP="009A1120">
                                  <w:pPr>
                                    <w:spacing w:before="60" w:after="60"/>
                                    <w:ind w:left="319" w:hanging="319"/>
                                    <w:rPr>
                                      <w:sz w:val="20"/>
                                      <w:szCs w:val="20"/>
                                    </w:rPr>
                                  </w:pPr>
                                  <w:r w:rsidRPr="001A38AB">
                                    <w:rPr>
                                      <w:sz w:val="20"/>
                                      <w:szCs w:val="20"/>
                                    </w:rPr>
                                    <w:t>(a)</w:t>
                                  </w:r>
                                  <w:r w:rsidRPr="001A38AB">
                                    <w:rPr>
                                      <w:sz w:val="20"/>
                                      <w:szCs w:val="20"/>
                                    </w:rPr>
                                    <w:tab/>
                                    <w:t>the region of a regional council excluding any area specified in a notice under paragraph (b):</w:t>
                                  </w:r>
                                </w:p>
                                <w:p w14:paraId="37AADD15" w14:textId="77777777" w:rsidR="009A1120" w:rsidRPr="001A38AB" w:rsidRDefault="009A1120" w:rsidP="009A1120">
                                  <w:pPr>
                                    <w:spacing w:before="60" w:after="60"/>
                                    <w:ind w:left="319" w:hanging="319"/>
                                    <w:rPr>
                                      <w:sz w:val="20"/>
                                      <w:szCs w:val="20"/>
                                    </w:rPr>
                                  </w:pPr>
                                  <w:r w:rsidRPr="001A38AB">
                                    <w:rPr>
                                      <w:sz w:val="20"/>
                                      <w:szCs w:val="20"/>
                                    </w:rPr>
                                    <w:t>(b)</w:t>
                                  </w:r>
                                  <w:r w:rsidRPr="001A38AB">
                                    <w:rPr>
                                      <w:sz w:val="20"/>
                                      <w:szCs w:val="20"/>
                                    </w:rPr>
                                    <w:tab/>
                                    <w:t>a part of the region of a regional council specified by the Minister by notice in the Gazette to be a separate airshed</w:t>
                                  </w:r>
                                </w:p>
                              </w:txbxContent>
                            </wps:txbx>
                            <wps:bodyPr rot="0" vert="horz" wrap="square" lIns="91440" tIns="45720" rIns="91440" bIns="45720" anchor="t" anchorCtr="0">
                              <a:noAutofit/>
                            </wps:bodyPr>
                          </wps:wsp>
                        </a:graphicData>
                      </a:graphic>
                    </wp:inline>
                  </w:drawing>
                </mc:Choice>
                <mc:Fallback>
                  <w:pict>
                    <v:shape w14:anchorId="2E845D62" id="_x0000_s1028" type="#_x0000_t202" style="width:291.15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BUKAIAAE4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">
                      <v:textbox>
                        <w:txbxContent>
                          <w:p w14:paraId="0F10FCB3" w14:textId="77777777" w:rsidR="009A1120" w:rsidRPr="001A38AB" w:rsidRDefault="009A1120" w:rsidP="009A1120">
                            <w:pPr>
                              <w:spacing w:before="60" w:after="60"/>
                              <w:rPr>
                                <w:sz w:val="20"/>
                                <w:szCs w:val="20"/>
                              </w:rPr>
                            </w:pPr>
                            <w:r w:rsidRPr="001A38AB">
                              <w:rPr>
                                <w:sz w:val="20"/>
                                <w:szCs w:val="20"/>
                              </w:rPr>
                              <w:t>airshed means—</w:t>
                            </w:r>
                          </w:p>
                          <w:p w14:paraId="19BB0B3D" w14:textId="77777777" w:rsidR="009A1120" w:rsidRPr="001A38AB" w:rsidRDefault="009A1120" w:rsidP="009A1120">
                            <w:pPr>
                              <w:spacing w:before="60" w:after="60"/>
                              <w:ind w:left="319" w:hanging="319"/>
                              <w:rPr>
                                <w:sz w:val="20"/>
                                <w:szCs w:val="20"/>
                              </w:rPr>
                            </w:pPr>
                            <w:r w:rsidRPr="001A38AB">
                              <w:rPr>
                                <w:sz w:val="20"/>
                                <w:szCs w:val="20"/>
                              </w:rPr>
                              <w:t>(a)</w:t>
                            </w:r>
                            <w:r w:rsidRPr="001A38AB">
                              <w:rPr>
                                <w:sz w:val="20"/>
                                <w:szCs w:val="20"/>
                              </w:rPr>
                              <w:tab/>
                              <w:t>the region of a regional council excluding any area specified in a notice under paragraph (b):</w:t>
                            </w:r>
                          </w:p>
                          <w:p w14:paraId="37AADD15" w14:textId="77777777" w:rsidR="009A1120" w:rsidRPr="001A38AB" w:rsidRDefault="009A1120" w:rsidP="009A1120">
                            <w:pPr>
                              <w:spacing w:before="60" w:after="60"/>
                              <w:ind w:left="319" w:hanging="319"/>
                              <w:rPr>
                                <w:sz w:val="20"/>
                                <w:szCs w:val="20"/>
                              </w:rPr>
                            </w:pPr>
                            <w:r w:rsidRPr="001A38AB">
                              <w:rPr>
                                <w:sz w:val="20"/>
                                <w:szCs w:val="20"/>
                              </w:rPr>
                              <w:t>(b)</w:t>
                            </w:r>
                            <w:r w:rsidRPr="001A38AB">
                              <w:rPr>
                                <w:sz w:val="20"/>
                                <w:szCs w:val="20"/>
                              </w:rPr>
                              <w:tab/>
                              <w:t>a part of the region of a regional council specified by the Minister by notice in the Gazette to be a separate airshed</w:t>
                            </w:r>
                          </w:p>
                        </w:txbxContent>
                      </v:textbox>
                      <w10:anchorlock/>
                    </v:shape>
                  </w:pict>
                </mc:Fallback>
              </mc:AlternateContent>
            </w:r>
          </w:p>
        </w:tc>
      </w:tr>
      <w:tr w:rsidR="009A1120" w:rsidRPr="00472578" w14:paraId="45BDD4D4" w14:textId="77777777" w:rsidTr="007612BD">
        <w:tc>
          <w:tcPr>
            <w:tcW w:w="2104" w:type="dxa"/>
          </w:tcPr>
          <w:p w14:paraId="383827E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Afforestation</w:t>
            </w:r>
          </w:p>
        </w:tc>
        <w:tc>
          <w:tcPr>
            <w:tcW w:w="7146" w:type="dxa"/>
          </w:tcPr>
          <w:p w14:paraId="5D5F7726"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Plantation Forestry) Regulations 2017 (as set out in the box below)</w:t>
            </w:r>
          </w:p>
          <w:p w14:paraId="326AC96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27789F5C" wp14:editId="59865B18">
                      <wp:extent cx="3697356" cy="1404620"/>
                      <wp:effectExtent l="0" t="0" r="17780" b="23495"/>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404620"/>
                              </a:xfrm>
                              <a:prstGeom prst="rect">
                                <a:avLst/>
                              </a:prstGeom>
                              <a:solidFill>
                                <a:srgbClr val="FFFFFF"/>
                              </a:solidFill>
                              <a:ln w="9525">
                                <a:solidFill>
                                  <a:srgbClr val="000000"/>
                                </a:solidFill>
                                <a:miter lim="800000"/>
                                <a:headEnd/>
                                <a:tailEnd/>
                              </a:ln>
                            </wps:spPr>
                            <wps:txbx>
                              <w:txbxContent>
                                <w:p w14:paraId="30F031C4" w14:textId="77777777" w:rsidR="009A1120" w:rsidRPr="00B815C8" w:rsidRDefault="009A1120" w:rsidP="009A1120">
                                  <w:pPr>
                                    <w:spacing w:before="60" w:after="60"/>
                                    <w:ind w:left="319" w:hanging="319"/>
                                    <w:rPr>
                                      <w:sz w:val="20"/>
                                      <w:szCs w:val="20"/>
                                    </w:rPr>
                                  </w:pPr>
                                  <w:r w:rsidRPr="00B815C8">
                                    <w:rPr>
                                      <w:sz w:val="20"/>
                                      <w:szCs w:val="20"/>
                                    </w:rPr>
                                    <w:t>(a)</w:t>
                                  </w:r>
                                  <w:r>
                                    <w:rPr>
                                      <w:sz w:val="20"/>
                                      <w:szCs w:val="20"/>
                                    </w:rPr>
                                    <w:tab/>
                                  </w:r>
                                  <w:r w:rsidRPr="00B815C8">
                                    <w:rPr>
                                      <w:sz w:val="20"/>
                                      <w:szCs w:val="20"/>
                                    </w:rPr>
                                    <w:t>means planting and growing plantation forestry trees on land where there is no plantation forestry and where plantation forestry harvesting has not occurred within the last 5 years; but</w:t>
                                  </w:r>
                                </w:p>
                                <w:p w14:paraId="09B1FC74" w14:textId="77777777" w:rsidR="009A1120" w:rsidRPr="001A38AB" w:rsidRDefault="009A1120" w:rsidP="009A1120">
                                  <w:pPr>
                                    <w:spacing w:before="60" w:after="60"/>
                                    <w:ind w:left="319" w:hanging="319"/>
                                    <w:rPr>
                                      <w:sz w:val="20"/>
                                      <w:szCs w:val="20"/>
                                    </w:rPr>
                                  </w:pPr>
                                  <w:r w:rsidRPr="00B815C8">
                                    <w:rPr>
                                      <w:sz w:val="20"/>
                                      <w:szCs w:val="20"/>
                                    </w:rPr>
                                    <w:t>(b)</w:t>
                                  </w:r>
                                  <w:r>
                                    <w:rPr>
                                      <w:sz w:val="20"/>
                                      <w:szCs w:val="20"/>
                                    </w:rPr>
                                    <w:tab/>
                                  </w:r>
                                  <w:r w:rsidRPr="00B815C8">
                                    <w:rPr>
                                      <w:sz w:val="20"/>
                                      <w:szCs w:val="20"/>
                                    </w:rPr>
                                    <w:t>does not include vegetation clearance from the land before planting</w:t>
                                  </w:r>
                                </w:p>
                              </w:txbxContent>
                            </wps:txbx>
                            <wps:bodyPr rot="0" vert="horz" wrap="square" lIns="91440" tIns="45720" rIns="91440" bIns="45720" anchor="t" anchorCtr="0">
                              <a:spAutoFit/>
                            </wps:bodyPr>
                          </wps:wsp>
                        </a:graphicData>
                      </a:graphic>
                    </wp:inline>
                  </w:drawing>
                </mc:Choice>
                <mc:Fallback>
                  <w:pict>
                    <v:shape w14:anchorId="27789F5C" id="_x0000_s1029" type="#_x0000_t202" style="width:29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kqKgIAAE4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">
                      <v:textbox style="mso-fit-shape-to-text:t">
                        <w:txbxContent>
                          <w:p w14:paraId="30F031C4" w14:textId="77777777" w:rsidR="009A1120" w:rsidRPr="00B815C8" w:rsidRDefault="009A1120" w:rsidP="009A1120">
                            <w:pPr>
                              <w:spacing w:before="60" w:after="60"/>
                              <w:ind w:left="319" w:hanging="319"/>
                              <w:rPr>
                                <w:sz w:val="20"/>
                                <w:szCs w:val="20"/>
                              </w:rPr>
                            </w:pPr>
                            <w:r w:rsidRPr="00B815C8">
                              <w:rPr>
                                <w:sz w:val="20"/>
                                <w:szCs w:val="20"/>
                              </w:rPr>
                              <w:t>(a)</w:t>
                            </w:r>
                            <w:r>
                              <w:rPr>
                                <w:sz w:val="20"/>
                                <w:szCs w:val="20"/>
                              </w:rPr>
                              <w:tab/>
                            </w:r>
                            <w:r w:rsidRPr="00B815C8">
                              <w:rPr>
                                <w:sz w:val="20"/>
                                <w:szCs w:val="20"/>
                              </w:rPr>
                              <w:t>means planting and growing plantation forestry trees on land where there is no plantation forestry and where plantation forestry harvesting has not occurred within the last 5 years; but</w:t>
                            </w:r>
                          </w:p>
                          <w:p w14:paraId="09B1FC74" w14:textId="77777777" w:rsidR="009A1120" w:rsidRPr="001A38AB" w:rsidRDefault="009A1120" w:rsidP="009A1120">
                            <w:pPr>
                              <w:spacing w:before="60" w:after="60"/>
                              <w:ind w:left="319" w:hanging="319"/>
                              <w:rPr>
                                <w:sz w:val="20"/>
                                <w:szCs w:val="20"/>
                              </w:rPr>
                            </w:pPr>
                            <w:r w:rsidRPr="00B815C8">
                              <w:rPr>
                                <w:sz w:val="20"/>
                                <w:szCs w:val="20"/>
                              </w:rPr>
                              <w:t>(b)</w:t>
                            </w:r>
                            <w:r>
                              <w:rPr>
                                <w:sz w:val="20"/>
                                <w:szCs w:val="20"/>
                              </w:rPr>
                              <w:tab/>
                            </w:r>
                            <w:r w:rsidRPr="00B815C8">
                              <w:rPr>
                                <w:sz w:val="20"/>
                                <w:szCs w:val="20"/>
                              </w:rPr>
                              <w:t>does not include vegetation clearance from the land before planting</w:t>
                            </w:r>
                          </w:p>
                        </w:txbxContent>
                      </v:textbox>
                      <w10:anchorlock/>
                    </v:shape>
                  </w:pict>
                </mc:Fallback>
              </mc:AlternateContent>
            </w:r>
          </w:p>
        </w:tc>
      </w:tr>
      <w:tr w:rsidR="009A1120" w:rsidRPr="00472578" w14:paraId="5404B34C" w14:textId="77777777" w:rsidTr="007612BD">
        <w:tc>
          <w:tcPr>
            <w:tcW w:w="2104" w:type="dxa"/>
          </w:tcPr>
          <w:p w14:paraId="1E9AA36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Ambient air quality standards</w:t>
            </w:r>
          </w:p>
        </w:tc>
        <w:tc>
          <w:tcPr>
            <w:tcW w:w="7146" w:type="dxa"/>
          </w:tcPr>
          <w:p w14:paraId="2D7A9C5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Air Quality) Regulations 2004 (as set out in the box below)</w:t>
            </w:r>
          </w:p>
          <w:p w14:paraId="53CBFF0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2619D49" wp14:editId="45DBACC5">
                      <wp:extent cx="3697356" cy="270345"/>
                      <wp:effectExtent l="0" t="0" r="17780" b="158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70345"/>
                              </a:xfrm>
                              <a:prstGeom prst="rect">
                                <a:avLst/>
                              </a:prstGeom>
                              <a:solidFill>
                                <a:srgbClr val="FFFFFF"/>
                              </a:solidFill>
                              <a:ln w="9525">
                                <a:solidFill>
                                  <a:srgbClr val="000000"/>
                                </a:solidFill>
                                <a:miter lim="800000"/>
                                <a:headEnd/>
                                <a:tailEnd/>
                              </a:ln>
                            </wps:spPr>
                            <wps:txbx>
                              <w:txbxContent>
                                <w:p w14:paraId="0C2EB63A" w14:textId="77777777" w:rsidR="009A1120" w:rsidRPr="001A38AB" w:rsidRDefault="009A1120" w:rsidP="009A1120">
                                  <w:pPr>
                                    <w:rPr>
                                      <w:sz w:val="20"/>
                                      <w:szCs w:val="20"/>
                                    </w:rPr>
                                  </w:pPr>
                                  <w:r w:rsidRPr="001A38AB">
                                    <w:rPr>
                                      <w:sz w:val="20"/>
                                      <w:szCs w:val="20"/>
                                    </w:rPr>
                                    <w:t>means the standard prescribed by regulation 13(1)</w:t>
                                  </w:r>
                                </w:p>
                              </w:txbxContent>
                            </wps:txbx>
                            <wps:bodyPr rot="0" vert="horz" wrap="square" lIns="91440" tIns="45720" rIns="91440" bIns="45720" anchor="t" anchorCtr="0">
                              <a:noAutofit/>
                            </wps:bodyPr>
                          </wps:wsp>
                        </a:graphicData>
                      </a:graphic>
                    </wp:inline>
                  </w:drawing>
                </mc:Choice>
                <mc:Fallback>
                  <w:pict>
                    <v:shape w14:anchorId="12619D49" id="_x0000_s1030" type="#_x0000_t202" style="width:291.1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">
                      <v:textbox>
                        <w:txbxContent>
                          <w:p w14:paraId="0C2EB63A" w14:textId="77777777" w:rsidR="009A1120" w:rsidRPr="001A38AB" w:rsidRDefault="009A1120" w:rsidP="009A1120">
                            <w:pPr>
                              <w:rPr>
                                <w:sz w:val="20"/>
                                <w:szCs w:val="20"/>
                              </w:rPr>
                            </w:pPr>
                            <w:r w:rsidRPr="001A38AB">
                              <w:rPr>
                                <w:sz w:val="20"/>
                                <w:szCs w:val="20"/>
                              </w:rPr>
                              <w:t>means the standard prescribed by regulation 13(1)</w:t>
                            </w:r>
                          </w:p>
                        </w:txbxContent>
                      </v:textbox>
                      <w10:anchorlock/>
                    </v:shape>
                  </w:pict>
                </mc:Fallback>
              </mc:AlternateContent>
            </w:r>
          </w:p>
        </w:tc>
      </w:tr>
      <w:tr w:rsidR="009A1120" w:rsidRPr="00472578" w14:paraId="22CED8D6" w14:textId="77777777" w:rsidTr="007612BD">
        <w:tc>
          <w:tcPr>
            <w:tcW w:w="2104" w:type="dxa"/>
          </w:tcPr>
          <w:p w14:paraId="535F441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Amenity values</w:t>
            </w:r>
          </w:p>
        </w:tc>
        <w:tc>
          <w:tcPr>
            <w:tcW w:w="7146" w:type="dxa"/>
          </w:tcPr>
          <w:p w14:paraId="08C3621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A9720B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77FE4B3" wp14:editId="2075666B">
                      <wp:extent cx="3697356" cy="588397"/>
                      <wp:effectExtent l="0" t="0" r="17780"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88397"/>
                              </a:xfrm>
                              <a:prstGeom prst="rect">
                                <a:avLst/>
                              </a:prstGeom>
                              <a:solidFill>
                                <a:srgbClr val="FFFFFF"/>
                              </a:solidFill>
                              <a:ln w="9525">
                                <a:solidFill>
                                  <a:srgbClr val="000000"/>
                                </a:solidFill>
                                <a:miter lim="800000"/>
                                <a:headEnd/>
                                <a:tailEnd/>
                              </a:ln>
                            </wps:spPr>
                            <wps:txbx>
                              <w:txbxContent>
                                <w:p w14:paraId="77117881" w14:textId="77777777" w:rsidR="009A1120" w:rsidRPr="001A38AB" w:rsidRDefault="009A1120" w:rsidP="009A1120">
                                  <w:pPr>
                                    <w:rPr>
                                      <w:sz w:val="20"/>
                                      <w:szCs w:val="20"/>
                                    </w:rPr>
                                  </w:pPr>
                                  <w:r w:rsidRPr="001A38AB">
                                    <w:rPr>
                                      <w:sz w:val="20"/>
                                      <w:szCs w:val="20"/>
                                    </w:rPr>
                                    <w:t>means those natural or physical qualities and characteristics of an area that contribute to people’s appreciation of its pleasantness, aesthetic coherence, and cultural and recreational attributes</w:t>
                                  </w:r>
                                </w:p>
                              </w:txbxContent>
                            </wps:txbx>
                            <wps:bodyPr rot="0" vert="horz" wrap="square" lIns="91440" tIns="45720" rIns="91440" bIns="45720" anchor="t" anchorCtr="0">
                              <a:noAutofit/>
                            </wps:bodyPr>
                          </wps:wsp>
                        </a:graphicData>
                      </a:graphic>
                    </wp:inline>
                  </w:drawing>
                </mc:Choice>
                <mc:Fallback>
                  <w:pict>
                    <v:shape w14:anchorId="177FE4B3" id="Text Box 5" o:spid="_x0000_s1031" type="#_x0000_t202" style="width:291.1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">
                      <v:textbox>
                        <w:txbxContent>
                          <w:p w14:paraId="77117881" w14:textId="77777777" w:rsidR="009A1120" w:rsidRPr="001A38AB" w:rsidRDefault="009A1120" w:rsidP="009A1120">
                            <w:pPr>
                              <w:rPr>
                                <w:sz w:val="20"/>
                                <w:szCs w:val="20"/>
                              </w:rPr>
                            </w:pPr>
                            <w:r w:rsidRPr="001A38AB">
                              <w:rPr>
                                <w:sz w:val="20"/>
                                <w:szCs w:val="20"/>
                              </w:rPr>
                              <w:t>means those natural or physical qualities and characteristics of an area that contribute to people’s appreciation of its pleasantness, aesthetic coherence, and cultural and recreational attributes</w:t>
                            </w:r>
                          </w:p>
                        </w:txbxContent>
                      </v:textbox>
                      <w10:anchorlock/>
                    </v:shape>
                  </w:pict>
                </mc:Fallback>
              </mc:AlternateContent>
            </w:r>
          </w:p>
        </w:tc>
      </w:tr>
      <w:tr w:rsidR="009A1120" w:rsidRPr="00472578" w14:paraId="4414C718" w14:textId="77777777" w:rsidTr="007612BD">
        <w:tc>
          <w:tcPr>
            <w:tcW w:w="2104" w:type="dxa"/>
          </w:tcPr>
          <w:p w14:paraId="746140BD"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Ancillary activity</w:t>
            </w:r>
          </w:p>
        </w:tc>
        <w:tc>
          <w:tcPr>
            <w:tcW w:w="7146" w:type="dxa"/>
          </w:tcPr>
          <w:p w14:paraId="51FD78F0"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041566C8"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2E6E3F9" wp14:editId="7EC49DC5">
                      <wp:extent cx="3697356" cy="467833"/>
                      <wp:effectExtent l="0" t="0" r="17780" b="27940"/>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67833"/>
                              </a:xfrm>
                              <a:prstGeom prst="rect">
                                <a:avLst/>
                              </a:prstGeom>
                              <a:solidFill>
                                <a:srgbClr val="FFFFFF"/>
                              </a:solidFill>
                              <a:ln w="9525">
                                <a:solidFill>
                                  <a:srgbClr val="000000"/>
                                </a:solidFill>
                                <a:miter lim="800000"/>
                                <a:headEnd/>
                                <a:tailEnd/>
                              </a:ln>
                            </wps:spPr>
                            <wps:txbx>
                              <w:txbxContent>
                                <w:p w14:paraId="7448D7DC" w14:textId="77777777" w:rsidR="009A1120" w:rsidRPr="001A38AB" w:rsidRDefault="009A1120" w:rsidP="009A1120">
                                  <w:pPr>
                                    <w:spacing w:after="60"/>
                                    <w:rPr>
                                      <w:sz w:val="20"/>
                                      <w:szCs w:val="20"/>
                                    </w:rPr>
                                  </w:pPr>
                                  <w:r w:rsidRPr="006F541A">
                                    <w:rPr>
                                      <w:sz w:val="20"/>
                                      <w:szCs w:val="20"/>
                                    </w:rPr>
                                    <w:t>means an activity that supports and is subsidiary to a primary activity</w:t>
                                  </w:r>
                                </w:p>
                              </w:txbxContent>
                            </wps:txbx>
                            <wps:bodyPr rot="0" vert="horz" wrap="square" lIns="91440" tIns="45720" rIns="91440" bIns="45720" anchor="t" anchorCtr="0">
                              <a:noAutofit/>
                            </wps:bodyPr>
                          </wps:wsp>
                        </a:graphicData>
                      </a:graphic>
                    </wp:inline>
                  </w:drawing>
                </mc:Choice>
                <mc:Fallback>
                  <w:pict>
                    <v:shape w14:anchorId="52E6E3F9" id="Text Box 250" o:spid="_x0000_s1032" type="#_x0000_t202" style="width:291.1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">
                      <v:textbox>
                        <w:txbxContent>
                          <w:p w14:paraId="7448D7DC" w14:textId="77777777" w:rsidR="009A1120" w:rsidRPr="001A38AB" w:rsidRDefault="009A1120" w:rsidP="009A1120">
                            <w:pPr>
                              <w:spacing w:after="60"/>
                              <w:rPr>
                                <w:sz w:val="20"/>
                                <w:szCs w:val="20"/>
                              </w:rPr>
                            </w:pPr>
                            <w:r w:rsidRPr="006F541A">
                              <w:rPr>
                                <w:sz w:val="20"/>
                                <w:szCs w:val="20"/>
                              </w:rPr>
                              <w:t>means an activity that supports and is subsidiary to a primary activity</w:t>
                            </w:r>
                          </w:p>
                        </w:txbxContent>
                      </v:textbox>
                      <w10:anchorlock/>
                    </v:shape>
                  </w:pict>
                </mc:Fallback>
              </mc:AlternateContent>
            </w:r>
          </w:p>
        </w:tc>
      </w:tr>
      <w:tr w:rsidR="009A1120" w:rsidRPr="00472578" w14:paraId="0C1B3D09" w14:textId="77777777" w:rsidTr="007612BD">
        <w:tc>
          <w:tcPr>
            <w:tcW w:w="2104" w:type="dxa"/>
          </w:tcPr>
          <w:p w14:paraId="6C26C5A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Aquaculture activities</w:t>
            </w:r>
          </w:p>
        </w:tc>
        <w:tc>
          <w:tcPr>
            <w:tcW w:w="7146" w:type="dxa"/>
          </w:tcPr>
          <w:p w14:paraId="26795AA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1897A17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7E5985C" wp14:editId="1E12DCC3">
                      <wp:extent cx="3697356" cy="295275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952750"/>
                              </a:xfrm>
                              <a:prstGeom prst="rect">
                                <a:avLst/>
                              </a:prstGeom>
                              <a:solidFill>
                                <a:srgbClr val="FFFFFF"/>
                              </a:solidFill>
                              <a:ln w="9525">
                                <a:solidFill>
                                  <a:srgbClr val="000000"/>
                                </a:solidFill>
                                <a:miter lim="800000"/>
                                <a:headEnd/>
                                <a:tailEnd/>
                              </a:ln>
                            </wps:spPr>
                            <wps:txbx>
                              <w:txbxContent>
                                <w:p w14:paraId="298DFB73" w14:textId="77777777" w:rsidR="009A1120" w:rsidRPr="001A38AB" w:rsidRDefault="009A1120" w:rsidP="009A1120">
                                  <w:pPr>
                                    <w:spacing w:after="60"/>
                                    <w:ind w:left="284" w:hanging="284"/>
                                    <w:rPr>
                                      <w:sz w:val="20"/>
                                      <w:szCs w:val="20"/>
                                    </w:rPr>
                                  </w:pPr>
                                  <w:bookmarkStart w:id="20" w:name="_Hlk56586190"/>
                                  <w:r w:rsidRPr="001A38AB">
                                    <w:rPr>
                                      <w:sz w:val="20"/>
                                      <w:szCs w:val="20"/>
                                    </w:rPr>
                                    <w:t>(a)</w:t>
                                  </w:r>
                                  <w:r w:rsidRPr="001A38AB">
                                    <w:rPr>
                                      <w:sz w:val="20"/>
                                      <w:szCs w:val="20"/>
                                    </w:rPr>
                                    <w:tab/>
                                    <w:t>means any activity described in section 12 done for the purpose of the breeding, hatching, cultivating, rearing, or ongrowing of fish, aquatic life, or seaweed for harvest if the breeding, hatching, cultivating, rearing, or ongrowing involves the occupation of a coastal marine area; and</w:t>
                                  </w:r>
                                </w:p>
                                <w:p w14:paraId="46F42D3D"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 the taking of harvestable spat if the taking involves the occupation of a coastal marine area; but</w:t>
                                  </w:r>
                                </w:p>
                                <w:p w14:paraId="20785B6C"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does not include an activity specified in paragraph (a) if the fish, aquatic life, or seaweed—</w:t>
                                  </w:r>
                                </w:p>
                                <w:p w14:paraId="4458050B"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are not in the exclusive and continuous possession or control of the person undertaking the activity; or</w:t>
                                  </w:r>
                                </w:p>
                                <w:p w14:paraId="7FC6436B"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cannot be distinguished or kept separate from naturally occurring fish, aquatic life, or seaweed; and</w:t>
                                  </w:r>
                                </w:p>
                                <w:bookmarkEnd w:id="20"/>
                                <w:p w14:paraId="74156A8F"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does not include an activity specified in paragraph (a) or (b) if the activity is carried out solely for the purpose of monitoring the environment</w:t>
                                  </w:r>
                                </w:p>
                              </w:txbxContent>
                            </wps:txbx>
                            <wps:bodyPr rot="0" vert="horz" wrap="square" lIns="91440" tIns="45720" rIns="91440" bIns="45720" anchor="t" anchorCtr="0">
                              <a:noAutofit/>
                            </wps:bodyPr>
                          </wps:wsp>
                        </a:graphicData>
                      </a:graphic>
                    </wp:inline>
                  </w:drawing>
                </mc:Choice>
                <mc:Fallback>
                  <w:pict>
                    <v:shape w14:anchorId="57E5985C" id="Text Box 10" o:spid="_x0000_s1033" type="#_x0000_t202" style="width:291.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">
                      <v:textbox>
                        <w:txbxContent>
                          <w:p w14:paraId="298DFB73" w14:textId="77777777" w:rsidR="009A1120" w:rsidRPr="001A38AB" w:rsidRDefault="009A1120" w:rsidP="009A1120">
                            <w:pPr>
                              <w:spacing w:after="60"/>
                              <w:ind w:left="284" w:hanging="284"/>
                              <w:rPr>
                                <w:sz w:val="20"/>
                                <w:szCs w:val="20"/>
                              </w:rPr>
                            </w:pPr>
                            <w:bookmarkStart w:id="21" w:name="_Hlk56586190"/>
                            <w:r w:rsidRPr="001A38AB">
                              <w:rPr>
                                <w:sz w:val="20"/>
                                <w:szCs w:val="20"/>
                              </w:rPr>
                              <w:t>(a)</w:t>
                            </w:r>
                            <w:r w:rsidRPr="001A38AB">
                              <w:rPr>
                                <w:sz w:val="20"/>
                                <w:szCs w:val="20"/>
                              </w:rPr>
                              <w:tab/>
                              <w:t>means any activity described in section 12 done for the purpose of the breeding, hatching, cultivating, rearing, or ongrowing of fish, aquatic life, or seaweed for harvest if the breeding, hatching, cultivating, rearing, or ongrowing involves the occupation of a coastal marine area; and</w:t>
                            </w:r>
                          </w:p>
                          <w:p w14:paraId="46F42D3D"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 the taking of harvestable spat if the taking involves the occupation of a coastal marine area; but</w:t>
                            </w:r>
                          </w:p>
                          <w:p w14:paraId="20785B6C"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does not include an activity specified in paragraph (a) if the fish, aquatic life, or seaweed—</w:t>
                            </w:r>
                          </w:p>
                          <w:p w14:paraId="4458050B"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are not in the exclusive and continuous possession or control of the person undertaking the activity; or</w:t>
                            </w:r>
                          </w:p>
                          <w:p w14:paraId="7FC6436B"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cannot be distinguished or kept separate from naturally occurring fish, aquatic life, or seaweed; and</w:t>
                            </w:r>
                          </w:p>
                          <w:bookmarkEnd w:id="21"/>
                          <w:p w14:paraId="74156A8F"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does not include an activity specified in paragraph (a) or (b) if the activity is carried out solely for the purpose of monitoring the environment</w:t>
                            </w:r>
                          </w:p>
                        </w:txbxContent>
                      </v:textbox>
                      <w10:anchorlock/>
                    </v:shape>
                  </w:pict>
                </mc:Fallback>
              </mc:AlternateContent>
            </w:r>
          </w:p>
        </w:tc>
      </w:tr>
      <w:tr w:rsidR="009A1120" w:rsidRPr="00472578" w14:paraId="178654A6" w14:textId="77777777" w:rsidTr="007612BD">
        <w:tc>
          <w:tcPr>
            <w:tcW w:w="2104" w:type="dxa"/>
          </w:tcPr>
          <w:p w14:paraId="0C01491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Aquatic compensation</w:t>
            </w:r>
          </w:p>
        </w:tc>
        <w:tc>
          <w:tcPr>
            <w:tcW w:w="7146" w:type="dxa"/>
          </w:tcPr>
          <w:p w14:paraId="285D50B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3.21(1) of the National Policy Statement for Freshwater Management 2020 (as set out in the box below)</w:t>
            </w:r>
          </w:p>
          <w:p w14:paraId="1EED7AA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54ABE86D" wp14:editId="6200714A">
                      <wp:extent cx="3697356" cy="904875"/>
                      <wp:effectExtent l="0" t="0" r="17780" b="28575"/>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04875"/>
                              </a:xfrm>
                              <a:prstGeom prst="rect">
                                <a:avLst/>
                              </a:prstGeom>
                              <a:solidFill>
                                <a:srgbClr val="FFFFFF"/>
                              </a:solidFill>
                              <a:ln w="9525">
                                <a:solidFill>
                                  <a:srgbClr val="000000"/>
                                </a:solidFill>
                                <a:miter lim="800000"/>
                                <a:headEnd/>
                                <a:tailEnd/>
                              </a:ln>
                            </wps:spPr>
                            <wps:txbx>
                              <w:txbxContent>
                                <w:p w14:paraId="74A5F88A" w14:textId="77777777" w:rsidR="009A1120" w:rsidRPr="001A38AB" w:rsidRDefault="009A1120" w:rsidP="009A1120">
                                  <w:pPr>
                                    <w:spacing w:after="60"/>
                                    <w:rPr>
                                      <w:sz w:val="20"/>
                                      <w:szCs w:val="20"/>
                                    </w:rPr>
                                  </w:pPr>
                                  <w:r>
                                    <w:rPr>
                                      <w:sz w:val="20"/>
                                      <w:szCs w:val="20"/>
                                    </w:rPr>
                                    <w:t>means a conservation outcome resulting from actions that are intended to compensate for any more than minor residual adverse effects on a wetland or river after all appropriate avoidance, minimisation, remediation, and aquatic offset measures have been sequentially applied</w:t>
                                  </w:r>
                                </w:p>
                              </w:txbxContent>
                            </wps:txbx>
                            <wps:bodyPr rot="0" vert="horz" wrap="square" lIns="91440" tIns="45720" rIns="91440" bIns="45720" anchor="t" anchorCtr="0">
                              <a:noAutofit/>
                            </wps:bodyPr>
                          </wps:wsp>
                        </a:graphicData>
                      </a:graphic>
                    </wp:inline>
                  </w:drawing>
                </mc:Choice>
                <mc:Fallback>
                  <w:pict>
                    <v:shape w14:anchorId="54ABE86D" id="Text Box 194" o:spid="_x0000_s1034" type="#_x0000_t202" style="width:291.1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nQKAIAAE8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">
                      <v:textbox>
                        <w:txbxContent>
                          <w:p w14:paraId="74A5F88A" w14:textId="77777777" w:rsidR="009A1120" w:rsidRPr="001A38AB" w:rsidRDefault="009A1120" w:rsidP="009A1120">
                            <w:pPr>
                              <w:spacing w:after="60"/>
                              <w:rPr>
                                <w:sz w:val="20"/>
                                <w:szCs w:val="20"/>
                              </w:rPr>
                            </w:pPr>
                            <w:r>
                              <w:rPr>
                                <w:sz w:val="20"/>
                                <w:szCs w:val="20"/>
                              </w:rPr>
                              <w:t>means a conservation outcome resulting from actions that are intended to compensate for any more than minor residual adverse effects on a wetland or river after all appropriate avoidance, minimisation, remediation, and aquatic offset measures have been sequentially applied</w:t>
                            </w:r>
                          </w:p>
                        </w:txbxContent>
                      </v:textbox>
                      <w10:anchorlock/>
                    </v:shape>
                  </w:pict>
                </mc:Fallback>
              </mc:AlternateContent>
            </w:r>
          </w:p>
        </w:tc>
      </w:tr>
      <w:tr w:rsidR="009A1120" w:rsidRPr="00472578" w14:paraId="51EBCD3C" w14:textId="77777777" w:rsidTr="007612BD">
        <w:tc>
          <w:tcPr>
            <w:tcW w:w="2104" w:type="dxa"/>
          </w:tcPr>
          <w:p w14:paraId="176A15D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Aquatic offset</w:t>
            </w:r>
          </w:p>
        </w:tc>
        <w:tc>
          <w:tcPr>
            <w:tcW w:w="7146" w:type="dxa"/>
          </w:tcPr>
          <w:p w14:paraId="5BD468B0"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3.21(1) of the National Policy Statement for Freshwater Management 2020 (as set out in the box below)</w:t>
            </w:r>
          </w:p>
          <w:p w14:paraId="7EC11FB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6071FF7" wp14:editId="1A6218C8">
                      <wp:extent cx="3697356" cy="2438400"/>
                      <wp:effectExtent l="0" t="0" r="17780" b="19050"/>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438400"/>
                              </a:xfrm>
                              <a:prstGeom prst="rect">
                                <a:avLst/>
                              </a:prstGeom>
                              <a:solidFill>
                                <a:srgbClr val="FFFFFF"/>
                              </a:solidFill>
                              <a:ln w="9525">
                                <a:solidFill>
                                  <a:srgbClr val="000000"/>
                                </a:solidFill>
                                <a:miter lim="800000"/>
                                <a:headEnd/>
                                <a:tailEnd/>
                              </a:ln>
                            </wps:spPr>
                            <wps:txbx>
                              <w:txbxContent>
                                <w:p w14:paraId="1E3CCB6F" w14:textId="77777777" w:rsidR="009A1120" w:rsidRDefault="009A1120" w:rsidP="009A1120">
                                  <w:pPr>
                                    <w:spacing w:after="60"/>
                                    <w:rPr>
                                      <w:sz w:val="20"/>
                                      <w:szCs w:val="20"/>
                                    </w:rPr>
                                  </w:pPr>
                                  <w:r>
                                    <w:rPr>
                                      <w:sz w:val="20"/>
                                      <w:szCs w:val="20"/>
                                    </w:rPr>
                                    <w:t>means a measurable conservation outcome resulting from actions that are intended to:</w:t>
                                  </w:r>
                                </w:p>
                                <w:p w14:paraId="1D551A32"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r>
                                  <w:r>
                                    <w:rPr>
                                      <w:sz w:val="20"/>
                                      <w:szCs w:val="20"/>
                                    </w:rPr>
                                    <w:t>redress any more than minor residual adverse effects on a wetland or river after all appropriate avoidance, minimisation, and remediation, measures have been sequentially applied; and</w:t>
                                  </w:r>
                                </w:p>
                                <w:p w14:paraId="64DAC4D5"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r>
                                  <w:r>
                                    <w:rPr>
                                      <w:sz w:val="20"/>
                                      <w:szCs w:val="20"/>
                                    </w:rPr>
                                    <w:t>achieve no net loss, and preferably a net gain, in the extent and values of the wetland or river, where:</w:t>
                                  </w:r>
                                </w:p>
                                <w:p w14:paraId="37BE02F6"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r>
                                  <w:r w:rsidRPr="0066776F">
                                    <w:rPr>
                                      <w:b/>
                                      <w:bCs/>
                                      <w:sz w:val="20"/>
                                      <w:szCs w:val="20"/>
                                    </w:rPr>
                                    <w:t>no net loss</w:t>
                                  </w:r>
                                  <w:r>
                                    <w:rPr>
                                      <w:sz w:val="20"/>
                                      <w:szCs w:val="20"/>
                                    </w:rPr>
                                    <w:t xml:space="preserve"> means that the measurable positive effects of actions match any loss of extent or values over space and time, taking into account the type and location of the wetland or river, and</w:t>
                                  </w:r>
                                </w:p>
                                <w:p w14:paraId="0F845A35"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r>
                                  <w:r w:rsidRPr="0066776F">
                                    <w:rPr>
                                      <w:b/>
                                      <w:bCs/>
                                      <w:sz w:val="20"/>
                                      <w:szCs w:val="20"/>
                                    </w:rPr>
                                    <w:t>net gain</w:t>
                                  </w:r>
                                  <w:r>
                                    <w:rPr>
                                      <w:sz w:val="20"/>
                                      <w:szCs w:val="20"/>
                                    </w:rPr>
                                    <w:t xml:space="preserve"> means that the measurable positive effects of actions exceed the point of no net loss</w:t>
                                  </w:r>
                                </w:p>
                                <w:p w14:paraId="638557A0" w14:textId="77777777" w:rsidR="009A1120" w:rsidRPr="001A38AB" w:rsidRDefault="009A1120" w:rsidP="009A1120">
                                  <w:pPr>
                                    <w:spacing w:after="60"/>
                                    <w:ind w:left="284" w:hanging="284"/>
                                    <w:rPr>
                                      <w:sz w:val="20"/>
                                      <w:szCs w:val="20"/>
                                    </w:rPr>
                                  </w:pPr>
                                </w:p>
                              </w:txbxContent>
                            </wps:txbx>
                            <wps:bodyPr rot="0" vert="horz" wrap="square" lIns="91440" tIns="45720" rIns="91440" bIns="45720" anchor="t" anchorCtr="0">
                              <a:noAutofit/>
                            </wps:bodyPr>
                          </wps:wsp>
                        </a:graphicData>
                      </a:graphic>
                    </wp:inline>
                  </w:drawing>
                </mc:Choice>
                <mc:Fallback>
                  <w:pict>
                    <v:shape w14:anchorId="46071FF7" id="Text Box 320" o:spid="_x0000_s1035" type="#_x0000_t202" style="width:291.1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">
                      <v:textbox>
                        <w:txbxContent>
                          <w:p w14:paraId="1E3CCB6F" w14:textId="77777777" w:rsidR="009A1120" w:rsidRDefault="009A1120" w:rsidP="009A1120">
                            <w:pPr>
                              <w:spacing w:after="60"/>
                              <w:rPr>
                                <w:sz w:val="20"/>
                                <w:szCs w:val="20"/>
                              </w:rPr>
                            </w:pPr>
                            <w:r>
                              <w:rPr>
                                <w:sz w:val="20"/>
                                <w:szCs w:val="20"/>
                              </w:rPr>
                              <w:t>means a measurable conservation outcome resulting from actions that are intended to:</w:t>
                            </w:r>
                          </w:p>
                          <w:p w14:paraId="1D551A32"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r>
                            <w:r>
                              <w:rPr>
                                <w:sz w:val="20"/>
                                <w:szCs w:val="20"/>
                              </w:rPr>
                              <w:t>redress any more than minor residual adverse effects on a wetland or river after all appropriate avoidance, minimisation, and remediation, measures have been sequentially applied; and</w:t>
                            </w:r>
                          </w:p>
                          <w:p w14:paraId="64DAC4D5"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r>
                            <w:r>
                              <w:rPr>
                                <w:sz w:val="20"/>
                                <w:szCs w:val="20"/>
                              </w:rPr>
                              <w:t>achieve no net loss, and preferably a net gain, in the extent and values of the wetland or river, where:</w:t>
                            </w:r>
                          </w:p>
                          <w:p w14:paraId="37BE02F6"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r>
                            <w:r w:rsidRPr="0066776F">
                              <w:rPr>
                                <w:b/>
                                <w:bCs/>
                                <w:sz w:val="20"/>
                                <w:szCs w:val="20"/>
                              </w:rPr>
                              <w:t>no net loss</w:t>
                            </w:r>
                            <w:r>
                              <w:rPr>
                                <w:sz w:val="20"/>
                                <w:szCs w:val="20"/>
                              </w:rPr>
                              <w:t xml:space="preserve"> means that the measurable positive effects of actions match any loss of extent or values over space and time, taking into account the type and location of the wetland or river, and</w:t>
                            </w:r>
                          </w:p>
                          <w:p w14:paraId="0F845A35"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r>
                            <w:r w:rsidRPr="0066776F">
                              <w:rPr>
                                <w:b/>
                                <w:bCs/>
                                <w:sz w:val="20"/>
                                <w:szCs w:val="20"/>
                              </w:rPr>
                              <w:t>net gain</w:t>
                            </w:r>
                            <w:r>
                              <w:rPr>
                                <w:sz w:val="20"/>
                                <w:szCs w:val="20"/>
                              </w:rPr>
                              <w:t xml:space="preserve"> means that the measurable positive effects of actions exceed the point of no net loss</w:t>
                            </w:r>
                          </w:p>
                          <w:p w14:paraId="638557A0" w14:textId="77777777" w:rsidR="009A1120" w:rsidRPr="001A38AB" w:rsidRDefault="009A1120" w:rsidP="009A1120">
                            <w:pPr>
                              <w:spacing w:after="60"/>
                              <w:ind w:left="284" w:hanging="284"/>
                              <w:rPr>
                                <w:sz w:val="20"/>
                                <w:szCs w:val="20"/>
                              </w:rPr>
                            </w:pPr>
                          </w:p>
                        </w:txbxContent>
                      </v:textbox>
                      <w10:anchorlock/>
                    </v:shape>
                  </w:pict>
                </mc:Fallback>
              </mc:AlternateContent>
            </w:r>
          </w:p>
        </w:tc>
      </w:tr>
      <w:tr w:rsidR="009A1120" w:rsidRPr="00472578" w14:paraId="55FBE937" w14:textId="77777777" w:rsidTr="007612BD">
        <w:tc>
          <w:tcPr>
            <w:tcW w:w="2104" w:type="dxa"/>
          </w:tcPr>
          <w:p w14:paraId="5E2D518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Attribute</w:t>
            </w:r>
          </w:p>
        </w:tc>
        <w:tc>
          <w:tcPr>
            <w:tcW w:w="7146" w:type="dxa"/>
          </w:tcPr>
          <w:p w14:paraId="0B9DCD5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3FDB2A8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05D6029" wp14:editId="593EE4E0">
                      <wp:extent cx="3697356" cy="595423"/>
                      <wp:effectExtent l="0" t="0" r="17780" b="14605"/>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95423"/>
                              </a:xfrm>
                              <a:prstGeom prst="rect">
                                <a:avLst/>
                              </a:prstGeom>
                              <a:solidFill>
                                <a:srgbClr val="FFFFFF"/>
                              </a:solidFill>
                              <a:ln w="9525">
                                <a:solidFill>
                                  <a:srgbClr val="000000"/>
                                </a:solidFill>
                                <a:miter lim="800000"/>
                                <a:headEnd/>
                                <a:tailEnd/>
                              </a:ln>
                            </wps:spPr>
                            <wps:txbx>
                              <w:txbxContent>
                                <w:p w14:paraId="0D7F940F" w14:textId="77777777" w:rsidR="009A1120" w:rsidRPr="001A38AB" w:rsidRDefault="009A1120" w:rsidP="009A1120">
                                  <w:pPr>
                                    <w:spacing w:after="60"/>
                                    <w:rPr>
                                      <w:sz w:val="20"/>
                                      <w:szCs w:val="20"/>
                                    </w:rPr>
                                  </w:pPr>
                                  <w:r w:rsidRPr="006F541A">
                                    <w:rPr>
                                      <w:sz w:val="20"/>
                                      <w:szCs w:val="20"/>
                                    </w:rPr>
                                    <w:t>means a measurable characteristic (numeric, narrative, or both) that can be used to</w:t>
                                  </w:r>
                                  <w:r>
                                    <w:rPr>
                                      <w:sz w:val="20"/>
                                      <w:szCs w:val="20"/>
                                    </w:rPr>
                                    <w:t xml:space="preserve"> </w:t>
                                  </w:r>
                                  <w:r w:rsidRPr="006F541A">
                                    <w:rPr>
                                      <w:sz w:val="20"/>
                                      <w:szCs w:val="20"/>
                                    </w:rPr>
                                    <w:t>assess the extent to which a particular value is provided for</w:t>
                                  </w:r>
                                </w:p>
                              </w:txbxContent>
                            </wps:txbx>
                            <wps:bodyPr rot="0" vert="horz" wrap="square" lIns="91440" tIns="45720" rIns="91440" bIns="45720" anchor="t" anchorCtr="0">
                              <a:noAutofit/>
                            </wps:bodyPr>
                          </wps:wsp>
                        </a:graphicData>
                      </a:graphic>
                    </wp:inline>
                  </w:drawing>
                </mc:Choice>
                <mc:Fallback>
                  <w:pict>
                    <v:shape w14:anchorId="405D6029" id="Text Box 249" o:spid="_x0000_s1036" type="#_x0000_t202" style="width:291.15pt;height:4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">
                      <v:textbox>
                        <w:txbxContent>
                          <w:p w14:paraId="0D7F940F" w14:textId="77777777" w:rsidR="009A1120" w:rsidRPr="001A38AB" w:rsidRDefault="009A1120" w:rsidP="009A1120">
                            <w:pPr>
                              <w:spacing w:after="60"/>
                              <w:rPr>
                                <w:sz w:val="20"/>
                                <w:szCs w:val="20"/>
                              </w:rPr>
                            </w:pPr>
                            <w:r w:rsidRPr="006F541A">
                              <w:rPr>
                                <w:sz w:val="20"/>
                                <w:szCs w:val="20"/>
                              </w:rPr>
                              <w:t>means a measurable characteristic (numeric, narrative, or both) that can be used to</w:t>
                            </w:r>
                            <w:r>
                              <w:rPr>
                                <w:sz w:val="20"/>
                                <w:szCs w:val="20"/>
                              </w:rPr>
                              <w:t xml:space="preserve"> </w:t>
                            </w:r>
                            <w:r w:rsidRPr="006F541A">
                              <w:rPr>
                                <w:sz w:val="20"/>
                                <w:szCs w:val="20"/>
                              </w:rPr>
                              <w:t>assess the extent to which a particular value is provided for</w:t>
                            </w:r>
                          </w:p>
                        </w:txbxContent>
                      </v:textbox>
                      <w10:anchorlock/>
                    </v:shape>
                  </w:pict>
                </mc:Fallback>
              </mc:AlternateContent>
            </w:r>
          </w:p>
        </w:tc>
      </w:tr>
      <w:tr w:rsidR="009A1120" w:rsidRPr="00472578" w14:paraId="00C632EF" w14:textId="77777777" w:rsidTr="007612BD">
        <w:tc>
          <w:tcPr>
            <w:tcW w:w="2104" w:type="dxa"/>
          </w:tcPr>
          <w:p w14:paraId="3C2ED13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Bed</w:t>
            </w:r>
          </w:p>
        </w:tc>
        <w:tc>
          <w:tcPr>
            <w:tcW w:w="7146" w:type="dxa"/>
          </w:tcPr>
          <w:p w14:paraId="6B1C72C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3D6C5A04"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5CDF595D" wp14:editId="7F742584">
                      <wp:extent cx="3697356" cy="4253948"/>
                      <wp:effectExtent l="0" t="0" r="17780" b="13335"/>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253948"/>
                              </a:xfrm>
                              <a:prstGeom prst="rect">
                                <a:avLst/>
                              </a:prstGeom>
                              <a:solidFill>
                                <a:srgbClr val="FFFFFF"/>
                              </a:solidFill>
                              <a:ln w="9525">
                                <a:solidFill>
                                  <a:srgbClr val="000000"/>
                                </a:solidFill>
                                <a:miter lim="800000"/>
                                <a:headEnd/>
                                <a:tailEnd/>
                              </a:ln>
                            </wps:spPr>
                            <wps:txbx>
                              <w:txbxContent>
                                <w:p w14:paraId="725FAB62" w14:textId="77777777" w:rsidR="009A1120" w:rsidRPr="001A38AB" w:rsidRDefault="009A1120" w:rsidP="009A1120">
                                  <w:pPr>
                                    <w:spacing w:after="60"/>
                                    <w:rPr>
                                      <w:sz w:val="20"/>
                                      <w:szCs w:val="20"/>
                                    </w:rPr>
                                  </w:pPr>
                                  <w:r w:rsidRPr="001A38AB">
                                    <w:rPr>
                                      <w:sz w:val="20"/>
                                      <w:szCs w:val="20"/>
                                    </w:rPr>
                                    <w:t>means,—</w:t>
                                  </w:r>
                                </w:p>
                                <w:p w14:paraId="5B3EC7AF"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in relation to any river—</w:t>
                                  </w:r>
                                </w:p>
                                <w:p w14:paraId="127F72CC"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for the purposes of esplanade reserves, esplanade strips, and subdivision, the space of land which the waters of the river cover at its annual fullest flow without overtopping its banks:</w:t>
                                  </w:r>
                                </w:p>
                                <w:p w14:paraId="3E63B701"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in all other cases, the space of land which the waters of the river cover at its fullest flow without overtopping its banks; and</w:t>
                                  </w:r>
                                </w:p>
                                <w:p w14:paraId="1270725D"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 relation to any lake, except a lake controlled by artificial means,—</w:t>
                                  </w:r>
                                </w:p>
                                <w:p w14:paraId="7EE01AD2"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for the purposes of esplanade reserves, esplanade strips, and subdivision, the space of land which the waters of the lake cover at its annual highest level without exceeding its margin:</w:t>
                                  </w:r>
                                </w:p>
                                <w:p w14:paraId="7671DD9A"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in all other cases, the space of land which the waters of the lake cover at its highest level without exceeding its margin; and</w:t>
                                  </w:r>
                                </w:p>
                                <w:p w14:paraId="094F4BC5"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in relation to any lake controlled by artificial means, the space of land which the waters of the lake cover at its maximum permitted operating level; and</w:t>
                                  </w:r>
                                </w:p>
                                <w:p w14:paraId="421A6A8E"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in relation to the sea, the submarine areas covered by the internal waters and the territorial sea</w:t>
                                  </w:r>
                                </w:p>
                              </w:txbxContent>
                            </wps:txbx>
                            <wps:bodyPr rot="0" vert="horz" wrap="square" lIns="91440" tIns="45720" rIns="91440" bIns="45720" anchor="t" anchorCtr="0">
                              <a:noAutofit/>
                            </wps:bodyPr>
                          </wps:wsp>
                        </a:graphicData>
                      </a:graphic>
                    </wp:inline>
                  </w:drawing>
                </mc:Choice>
                <mc:Fallback>
                  <w:pict>
                    <v:shape w14:anchorId="5CDF595D" id="Text Box 198" o:spid="_x0000_s1037" type="#_x0000_t202" style="width:291.15pt;height:3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">
                      <v:textbox>
                        <w:txbxContent>
                          <w:p w14:paraId="725FAB62" w14:textId="77777777" w:rsidR="009A1120" w:rsidRPr="001A38AB" w:rsidRDefault="009A1120" w:rsidP="009A1120">
                            <w:pPr>
                              <w:spacing w:after="60"/>
                              <w:rPr>
                                <w:sz w:val="20"/>
                                <w:szCs w:val="20"/>
                              </w:rPr>
                            </w:pPr>
                            <w:r w:rsidRPr="001A38AB">
                              <w:rPr>
                                <w:sz w:val="20"/>
                                <w:szCs w:val="20"/>
                              </w:rPr>
                              <w:t>means,—</w:t>
                            </w:r>
                          </w:p>
                          <w:p w14:paraId="5B3EC7AF"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in relation to any river—</w:t>
                            </w:r>
                          </w:p>
                          <w:p w14:paraId="127F72CC"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for the purposes of esplanade reserves, esplanade strips, and subdivision, the space of land which the waters of the river cover at its annual fullest flow without overtopping its banks:</w:t>
                            </w:r>
                          </w:p>
                          <w:p w14:paraId="3E63B701"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in all other cases, the space of land which the waters of the river cover at its fullest flow without overtopping its banks; and</w:t>
                            </w:r>
                          </w:p>
                          <w:p w14:paraId="1270725D"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 relation to any lake, except a lake controlled by artificial means,—</w:t>
                            </w:r>
                          </w:p>
                          <w:p w14:paraId="7EE01AD2"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for the purposes of esplanade reserves, esplanade strips, and subdivision, the space of land which the waters of the lake cover at its annual highest level without exceeding its margin:</w:t>
                            </w:r>
                          </w:p>
                          <w:p w14:paraId="7671DD9A"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in all other cases, the space of land which the waters of the lake cover at its highest level without exceeding its margin; and</w:t>
                            </w:r>
                          </w:p>
                          <w:p w14:paraId="094F4BC5"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in relation to any lake controlled by artificial means, the space of land which the waters of the lake cover at its maximum permitted operating level; and</w:t>
                            </w:r>
                          </w:p>
                          <w:p w14:paraId="421A6A8E"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in relation to the sea, the submarine areas covered by the internal waters and the territorial sea</w:t>
                            </w:r>
                          </w:p>
                        </w:txbxContent>
                      </v:textbox>
                      <w10:anchorlock/>
                    </v:shape>
                  </w:pict>
                </mc:Fallback>
              </mc:AlternateContent>
            </w:r>
          </w:p>
        </w:tc>
      </w:tr>
      <w:tr w:rsidR="009A1120" w:rsidRPr="00472578" w14:paraId="40409E6F" w14:textId="77777777" w:rsidTr="007612BD">
        <w:tc>
          <w:tcPr>
            <w:tcW w:w="2104" w:type="dxa"/>
          </w:tcPr>
          <w:p w14:paraId="4E9CA86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Biodiversity</w:t>
            </w:r>
          </w:p>
        </w:tc>
        <w:tc>
          <w:tcPr>
            <w:tcW w:w="7146" w:type="dxa"/>
          </w:tcPr>
          <w:p w14:paraId="6AF47BD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see </w:t>
            </w:r>
            <w:r w:rsidRPr="00472578">
              <w:rPr>
                <w:i/>
                <w:iCs/>
                <w:sz w:val="20"/>
                <w:szCs w:val="20"/>
              </w:rPr>
              <w:t>biological diversity</w:t>
            </w:r>
          </w:p>
        </w:tc>
      </w:tr>
      <w:tr w:rsidR="009A1120" w:rsidRPr="00472578" w14:paraId="0EC5593A" w14:textId="77777777" w:rsidTr="007612BD">
        <w:tc>
          <w:tcPr>
            <w:tcW w:w="2104" w:type="dxa"/>
          </w:tcPr>
          <w:p w14:paraId="0A0AD76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Biological diversity</w:t>
            </w:r>
          </w:p>
        </w:tc>
        <w:tc>
          <w:tcPr>
            <w:tcW w:w="7146" w:type="dxa"/>
          </w:tcPr>
          <w:p w14:paraId="5CF5498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9139198"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5D025E7" wp14:editId="3D4AC697">
                      <wp:extent cx="3697356" cy="588396"/>
                      <wp:effectExtent l="0" t="0" r="17780" b="21590"/>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88396"/>
                              </a:xfrm>
                              <a:prstGeom prst="rect">
                                <a:avLst/>
                              </a:prstGeom>
                              <a:solidFill>
                                <a:srgbClr val="FFFFFF"/>
                              </a:solidFill>
                              <a:ln w="9525">
                                <a:solidFill>
                                  <a:srgbClr val="000000"/>
                                </a:solidFill>
                                <a:miter lim="800000"/>
                                <a:headEnd/>
                                <a:tailEnd/>
                              </a:ln>
                            </wps:spPr>
                            <wps:txbx>
                              <w:txbxContent>
                                <w:p w14:paraId="0A76A6F3" w14:textId="77777777" w:rsidR="009A1120" w:rsidRPr="001A38AB" w:rsidRDefault="009A1120" w:rsidP="009A1120">
                                  <w:pPr>
                                    <w:rPr>
                                      <w:sz w:val="20"/>
                                      <w:szCs w:val="20"/>
                                    </w:rPr>
                                  </w:pPr>
                                  <w:r w:rsidRPr="001A38AB">
                                    <w:rPr>
                                      <w:sz w:val="20"/>
                                      <w:szCs w:val="20"/>
                                    </w:rPr>
                                    <w:t>means the variability among living organisms, and the ecological complexes of which they are a part, including diversity within species, between species, and of ecosystems</w:t>
                                  </w:r>
                                </w:p>
                              </w:txbxContent>
                            </wps:txbx>
                            <wps:bodyPr rot="0" vert="horz" wrap="square" lIns="91440" tIns="45720" rIns="91440" bIns="45720" anchor="t" anchorCtr="0">
                              <a:noAutofit/>
                            </wps:bodyPr>
                          </wps:wsp>
                        </a:graphicData>
                      </a:graphic>
                    </wp:inline>
                  </w:drawing>
                </mc:Choice>
                <mc:Fallback>
                  <w:pict>
                    <v:shape w14:anchorId="25D025E7" id="Text Box 214" o:spid="_x0000_s1038" type="#_x0000_t202" style="width:291.1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SBKgIAAFA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">
                      <v:textbox>
                        <w:txbxContent>
                          <w:p w14:paraId="0A76A6F3" w14:textId="77777777" w:rsidR="009A1120" w:rsidRPr="001A38AB" w:rsidRDefault="009A1120" w:rsidP="009A1120">
                            <w:pPr>
                              <w:rPr>
                                <w:sz w:val="20"/>
                                <w:szCs w:val="20"/>
                              </w:rPr>
                            </w:pPr>
                            <w:r w:rsidRPr="001A38AB">
                              <w:rPr>
                                <w:sz w:val="20"/>
                                <w:szCs w:val="20"/>
                              </w:rPr>
                              <w:t>means the variability among living organisms, and the ecological complexes of which they are a part, including diversity within species, between species, and of ecosystems</w:t>
                            </w:r>
                          </w:p>
                        </w:txbxContent>
                      </v:textbox>
                      <w10:anchorlock/>
                    </v:shape>
                  </w:pict>
                </mc:Fallback>
              </mc:AlternateContent>
            </w:r>
          </w:p>
        </w:tc>
      </w:tr>
      <w:tr w:rsidR="009A1120" w:rsidRPr="00472578" w14:paraId="1ECE6BED" w14:textId="77777777" w:rsidTr="007612BD">
        <w:tc>
          <w:tcPr>
            <w:tcW w:w="2104" w:type="dxa"/>
          </w:tcPr>
          <w:p w14:paraId="43FCB3D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Building</w:t>
            </w:r>
          </w:p>
        </w:tc>
        <w:tc>
          <w:tcPr>
            <w:tcW w:w="7146" w:type="dxa"/>
          </w:tcPr>
          <w:p w14:paraId="508C8B5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3ACB281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8B1671E" wp14:editId="48CDE90D">
                      <wp:extent cx="3697356" cy="1224501"/>
                      <wp:effectExtent l="0" t="0" r="17780" b="1397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224501"/>
                              </a:xfrm>
                              <a:prstGeom prst="rect">
                                <a:avLst/>
                              </a:prstGeom>
                              <a:solidFill>
                                <a:srgbClr val="FFFFFF"/>
                              </a:solidFill>
                              <a:ln w="9525">
                                <a:solidFill>
                                  <a:srgbClr val="000000"/>
                                </a:solidFill>
                                <a:miter lim="800000"/>
                                <a:headEnd/>
                                <a:tailEnd/>
                              </a:ln>
                            </wps:spPr>
                            <wps:txbx>
                              <w:txbxContent>
                                <w:p w14:paraId="04EF7832" w14:textId="77777777" w:rsidR="009A1120" w:rsidRPr="001A38AB" w:rsidRDefault="009A1120" w:rsidP="009A1120">
                                  <w:pPr>
                                    <w:spacing w:after="60"/>
                                    <w:rPr>
                                      <w:sz w:val="20"/>
                                      <w:szCs w:val="20"/>
                                    </w:rPr>
                                  </w:pPr>
                                  <w:r w:rsidRPr="001A38AB">
                                    <w:rPr>
                                      <w:sz w:val="20"/>
                                      <w:szCs w:val="20"/>
                                    </w:rPr>
                                    <w:t>means a temporary or permanent movable or immovable physical construction that is:</w:t>
                                  </w:r>
                                </w:p>
                                <w:p w14:paraId="71E2C750" w14:textId="77777777" w:rsidR="009A1120" w:rsidRPr="001A38AB" w:rsidRDefault="009A1120" w:rsidP="009A1120">
                                  <w:pPr>
                                    <w:spacing w:after="60"/>
                                    <w:ind w:left="284" w:hanging="284"/>
                                    <w:rPr>
                                      <w:sz w:val="20"/>
                                      <w:szCs w:val="20"/>
                                    </w:rPr>
                                  </w:pPr>
                                  <w:r w:rsidRPr="001A38AB">
                                    <w:rPr>
                                      <w:sz w:val="20"/>
                                      <w:szCs w:val="20"/>
                                    </w:rPr>
                                    <w:t>(a) partially or fully roofed; and</w:t>
                                  </w:r>
                                </w:p>
                                <w:p w14:paraId="24054E43" w14:textId="77777777" w:rsidR="009A1120" w:rsidRPr="001A38AB" w:rsidRDefault="009A1120" w:rsidP="009A1120">
                                  <w:pPr>
                                    <w:spacing w:after="60"/>
                                    <w:rPr>
                                      <w:sz w:val="20"/>
                                      <w:szCs w:val="20"/>
                                    </w:rPr>
                                  </w:pPr>
                                  <w:r w:rsidRPr="001A38AB">
                                    <w:rPr>
                                      <w:sz w:val="20"/>
                                      <w:szCs w:val="20"/>
                                    </w:rPr>
                                    <w:t>(b) fixed or located on or in land;</w:t>
                                  </w:r>
                                </w:p>
                                <w:p w14:paraId="7A98201A" w14:textId="77777777" w:rsidR="009A1120" w:rsidRPr="001A38AB" w:rsidRDefault="009A1120" w:rsidP="009A1120">
                                  <w:pPr>
                                    <w:spacing w:after="60"/>
                                    <w:rPr>
                                      <w:sz w:val="20"/>
                                      <w:szCs w:val="20"/>
                                    </w:rPr>
                                  </w:pPr>
                                  <w:r w:rsidRPr="001A38AB">
                                    <w:rPr>
                                      <w:sz w:val="20"/>
                                      <w:szCs w:val="20"/>
                                    </w:rPr>
                                    <w:t>but excludes any motorised vehicle or other mode of transport that could be moved under its own power</w:t>
                                  </w:r>
                                </w:p>
                              </w:txbxContent>
                            </wps:txbx>
                            <wps:bodyPr rot="0" vert="horz" wrap="square" lIns="91440" tIns="45720" rIns="91440" bIns="45720" anchor="t" anchorCtr="0">
                              <a:noAutofit/>
                            </wps:bodyPr>
                          </wps:wsp>
                        </a:graphicData>
                      </a:graphic>
                    </wp:inline>
                  </w:drawing>
                </mc:Choice>
                <mc:Fallback>
                  <w:pict>
                    <v:shape w14:anchorId="78B1671E" id="Text Box 28" o:spid="_x0000_s1039" type="#_x0000_t202" style="width:291.15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CU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">
                      <v:textbox>
                        <w:txbxContent>
                          <w:p w14:paraId="04EF7832" w14:textId="77777777" w:rsidR="009A1120" w:rsidRPr="001A38AB" w:rsidRDefault="009A1120" w:rsidP="009A1120">
                            <w:pPr>
                              <w:spacing w:after="60"/>
                              <w:rPr>
                                <w:sz w:val="20"/>
                                <w:szCs w:val="20"/>
                              </w:rPr>
                            </w:pPr>
                            <w:r w:rsidRPr="001A38AB">
                              <w:rPr>
                                <w:sz w:val="20"/>
                                <w:szCs w:val="20"/>
                              </w:rPr>
                              <w:t>means a temporary or permanent movable or immovable physical construction that is:</w:t>
                            </w:r>
                          </w:p>
                          <w:p w14:paraId="71E2C750" w14:textId="77777777" w:rsidR="009A1120" w:rsidRPr="001A38AB" w:rsidRDefault="009A1120" w:rsidP="009A1120">
                            <w:pPr>
                              <w:spacing w:after="60"/>
                              <w:ind w:left="284" w:hanging="284"/>
                              <w:rPr>
                                <w:sz w:val="20"/>
                                <w:szCs w:val="20"/>
                              </w:rPr>
                            </w:pPr>
                            <w:r w:rsidRPr="001A38AB">
                              <w:rPr>
                                <w:sz w:val="20"/>
                                <w:szCs w:val="20"/>
                              </w:rPr>
                              <w:t>(a) partially or fully roofed; and</w:t>
                            </w:r>
                          </w:p>
                          <w:p w14:paraId="24054E43" w14:textId="77777777" w:rsidR="009A1120" w:rsidRPr="001A38AB" w:rsidRDefault="009A1120" w:rsidP="009A1120">
                            <w:pPr>
                              <w:spacing w:after="60"/>
                              <w:rPr>
                                <w:sz w:val="20"/>
                                <w:szCs w:val="20"/>
                              </w:rPr>
                            </w:pPr>
                            <w:r w:rsidRPr="001A38AB">
                              <w:rPr>
                                <w:sz w:val="20"/>
                                <w:szCs w:val="20"/>
                              </w:rPr>
                              <w:t>(b) fixed or located on or in land;</w:t>
                            </w:r>
                          </w:p>
                          <w:p w14:paraId="7A98201A" w14:textId="77777777" w:rsidR="009A1120" w:rsidRPr="001A38AB" w:rsidRDefault="009A1120" w:rsidP="009A1120">
                            <w:pPr>
                              <w:spacing w:after="60"/>
                              <w:rPr>
                                <w:sz w:val="20"/>
                                <w:szCs w:val="20"/>
                              </w:rPr>
                            </w:pPr>
                            <w:r w:rsidRPr="001A38AB">
                              <w:rPr>
                                <w:sz w:val="20"/>
                                <w:szCs w:val="20"/>
                              </w:rPr>
                              <w:t>but excludes any motorised vehicle or other mode of transport that could be moved under its own power</w:t>
                            </w:r>
                          </w:p>
                        </w:txbxContent>
                      </v:textbox>
                      <w10:anchorlock/>
                    </v:shape>
                  </w:pict>
                </mc:Fallback>
              </mc:AlternateContent>
            </w:r>
          </w:p>
        </w:tc>
      </w:tr>
      <w:tr w:rsidR="009A1120" w:rsidRPr="00472578" w14:paraId="544C037A" w14:textId="77777777" w:rsidTr="007612BD">
        <w:tc>
          <w:tcPr>
            <w:tcW w:w="2104" w:type="dxa"/>
          </w:tcPr>
          <w:p w14:paraId="700F2DF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Business land</w:t>
            </w:r>
          </w:p>
        </w:tc>
        <w:tc>
          <w:tcPr>
            <w:tcW w:w="7146" w:type="dxa"/>
          </w:tcPr>
          <w:p w14:paraId="1162AEB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1.3 of the National Policy Statement on Urban Development 2020 (as set out in the box below)</w:t>
            </w:r>
          </w:p>
          <w:p w14:paraId="11D5DB5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1E727B01" wp14:editId="28E5A2B1">
                      <wp:extent cx="3697356" cy="1754372"/>
                      <wp:effectExtent l="0" t="0" r="17780" b="1778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754372"/>
                              </a:xfrm>
                              <a:prstGeom prst="rect">
                                <a:avLst/>
                              </a:prstGeom>
                              <a:solidFill>
                                <a:srgbClr val="FFFFFF"/>
                              </a:solidFill>
                              <a:ln w="9525">
                                <a:solidFill>
                                  <a:srgbClr val="000000"/>
                                </a:solidFill>
                                <a:miter lim="800000"/>
                                <a:headEnd/>
                                <a:tailEnd/>
                              </a:ln>
                            </wps:spPr>
                            <wps:txbx>
                              <w:txbxContent>
                                <w:p w14:paraId="39147564" w14:textId="77777777" w:rsidR="009A1120" w:rsidRDefault="009A1120" w:rsidP="009A1120">
                                  <w:pPr>
                                    <w:rPr>
                                      <w:sz w:val="20"/>
                                      <w:szCs w:val="20"/>
                                      <w:lang w:val="en-GB"/>
                                    </w:rPr>
                                  </w:pPr>
                                  <w:r>
                                    <w:rPr>
                                      <w:sz w:val="20"/>
                                      <w:szCs w:val="20"/>
                                      <w:lang w:val="en-GB"/>
                                    </w:rPr>
                                    <w:t>means land that is zoned, or identified in an FDS or similar strategy or plan, for business uses in urban environments, including but not limited to land in the following:</w:t>
                                  </w:r>
                                </w:p>
                                <w:p w14:paraId="60E83F30" w14:textId="77777777" w:rsidR="009A1120" w:rsidRPr="001A38AB" w:rsidRDefault="009A1120" w:rsidP="009A1120">
                                  <w:pPr>
                                    <w:spacing w:before="60" w:after="60"/>
                                    <w:ind w:left="284" w:hanging="284"/>
                                    <w:rPr>
                                      <w:sz w:val="20"/>
                                      <w:szCs w:val="20"/>
                                    </w:rPr>
                                  </w:pPr>
                                  <w:r w:rsidRPr="001A38AB">
                                    <w:rPr>
                                      <w:sz w:val="20"/>
                                      <w:szCs w:val="20"/>
                                    </w:rPr>
                                    <w:t>(a)</w:t>
                                  </w:r>
                                  <w:r w:rsidRPr="001A38AB">
                                    <w:rPr>
                                      <w:sz w:val="20"/>
                                      <w:szCs w:val="20"/>
                                    </w:rPr>
                                    <w:tab/>
                                  </w:r>
                                  <w:r>
                                    <w:rPr>
                                      <w:sz w:val="20"/>
                                      <w:szCs w:val="20"/>
                                    </w:rPr>
                                    <w:t>any industrial zone</w:t>
                                  </w:r>
                                </w:p>
                                <w:p w14:paraId="48CD07AD" w14:textId="77777777" w:rsidR="009A1120" w:rsidRDefault="009A1120" w:rsidP="009A1120">
                                  <w:pPr>
                                    <w:spacing w:before="60" w:after="60"/>
                                    <w:ind w:left="319" w:hanging="319"/>
                                    <w:rPr>
                                      <w:sz w:val="20"/>
                                      <w:szCs w:val="20"/>
                                    </w:rPr>
                                  </w:pPr>
                                  <w:r w:rsidRPr="001A38AB">
                                    <w:rPr>
                                      <w:sz w:val="20"/>
                                      <w:szCs w:val="20"/>
                                    </w:rPr>
                                    <w:t>(b)</w:t>
                                  </w:r>
                                  <w:r w:rsidRPr="001A38AB">
                                    <w:rPr>
                                      <w:sz w:val="20"/>
                                      <w:szCs w:val="20"/>
                                    </w:rPr>
                                    <w:tab/>
                                  </w:r>
                                  <w:r>
                                    <w:rPr>
                                      <w:sz w:val="20"/>
                                      <w:szCs w:val="20"/>
                                    </w:rPr>
                                    <w:t>the commercial zone</w:t>
                                  </w:r>
                                </w:p>
                                <w:p w14:paraId="7CAC5F9F" w14:textId="77777777" w:rsidR="009A1120" w:rsidRDefault="009A1120" w:rsidP="009A1120">
                                  <w:pPr>
                                    <w:spacing w:before="60" w:after="60"/>
                                    <w:ind w:left="319" w:hanging="319"/>
                                    <w:rPr>
                                      <w:sz w:val="20"/>
                                      <w:szCs w:val="20"/>
                                    </w:rPr>
                                  </w:pPr>
                                  <w:r>
                                    <w:rPr>
                                      <w:sz w:val="20"/>
                                      <w:szCs w:val="20"/>
                                    </w:rPr>
                                    <w:t>(c)</w:t>
                                  </w:r>
                                  <w:r>
                                    <w:rPr>
                                      <w:sz w:val="20"/>
                                      <w:szCs w:val="20"/>
                                    </w:rPr>
                                    <w:tab/>
                                    <w:t>the large format retail zone</w:t>
                                  </w:r>
                                </w:p>
                                <w:p w14:paraId="7BDD468D" w14:textId="77777777" w:rsidR="009A1120" w:rsidRDefault="009A1120" w:rsidP="009A1120">
                                  <w:pPr>
                                    <w:spacing w:before="60" w:after="60"/>
                                    <w:ind w:left="319" w:hanging="319"/>
                                    <w:rPr>
                                      <w:sz w:val="20"/>
                                      <w:szCs w:val="20"/>
                                    </w:rPr>
                                  </w:pPr>
                                  <w:r>
                                    <w:rPr>
                                      <w:sz w:val="20"/>
                                      <w:szCs w:val="20"/>
                                    </w:rPr>
                                    <w:t>(d)</w:t>
                                  </w:r>
                                  <w:r>
                                    <w:rPr>
                                      <w:sz w:val="20"/>
                                      <w:szCs w:val="20"/>
                                    </w:rPr>
                                    <w:tab/>
                                    <w:t>any centre zone, to the extent it allows business uses</w:t>
                                  </w:r>
                                </w:p>
                                <w:p w14:paraId="72E88FB9" w14:textId="77777777" w:rsidR="009A1120" w:rsidRDefault="009A1120" w:rsidP="009A1120">
                                  <w:pPr>
                                    <w:spacing w:before="60" w:after="60"/>
                                    <w:ind w:left="319" w:hanging="319"/>
                                    <w:rPr>
                                      <w:sz w:val="20"/>
                                      <w:szCs w:val="20"/>
                                    </w:rPr>
                                  </w:pPr>
                                  <w:r>
                                    <w:rPr>
                                      <w:sz w:val="20"/>
                                      <w:szCs w:val="20"/>
                                    </w:rPr>
                                    <w:t>(e)</w:t>
                                  </w:r>
                                  <w:r>
                                    <w:rPr>
                                      <w:sz w:val="20"/>
                                      <w:szCs w:val="20"/>
                                    </w:rPr>
                                    <w:tab/>
                                    <w:t>the mixed use zone, to the extent it allows business uses</w:t>
                                  </w:r>
                                </w:p>
                                <w:p w14:paraId="5EDE99D3" w14:textId="77777777" w:rsidR="009A1120" w:rsidRPr="001A38AB" w:rsidRDefault="009A1120" w:rsidP="009A1120">
                                  <w:pPr>
                                    <w:spacing w:before="60" w:after="60"/>
                                    <w:ind w:left="319" w:hanging="319"/>
                                    <w:rPr>
                                      <w:sz w:val="20"/>
                                      <w:szCs w:val="20"/>
                                    </w:rPr>
                                  </w:pPr>
                                  <w:r>
                                    <w:rPr>
                                      <w:sz w:val="20"/>
                                      <w:szCs w:val="20"/>
                                    </w:rPr>
                                    <w:t>(f)</w:t>
                                  </w:r>
                                  <w:r>
                                    <w:rPr>
                                      <w:sz w:val="20"/>
                                      <w:szCs w:val="20"/>
                                    </w:rPr>
                                    <w:tab/>
                                    <w:t>any special purpose zone, to the extent it allows business uses</w:t>
                                  </w:r>
                                </w:p>
                                <w:p w14:paraId="1CC029F7" w14:textId="77777777" w:rsidR="009A1120" w:rsidRPr="001569AA" w:rsidRDefault="009A1120" w:rsidP="009A1120">
                                  <w:pPr>
                                    <w:rPr>
                                      <w:sz w:val="20"/>
                                      <w:szCs w:val="20"/>
                                      <w:lang w:val="en-GB"/>
                                    </w:rPr>
                                  </w:pPr>
                                </w:p>
                              </w:txbxContent>
                            </wps:txbx>
                            <wps:bodyPr rot="0" vert="horz" wrap="square" lIns="91440" tIns="45720" rIns="91440" bIns="45720" anchor="t" anchorCtr="0">
                              <a:noAutofit/>
                            </wps:bodyPr>
                          </wps:wsp>
                        </a:graphicData>
                      </a:graphic>
                    </wp:inline>
                  </w:drawing>
                </mc:Choice>
                <mc:Fallback>
                  <w:pict>
                    <v:shape w14:anchorId="1E727B01" id="_x0000_s1040" type="#_x0000_t202" style="width:291.15pt;height:1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">
                      <v:textbox>
                        <w:txbxContent>
                          <w:p w14:paraId="39147564" w14:textId="77777777" w:rsidR="009A1120" w:rsidRDefault="009A1120" w:rsidP="009A1120">
                            <w:pPr>
                              <w:rPr>
                                <w:sz w:val="20"/>
                                <w:szCs w:val="20"/>
                                <w:lang w:val="en-GB"/>
                              </w:rPr>
                            </w:pPr>
                            <w:r>
                              <w:rPr>
                                <w:sz w:val="20"/>
                                <w:szCs w:val="20"/>
                                <w:lang w:val="en-GB"/>
                              </w:rPr>
                              <w:t>means land that is zoned, or identified in an FDS or similar strategy or plan, for business uses in urban environments, including but not limited to land in the following:</w:t>
                            </w:r>
                          </w:p>
                          <w:p w14:paraId="60E83F30" w14:textId="77777777" w:rsidR="009A1120" w:rsidRPr="001A38AB" w:rsidRDefault="009A1120" w:rsidP="009A1120">
                            <w:pPr>
                              <w:spacing w:before="60" w:after="60"/>
                              <w:ind w:left="284" w:hanging="284"/>
                              <w:rPr>
                                <w:sz w:val="20"/>
                                <w:szCs w:val="20"/>
                              </w:rPr>
                            </w:pPr>
                            <w:r w:rsidRPr="001A38AB">
                              <w:rPr>
                                <w:sz w:val="20"/>
                                <w:szCs w:val="20"/>
                              </w:rPr>
                              <w:t>(a)</w:t>
                            </w:r>
                            <w:r w:rsidRPr="001A38AB">
                              <w:rPr>
                                <w:sz w:val="20"/>
                                <w:szCs w:val="20"/>
                              </w:rPr>
                              <w:tab/>
                            </w:r>
                            <w:r>
                              <w:rPr>
                                <w:sz w:val="20"/>
                                <w:szCs w:val="20"/>
                              </w:rPr>
                              <w:t>any industrial zone</w:t>
                            </w:r>
                          </w:p>
                          <w:p w14:paraId="48CD07AD" w14:textId="77777777" w:rsidR="009A1120" w:rsidRDefault="009A1120" w:rsidP="009A1120">
                            <w:pPr>
                              <w:spacing w:before="60" w:after="60"/>
                              <w:ind w:left="319" w:hanging="319"/>
                              <w:rPr>
                                <w:sz w:val="20"/>
                                <w:szCs w:val="20"/>
                              </w:rPr>
                            </w:pPr>
                            <w:r w:rsidRPr="001A38AB">
                              <w:rPr>
                                <w:sz w:val="20"/>
                                <w:szCs w:val="20"/>
                              </w:rPr>
                              <w:t>(b)</w:t>
                            </w:r>
                            <w:r w:rsidRPr="001A38AB">
                              <w:rPr>
                                <w:sz w:val="20"/>
                                <w:szCs w:val="20"/>
                              </w:rPr>
                              <w:tab/>
                            </w:r>
                            <w:r>
                              <w:rPr>
                                <w:sz w:val="20"/>
                                <w:szCs w:val="20"/>
                              </w:rPr>
                              <w:t>the commercial zone</w:t>
                            </w:r>
                          </w:p>
                          <w:p w14:paraId="7CAC5F9F" w14:textId="77777777" w:rsidR="009A1120" w:rsidRDefault="009A1120" w:rsidP="009A1120">
                            <w:pPr>
                              <w:spacing w:before="60" w:after="60"/>
                              <w:ind w:left="319" w:hanging="319"/>
                              <w:rPr>
                                <w:sz w:val="20"/>
                                <w:szCs w:val="20"/>
                              </w:rPr>
                            </w:pPr>
                            <w:r>
                              <w:rPr>
                                <w:sz w:val="20"/>
                                <w:szCs w:val="20"/>
                              </w:rPr>
                              <w:t>(c)</w:t>
                            </w:r>
                            <w:r>
                              <w:rPr>
                                <w:sz w:val="20"/>
                                <w:szCs w:val="20"/>
                              </w:rPr>
                              <w:tab/>
                              <w:t>the large format retail zone</w:t>
                            </w:r>
                          </w:p>
                          <w:p w14:paraId="7BDD468D" w14:textId="77777777" w:rsidR="009A1120" w:rsidRDefault="009A1120" w:rsidP="009A1120">
                            <w:pPr>
                              <w:spacing w:before="60" w:after="60"/>
                              <w:ind w:left="319" w:hanging="319"/>
                              <w:rPr>
                                <w:sz w:val="20"/>
                                <w:szCs w:val="20"/>
                              </w:rPr>
                            </w:pPr>
                            <w:r>
                              <w:rPr>
                                <w:sz w:val="20"/>
                                <w:szCs w:val="20"/>
                              </w:rPr>
                              <w:t>(d)</w:t>
                            </w:r>
                            <w:r>
                              <w:rPr>
                                <w:sz w:val="20"/>
                                <w:szCs w:val="20"/>
                              </w:rPr>
                              <w:tab/>
                              <w:t>any centre zone, to the extent it allows business uses</w:t>
                            </w:r>
                          </w:p>
                          <w:p w14:paraId="72E88FB9" w14:textId="77777777" w:rsidR="009A1120" w:rsidRDefault="009A1120" w:rsidP="009A1120">
                            <w:pPr>
                              <w:spacing w:before="60" w:after="60"/>
                              <w:ind w:left="319" w:hanging="319"/>
                              <w:rPr>
                                <w:sz w:val="20"/>
                                <w:szCs w:val="20"/>
                              </w:rPr>
                            </w:pPr>
                            <w:r>
                              <w:rPr>
                                <w:sz w:val="20"/>
                                <w:szCs w:val="20"/>
                              </w:rPr>
                              <w:t>(e)</w:t>
                            </w:r>
                            <w:r>
                              <w:rPr>
                                <w:sz w:val="20"/>
                                <w:szCs w:val="20"/>
                              </w:rPr>
                              <w:tab/>
                              <w:t>the mixed use zone, to the extent it allows business uses</w:t>
                            </w:r>
                          </w:p>
                          <w:p w14:paraId="5EDE99D3" w14:textId="77777777" w:rsidR="009A1120" w:rsidRPr="001A38AB" w:rsidRDefault="009A1120" w:rsidP="009A1120">
                            <w:pPr>
                              <w:spacing w:before="60" w:after="60"/>
                              <w:ind w:left="319" w:hanging="319"/>
                              <w:rPr>
                                <w:sz w:val="20"/>
                                <w:szCs w:val="20"/>
                              </w:rPr>
                            </w:pPr>
                            <w:r>
                              <w:rPr>
                                <w:sz w:val="20"/>
                                <w:szCs w:val="20"/>
                              </w:rPr>
                              <w:t>(f)</w:t>
                            </w:r>
                            <w:r>
                              <w:rPr>
                                <w:sz w:val="20"/>
                                <w:szCs w:val="20"/>
                              </w:rPr>
                              <w:tab/>
                              <w:t>any special purpose zone, to the extent it allows business uses</w:t>
                            </w:r>
                          </w:p>
                          <w:p w14:paraId="1CC029F7" w14:textId="77777777" w:rsidR="009A1120" w:rsidRPr="001569AA" w:rsidRDefault="009A1120" w:rsidP="009A1120">
                            <w:pPr>
                              <w:rPr>
                                <w:sz w:val="20"/>
                                <w:szCs w:val="20"/>
                                <w:lang w:val="en-GB"/>
                              </w:rPr>
                            </w:pPr>
                          </w:p>
                        </w:txbxContent>
                      </v:textbox>
                      <w10:anchorlock/>
                    </v:shape>
                  </w:pict>
                </mc:Fallback>
              </mc:AlternateContent>
            </w:r>
          </w:p>
        </w:tc>
      </w:tr>
      <w:tr w:rsidR="009A1120" w:rsidRPr="00472578" w14:paraId="4C8E8B88" w14:textId="77777777" w:rsidTr="007612BD">
        <w:tc>
          <w:tcPr>
            <w:tcW w:w="2104" w:type="dxa"/>
          </w:tcPr>
          <w:p w14:paraId="032E309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Cascading hazards</w:t>
            </w:r>
          </w:p>
        </w:tc>
        <w:tc>
          <w:tcPr>
            <w:tcW w:w="7146" w:type="dxa"/>
          </w:tcPr>
          <w:p w14:paraId="1E0BFA50" w14:textId="77777777" w:rsidR="009A1120" w:rsidRPr="00472578" w:rsidRDefault="009A1120" w:rsidP="00E92686">
            <w:pPr>
              <w:tabs>
                <w:tab w:val="center" w:pos="4513"/>
                <w:tab w:val="right" w:pos="9026"/>
              </w:tabs>
              <w:spacing w:line="256" w:lineRule="auto"/>
              <w:jc w:val="both"/>
              <w:rPr>
                <w:rFonts w:cs="Times New Roman"/>
                <w:b/>
                <w:bCs/>
                <w:sz w:val="20"/>
                <w:szCs w:val="20"/>
              </w:rPr>
            </w:pPr>
            <w:r w:rsidRPr="00472578">
              <w:rPr>
                <w:sz w:val="20"/>
                <w:szCs w:val="20"/>
              </w:rPr>
              <w:t>means w</w:t>
            </w:r>
            <w:r w:rsidRPr="00472578">
              <w:rPr>
                <w:rFonts w:cs="Times New Roman"/>
                <w:sz w:val="20"/>
                <w:szCs w:val="20"/>
              </w:rPr>
              <w:t xml:space="preserve">here the occurrence of one natural hazard is likely to trigger another natural hazard event </w:t>
            </w:r>
            <w:proofErr w:type="gramStart"/>
            <w:r w:rsidRPr="00472578">
              <w:rPr>
                <w:rFonts w:cs="Times New Roman"/>
                <w:sz w:val="20"/>
                <w:szCs w:val="20"/>
              </w:rPr>
              <w:t>e.g.</w:t>
            </w:r>
            <w:proofErr w:type="gramEnd"/>
            <w:r w:rsidRPr="00472578">
              <w:rPr>
                <w:rFonts w:cs="Times New Roman"/>
                <w:sz w:val="20"/>
                <w:szCs w:val="20"/>
              </w:rPr>
              <w:t xml:space="preserve"> an earthquake triggering a landslide which dams a river causing flooding.</w:t>
            </w:r>
          </w:p>
        </w:tc>
      </w:tr>
      <w:tr w:rsidR="009A1120" w:rsidRPr="00472578" w14:paraId="0D5B89F8" w14:textId="77777777" w:rsidTr="007612BD">
        <w:tc>
          <w:tcPr>
            <w:tcW w:w="2104" w:type="dxa"/>
          </w:tcPr>
          <w:p w14:paraId="138BC14B"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Certified freshwater farm plan</w:t>
            </w:r>
          </w:p>
        </w:tc>
        <w:tc>
          <w:tcPr>
            <w:tcW w:w="7146" w:type="dxa"/>
          </w:tcPr>
          <w:p w14:paraId="73830866" w14:textId="77777777" w:rsidR="009A1120" w:rsidRPr="00472578" w:rsidRDefault="009A1120" w:rsidP="00E92686">
            <w:pPr>
              <w:tabs>
                <w:tab w:val="center" w:pos="4513"/>
                <w:tab w:val="right" w:pos="9026"/>
              </w:tabs>
              <w:spacing w:line="256" w:lineRule="auto"/>
              <w:jc w:val="both"/>
              <w:rPr>
                <w:sz w:val="20"/>
                <w:szCs w:val="20"/>
              </w:rPr>
            </w:pPr>
            <w:r w:rsidRPr="00472578">
              <w:rPr>
                <w:sz w:val="20"/>
                <w:szCs w:val="20"/>
              </w:rPr>
              <w:t>has the same meaning as section 217B of the Resource Management Act 1991 (as set out in the box below)</w:t>
            </w:r>
          </w:p>
          <w:p w14:paraId="04E62D11" w14:textId="77777777" w:rsidR="009A1120" w:rsidRPr="00472578" w:rsidRDefault="009A1120" w:rsidP="00E92686">
            <w:pPr>
              <w:tabs>
                <w:tab w:val="center" w:pos="4513"/>
                <w:tab w:val="right" w:pos="9026"/>
              </w:tabs>
              <w:spacing w:line="256" w:lineRule="auto"/>
              <w:jc w:val="both"/>
              <w:rPr>
                <w:sz w:val="20"/>
                <w:szCs w:val="20"/>
              </w:rPr>
            </w:pPr>
            <w:r w:rsidRPr="00472578">
              <w:rPr>
                <w:noProof/>
                <w:sz w:val="20"/>
                <w:szCs w:val="20"/>
              </w:rPr>
              <mc:AlternateContent>
                <mc:Choice Requires="wps">
                  <w:drawing>
                    <wp:inline distT="0" distB="0" distL="0" distR="0" wp14:anchorId="0C9F252A" wp14:editId="50616CF6">
                      <wp:extent cx="3697356" cy="571500"/>
                      <wp:effectExtent l="0" t="0" r="17780" b="1905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71500"/>
                              </a:xfrm>
                              <a:prstGeom prst="rect">
                                <a:avLst/>
                              </a:prstGeom>
                              <a:solidFill>
                                <a:srgbClr val="FFFFFF"/>
                              </a:solidFill>
                              <a:ln w="9525">
                                <a:solidFill>
                                  <a:srgbClr val="000000"/>
                                </a:solidFill>
                                <a:miter lim="800000"/>
                                <a:headEnd/>
                                <a:tailEnd/>
                              </a:ln>
                            </wps:spPr>
                            <wps:txbx>
                              <w:txbxContent>
                                <w:p w14:paraId="1316BB4E" w14:textId="77777777" w:rsidR="009A1120" w:rsidRPr="001A38AB" w:rsidRDefault="009A1120" w:rsidP="009A1120">
                                  <w:pPr>
                                    <w:rPr>
                                      <w:sz w:val="20"/>
                                      <w:szCs w:val="20"/>
                                    </w:rPr>
                                  </w:pPr>
                                  <w:r w:rsidRPr="001A38AB">
                                    <w:rPr>
                                      <w:sz w:val="20"/>
                                      <w:szCs w:val="20"/>
                                    </w:rPr>
                                    <w:t xml:space="preserve">means a </w:t>
                                  </w:r>
                                  <w:r>
                                    <w:rPr>
                                      <w:sz w:val="20"/>
                                      <w:szCs w:val="20"/>
                                    </w:rPr>
                                    <w:t>freshwater farm plan certified under section 217G, as amended from time to time in accordance with section 217E(2) or (3)</w:t>
                                  </w:r>
                                </w:p>
                              </w:txbxContent>
                            </wps:txbx>
                            <wps:bodyPr rot="0" vert="horz" wrap="square" lIns="91440" tIns="45720" rIns="91440" bIns="45720" anchor="t" anchorCtr="0">
                              <a:noAutofit/>
                            </wps:bodyPr>
                          </wps:wsp>
                        </a:graphicData>
                      </a:graphic>
                    </wp:inline>
                  </w:drawing>
                </mc:Choice>
                <mc:Fallback>
                  <w:pict>
                    <v:shape w14:anchorId="0C9F252A" id="Text Box 46" o:spid="_x0000_s1041" type="#_x0000_t202" style="width:291.1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">
                      <v:textbox>
                        <w:txbxContent>
                          <w:p w14:paraId="1316BB4E" w14:textId="77777777" w:rsidR="009A1120" w:rsidRPr="001A38AB" w:rsidRDefault="009A1120" w:rsidP="009A1120">
                            <w:pPr>
                              <w:rPr>
                                <w:sz w:val="20"/>
                                <w:szCs w:val="20"/>
                              </w:rPr>
                            </w:pPr>
                            <w:r w:rsidRPr="001A38AB">
                              <w:rPr>
                                <w:sz w:val="20"/>
                                <w:szCs w:val="20"/>
                              </w:rPr>
                              <w:t xml:space="preserve">means a </w:t>
                            </w:r>
                            <w:r>
                              <w:rPr>
                                <w:sz w:val="20"/>
                                <w:szCs w:val="20"/>
                              </w:rPr>
                              <w:t>freshwater farm plan certified under section 217G, as amended from time to time in accordance with section 217E(2) or (3)</w:t>
                            </w:r>
                          </w:p>
                        </w:txbxContent>
                      </v:textbox>
                      <w10:anchorlock/>
                    </v:shape>
                  </w:pict>
                </mc:Fallback>
              </mc:AlternateContent>
            </w:r>
          </w:p>
        </w:tc>
      </w:tr>
      <w:tr w:rsidR="009A1120" w:rsidRPr="00472578" w14:paraId="5FC23BB7" w14:textId="77777777" w:rsidTr="007612BD">
        <w:tc>
          <w:tcPr>
            <w:tcW w:w="2104" w:type="dxa"/>
          </w:tcPr>
          <w:p w14:paraId="0BC8A9B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Climate change</w:t>
            </w:r>
          </w:p>
        </w:tc>
        <w:tc>
          <w:tcPr>
            <w:tcW w:w="7146" w:type="dxa"/>
          </w:tcPr>
          <w:p w14:paraId="2C22A06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771471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49DF5C1" wp14:editId="7AE9C587">
                      <wp:extent cx="3697356" cy="811033"/>
                      <wp:effectExtent l="0" t="0" r="17780" b="2730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811033"/>
                              </a:xfrm>
                              <a:prstGeom prst="rect">
                                <a:avLst/>
                              </a:prstGeom>
                              <a:solidFill>
                                <a:srgbClr val="FFFFFF"/>
                              </a:solidFill>
                              <a:ln w="9525">
                                <a:solidFill>
                                  <a:srgbClr val="000000"/>
                                </a:solidFill>
                                <a:miter lim="800000"/>
                                <a:headEnd/>
                                <a:tailEnd/>
                              </a:ln>
                            </wps:spPr>
                            <wps:txbx>
                              <w:txbxContent>
                                <w:p w14:paraId="6A1C5941" w14:textId="77777777" w:rsidR="009A1120" w:rsidRPr="001A38AB" w:rsidRDefault="009A1120" w:rsidP="009A1120">
                                  <w:pPr>
                                    <w:rPr>
                                      <w:sz w:val="20"/>
                                      <w:szCs w:val="20"/>
                                    </w:rPr>
                                  </w:pPr>
                                  <w:r w:rsidRPr="001A38AB">
                                    <w:rPr>
                                      <w:sz w:val="20"/>
                                      <w:szCs w:val="20"/>
                                    </w:rPr>
                                    <w:t>means a change of climate that is attributed directly or indirectly to human activity that alters the composition of the global atmosphere and that is in addition to natural climate variability observed over comparable time periods</w:t>
                                  </w:r>
                                </w:p>
                              </w:txbxContent>
                            </wps:txbx>
                            <wps:bodyPr rot="0" vert="horz" wrap="square" lIns="91440" tIns="45720" rIns="91440" bIns="45720" anchor="t" anchorCtr="0">
                              <a:noAutofit/>
                            </wps:bodyPr>
                          </wps:wsp>
                        </a:graphicData>
                      </a:graphic>
                    </wp:inline>
                  </w:drawing>
                </mc:Choice>
                <mc:Fallback>
                  <w:pict>
                    <v:shape w14:anchorId="449DF5C1" id="Text Box 6" o:spid="_x0000_s1042" type="#_x0000_t202" style="width:291.1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">
                      <v:textbox>
                        <w:txbxContent>
                          <w:p w14:paraId="6A1C5941" w14:textId="77777777" w:rsidR="009A1120" w:rsidRPr="001A38AB" w:rsidRDefault="009A1120" w:rsidP="009A1120">
                            <w:pPr>
                              <w:rPr>
                                <w:sz w:val="20"/>
                                <w:szCs w:val="20"/>
                              </w:rPr>
                            </w:pPr>
                            <w:r w:rsidRPr="001A38AB">
                              <w:rPr>
                                <w:sz w:val="20"/>
                                <w:szCs w:val="20"/>
                              </w:rPr>
                              <w:t>means a change of climate that is attributed directly or indirectly to human activity that alters the composition of the global atmosphere and that is in addition to natural climate variability observed over comparable time periods</w:t>
                            </w:r>
                          </w:p>
                        </w:txbxContent>
                      </v:textbox>
                      <w10:anchorlock/>
                    </v:shape>
                  </w:pict>
                </mc:Fallback>
              </mc:AlternateContent>
            </w:r>
          </w:p>
        </w:tc>
      </w:tr>
      <w:tr w:rsidR="009A1120" w:rsidRPr="00472578" w14:paraId="510ED72D" w14:textId="77777777" w:rsidTr="007612BD">
        <w:tc>
          <w:tcPr>
            <w:tcW w:w="2104" w:type="dxa"/>
          </w:tcPr>
          <w:p w14:paraId="3979B1F3" w14:textId="77777777"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Climate change adaptation</w:t>
            </w:r>
            <w:r w:rsidRPr="00472578">
              <w:rPr>
                <w:rStyle w:val="FootnoteReference"/>
              </w:rPr>
              <w:footnoteReference w:id="86"/>
            </w:r>
          </w:p>
        </w:tc>
        <w:tc>
          <w:tcPr>
            <w:tcW w:w="7146" w:type="dxa"/>
          </w:tcPr>
          <w:p w14:paraId="0CAC8249" w14:textId="389F3464" w:rsidR="009A1120" w:rsidRPr="00472578" w:rsidRDefault="009A1120" w:rsidP="00E92686">
            <w:pPr>
              <w:tabs>
                <w:tab w:val="center" w:pos="4513"/>
                <w:tab w:val="right" w:pos="9026"/>
              </w:tabs>
              <w:spacing w:before="60" w:after="60"/>
              <w:jc w:val="both"/>
              <w:rPr>
                <w:sz w:val="20"/>
                <w:szCs w:val="20"/>
                <w:u w:val="single"/>
              </w:rPr>
            </w:pPr>
            <w:r w:rsidRPr="00472578">
              <w:rPr>
                <w:sz w:val="20"/>
                <w:szCs w:val="20"/>
                <w:u w:val="single"/>
              </w:rPr>
              <w:t>means the process of adjustment to actual or expected climate and its effects</w:t>
            </w:r>
          </w:p>
        </w:tc>
      </w:tr>
      <w:tr w:rsidR="009A1120" w:rsidRPr="00472578" w14:paraId="49F34721" w14:textId="77777777" w:rsidTr="007612BD">
        <w:tc>
          <w:tcPr>
            <w:tcW w:w="2104" w:type="dxa"/>
          </w:tcPr>
          <w:p w14:paraId="4161BD14" w14:textId="77777777"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Climate change mitigation</w:t>
            </w:r>
            <w:r w:rsidRPr="00472578">
              <w:rPr>
                <w:rStyle w:val="FootnoteReference"/>
              </w:rPr>
              <w:footnoteReference w:id="87"/>
            </w:r>
          </w:p>
        </w:tc>
        <w:tc>
          <w:tcPr>
            <w:tcW w:w="7146" w:type="dxa"/>
          </w:tcPr>
          <w:p w14:paraId="5D9F7909" w14:textId="0F752007" w:rsidR="009A1120" w:rsidRPr="00472578" w:rsidRDefault="009A1120" w:rsidP="00E92686">
            <w:pPr>
              <w:tabs>
                <w:tab w:val="center" w:pos="4513"/>
                <w:tab w:val="right" w:pos="9026"/>
              </w:tabs>
              <w:spacing w:before="60" w:after="60"/>
              <w:jc w:val="both"/>
              <w:rPr>
                <w:sz w:val="20"/>
                <w:szCs w:val="20"/>
                <w:u w:val="single"/>
              </w:rPr>
            </w:pPr>
            <w:r w:rsidRPr="00472578">
              <w:rPr>
                <w:sz w:val="20"/>
                <w:szCs w:val="20"/>
                <w:u w:val="single"/>
              </w:rPr>
              <w:t xml:space="preserve">means a human intervention to reduce the sources </w:t>
            </w:r>
            <w:r w:rsidR="003A3CA5" w:rsidRPr="00472578">
              <w:rPr>
                <w:sz w:val="20"/>
                <w:szCs w:val="20"/>
                <w:u w:val="single"/>
              </w:rPr>
              <w:t xml:space="preserve">of, </w:t>
            </w:r>
            <w:r w:rsidRPr="00472578">
              <w:rPr>
                <w:sz w:val="20"/>
                <w:szCs w:val="20"/>
                <w:u w:val="single"/>
              </w:rPr>
              <w:t>or enhance the sinks of</w:t>
            </w:r>
            <w:r w:rsidR="003A3CA5" w:rsidRPr="00472578">
              <w:rPr>
                <w:sz w:val="20"/>
                <w:szCs w:val="20"/>
                <w:u w:val="single"/>
              </w:rPr>
              <w:t>,</w:t>
            </w:r>
            <w:r w:rsidRPr="00472578">
              <w:rPr>
                <w:sz w:val="20"/>
                <w:szCs w:val="20"/>
                <w:u w:val="single"/>
              </w:rPr>
              <w:t xml:space="preserve"> greenhouse gases</w:t>
            </w:r>
          </w:p>
        </w:tc>
      </w:tr>
      <w:tr w:rsidR="009A1120" w:rsidRPr="00472578" w14:paraId="3E979C52" w14:textId="77777777" w:rsidTr="007612BD">
        <w:tc>
          <w:tcPr>
            <w:tcW w:w="2104" w:type="dxa"/>
          </w:tcPr>
          <w:p w14:paraId="14FC964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Coastal marine area</w:t>
            </w:r>
          </w:p>
        </w:tc>
        <w:tc>
          <w:tcPr>
            <w:tcW w:w="7146" w:type="dxa"/>
          </w:tcPr>
          <w:p w14:paraId="391EF59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73C0981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754BB2C4" wp14:editId="12256FF5">
                      <wp:extent cx="3697356" cy="2208363"/>
                      <wp:effectExtent l="0" t="0" r="17780" b="2095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208363"/>
                              </a:xfrm>
                              <a:prstGeom prst="rect">
                                <a:avLst/>
                              </a:prstGeom>
                              <a:solidFill>
                                <a:srgbClr val="FFFFFF"/>
                              </a:solidFill>
                              <a:ln w="9525">
                                <a:solidFill>
                                  <a:srgbClr val="000000"/>
                                </a:solidFill>
                                <a:miter lim="800000"/>
                                <a:headEnd/>
                                <a:tailEnd/>
                              </a:ln>
                            </wps:spPr>
                            <wps:txbx>
                              <w:txbxContent>
                                <w:p w14:paraId="5C98FC1C" w14:textId="77777777" w:rsidR="009A1120" w:rsidRPr="001A38AB" w:rsidRDefault="009A1120" w:rsidP="009A1120">
                                  <w:pPr>
                                    <w:spacing w:after="60"/>
                                    <w:rPr>
                                      <w:sz w:val="20"/>
                                      <w:szCs w:val="20"/>
                                    </w:rPr>
                                  </w:pPr>
                                  <w:r w:rsidRPr="001A38AB">
                                    <w:rPr>
                                      <w:sz w:val="20"/>
                                      <w:szCs w:val="20"/>
                                    </w:rPr>
                                    <w:t>means the foreshore, seabed, and coastal water, and the air space above the water—</w:t>
                                  </w:r>
                                </w:p>
                                <w:p w14:paraId="740CB4C8"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of which the seaward boundary is the outer limits of the territorial sea:</w:t>
                                  </w:r>
                                </w:p>
                                <w:p w14:paraId="26804B1A"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of which the landward boundary is the line of mean high water springs, except that where that line crosses a river, the landward boundary at that point shall be whichever is the lesser of—</w:t>
                                  </w:r>
                                </w:p>
                                <w:p w14:paraId="22CDF465"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1 kilometre upstream from the mouth of the river; or</w:t>
                                  </w:r>
                                </w:p>
                                <w:p w14:paraId="52259943"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the point upstream that is calculated by multiplying the width of the river mouth by 5</w:t>
                                  </w:r>
                                </w:p>
                              </w:txbxContent>
                            </wps:txbx>
                            <wps:bodyPr rot="0" vert="horz" wrap="square" lIns="91440" tIns="45720" rIns="91440" bIns="45720" anchor="t" anchorCtr="0">
                              <a:noAutofit/>
                            </wps:bodyPr>
                          </wps:wsp>
                        </a:graphicData>
                      </a:graphic>
                    </wp:inline>
                  </w:drawing>
                </mc:Choice>
                <mc:Fallback>
                  <w:pict>
                    <v:shape w14:anchorId="754BB2C4" id="Text Box 11" o:spid="_x0000_s1043" type="#_x0000_t202" style="width:291.15pt;height:1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">
                      <v:textbox>
                        <w:txbxContent>
                          <w:p w14:paraId="5C98FC1C" w14:textId="77777777" w:rsidR="009A1120" w:rsidRPr="001A38AB" w:rsidRDefault="009A1120" w:rsidP="009A1120">
                            <w:pPr>
                              <w:spacing w:after="60"/>
                              <w:rPr>
                                <w:sz w:val="20"/>
                                <w:szCs w:val="20"/>
                              </w:rPr>
                            </w:pPr>
                            <w:r w:rsidRPr="001A38AB">
                              <w:rPr>
                                <w:sz w:val="20"/>
                                <w:szCs w:val="20"/>
                              </w:rPr>
                              <w:t>means the foreshore, seabed, and coastal water, and the air space above the water—</w:t>
                            </w:r>
                          </w:p>
                          <w:p w14:paraId="740CB4C8"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of which the seaward boundary is the outer limits of the territorial sea:</w:t>
                            </w:r>
                          </w:p>
                          <w:p w14:paraId="26804B1A"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of which the landward boundary is the line of mean high water springs, except that where that line crosses a river, the landward boundary at that point shall be whichever is the lesser of—</w:t>
                            </w:r>
                          </w:p>
                          <w:p w14:paraId="22CDF465" w14:textId="77777777" w:rsidR="009A1120" w:rsidRPr="001A38AB" w:rsidRDefault="009A1120" w:rsidP="009A1120">
                            <w:pPr>
                              <w:spacing w:after="60"/>
                              <w:ind w:left="567" w:hanging="283"/>
                              <w:rPr>
                                <w:sz w:val="20"/>
                                <w:szCs w:val="20"/>
                              </w:rPr>
                            </w:pPr>
                            <w:r w:rsidRPr="001A38AB">
                              <w:rPr>
                                <w:sz w:val="20"/>
                                <w:szCs w:val="20"/>
                              </w:rPr>
                              <w:t>(i)</w:t>
                            </w:r>
                            <w:r w:rsidRPr="001A38AB">
                              <w:rPr>
                                <w:sz w:val="20"/>
                                <w:szCs w:val="20"/>
                              </w:rPr>
                              <w:tab/>
                              <w:t>1 kilometre upstream from the mouth of the river; or</w:t>
                            </w:r>
                          </w:p>
                          <w:p w14:paraId="52259943" w14:textId="77777777" w:rsidR="009A1120" w:rsidRPr="001A38AB" w:rsidRDefault="009A1120" w:rsidP="009A1120">
                            <w:pPr>
                              <w:spacing w:after="60"/>
                              <w:ind w:left="567" w:hanging="283"/>
                              <w:rPr>
                                <w:sz w:val="20"/>
                                <w:szCs w:val="20"/>
                              </w:rPr>
                            </w:pPr>
                            <w:r w:rsidRPr="001A38AB">
                              <w:rPr>
                                <w:sz w:val="20"/>
                                <w:szCs w:val="20"/>
                              </w:rPr>
                              <w:t>(ii)</w:t>
                            </w:r>
                            <w:r w:rsidRPr="001A38AB">
                              <w:rPr>
                                <w:sz w:val="20"/>
                                <w:szCs w:val="20"/>
                              </w:rPr>
                              <w:tab/>
                              <w:t>the point upstream that is calculated by multiplying the width of the river mouth by 5</w:t>
                            </w:r>
                          </w:p>
                        </w:txbxContent>
                      </v:textbox>
                      <w10:anchorlock/>
                    </v:shape>
                  </w:pict>
                </mc:Fallback>
              </mc:AlternateContent>
            </w:r>
          </w:p>
        </w:tc>
      </w:tr>
      <w:tr w:rsidR="009A1120" w:rsidRPr="00472578" w14:paraId="59128E89" w14:textId="77777777" w:rsidTr="007612BD">
        <w:tc>
          <w:tcPr>
            <w:tcW w:w="2104" w:type="dxa"/>
          </w:tcPr>
          <w:p w14:paraId="5954DA44"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Coastal water</w:t>
            </w:r>
          </w:p>
        </w:tc>
        <w:tc>
          <w:tcPr>
            <w:tcW w:w="7146" w:type="dxa"/>
          </w:tcPr>
          <w:p w14:paraId="274652C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FE32BC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CA1AA76" wp14:editId="311535BA">
                      <wp:extent cx="3697356" cy="876300"/>
                      <wp:effectExtent l="0" t="0" r="1778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876300"/>
                              </a:xfrm>
                              <a:prstGeom prst="rect">
                                <a:avLst/>
                              </a:prstGeom>
                              <a:solidFill>
                                <a:srgbClr val="FFFFFF"/>
                              </a:solidFill>
                              <a:ln w="9525">
                                <a:solidFill>
                                  <a:srgbClr val="000000"/>
                                </a:solidFill>
                                <a:miter lim="800000"/>
                                <a:headEnd/>
                                <a:tailEnd/>
                              </a:ln>
                            </wps:spPr>
                            <wps:txbx>
                              <w:txbxContent>
                                <w:p w14:paraId="07757FA0" w14:textId="77777777" w:rsidR="009A1120" w:rsidRPr="001A38AB" w:rsidRDefault="009A1120" w:rsidP="009A1120">
                                  <w:pPr>
                                    <w:spacing w:after="60"/>
                                    <w:rPr>
                                      <w:sz w:val="20"/>
                                      <w:szCs w:val="20"/>
                                    </w:rPr>
                                  </w:pPr>
                                  <w:r w:rsidRPr="001A38AB">
                                    <w:rPr>
                                      <w:sz w:val="20"/>
                                      <w:szCs w:val="20"/>
                                    </w:rPr>
                                    <w:t>means seawater within the outer limits of the territorial sea and includes—</w:t>
                                  </w:r>
                                </w:p>
                                <w:p w14:paraId="41ADE043" w14:textId="77777777" w:rsidR="009A1120" w:rsidRPr="001A38AB" w:rsidRDefault="009A1120" w:rsidP="009A1120">
                                  <w:pPr>
                                    <w:spacing w:after="60"/>
                                    <w:ind w:left="284" w:hanging="283"/>
                                    <w:rPr>
                                      <w:sz w:val="20"/>
                                      <w:szCs w:val="20"/>
                                    </w:rPr>
                                  </w:pPr>
                                  <w:r w:rsidRPr="001A38AB">
                                    <w:rPr>
                                      <w:sz w:val="20"/>
                                      <w:szCs w:val="20"/>
                                    </w:rPr>
                                    <w:t>(a)</w:t>
                                  </w:r>
                                  <w:r w:rsidRPr="001A38AB">
                                    <w:rPr>
                                      <w:sz w:val="20"/>
                                      <w:szCs w:val="20"/>
                                    </w:rPr>
                                    <w:tab/>
                                    <w:t>seawater with a substantial fresh water component; and</w:t>
                                  </w:r>
                                </w:p>
                                <w:p w14:paraId="46813A97" w14:textId="77777777" w:rsidR="009A1120" w:rsidRPr="001A38AB" w:rsidRDefault="009A1120" w:rsidP="009A1120">
                                  <w:pPr>
                                    <w:spacing w:after="60"/>
                                    <w:ind w:left="284" w:hanging="283"/>
                                    <w:rPr>
                                      <w:sz w:val="20"/>
                                      <w:szCs w:val="20"/>
                                    </w:rPr>
                                  </w:pPr>
                                  <w:r w:rsidRPr="001A38AB">
                                    <w:rPr>
                                      <w:sz w:val="20"/>
                                      <w:szCs w:val="20"/>
                                    </w:rPr>
                                    <w:t>(b)</w:t>
                                  </w:r>
                                  <w:r w:rsidRPr="001A38AB">
                                    <w:rPr>
                                      <w:sz w:val="20"/>
                                      <w:szCs w:val="20"/>
                                    </w:rPr>
                                    <w:tab/>
                                    <w:t>seawater in estuaries, fiords, inlets, harbours, or embayments</w:t>
                                  </w:r>
                                </w:p>
                              </w:txbxContent>
                            </wps:txbx>
                            <wps:bodyPr rot="0" vert="horz" wrap="square" lIns="91440" tIns="45720" rIns="91440" bIns="45720" anchor="t" anchorCtr="0">
                              <a:noAutofit/>
                            </wps:bodyPr>
                          </wps:wsp>
                        </a:graphicData>
                      </a:graphic>
                    </wp:inline>
                  </w:drawing>
                </mc:Choice>
                <mc:Fallback>
                  <w:pict>
                    <v:shape w14:anchorId="0CA1AA76" id="Text Box 12" o:spid="_x0000_s1044" type="#_x0000_t202" style="width:291.1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O3JgIAAE4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">
                      <v:textbox>
                        <w:txbxContent>
                          <w:p w14:paraId="07757FA0" w14:textId="77777777" w:rsidR="009A1120" w:rsidRPr="001A38AB" w:rsidRDefault="009A1120" w:rsidP="009A1120">
                            <w:pPr>
                              <w:spacing w:after="60"/>
                              <w:rPr>
                                <w:sz w:val="20"/>
                                <w:szCs w:val="20"/>
                              </w:rPr>
                            </w:pPr>
                            <w:r w:rsidRPr="001A38AB">
                              <w:rPr>
                                <w:sz w:val="20"/>
                                <w:szCs w:val="20"/>
                              </w:rPr>
                              <w:t>means seawater within the outer limits of the territorial sea and includes—</w:t>
                            </w:r>
                          </w:p>
                          <w:p w14:paraId="41ADE043" w14:textId="77777777" w:rsidR="009A1120" w:rsidRPr="001A38AB" w:rsidRDefault="009A1120" w:rsidP="009A1120">
                            <w:pPr>
                              <w:spacing w:after="60"/>
                              <w:ind w:left="284" w:hanging="283"/>
                              <w:rPr>
                                <w:sz w:val="20"/>
                                <w:szCs w:val="20"/>
                              </w:rPr>
                            </w:pPr>
                            <w:r w:rsidRPr="001A38AB">
                              <w:rPr>
                                <w:sz w:val="20"/>
                                <w:szCs w:val="20"/>
                              </w:rPr>
                              <w:t>(a)</w:t>
                            </w:r>
                            <w:r w:rsidRPr="001A38AB">
                              <w:rPr>
                                <w:sz w:val="20"/>
                                <w:szCs w:val="20"/>
                              </w:rPr>
                              <w:tab/>
                              <w:t>seawater with a substantial fresh water component; and</w:t>
                            </w:r>
                          </w:p>
                          <w:p w14:paraId="46813A97" w14:textId="77777777" w:rsidR="009A1120" w:rsidRPr="001A38AB" w:rsidRDefault="009A1120" w:rsidP="009A1120">
                            <w:pPr>
                              <w:spacing w:after="60"/>
                              <w:ind w:left="284" w:hanging="283"/>
                              <w:rPr>
                                <w:sz w:val="20"/>
                                <w:szCs w:val="20"/>
                              </w:rPr>
                            </w:pPr>
                            <w:r w:rsidRPr="001A38AB">
                              <w:rPr>
                                <w:sz w:val="20"/>
                                <w:szCs w:val="20"/>
                              </w:rPr>
                              <w:t>(b)</w:t>
                            </w:r>
                            <w:r w:rsidRPr="001A38AB">
                              <w:rPr>
                                <w:sz w:val="20"/>
                                <w:szCs w:val="20"/>
                              </w:rPr>
                              <w:tab/>
                              <w:t>seawater in estuaries, fiords, inlets, harbours, or embayments</w:t>
                            </w:r>
                          </w:p>
                        </w:txbxContent>
                      </v:textbox>
                      <w10:anchorlock/>
                    </v:shape>
                  </w:pict>
                </mc:Fallback>
              </mc:AlternateContent>
            </w:r>
          </w:p>
        </w:tc>
      </w:tr>
      <w:tr w:rsidR="009A1120" w:rsidRPr="00472578" w14:paraId="1629CFB3" w14:textId="77777777" w:rsidTr="007612BD">
        <w:tc>
          <w:tcPr>
            <w:tcW w:w="2104" w:type="dxa"/>
          </w:tcPr>
          <w:p w14:paraId="37F30E8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Commercial activity</w:t>
            </w:r>
          </w:p>
        </w:tc>
        <w:tc>
          <w:tcPr>
            <w:tcW w:w="7146" w:type="dxa"/>
          </w:tcPr>
          <w:p w14:paraId="028185C6"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Standard 14 of the National Planning Standards 2019 (as set out in the box below)</w:t>
            </w:r>
          </w:p>
          <w:p w14:paraId="3DF5B4E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5BAF7A4" wp14:editId="67FA5325">
                      <wp:extent cx="3696970" cy="590309"/>
                      <wp:effectExtent l="0" t="0" r="17780" b="19685"/>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590309"/>
                              </a:xfrm>
                              <a:prstGeom prst="rect">
                                <a:avLst/>
                              </a:prstGeom>
                              <a:solidFill>
                                <a:srgbClr val="FFFFFF"/>
                              </a:solidFill>
                              <a:ln w="9525">
                                <a:solidFill>
                                  <a:srgbClr val="000000"/>
                                </a:solidFill>
                                <a:miter lim="800000"/>
                                <a:headEnd/>
                                <a:tailEnd/>
                              </a:ln>
                            </wps:spPr>
                            <wps:txbx>
                              <w:txbxContent>
                                <w:p w14:paraId="66B17AEF" w14:textId="77777777" w:rsidR="009A1120" w:rsidRPr="001A38AB" w:rsidRDefault="009A1120" w:rsidP="009A1120">
                                  <w:pPr>
                                    <w:spacing w:after="60"/>
                                    <w:ind w:firstLine="1"/>
                                    <w:rPr>
                                      <w:sz w:val="20"/>
                                      <w:szCs w:val="20"/>
                                    </w:rPr>
                                  </w:pPr>
                                  <w:r>
                                    <w:rPr>
                                      <w:sz w:val="20"/>
                                      <w:szCs w:val="20"/>
                                    </w:rPr>
                                    <w:t xml:space="preserve">means any activity </w:t>
                                  </w:r>
                                  <w:r w:rsidRPr="00FC5120">
                                    <w:rPr>
                                      <w:sz w:val="20"/>
                                      <w:szCs w:val="20"/>
                                    </w:rPr>
                                    <w:t>trading in goods, equipment or services. It includes any ancillary activity</w:t>
                                  </w:r>
                                  <w:r>
                                    <w:rPr>
                                      <w:sz w:val="20"/>
                                      <w:szCs w:val="20"/>
                                    </w:rPr>
                                    <w:t xml:space="preserve"> </w:t>
                                  </w:r>
                                  <w:r w:rsidRPr="00FC5120">
                                    <w:rPr>
                                      <w:sz w:val="20"/>
                                      <w:szCs w:val="20"/>
                                    </w:rPr>
                                    <w:t>to the commercial activity (for example administrative or head offices)</w:t>
                                  </w:r>
                                </w:p>
                              </w:txbxContent>
                            </wps:txbx>
                            <wps:bodyPr rot="0" vert="horz" wrap="square" lIns="91440" tIns="45720" rIns="91440" bIns="45720" anchor="t" anchorCtr="0">
                              <a:noAutofit/>
                            </wps:bodyPr>
                          </wps:wsp>
                        </a:graphicData>
                      </a:graphic>
                    </wp:inline>
                  </w:drawing>
                </mc:Choice>
                <mc:Fallback>
                  <w:pict>
                    <v:shape w14:anchorId="15BAF7A4" id="Text Box 233" o:spid="_x0000_s1045" type="#_x0000_t202" style="width:291.1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">
                      <v:textbox>
                        <w:txbxContent>
                          <w:p w14:paraId="66B17AEF" w14:textId="77777777" w:rsidR="009A1120" w:rsidRPr="001A38AB" w:rsidRDefault="009A1120" w:rsidP="009A1120">
                            <w:pPr>
                              <w:spacing w:after="60"/>
                              <w:ind w:firstLine="1"/>
                              <w:rPr>
                                <w:sz w:val="20"/>
                                <w:szCs w:val="20"/>
                              </w:rPr>
                            </w:pPr>
                            <w:r>
                              <w:rPr>
                                <w:sz w:val="20"/>
                                <w:szCs w:val="20"/>
                              </w:rPr>
                              <w:t xml:space="preserve">means any activity </w:t>
                            </w:r>
                            <w:r w:rsidRPr="00FC5120">
                              <w:rPr>
                                <w:sz w:val="20"/>
                                <w:szCs w:val="20"/>
                              </w:rPr>
                              <w:t>trading in goods, equipment or services. It includes any ancillary activity</w:t>
                            </w:r>
                            <w:r>
                              <w:rPr>
                                <w:sz w:val="20"/>
                                <w:szCs w:val="20"/>
                              </w:rPr>
                              <w:t xml:space="preserve"> </w:t>
                            </w:r>
                            <w:r w:rsidRPr="00FC5120">
                              <w:rPr>
                                <w:sz w:val="20"/>
                                <w:szCs w:val="20"/>
                              </w:rPr>
                              <w:t>to the commercial activity (for example administrative or head offices)</w:t>
                            </w:r>
                          </w:p>
                        </w:txbxContent>
                      </v:textbox>
                      <w10:anchorlock/>
                    </v:shape>
                  </w:pict>
                </mc:Fallback>
              </mc:AlternateContent>
            </w:r>
          </w:p>
        </w:tc>
      </w:tr>
      <w:tr w:rsidR="009A1120" w:rsidRPr="00472578" w14:paraId="0863E65D" w14:textId="77777777" w:rsidTr="007612BD">
        <w:tc>
          <w:tcPr>
            <w:tcW w:w="2104" w:type="dxa"/>
          </w:tcPr>
          <w:p w14:paraId="5D11BEF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Commercial port activity</w:t>
            </w:r>
          </w:p>
        </w:tc>
        <w:tc>
          <w:tcPr>
            <w:tcW w:w="7146" w:type="dxa"/>
          </w:tcPr>
          <w:p w14:paraId="0CD83219" w14:textId="18F222FD"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means commercial shipping operations associated with the Otago </w:t>
            </w:r>
            <w:proofErr w:type="spellStart"/>
            <w:r w:rsidR="00B04A96" w:rsidRPr="00B04A96">
              <w:rPr>
                <w:strike/>
                <w:sz w:val="20"/>
                <w:szCs w:val="20"/>
              </w:rPr>
              <w:t>Harbor</w:t>
            </w:r>
            <w:proofErr w:type="spellEnd"/>
            <w:r w:rsidR="00B04A96" w:rsidRPr="00B04A96">
              <w:rPr>
                <w:sz w:val="20"/>
                <w:szCs w:val="20"/>
              </w:rPr>
              <w:t xml:space="preserve"> </w:t>
            </w:r>
            <w:r w:rsidR="00B04A96" w:rsidRPr="00B04A96">
              <w:rPr>
                <w:sz w:val="20"/>
                <w:szCs w:val="20"/>
                <w:u w:val="single"/>
              </w:rPr>
              <w:t>Harbour</w:t>
            </w:r>
            <w:r w:rsidR="00B04A96" w:rsidRPr="00472578">
              <w:rPr>
                <w:vertAlign w:val="superscript"/>
              </w:rPr>
              <w:footnoteReference w:id="88"/>
            </w:r>
            <w:r w:rsidR="00B04A96" w:rsidRPr="00472578">
              <w:t xml:space="preserve"> </w:t>
            </w:r>
            <w:r w:rsidRPr="00472578">
              <w:rPr>
                <w:sz w:val="20"/>
                <w:szCs w:val="20"/>
              </w:rPr>
              <w:t>and the activities carried out at the ports at Port Chalmers and Dunedin, which include:</w:t>
            </w:r>
          </w:p>
          <w:p w14:paraId="5D06A22D" w14:textId="2F419020"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(a)</w:t>
            </w:r>
            <w:r w:rsidRPr="00472578">
              <w:rPr>
                <w:sz w:val="20"/>
                <w:szCs w:val="20"/>
              </w:rPr>
              <w:tab/>
              <w:t xml:space="preserve">Operation of commercial ships in Otago </w:t>
            </w:r>
            <w:proofErr w:type="spellStart"/>
            <w:r w:rsidR="00B04A96" w:rsidRPr="00B04A96">
              <w:rPr>
                <w:strike/>
                <w:sz w:val="20"/>
                <w:szCs w:val="20"/>
              </w:rPr>
              <w:t>Harbor</w:t>
            </w:r>
            <w:proofErr w:type="spellEnd"/>
            <w:r w:rsidR="00B04A96" w:rsidRPr="00B04A96">
              <w:rPr>
                <w:sz w:val="20"/>
                <w:szCs w:val="20"/>
              </w:rPr>
              <w:t xml:space="preserve"> </w:t>
            </w:r>
            <w:r w:rsidR="00B04A96" w:rsidRPr="00B04A96">
              <w:rPr>
                <w:sz w:val="20"/>
                <w:szCs w:val="20"/>
                <w:u w:val="single"/>
              </w:rPr>
              <w:t>Harbour</w:t>
            </w:r>
            <w:r w:rsidR="00B04A96" w:rsidRPr="00B04A96">
              <w:rPr>
                <w:sz w:val="20"/>
                <w:szCs w:val="20"/>
              </w:rPr>
              <w:t>;</w:t>
            </w:r>
            <w:r w:rsidR="00B04A96" w:rsidRPr="00472578">
              <w:rPr>
                <w:vertAlign w:val="superscript"/>
              </w:rPr>
              <w:footnoteReference w:id="89"/>
            </w:r>
          </w:p>
          <w:p w14:paraId="628881EB"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(b)</w:t>
            </w:r>
            <w:r w:rsidRPr="00472578">
              <w:rPr>
                <w:sz w:val="20"/>
                <w:szCs w:val="20"/>
              </w:rPr>
              <w:tab/>
              <w:t xml:space="preserve">Loading and unloading of goods and passengers carried by </w:t>
            </w:r>
            <w:proofErr w:type="gramStart"/>
            <w:r w:rsidRPr="00472578">
              <w:rPr>
                <w:sz w:val="20"/>
                <w:szCs w:val="20"/>
              </w:rPr>
              <w:t>sea;</w:t>
            </w:r>
            <w:proofErr w:type="gramEnd"/>
          </w:p>
          <w:p w14:paraId="29ED11F4"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(c)</w:t>
            </w:r>
            <w:r w:rsidRPr="00472578">
              <w:rPr>
                <w:sz w:val="20"/>
                <w:szCs w:val="20"/>
              </w:rPr>
              <w:tab/>
              <w:t xml:space="preserve">Facilities for the storage of goods carried by </w:t>
            </w:r>
            <w:proofErr w:type="gramStart"/>
            <w:r w:rsidRPr="00472578">
              <w:rPr>
                <w:sz w:val="20"/>
                <w:szCs w:val="20"/>
              </w:rPr>
              <w:t>sea;</w:t>
            </w:r>
            <w:proofErr w:type="gramEnd"/>
          </w:p>
          <w:p w14:paraId="06D6819B"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(d)</w:t>
            </w:r>
            <w:r w:rsidRPr="00472578">
              <w:rPr>
                <w:sz w:val="20"/>
                <w:szCs w:val="20"/>
              </w:rPr>
              <w:tab/>
              <w:t xml:space="preserve">Buildings, installations, other structures or equipment at or adjacent to a port and used in connection with the ports’ operation or </w:t>
            </w:r>
            <w:proofErr w:type="gramStart"/>
            <w:r w:rsidRPr="00472578">
              <w:rPr>
                <w:sz w:val="20"/>
                <w:szCs w:val="20"/>
              </w:rPr>
              <w:t>administration;</w:t>
            </w:r>
            <w:proofErr w:type="gramEnd"/>
          </w:p>
          <w:p w14:paraId="6E36C11E"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(e)</w:t>
            </w:r>
            <w:r w:rsidRPr="00472578">
              <w:rPr>
                <w:sz w:val="20"/>
                <w:szCs w:val="20"/>
              </w:rPr>
              <w:tab/>
              <w:t xml:space="preserve">Structures, facilities and pipelines for fuel storage, and refuelling of </w:t>
            </w:r>
            <w:proofErr w:type="gramStart"/>
            <w:r w:rsidRPr="00472578">
              <w:rPr>
                <w:sz w:val="20"/>
                <w:szCs w:val="20"/>
              </w:rPr>
              <w:t>ships;</w:t>
            </w:r>
            <w:proofErr w:type="gramEnd"/>
          </w:p>
          <w:p w14:paraId="459B8360"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(f)</w:t>
            </w:r>
            <w:r w:rsidRPr="00472578">
              <w:rPr>
                <w:sz w:val="20"/>
                <w:szCs w:val="20"/>
              </w:rPr>
              <w:tab/>
              <w:t xml:space="preserve">Provision, maintenance and development of shipping channels and swing </w:t>
            </w:r>
            <w:proofErr w:type="gramStart"/>
            <w:r w:rsidRPr="00472578">
              <w:rPr>
                <w:sz w:val="20"/>
                <w:szCs w:val="20"/>
              </w:rPr>
              <w:t>basins;</w:t>
            </w:r>
            <w:proofErr w:type="gramEnd"/>
          </w:p>
          <w:p w14:paraId="726C610F" w14:textId="1AF22A24" w:rsidR="00902D1B" w:rsidRPr="00902D1B" w:rsidRDefault="00902D1B" w:rsidP="00902D1B">
            <w:pPr>
              <w:pStyle w:val="Normal30"/>
              <w:spacing w:after="120"/>
              <w:ind w:left="351" w:hanging="351"/>
              <w:rPr>
                <w:sz w:val="20"/>
                <w:szCs w:val="20"/>
              </w:rPr>
            </w:pPr>
            <w:r w:rsidRPr="00902D1B">
              <w:rPr>
                <w:sz w:val="20"/>
                <w:szCs w:val="20"/>
              </w:rPr>
              <w:t>(g)</w:t>
            </w:r>
            <w:r w:rsidRPr="00902D1B">
              <w:rPr>
                <w:sz w:val="20"/>
                <w:szCs w:val="20"/>
              </w:rPr>
              <w:tab/>
              <w:t xml:space="preserve">Disposal of dredged materials at </w:t>
            </w:r>
            <w:r w:rsidRPr="00902D1B">
              <w:rPr>
                <w:strike/>
                <w:sz w:val="20"/>
                <w:szCs w:val="20"/>
              </w:rPr>
              <w:t>AO</w:t>
            </w:r>
            <w:r w:rsidRPr="00902D1B">
              <w:rPr>
                <w:sz w:val="20"/>
                <w:szCs w:val="20"/>
                <w:u w:val="single"/>
              </w:rPr>
              <w:t xml:space="preserve"> A0</w:t>
            </w:r>
            <w:r w:rsidRPr="00902D1B">
              <w:rPr>
                <w:rStyle w:val="FootnoteReference"/>
                <w:sz w:val="20"/>
                <w:szCs w:val="20"/>
              </w:rPr>
              <w:footnoteReference w:id="90"/>
            </w:r>
            <w:r w:rsidRPr="00902D1B">
              <w:rPr>
                <w:sz w:val="20"/>
                <w:szCs w:val="20"/>
              </w:rPr>
              <w:t xml:space="preserve"> Heyward Point, </w:t>
            </w:r>
            <w:proofErr w:type="spellStart"/>
            <w:r w:rsidRPr="00902D1B">
              <w:rPr>
                <w:sz w:val="20"/>
                <w:szCs w:val="20"/>
              </w:rPr>
              <w:t>Aramoana</w:t>
            </w:r>
            <w:proofErr w:type="spellEnd"/>
            <w:r w:rsidRPr="00902D1B">
              <w:rPr>
                <w:sz w:val="20"/>
                <w:szCs w:val="20"/>
              </w:rPr>
              <w:t xml:space="preserve"> and Shelly Beach </w:t>
            </w:r>
            <w:r w:rsidRPr="00902D1B">
              <w:rPr>
                <w:sz w:val="20"/>
                <w:szCs w:val="20"/>
                <w:u w:val="single"/>
              </w:rPr>
              <w:t xml:space="preserve">referred to </w:t>
            </w:r>
            <w:r>
              <w:rPr>
                <w:sz w:val="20"/>
                <w:szCs w:val="20"/>
                <w:u w:val="single"/>
              </w:rPr>
              <w:t>in</w:t>
            </w:r>
            <w:r w:rsidRPr="00902D1B">
              <w:rPr>
                <w:sz w:val="20"/>
                <w:szCs w:val="20"/>
                <w:u w:val="single"/>
              </w:rPr>
              <w:t xml:space="preserve"> MAP2</w:t>
            </w:r>
            <w:r w:rsidRPr="00902D1B">
              <w:rPr>
                <w:sz w:val="20"/>
                <w:szCs w:val="20"/>
              </w:rPr>
              <w:t>;</w:t>
            </w:r>
            <w:r w:rsidRPr="00902D1B">
              <w:rPr>
                <w:rStyle w:val="FootnoteReference"/>
                <w:sz w:val="20"/>
                <w:szCs w:val="20"/>
              </w:rPr>
              <w:footnoteReference w:id="91"/>
            </w:r>
          </w:p>
          <w:p w14:paraId="31E5AF3E"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(h)</w:t>
            </w:r>
            <w:r w:rsidRPr="00472578">
              <w:rPr>
                <w:sz w:val="20"/>
                <w:szCs w:val="20"/>
              </w:rPr>
              <w:tab/>
              <w:t>Installation and maintenance of beacons and markers for navigation safety; and</w:t>
            </w:r>
          </w:p>
          <w:p w14:paraId="53809F16" w14:textId="61D08ACF"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w:t>
            </w:r>
            <w:proofErr w:type="spellStart"/>
            <w:r w:rsidRPr="00472578">
              <w:rPr>
                <w:sz w:val="20"/>
                <w:szCs w:val="20"/>
              </w:rPr>
              <w:t>i</w:t>
            </w:r>
            <w:proofErr w:type="spellEnd"/>
            <w:r w:rsidRPr="00472578">
              <w:rPr>
                <w:sz w:val="20"/>
                <w:szCs w:val="20"/>
              </w:rPr>
              <w:t>)</w:t>
            </w:r>
            <w:r w:rsidRPr="00472578">
              <w:rPr>
                <w:sz w:val="20"/>
                <w:szCs w:val="20"/>
              </w:rPr>
              <w:tab/>
              <w:t xml:space="preserve">Provision and maintenance of the mole at </w:t>
            </w:r>
            <w:proofErr w:type="spellStart"/>
            <w:r w:rsidRPr="00472578">
              <w:rPr>
                <w:sz w:val="20"/>
                <w:szCs w:val="20"/>
              </w:rPr>
              <w:t>Aramoana</w:t>
            </w:r>
            <w:proofErr w:type="spellEnd"/>
            <w:r w:rsidRPr="00472578">
              <w:rPr>
                <w:sz w:val="20"/>
                <w:szCs w:val="20"/>
              </w:rPr>
              <w:t xml:space="preserve">. </w:t>
            </w:r>
          </w:p>
        </w:tc>
      </w:tr>
      <w:tr w:rsidR="009A1120" w:rsidRPr="00472578" w14:paraId="4EF7546A" w14:textId="77777777" w:rsidTr="007612BD">
        <w:tc>
          <w:tcPr>
            <w:tcW w:w="2104" w:type="dxa"/>
          </w:tcPr>
          <w:p w14:paraId="7B89295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Competitiveness margin</w:t>
            </w:r>
          </w:p>
        </w:tc>
        <w:tc>
          <w:tcPr>
            <w:tcW w:w="7146" w:type="dxa"/>
          </w:tcPr>
          <w:p w14:paraId="5802F6B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3.22 of the National Policy Statement on Urban Development 2020 (as set out in the box below)</w:t>
            </w:r>
          </w:p>
          <w:p w14:paraId="04BFD91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1AC605C" wp14:editId="2CF99026">
                      <wp:extent cx="3697356" cy="754912"/>
                      <wp:effectExtent l="0" t="0" r="17780" b="2667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754912"/>
                              </a:xfrm>
                              <a:prstGeom prst="rect">
                                <a:avLst/>
                              </a:prstGeom>
                              <a:solidFill>
                                <a:srgbClr val="FFFFFF"/>
                              </a:solidFill>
                              <a:ln w="9525">
                                <a:solidFill>
                                  <a:srgbClr val="000000"/>
                                </a:solidFill>
                                <a:miter lim="800000"/>
                                <a:headEnd/>
                                <a:tailEnd/>
                              </a:ln>
                            </wps:spPr>
                            <wps:txbx>
                              <w:txbxContent>
                                <w:p w14:paraId="41C618FD" w14:textId="77777777" w:rsidR="009A1120" w:rsidRPr="001A38AB" w:rsidRDefault="009A1120" w:rsidP="009A1120">
                                  <w:pPr>
                                    <w:spacing w:after="60"/>
                                    <w:ind w:firstLine="1"/>
                                    <w:rPr>
                                      <w:sz w:val="20"/>
                                      <w:szCs w:val="20"/>
                                    </w:rPr>
                                  </w:pPr>
                                  <w:r>
                                    <w:rPr>
                                      <w:sz w:val="20"/>
                                      <w:szCs w:val="20"/>
                                    </w:rPr>
                                    <w:t xml:space="preserve">means </w:t>
                                  </w:r>
                                  <w:r w:rsidRPr="00E61FEC">
                                    <w:rPr>
                                      <w:sz w:val="20"/>
                                      <w:szCs w:val="20"/>
                                    </w:rPr>
                                    <w:t>a margin of development capacity, over and above the expected demand that tier 1 and tier 2 local authorities are required to provide, that is required in order to support choice and competitiveness in housing and business land markets</w:t>
                                  </w:r>
                                </w:p>
                              </w:txbxContent>
                            </wps:txbx>
                            <wps:bodyPr rot="0" vert="horz" wrap="square" lIns="91440" tIns="45720" rIns="91440" bIns="45720" anchor="t" anchorCtr="0">
                              <a:noAutofit/>
                            </wps:bodyPr>
                          </wps:wsp>
                        </a:graphicData>
                      </a:graphic>
                    </wp:inline>
                  </w:drawing>
                </mc:Choice>
                <mc:Fallback>
                  <w:pict>
                    <v:shape w14:anchorId="61AC605C" id="Text Box 52" o:spid="_x0000_s1046" type="#_x0000_t202" style="width:291.15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">
                      <v:textbox>
                        <w:txbxContent>
                          <w:p w14:paraId="41C618FD" w14:textId="77777777" w:rsidR="009A1120" w:rsidRPr="001A38AB" w:rsidRDefault="009A1120" w:rsidP="009A1120">
                            <w:pPr>
                              <w:spacing w:after="60"/>
                              <w:ind w:firstLine="1"/>
                              <w:rPr>
                                <w:sz w:val="20"/>
                                <w:szCs w:val="20"/>
                              </w:rPr>
                            </w:pPr>
                            <w:r>
                              <w:rPr>
                                <w:sz w:val="20"/>
                                <w:szCs w:val="20"/>
                              </w:rPr>
                              <w:t xml:space="preserve">means </w:t>
                            </w:r>
                            <w:r w:rsidRPr="00E61FEC">
                              <w:rPr>
                                <w:sz w:val="20"/>
                                <w:szCs w:val="20"/>
                              </w:rPr>
                              <w:t>a margin of development capacity, over and above the expected demand that tier 1 and tier 2 local authorities are required to provide, that is required in order to support choice and competitiveness in housing and business land markets</w:t>
                            </w:r>
                          </w:p>
                        </w:txbxContent>
                      </v:textbox>
                      <w10:anchorlock/>
                    </v:shape>
                  </w:pict>
                </mc:Fallback>
              </mc:AlternateContent>
            </w:r>
          </w:p>
        </w:tc>
      </w:tr>
      <w:tr w:rsidR="009A1120" w:rsidRPr="00472578" w14:paraId="1A6756AB" w14:textId="77777777" w:rsidTr="007612BD">
        <w:tc>
          <w:tcPr>
            <w:tcW w:w="2104" w:type="dxa"/>
          </w:tcPr>
          <w:p w14:paraId="016E4E4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Contaminant</w:t>
            </w:r>
          </w:p>
        </w:tc>
        <w:tc>
          <w:tcPr>
            <w:tcW w:w="7146" w:type="dxa"/>
          </w:tcPr>
          <w:p w14:paraId="7FBE0FF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3976B76B" w14:textId="77777777" w:rsidR="009A1120" w:rsidRPr="00472578" w:rsidRDefault="009A1120" w:rsidP="00E92686">
            <w:pPr>
              <w:tabs>
                <w:tab w:val="center" w:pos="4513"/>
                <w:tab w:val="right" w:pos="9026"/>
              </w:tabs>
              <w:spacing w:line="256" w:lineRule="auto"/>
              <w:ind w:left="2160" w:hanging="2160"/>
              <w:jc w:val="both"/>
              <w:rPr>
                <w:rFonts w:cs="Times New Roman"/>
                <w:sz w:val="20"/>
                <w:szCs w:val="20"/>
              </w:rPr>
            </w:pPr>
            <w:r w:rsidRPr="00472578">
              <w:rPr>
                <w:noProof/>
                <w:sz w:val="20"/>
                <w:szCs w:val="20"/>
              </w:rPr>
              <mc:AlternateContent>
                <mc:Choice Requires="wps">
                  <w:drawing>
                    <wp:inline distT="0" distB="0" distL="0" distR="0" wp14:anchorId="7D1BDCC4" wp14:editId="30F138AD">
                      <wp:extent cx="3697356" cy="1693628"/>
                      <wp:effectExtent l="0" t="0" r="17780" b="20955"/>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693628"/>
                              </a:xfrm>
                              <a:prstGeom prst="rect">
                                <a:avLst/>
                              </a:prstGeom>
                              <a:solidFill>
                                <a:srgbClr val="FFFFFF"/>
                              </a:solidFill>
                              <a:ln w="9525">
                                <a:solidFill>
                                  <a:srgbClr val="000000"/>
                                </a:solidFill>
                                <a:miter lim="800000"/>
                                <a:headEnd/>
                                <a:tailEnd/>
                              </a:ln>
                            </wps:spPr>
                            <wps:txbx>
                              <w:txbxContent>
                                <w:p w14:paraId="67B9668B" w14:textId="77777777" w:rsidR="009A1120" w:rsidRPr="001A38AB" w:rsidRDefault="009A1120" w:rsidP="009A1120">
                                  <w:pPr>
                                    <w:spacing w:after="60"/>
                                    <w:rPr>
                                      <w:sz w:val="20"/>
                                      <w:szCs w:val="20"/>
                                    </w:rPr>
                                  </w:pPr>
                                  <w:r w:rsidRPr="001A38AB">
                                    <w:rPr>
                                      <w:sz w:val="20"/>
                                      <w:szCs w:val="20"/>
                                    </w:rPr>
                                    <w:t>includes any substance (including gases, odorous compounds, liquids, solids, and micro-organisms) or energy (excluding noise) or heat, that either by itself or in combination with the same, similar, or other substances, energy, or heat—</w:t>
                                  </w:r>
                                </w:p>
                                <w:p w14:paraId="4E9FCB05" w14:textId="77777777" w:rsidR="009A1120" w:rsidRPr="001A38AB" w:rsidRDefault="009A1120" w:rsidP="009A1120">
                                  <w:pPr>
                                    <w:spacing w:after="60"/>
                                    <w:ind w:left="284" w:hanging="283"/>
                                    <w:rPr>
                                      <w:sz w:val="20"/>
                                      <w:szCs w:val="20"/>
                                    </w:rPr>
                                  </w:pPr>
                                  <w:r w:rsidRPr="001A38AB">
                                    <w:rPr>
                                      <w:sz w:val="20"/>
                                      <w:szCs w:val="20"/>
                                    </w:rPr>
                                    <w:t>(a)</w:t>
                                  </w:r>
                                  <w:r w:rsidRPr="001A38AB">
                                    <w:rPr>
                                      <w:sz w:val="20"/>
                                      <w:szCs w:val="20"/>
                                    </w:rPr>
                                    <w:tab/>
                                    <w:t>when discharged into water, changes or is likely to change the physical, chemical, or biological condition of water; or</w:t>
                                  </w:r>
                                </w:p>
                                <w:p w14:paraId="633C6790" w14:textId="77777777" w:rsidR="009A1120" w:rsidRPr="001A38AB" w:rsidRDefault="009A1120" w:rsidP="009A1120">
                                  <w:pPr>
                                    <w:spacing w:after="60"/>
                                    <w:ind w:left="284" w:hanging="283"/>
                                    <w:rPr>
                                      <w:sz w:val="20"/>
                                      <w:szCs w:val="20"/>
                                    </w:rPr>
                                  </w:pPr>
                                  <w:r w:rsidRPr="001A38AB">
                                    <w:rPr>
                                      <w:sz w:val="20"/>
                                      <w:szCs w:val="20"/>
                                    </w:rPr>
                                    <w:t>(b)</w:t>
                                  </w:r>
                                  <w:r w:rsidRPr="001A38AB">
                                    <w:rPr>
                                      <w:sz w:val="20"/>
                                      <w:szCs w:val="20"/>
                                    </w:rPr>
                                    <w:tab/>
                                    <w:t>when discharged onto or into land or into air, changes or is likely to change the physical, chemical, or biological condition of the land or air onto or into which it is discharged</w:t>
                                  </w:r>
                                </w:p>
                              </w:txbxContent>
                            </wps:txbx>
                            <wps:bodyPr rot="0" vert="horz" wrap="square" lIns="91440" tIns="45720" rIns="91440" bIns="45720" anchor="t" anchorCtr="0">
                              <a:noAutofit/>
                            </wps:bodyPr>
                          </wps:wsp>
                        </a:graphicData>
                      </a:graphic>
                    </wp:inline>
                  </w:drawing>
                </mc:Choice>
                <mc:Fallback>
                  <w:pict>
                    <v:shape w14:anchorId="7D1BDCC4" id="Text Box 229" o:spid="_x0000_s1047" type="#_x0000_t202" style="width:291.1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j2KQIAAFE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">
                      <v:textbox>
                        <w:txbxContent>
                          <w:p w14:paraId="67B9668B" w14:textId="77777777" w:rsidR="009A1120" w:rsidRPr="001A38AB" w:rsidRDefault="009A1120" w:rsidP="009A1120">
                            <w:pPr>
                              <w:spacing w:after="60"/>
                              <w:rPr>
                                <w:sz w:val="20"/>
                                <w:szCs w:val="20"/>
                              </w:rPr>
                            </w:pPr>
                            <w:r w:rsidRPr="001A38AB">
                              <w:rPr>
                                <w:sz w:val="20"/>
                                <w:szCs w:val="20"/>
                              </w:rPr>
                              <w:t>includes any substance (including gases, odorous compounds, liquids, solids, and micro-organisms) or energy (excluding noise) or heat, that either by itself or in combination with the same, similar, or other substances, energy, or heat—</w:t>
                            </w:r>
                          </w:p>
                          <w:p w14:paraId="4E9FCB05" w14:textId="77777777" w:rsidR="009A1120" w:rsidRPr="001A38AB" w:rsidRDefault="009A1120" w:rsidP="009A1120">
                            <w:pPr>
                              <w:spacing w:after="60"/>
                              <w:ind w:left="284" w:hanging="283"/>
                              <w:rPr>
                                <w:sz w:val="20"/>
                                <w:szCs w:val="20"/>
                              </w:rPr>
                            </w:pPr>
                            <w:r w:rsidRPr="001A38AB">
                              <w:rPr>
                                <w:sz w:val="20"/>
                                <w:szCs w:val="20"/>
                              </w:rPr>
                              <w:t>(a)</w:t>
                            </w:r>
                            <w:r w:rsidRPr="001A38AB">
                              <w:rPr>
                                <w:sz w:val="20"/>
                                <w:szCs w:val="20"/>
                              </w:rPr>
                              <w:tab/>
                              <w:t>when discharged into water, changes or is likely to change the physical, chemical, or biological condition of water; or</w:t>
                            </w:r>
                          </w:p>
                          <w:p w14:paraId="633C6790" w14:textId="77777777" w:rsidR="009A1120" w:rsidRPr="001A38AB" w:rsidRDefault="009A1120" w:rsidP="009A1120">
                            <w:pPr>
                              <w:spacing w:after="60"/>
                              <w:ind w:left="284" w:hanging="283"/>
                              <w:rPr>
                                <w:sz w:val="20"/>
                                <w:szCs w:val="20"/>
                              </w:rPr>
                            </w:pPr>
                            <w:r w:rsidRPr="001A38AB">
                              <w:rPr>
                                <w:sz w:val="20"/>
                                <w:szCs w:val="20"/>
                              </w:rPr>
                              <w:t>(b)</w:t>
                            </w:r>
                            <w:r w:rsidRPr="001A38AB">
                              <w:rPr>
                                <w:sz w:val="20"/>
                                <w:szCs w:val="20"/>
                              </w:rPr>
                              <w:tab/>
                              <w:t>when discharged onto or into land or into air, changes or is likely to change the physical, chemical, or biological condition of the land or air onto or into which it is discharged</w:t>
                            </w:r>
                          </w:p>
                        </w:txbxContent>
                      </v:textbox>
                      <w10:anchorlock/>
                    </v:shape>
                  </w:pict>
                </mc:Fallback>
              </mc:AlternateContent>
            </w:r>
          </w:p>
        </w:tc>
      </w:tr>
      <w:tr w:rsidR="009A1120" w:rsidRPr="00472578" w14:paraId="781CF598" w14:textId="77777777" w:rsidTr="007612BD">
        <w:tc>
          <w:tcPr>
            <w:tcW w:w="2104" w:type="dxa"/>
          </w:tcPr>
          <w:p w14:paraId="0974ACF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Contaminated land</w:t>
            </w:r>
          </w:p>
        </w:tc>
        <w:tc>
          <w:tcPr>
            <w:tcW w:w="7146" w:type="dxa"/>
          </w:tcPr>
          <w:p w14:paraId="5C1B9D0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2A64CD19" w14:textId="77777777" w:rsidR="009A1120" w:rsidRPr="00472578" w:rsidRDefault="009A1120" w:rsidP="00E92686">
            <w:pPr>
              <w:tabs>
                <w:tab w:val="center" w:pos="4513"/>
                <w:tab w:val="right" w:pos="9026"/>
              </w:tabs>
              <w:ind w:left="319" w:hanging="284"/>
              <w:jc w:val="both"/>
              <w:rPr>
                <w:sz w:val="20"/>
                <w:szCs w:val="20"/>
                <w:lang w:eastAsia="en-NZ"/>
              </w:rPr>
            </w:pPr>
            <w:r w:rsidRPr="00472578">
              <w:rPr>
                <w:noProof/>
                <w:sz w:val="20"/>
                <w:szCs w:val="20"/>
              </w:rPr>
              <mc:AlternateContent>
                <mc:Choice Requires="wps">
                  <w:drawing>
                    <wp:inline distT="0" distB="0" distL="0" distR="0" wp14:anchorId="311806DC" wp14:editId="01CC00BD">
                      <wp:extent cx="3697356" cy="842838"/>
                      <wp:effectExtent l="0" t="0" r="17780" b="14605"/>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842838"/>
                              </a:xfrm>
                              <a:prstGeom prst="rect">
                                <a:avLst/>
                              </a:prstGeom>
                              <a:solidFill>
                                <a:srgbClr val="FFFFFF"/>
                              </a:solidFill>
                              <a:ln w="9525">
                                <a:solidFill>
                                  <a:srgbClr val="000000"/>
                                </a:solidFill>
                                <a:miter lim="800000"/>
                                <a:headEnd/>
                                <a:tailEnd/>
                              </a:ln>
                            </wps:spPr>
                            <wps:txbx>
                              <w:txbxContent>
                                <w:p w14:paraId="1F5DFCF8" w14:textId="77777777" w:rsidR="009A1120" w:rsidRPr="001A38AB" w:rsidRDefault="009A1120" w:rsidP="009A1120">
                                  <w:pPr>
                                    <w:spacing w:after="60"/>
                                    <w:ind w:left="284" w:hanging="283"/>
                                    <w:rPr>
                                      <w:sz w:val="20"/>
                                      <w:szCs w:val="20"/>
                                    </w:rPr>
                                  </w:pPr>
                                  <w:r w:rsidRPr="001A38AB">
                                    <w:rPr>
                                      <w:sz w:val="20"/>
                                      <w:szCs w:val="20"/>
                                    </w:rPr>
                                    <w:t>means land that has a hazardous substance in or on it that—</w:t>
                                  </w:r>
                                </w:p>
                                <w:p w14:paraId="73BE8105" w14:textId="77777777" w:rsidR="009A1120" w:rsidRPr="001A38AB" w:rsidRDefault="009A1120" w:rsidP="009A1120">
                                  <w:pPr>
                                    <w:spacing w:after="60"/>
                                    <w:ind w:left="284" w:hanging="283"/>
                                    <w:rPr>
                                      <w:sz w:val="20"/>
                                      <w:szCs w:val="20"/>
                                    </w:rPr>
                                  </w:pPr>
                                  <w:r w:rsidRPr="001A38AB">
                                    <w:rPr>
                                      <w:sz w:val="20"/>
                                      <w:szCs w:val="20"/>
                                    </w:rPr>
                                    <w:t>(a)</w:t>
                                  </w:r>
                                  <w:r w:rsidRPr="001A38AB">
                                    <w:rPr>
                                      <w:sz w:val="20"/>
                                      <w:szCs w:val="20"/>
                                    </w:rPr>
                                    <w:tab/>
                                    <w:t>has significant adverse effects on the environment; or</w:t>
                                  </w:r>
                                </w:p>
                                <w:p w14:paraId="6E688F3B" w14:textId="77777777" w:rsidR="009A1120" w:rsidRPr="001A38AB" w:rsidRDefault="009A1120" w:rsidP="009A1120">
                                  <w:pPr>
                                    <w:spacing w:after="60"/>
                                    <w:ind w:left="284" w:hanging="283"/>
                                    <w:rPr>
                                      <w:sz w:val="20"/>
                                      <w:szCs w:val="20"/>
                                    </w:rPr>
                                  </w:pPr>
                                  <w:r w:rsidRPr="001A38AB">
                                    <w:rPr>
                                      <w:sz w:val="20"/>
                                      <w:szCs w:val="20"/>
                                    </w:rPr>
                                    <w:t>(b)</w:t>
                                  </w:r>
                                  <w:r w:rsidRPr="001A38AB">
                                    <w:rPr>
                                      <w:sz w:val="20"/>
                                      <w:szCs w:val="20"/>
                                    </w:rPr>
                                    <w:tab/>
                                    <w:t>is reasonably likely to have significant adverse effects on the environment</w:t>
                                  </w:r>
                                </w:p>
                              </w:txbxContent>
                            </wps:txbx>
                            <wps:bodyPr rot="0" vert="horz" wrap="square" lIns="91440" tIns="45720" rIns="91440" bIns="45720" anchor="t" anchorCtr="0">
                              <a:noAutofit/>
                            </wps:bodyPr>
                          </wps:wsp>
                        </a:graphicData>
                      </a:graphic>
                    </wp:inline>
                  </w:drawing>
                </mc:Choice>
                <mc:Fallback>
                  <w:pict>
                    <v:shape w14:anchorId="311806DC" id="Text Box 230" o:spid="_x0000_s1048" type="#_x0000_t202" style="width:291.1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">
                      <v:textbox>
                        <w:txbxContent>
                          <w:p w14:paraId="1F5DFCF8" w14:textId="77777777" w:rsidR="009A1120" w:rsidRPr="001A38AB" w:rsidRDefault="009A1120" w:rsidP="009A1120">
                            <w:pPr>
                              <w:spacing w:after="60"/>
                              <w:ind w:left="284" w:hanging="283"/>
                              <w:rPr>
                                <w:sz w:val="20"/>
                                <w:szCs w:val="20"/>
                              </w:rPr>
                            </w:pPr>
                            <w:r w:rsidRPr="001A38AB">
                              <w:rPr>
                                <w:sz w:val="20"/>
                                <w:szCs w:val="20"/>
                              </w:rPr>
                              <w:t>means land that has a hazardous substance in or on it that—</w:t>
                            </w:r>
                          </w:p>
                          <w:p w14:paraId="73BE8105" w14:textId="77777777" w:rsidR="009A1120" w:rsidRPr="001A38AB" w:rsidRDefault="009A1120" w:rsidP="009A1120">
                            <w:pPr>
                              <w:spacing w:after="60"/>
                              <w:ind w:left="284" w:hanging="283"/>
                              <w:rPr>
                                <w:sz w:val="20"/>
                                <w:szCs w:val="20"/>
                              </w:rPr>
                            </w:pPr>
                            <w:r w:rsidRPr="001A38AB">
                              <w:rPr>
                                <w:sz w:val="20"/>
                                <w:szCs w:val="20"/>
                              </w:rPr>
                              <w:t>(a)</w:t>
                            </w:r>
                            <w:r w:rsidRPr="001A38AB">
                              <w:rPr>
                                <w:sz w:val="20"/>
                                <w:szCs w:val="20"/>
                              </w:rPr>
                              <w:tab/>
                              <w:t>has significant adverse effects on the environment; or</w:t>
                            </w:r>
                          </w:p>
                          <w:p w14:paraId="6E688F3B" w14:textId="77777777" w:rsidR="009A1120" w:rsidRPr="001A38AB" w:rsidRDefault="009A1120" w:rsidP="009A1120">
                            <w:pPr>
                              <w:spacing w:after="60"/>
                              <w:ind w:left="284" w:hanging="283"/>
                              <w:rPr>
                                <w:sz w:val="20"/>
                                <w:szCs w:val="20"/>
                              </w:rPr>
                            </w:pPr>
                            <w:r w:rsidRPr="001A38AB">
                              <w:rPr>
                                <w:sz w:val="20"/>
                                <w:szCs w:val="20"/>
                              </w:rPr>
                              <w:t>(b)</w:t>
                            </w:r>
                            <w:r w:rsidRPr="001A38AB">
                              <w:rPr>
                                <w:sz w:val="20"/>
                                <w:szCs w:val="20"/>
                              </w:rPr>
                              <w:tab/>
                              <w:t>is reasonably likely to have significant adverse effects on the environment</w:t>
                            </w:r>
                          </w:p>
                        </w:txbxContent>
                      </v:textbox>
                      <w10:anchorlock/>
                    </v:shape>
                  </w:pict>
                </mc:Fallback>
              </mc:AlternateContent>
            </w:r>
          </w:p>
        </w:tc>
      </w:tr>
      <w:tr w:rsidR="009A1120" w:rsidRPr="00472578" w14:paraId="2EE13C50" w14:textId="77777777" w:rsidTr="007612BD">
        <w:tc>
          <w:tcPr>
            <w:tcW w:w="2104" w:type="dxa"/>
          </w:tcPr>
          <w:p w14:paraId="0A06CD4C"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Critical buildings</w:t>
            </w:r>
          </w:p>
        </w:tc>
        <w:tc>
          <w:tcPr>
            <w:tcW w:w="7146" w:type="dxa"/>
          </w:tcPr>
          <w:p w14:paraId="41FE8080" w14:textId="77777777" w:rsidR="009A1120" w:rsidRPr="00472578" w:rsidRDefault="009A1120" w:rsidP="00E92686">
            <w:pPr>
              <w:tabs>
                <w:tab w:val="center" w:pos="4513"/>
                <w:tab w:val="right" w:pos="9026"/>
              </w:tabs>
              <w:jc w:val="both"/>
              <w:rPr>
                <w:sz w:val="20"/>
                <w:szCs w:val="20"/>
              </w:rPr>
            </w:pPr>
            <w:r w:rsidRPr="00472578">
              <w:rPr>
                <w:sz w:val="20"/>
                <w:szCs w:val="20"/>
              </w:rPr>
              <w:t>for the purposes of the consequence table within APP6, these are buildings which have a post-disaster function. These include:</w:t>
            </w:r>
          </w:p>
          <w:p w14:paraId="5B948890"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(a)</w:t>
            </w:r>
            <w:r w:rsidRPr="00472578">
              <w:rPr>
                <w:sz w:val="20"/>
                <w:szCs w:val="20"/>
              </w:rPr>
              <w:tab/>
              <w:t xml:space="preserve">Buildings and facilities designed as essential </w:t>
            </w:r>
            <w:proofErr w:type="gramStart"/>
            <w:r w:rsidRPr="00472578">
              <w:rPr>
                <w:sz w:val="20"/>
                <w:szCs w:val="20"/>
              </w:rPr>
              <w:t>facilities;</w:t>
            </w:r>
            <w:proofErr w:type="gramEnd"/>
          </w:p>
          <w:p w14:paraId="6C47E2E3"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(b)</w:t>
            </w:r>
            <w:r w:rsidRPr="00472578">
              <w:rPr>
                <w:sz w:val="20"/>
                <w:szCs w:val="20"/>
              </w:rPr>
              <w:tab/>
              <w:t xml:space="preserve">Buildings and facilities with special post-disaster </w:t>
            </w:r>
            <w:proofErr w:type="gramStart"/>
            <w:r w:rsidRPr="00472578">
              <w:rPr>
                <w:sz w:val="20"/>
                <w:szCs w:val="20"/>
              </w:rPr>
              <w:t>function;</w:t>
            </w:r>
            <w:proofErr w:type="gramEnd"/>
          </w:p>
          <w:p w14:paraId="1CD811DB"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(c)</w:t>
            </w:r>
            <w:r w:rsidRPr="00472578">
              <w:rPr>
                <w:sz w:val="20"/>
                <w:szCs w:val="20"/>
              </w:rPr>
              <w:tab/>
              <w:t xml:space="preserve">Medical emergency or surgical </w:t>
            </w:r>
            <w:proofErr w:type="gramStart"/>
            <w:r w:rsidRPr="00472578">
              <w:rPr>
                <w:sz w:val="20"/>
                <w:szCs w:val="20"/>
              </w:rPr>
              <w:t>facilities;</w:t>
            </w:r>
            <w:proofErr w:type="gramEnd"/>
          </w:p>
          <w:p w14:paraId="2831CDE9"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(d)</w:t>
            </w:r>
            <w:r w:rsidRPr="00472578">
              <w:rPr>
                <w:sz w:val="20"/>
                <w:szCs w:val="20"/>
              </w:rPr>
              <w:tab/>
              <w:t xml:space="preserve">Emergency service facilities such as fire and police </w:t>
            </w:r>
            <w:proofErr w:type="gramStart"/>
            <w:r w:rsidRPr="00472578">
              <w:rPr>
                <w:sz w:val="20"/>
                <w:szCs w:val="20"/>
              </w:rPr>
              <w:t>stations;</w:t>
            </w:r>
            <w:proofErr w:type="gramEnd"/>
          </w:p>
          <w:p w14:paraId="19B524D6"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(e)</w:t>
            </w:r>
            <w:r w:rsidRPr="00472578">
              <w:rPr>
                <w:sz w:val="20"/>
                <w:szCs w:val="20"/>
              </w:rPr>
              <w:tab/>
              <w:t xml:space="preserve">Designated emergency </w:t>
            </w:r>
            <w:proofErr w:type="gramStart"/>
            <w:r w:rsidRPr="00472578">
              <w:rPr>
                <w:sz w:val="20"/>
                <w:szCs w:val="20"/>
              </w:rPr>
              <w:t>shelters;</w:t>
            </w:r>
            <w:proofErr w:type="gramEnd"/>
          </w:p>
          <w:p w14:paraId="5552DA44"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(f)</w:t>
            </w:r>
            <w:r w:rsidRPr="00472578">
              <w:rPr>
                <w:sz w:val="20"/>
                <w:szCs w:val="20"/>
              </w:rPr>
              <w:tab/>
              <w:t>Designated emergency centres and ancillary facilities; and</w:t>
            </w:r>
          </w:p>
          <w:p w14:paraId="668C4934" w14:textId="77777777" w:rsidR="009A1120" w:rsidRPr="00472578" w:rsidRDefault="009A1120" w:rsidP="00E92686">
            <w:pPr>
              <w:tabs>
                <w:tab w:val="center" w:pos="4513"/>
                <w:tab w:val="right" w:pos="9026"/>
              </w:tabs>
              <w:spacing w:before="60" w:after="60"/>
              <w:ind w:left="337" w:hanging="337"/>
              <w:jc w:val="both"/>
              <w:rPr>
                <w:sz w:val="20"/>
                <w:szCs w:val="20"/>
              </w:rPr>
            </w:pPr>
            <w:r w:rsidRPr="00472578">
              <w:rPr>
                <w:sz w:val="20"/>
                <w:szCs w:val="20"/>
              </w:rPr>
              <w:t>(g)</w:t>
            </w:r>
            <w:r w:rsidRPr="00472578">
              <w:rPr>
                <w:sz w:val="20"/>
                <w:szCs w:val="20"/>
              </w:rPr>
              <w:tab/>
              <w:t>Buildings and facilities containing hazardous materials capable of causing hazardous conditions that extends beyond the property boundaries.</w:t>
            </w:r>
          </w:p>
        </w:tc>
      </w:tr>
      <w:tr w:rsidR="009A1120" w:rsidRPr="00472578" w14:paraId="06A240E1" w14:textId="77777777" w:rsidTr="007612BD">
        <w:tc>
          <w:tcPr>
            <w:tcW w:w="2104" w:type="dxa"/>
          </w:tcPr>
          <w:p w14:paraId="11D39C89" w14:textId="3CD55769" w:rsidR="009A1120" w:rsidRPr="00472578" w:rsidRDefault="009A1120" w:rsidP="00DC6CD9">
            <w:pPr>
              <w:tabs>
                <w:tab w:val="center" w:pos="4513"/>
                <w:tab w:val="right" w:pos="9026"/>
              </w:tabs>
              <w:spacing w:before="60" w:after="60"/>
              <w:rPr>
                <w:b/>
                <w:bCs/>
                <w:sz w:val="20"/>
                <w:szCs w:val="20"/>
              </w:rPr>
            </w:pPr>
            <w:r w:rsidRPr="00472578">
              <w:rPr>
                <w:b/>
                <w:bCs/>
                <w:sz w:val="20"/>
                <w:szCs w:val="20"/>
              </w:rPr>
              <w:t>Degraded</w:t>
            </w:r>
            <w:r w:rsidR="00CA04FB" w:rsidRPr="00472578">
              <w:rPr>
                <w:b/>
                <w:bCs/>
                <w:sz w:val="20"/>
                <w:szCs w:val="20"/>
              </w:rPr>
              <w:t xml:space="preserve"> </w:t>
            </w:r>
            <w:r w:rsidR="00CA04FB" w:rsidRPr="00472578">
              <w:rPr>
                <w:b/>
                <w:sz w:val="20"/>
                <w:szCs w:val="20"/>
                <w:u w:val="single"/>
              </w:rPr>
              <w:t>(in relation to freshwater)</w:t>
            </w:r>
            <w:r w:rsidR="00CA04FB" w:rsidRPr="00472578">
              <w:rPr>
                <w:rStyle w:val="FootnoteReference"/>
                <w:b/>
                <w:sz w:val="20"/>
                <w:szCs w:val="20"/>
              </w:rPr>
              <w:footnoteReference w:id="92"/>
            </w:r>
          </w:p>
        </w:tc>
        <w:tc>
          <w:tcPr>
            <w:tcW w:w="7146" w:type="dxa"/>
          </w:tcPr>
          <w:p w14:paraId="7E28F49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where it is used in the </w:t>
            </w:r>
            <w:r w:rsidRPr="00472578">
              <w:rPr>
                <w:i/>
                <w:iCs/>
                <w:sz w:val="20"/>
                <w:szCs w:val="20"/>
              </w:rPr>
              <w:t xml:space="preserve">LF – Land and freshwater </w:t>
            </w:r>
            <w:r w:rsidRPr="00472578">
              <w:rPr>
                <w:sz w:val="20"/>
                <w:szCs w:val="20"/>
              </w:rPr>
              <w:t>chapter, has the same meaning as in clause 1.4 of the National Policy Statement for Freshwater Management 2020 (as set out in the box below)</w:t>
            </w:r>
          </w:p>
          <w:p w14:paraId="043BD68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0A450BD6" wp14:editId="15E3B490">
                      <wp:extent cx="3697356" cy="2282024"/>
                      <wp:effectExtent l="0" t="0" r="17780" b="23495"/>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282024"/>
                              </a:xfrm>
                              <a:prstGeom prst="rect">
                                <a:avLst/>
                              </a:prstGeom>
                              <a:solidFill>
                                <a:srgbClr val="FFFFFF"/>
                              </a:solidFill>
                              <a:ln w="9525">
                                <a:solidFill>
                                  <a:srgbClr val="000000"/>
                                </a:solidFill>
                                <a:miter lim="800000"/>
                                <a:headEnd/>
                                <a:tailEnd/>
                              </a:ln>
                            </wps:spPr>
                            <wps:txbx>
                              <w:txbxContent>
                                <w:p w14:paraId="3C4BB25C" w14:textId="77777777" w:rsidR="009A1120" w:rsidRPr="001A38AB" w:rsidRDefault="009A1120" w:rsidP="009A1120">
                                  <w:pPr>
                                    <w:spacing w:after="60"/>
                                    <w:rPr>
                                      <w:sz w:val="20"/>
                                      <w:szCs w:val="20"/>
                                    </w:rPr>
                                  </w:pPr>
                                  <w:r w:rsidRPr="001A38AB">
                                    <w:rPr>
                                      <w:sz w:val="20"/>
                                      <w:szCs w:val="20"/>
                                    </w:rPr>
                                    <w:t xml:space="preserve">in relation to an FMU or part of an FMU, means that as a result of something other than a naturally occurring process: </w:t>
                                  </w:r>
                                </w:p>
                                <w:p w14:paraId="3F064ADD"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 xml:space="preserve">a site or sites in the FMU or part of the FMU to which a target attribute state applies: </w:t>
                                  </w:r>
                                </w:p>
                                <w:p w14:paraId="6F72D926" w14:textId="77777777" w:rsidR="009A1120" w:rsidRPr="001A38AB" w:rsidRDefault="009A1120" w:rsidP="009A1120">
                                  <w:pPr>
                                    <w:spacing w:after="60"/>
                                    <w:ind w:left="567" w:hanging="284"/>
                                    <w:rPr>
                                      <w:sz w:val="20"/>
                                      <w:szCs w:val="20"/>
                                    </w:rPr>
                                  </w:pPr>
                                  <w:r w:rsidRPr="001A38AB">
                                    <w:rPr>
                                      <w:sz w:val="20"/>
                                      <w:szCs w:val="20"/>
                                    </w:rPr>
                                    <w:t>(i)</w:t>
                                  </w:r>
                                  <w:r w:rsidRPr="001A38AB">
                                    <w:rPr>
                                      <w:sz w:val="20"/>
                                      <w:szCs w:val="20"/>
                                    </w:rPr>
                                    <w:tab/>
                                    <w:t xml:space="preserve">is below a national bottom line; or </w:t>
                                  </w:r>
                                </w:p>
                                <w:p w14:paraId="240170FB" w14:textId="77777777" w:rsidR="009A1120" w:rsidRPr="001A38AB" w:rsidRDefault="009A1120" w:rsidP="009A1120">
                                  <w:pPr>
                                    <w:spacing w:after="60"/>
                                    <w:ind w:left="567" w:hanging="284"/>
                                    <w:rPr>
                                      <w:sz w:val="20"/>
                                      <w:szCs w:val="20"/>
                                    </w:rPr>
                                  </w:pPr>
                                  <w:r w:rsidRPr="001A38AB">
                                    <w:rPr>
                                      <w:sz w:val="20"/>
                                      <w:szCs w:val="20"/>
                                    </w:rPr>
                                    <w:t xml:space="preserve">(ii) is not achieving or is not likely to achieve a target attribute state; or </w:t>
                                  </w:r>
                                </w:p>
                                <w:p w14:paraId="66580F7E" w14:textId="77777777" w:rsidR="009A1120" w:rsidRPr="001A38AB" w:rsidRDefault="009A1120" w:rsidP="009A1120">
                                  <w:pPr>
                                    <w:spacing w:after="60"/>
                                    <w:ind w:left="284" w:hanging="284"/>
                                    <w:rPr>
                                      <w:sz w:val="20"/>
                                      <w:szCs w:val="20"/>
                                    </w:rPr>
                                  </w:pPr>
                                  <w:r w:rsidRPr="001A38AB">
                                    <w:rPr>
                                      <w:sz w:val="20"/>
                                      <w:szCs w:val="20"/>
                                    </w:rPr>
                                    <w:t xml:space="preserve">(b) the FMU or part of the FMU is not achieving or is not likely to achieve an environmental flow and level set for it; or </w:t>
                                  </w:r>
                                </w:p>
                                <w:p w14:paraId="5B574B75" w14:textId="77777777" w:rsidR="009A1120" w:rsidRPr="001A38AB" w:rsidRDefault="009A1120" w:rsidP="009A1120">
                                  <w:pPr>
                                    <w:spacing w:after="60"/>
                                    <w:ind w:left="284" w:hanging="284"/>
                                    <w:rPr>
                                      <w:sz w:val="20"/>
                                      <w:szCs w:val="20"/>
                                    </w:rPr>
                                  </w:pPr>
                                  <w:r w:rsidRPr="001A38AB">
                                    <w:rPr>
                                      <w:sz w:val="20"/>
                                      <w:szCs w:val="20"/>
                                    </w:rPr>
                                    <w:t>(c) the FMU or part of the FMU is less able (when compared to 7 September 2017) to provide for any value identified for it under the NOF</w:t>
                                  </w:r>
                                </w:p>
                              </w:txbxContent>
                            </wps:txbx>
                            <wps:bodyPr rot="0" vert="horz" wrap="square" lIns="91440" tIns="45720" rIns="91440" bIns="45720" anchor="t" anchorCtr="0">
                              <a:noAutofit/>
                            </wps:bodyPr>
                          </wps:wsp>
                        </a:graphicData>
                      </a:graphic>
                    </wp:inline>
                  </w:drawing>
                </mc:Choice>
                <mc:Fallback>
                  <w:pict>
                    <v:shape w14:anchorId="0A450BD6" id="Text Box 210" o:spid="_x0000_s1049" type="#_x0000_t202" style="width:291.1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">
                      <v:textbox>
                        <w:txbxContent>
                          <w:p w14:paraId="3C4BB25C" w14:textId="77777777" w:rsidR="009A1120" w:rsidRPr="001A38AB" w:rsidRDefault="009A1120" w:rsidP="009A1120">
                            <w:pPr>
                              <w:spacing w:after="60"/>
                              <w:rPr>
                                <w:sz w:val="20"/>
                                <w:szCs w:val="20"/>
                              </w:rPr>
                            </w:pPr>
                            <w:r w:rsidRPr="001A38AB">
                              <w:rPr>
                                <w:sz w:val="20"/>
                                <w:szCs w:val="20"/>
                              </w:rPr>
                              <w:t xml:space="preserve">in relation to an FMU or part of an FMU, means that as a result of something other than a naturally occurring process: </w:t>
                            </w:r>
                          </w:p>
                          <w:p w14:paraId="3F064ADD"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 xml:space="preserve">a site or sites in the FMU or part of the FMU to which a target attribute state applies: </w:t>
                            </w:r>
                          </w:p>
                          <w:p w14:paraId="6F72D926" w14:textId="77777777" w:rsidR="009A1120" w:rsidRPr="001A38AB" w:rsidRDefault="009A1120" w:rsidP="009A1120">
                            <w:pPr>
                              <w:spacing w:after="60"/>
                              <w:ind w:left="567" w:hanging="284"/>
                              <w:rPr>
                                <w:sz w:val="20"/>
                                <w:szCs w:val="20"/>
                              </w:rPr>
                            </w:pPr>
                            <w:r w:rsidRPr="001A38AB">
                              <w:rPr>
                                <w:sz w:val="20"/>
                                <w:szCs w:val="20"/>
                              </w:rPr>
                              <w:t>(i)</w:t>
                            </w:r>
                            <w:r w:rsidRPr="001A38AB">
                              <w:rPr>
                                <w:sz w:val="20"/>
                                <w:szCs w:val="20"/>
                              </w:rPr>
                              <w:tab/>
                              <w:t xml:space="preserve">is below a national bottom line; or </w:t>
                            </w:r>
                          </w:p>
                          <w:p w14:paraId="240170FB" w14:textId="77777777" w:rsidR="009A1120" w:rsidRPr="001A38AB" w:rsidRDefault="009A1120" w:rsidP="009A1120">
                            <w:pPr>
                              <w:spacing w:after="60"/>
                              <w:ind w:left="567" w:hanging="284"/>
                              <w:rPr>
                                <w:sz w:val="20"/>
                                <w:szCs w:val="20"/>
                              </w:rPr>
                            </w:pPr>
                            <w:r w:rsidRPr="001A38AB">
                              <w:rPr>
                                <w:sz w:val="20"/>
                                <w:szCs w:val="20"/>
                              </w:rPr>
                              <w:t xml:space="preserve">(ii) is not achieving or is not likely to achieve a target attribute state; or </w:t>
                            </w:r>
                          </w:p>
                          <w:p w14:paraId="66580F7E" w14:textId="77777777" w:rsidR="009A1120" w:rsidRPr="001A38AB" w:rsidRDefault="009A1120" w:rsidP="009A1120">
                            <w:pPr>
                              <w:spacing w:after="60"/>
                              <w:ind w:left="284" w:hanging="284"/>
                              <w:rPr>
                                <w:sz w:val="20"/>
                                <w:szCs w:val="20"/>
                              </w:rPr>
                            </w:pPr>
                            <w:r w:rsidRPr="001A38AB">
                              <w:rPr>
                                <w:sz w:val="20"/>
                                <w:szCs w:val="20"/>
                              </w:rPr>
                              <w:t xml:space="preserve">(b) the FMU or part of the FMU is not achieving or is not likely to achieve an environmental flow and level set for it; or </w:t>
                            </w:r>
                          </w:p>
                          <w:p w14:paraId="5B574B75" w14:textId="77777777" w:rsidR="009A1120" w:rsidRPr="001A38AB" w:rsidRDefault="009A1120" w:rsidP="009A1120">
                            <w:pPr>
                              <w:spacing w:after="60"/>
                              <w:ind w:left="284" w:hanging="284"/>
                              <w:rPr>
                                <w:sz w:val="20"/>
                                <w:szCs w:val="20"/>
                              </w:rPr>
                            </w:pPr>
                            <w:r w:rsidRPr="001A38AB">
                              <w:rPr>
                                <w:sz w:val="20"/>
                                <w:szCs w:val="20"/>
                              </w:rPr>
                              <w:t>(c) the FMU or part of the FMU is less able (when compared to 7 September 2017) to provide for any value identified for it under the NOF</w:t>
                            </w:r>
                          </w:p>
                        </w:txbxContent>
                      </v:textbox>
                      <w10:anchorlock/>
                    </v:shape>
                  </w:pict>
                </mc:Fallback>
              </mc:AlternateContent>
            </w:r>
          </w:p>
        </w:tc>
      </w:tr>
      <w:tr w:rsidR="009A1120" w:rsidRPr="00472578" w14:paraId="25DD68E5" w14:textId="77777777" w:rsidTr="007612BD">
        <w:trPr>
          <w:trHeight w:val="2091"/>
        </w:trPr>
        <w:tc>
          <w:tcPr>
            <w:tcW w:w="2104" w:type="dxa"/>
          </w:tcPr>
          <w:p w14:paraId="199FBBED"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Development capacity</w:t>
            </w:r>
          </w:p>
        </w:tc>
        <w:tc>
          <w:tcPr>
            <w:tcW w:w="7146" w:type="dxa"/>
          </w:tcPr>
          <w:p w14:paraId="1FF931D1"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Urban Development 2020 (as set out in the box below)</w:t>
            </w:r>
          </w:p>
          <w:p w14:paraId="35F8D3AD"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B92BC09" wp14:editId="27449E05">
                      <wp:extent cx="3697356" cy="1233377"/>
                      <wp:effectExtent l="0" t="0" r="17780" b="24130"/>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233377"/>
                              </a:xfrm>
                              <a:prstGeom prst="rect">
                                <a:avLst/>
                              </a:prstGeom>
                              <a:solidFill>
                                <a:srgbClr val="FFFFFF"/>
                              </a:solidFill>
                              <a:ln w="9525">
                                <a:solidFill>
                                  <a:srgbClr val="000000"/>
                                </a:solidFill>
                                <a:miter lim="800000"/>
                                <a:headEnd/>
                                <a:tailEnd/>
                              </a:ln>
                            </wps:spPr>
                            <wps:txbx>
                              <w:txbxContent>
                                <w:p w14:paraId="3EF6BCEB" w14:textId="77777777" w:rsidR="009A1120" w:rsidRDefault="009A1120" w:rsidP="009A1120">
                                  <w:pPr>
                                    <w:spacing w:after="60"/>
                                    <w:rPr>
                                      <w:sz w:val="20"/>
                                      <w:szCs w:val="20"/>
                                    </w:rPr>
                                  </w:pPr>
                                  <w:r>
                                    <w:rPr>
                                      <w:sz w:val="20"/>
                                      <w:szCs w:val="20"/>
                                    </w:rPr>
                                    <w:t>means the capacity of the land to be developed for housing or for business use, based on:</w:t>
                                  </w:r>
                                </w:p>
                                <w:p w14:paraId="1ABA4F0D" w14:textId="77777777" w:rsidR="009A1120" w:rsidRDefault="009A1120" w:rsidP="001970E0">
                                  <w:pPr>
                                    <w:pStyle w:val="ListParagraph"/>
                                    <w:numPr>
                                      <w:ilvl w:val="0"/>
                                      <w:numId w:val="8"/>
                                    </w:numPr>
                                    <w:ind w:left="426"/>
                                    <w:rPr>
                                      <w:sz w:val="20"/>
                                      <w:szCs w:val="20"/>
                                    </w:rPr>
                                  </w:pPr>
                                  <w:r w:rsidRPr="00B2216B">
                                    <w:rPr>
                                      <w:sz w:val="20"/>
                                      <w:szCs w:val="20"/>
                                    </w:rPr>
                                    <w:t xml:space="preserve">the </w:t>
                                  </w:r>
                                  <w:r w:rsidRPr="00AB75C2">
                                    <w:rPr>
                                      <w:sz w:val="20"/>
                                      <w:szCs w:val="20"/>
                                    </w:rPr>
                                    <w:t xml:space="preserve">zoning, objectives, policies, rules, and overlays that apply in the relevant proposed and operative RMA planning documents; and </w:t>
                                  </w:r>
                                </w:p>
                                <w:p w14:paraId="78776ABA" w14:textId="77777777" w:rsidR="009A1120" w:rsidRPr="00856119" w:rsidRDefault="009A1120" w:rsidP="001970E0">
                                  <w:pPr>
                                    <w:pStyle w:val="ListParagraph"/>
                                    <w:numPr>
                                      <w:ilvl w:val="0"/>
                                      <w:numId w:val="8"/>
                                    </w:numPr>
                                    <w:ind w:left="426"/>
                                    <w:rPr>
                                      <w:sz w:val="20"/>
                                      <w:szCs w:val="20"/>
                                    </w:rPr>
                                  </w:pPr>
                                  <w:r w:rsidRPr="00AB75C2">
                                    <w:rPr>
                                      <w:sz w:val="20"/>
                                      <w:szCs w:val="20"/>
                                    </w:rPr>
                                    <w:t>the provision of adequate development infrastructure to support the development of land for housing or business use</w:t>
                                  </w:r>
                                </w:p>
                              </w:txbxContent>
                            </wps:txbx>
                            <wps:bodyPr rot="0" vert="horz" wrap="square" lIns="91440" tIns="45720" rIns="91440" bIns="45720" anchor="t" anchorCtr="0">
                              <a:noAutofit/>
                            </wps:bodyPr>
                          </wps:wsp>
                        </a:graphicData>
                      </a:graphic>
                    </wp:inline>
                  </w:drawing>
                </mc:Choice>
                <mc:Fallback>
                  <w:pict>
                    <v:shape w14:anchorId="5B92BC09" id="Text Box 228" o:spid="_x0000_s1050" type="#_x0000_t202" style="width:291.1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q8KQIAAFE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">
                      <v:textbox>
                        <w:txbxContent>
                          <w:p w14:paraId="3EF6BCEB" w14:textId="77777777" w:rsidR="009A1120" w:rsidRDefault="009A1120" w:rsidP="009A1120">
                            <w:pPr>
                              <w:spacing w:after="60"/>
                              <w:rPr>
                                <w:sz w:val="20"/>
                                <w:szCs w:val="20"/>
                              </w:rPr>
                            </w:pPr>
                            <w:r>
                              <w:rPr>
                                <w:sz w:val="20"/>
                                <w:szCs w:val="20"/>
                              </w:rPr>
                              <w:t>means the capacity of the land to be developed for housing or for business use, based on:</w:t>
                            </w:r>
                          </w:p>
                          <w:p w14:paraId="1ABA4F0D" w14:textId="77777777" w:rsidR="009A1120" w:rsidRDefault="009A1120" w:rsidP="001970E0">
                            <w:pPr>
                              <w:pStyle w:val="ListParagraph"/>
                              <w:numPr>
                                <w:ilvl w:val="0"/>
                                <w:numId w:val="8"/>
                              </w:numPr>
                              <w:ind w:left="426"/>
                              <w:rPr>
                                <w:sz w:val="20"/>
                                <w:szCs w:val="20"/>
                              </w:rPr>
                            </w:pPr>
                            <w:r w:rsidRPr="00B2216B">
                              <w:rPr>
                                <w:sz w:val="20"/>
                                <w:szCs w:val="20"/>
                              </w:rPr>
                              <w:t xml:space="preserve">the </w:t>
                            </w:r>
                            <w:r w:rsidRPr="00AB75C2">
                              <w:rPr>
                                <w:sz w:val="20"/>
                                <w:szCs w:val="20"/>
                              </w:rPr>
                              <w:t xml:space="preserve">zoning, objectives, policies, rules, and overlays that apply in the relevant proposed and operative RMA planning documents; and </w:t>
                            </w:r>
                          </w:p>
                          <w:p w14:paraId="78776ABA" w14:textId="77777777" w:rsidR="009A1120" w:rsidRPr="00856119" w:rsidRDefault="009A1120" w:rsidP="001970E0">
                            <w:pPr>
                              <w:pStyle w:val="ListParagraph"/>
                              <w:numPr>
                                <w:ilvl w:val="0"/>
                                <w:numId w:val="8"/>
                              </w:numPr>
                              <w:ind w:left="426"/>
                              <w:rPr>
                                <w:sz w:val="20"/>
                                <w:szCs w:val="20"/>
                              </w:rPr>
                            </w:pPr>
                            <w:r w:rsidRPr="00AB75C2">
                              <w:rPr>
                                <w:sz w:val="20"/>
                                <w:szCs w:val="20"/>
                              </w:rPr>
                              <w:t>the provision of adequate development infrastructure to support the development of land for housing or business use</w:t>
                            </w:r>
                          </w:p>
                        </w:txbxContent>
                      </v:textbox>
                      <w10:anchorlock/>
                    </v:shape>
                  </w:pict>
                </mc:Fallback>
              </mc:AlternateContent>
            </w:r>
          </w:p>
        </w:tc>
      </w:tr>
      <w:tr w:rsidR="009A1120" w:rsidRPr="00472578" w14:paraId="0706D3C6" w14:textId="77777777" w:rsidTr="007612BD">
        <w:tc>
          <w:tcPr>
            <w:tcW w:w="2104" w:type="dxa"/>
          </w:tcPr>
          <w:p w14:paraId="3A0DD2E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Development infrastructure</w:t>
            </w:r>
          </w:p>
        </w:tc>
        <w:tc>
          <w:tcPr>
            <w:tcW w:w="7146" w:type="dxa"/>
          </w:tcPr>
          <w:p w14:paraId="3F60230F"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Urban Development 2020 (as set out in the box below)</w:t>
            </w:r>
          </w:p>
          <w:p w14:paraId="662DD30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E6EE176" wp14:editId="4ECC35D2">
                      <wp:extent cx="3697356" cy="1285875"/>
                      <wp:effectExtent l="0" t="0" r="17780" b="28575"/>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285875"/>
                              </a:xfrm>
                              <a:prstGeom prst="rect">
                                <a:avLst/>
                              </a:prstGeom>
                              <a:solidFill>
                                <a:srgbClr val="FFFFFF"/>
                              </a:solidFill>
                              <a:ln w="9525">
                                <a:solidFill>
                                  <a:srgbClr val="000000"/>
                                </a:solidFill>
                                <a:miter lim="800000"/>
                                <a:headEnd/>
                                <a:tailEnd/>
                              </a:ln>
                            </wps:spPr>
                            <wps:txbx>
                              <w:txbxContent>
                                <w:p w14:paraId="18466CF1" w14:textId="77777777" w:rsidR="009A1120" w:rsidRPr="00AA202A" w:rsidRDefault="009A1120" w:rsidP="009A1120">
                                  <w:pPr>
                                    <w:spacing w:after="60"/>
                                    <w:rPr>
                                      <w:sz w:val="20"/>
                                      <w:szCs w:val="20"/>
                                    </w:rPr>
                                  </w:pPr>
                                  <w:r>
                                    <w:rPr>
                                      <w:sz w:val="20"/>
                                      <w:szCs w:val="20"/>
                                    </w:rPr>
                                    <w:t xml:space="preserve">means the following, to the extent that they are controlled by a local authority or council controlled organisation </w:t>
                                  </w:r>
                                  <w:r w:rsidRPr="00AA202A" w:rsidDel="00AA1688">
                                    <w:rPr>
                                      <w:sz w:val="20"/>
                                      <w:szCs w:val="20"/>
                                    </w:rPr>
                                    <w:t>(</w:t>
                                  </w:r>
                                  <w:r w:rsidRPr="00AA202A">
                                    <w:rPr>
                                      <w:sz w:val="20"/>
                                      <w:szCs w:val="20"/>
                                    </w:rPr>
                                    <w:t>as defined in section 6 of the Local Government</w:t>
                                  </w:r>
                                  <w:r>
                                    <w:rPr>
                                      <w:sz w:val="20"/>
                                      <w:szCs w:val="20"/>
                                    </w:rPr>
                                    <w:t xml:space="preserve"> </w:t>
                                  </w:r>
                                  <w:r w:rsidRPr="00AA202A">
                                    <w:rPr>
                                      <w:sz w:val="20"/>
                                      <w:szCs w:val="20"/>
                                    </w:rPr>
                                    <w:t>Act 2002):</w:t>
                                  </w:r>
                                </w:p>
                                <w:p w14:paraId="60CE0755" w14:textId="77777777" w:rsidR="009A1120" w:rsidRPr="00AA202A" w:rsidRDefault="009A1120" w:rsidP="009A1120">
                                  <w:pPr>
                                    <w:ind w:left="284" w:hanging="284"/>
                                    <w:contextualSpacing/>
                                    <w:rPr>
                                      <w:sz w:val="20"/>
                                      <w:szCs w:val="20"/>
                                    </w:rPr>
                                  </w:pPr>
                                  <w:r>
                                    <w:rPr>
                                      <w:sz w:val="20"/>
                                      <w:szCs w:val="20"/>
                                    </w:rPr>
                                    <w:t>(a)</w:t>
                                  </w:r>
                                  <w:r>
                                    <w:rPr>
                                      <w:sz w:val="20"/>
                                      <w:szCs w:val="20"/>
                                    </w:rPr>
                                    <w:tab/>
                                  </w:r>
                                  <w:r w:rsidRPr="00AA202A">
                                    <w:rPr>
                                      <w:sz w:val="20"/>
                                      <w:szCs w:val="20"/>
                                    </w:rPr>
                                    <w:t>network infrastructure for water supply, wastewater, or stormwater</w:t>
                                  </w:r>
                                </w:p>
                                <w:p w14:paraId="5AFC210B" w14:textId="77777777" w:rsidR="009A1120" w:rsidRPr="001C42DB" w:rsidRDefault="009A1120" w:rsidP="009A1120">
                                  <w:pPr>
                                    <w:ind w:left="284" w:hanging="284"/>
                                    <w:contextualSpacing/>
                                    <w:rPr>
                                      <w:sz w:val="20"/>
                                      <w:szCs w:val="20"/>
                                    </w:rPr>
                                  </w:pPr>
                                  <w:r>
                                    <w:rPr>
                                      <w:sz w:val="20"/>
                                      <w:szCs w:val="20"/>
                                    </w:rPr>
                                    <w:t>(b)</w:t>
                                  </w:r>
                                  <w:r>
                                    <w:rPr>
                                      <w:sz w:val="20"/>
                                      <w:szCs w:val="20"/>
                                    </w:rPr>
                                    <w:tab/>
                                  </w:r>
                                  <w:r w:rsidRPr="00AA202A">
                                    <w:rPr>
                                      <w:sz w:val="20"/>
                                      <w:szCs w:val="20"/>
                                    </w:rPr>
                                    <w:t>land transport (as defined in section 5 of the Land Transport Management Act</w:t>
                                  </w:r>
                                  <w:r>
                                    <w:rPr>
                                      <w:sz w:val="20"/>
                                      <w:szCs w:val="20"/>
                                    </w:rPr>
                                    <w:t xml:space="preserve"> </w:t>
                                  </w:r>
                                  <w:r w:rsidRPr="00AA202A">
                                    <w:rPr>
                                      <w:sz w:val="20"/>
                                      <w:szCs w:val="20"/>
                                    </w:rPr>
                                    <w:t>2003)</w:t>
                                  </w:r>
                                </w:p>
                                <w:p w14:paraId="158C82AF" w14:textId="77777777" w:rsidR="009A1120" w:rsidRPr="001A38AB" w:rsidRDefault="009A1120" w:rsidP="009A1120">
                                  <w:pPr>
                                    <w:rPr>
                                      <w:sz w:val="20"/>
                                      <w:szCs w:val="20"/>
                                    </w:rPr>
                                  </w:pPr>
                                </w:p>
                              </w:txbxContent>
                            </wps:txbx>
                            <wps:bodyPr rot="0" vert="horz" wrap="square" lIns="91440" tIns="45720" rIns="91440" bIns="45720" anchor="t" anchorCtr="0">
                              <a:noAutofit/>
                            </wps:bodyPr>
                          </wps:wsp>
                        </a:graphicData>
                      </a:graphic>
                    </wp:inline>
                  </w:drawing>
                </mc:Choice>
                <mc:Fallback>
                  <w:pict>
                    <v:shape w14:anchorId="0E6EE176" id="Text Box 232" o:spid="_x0000_s1051" type="#_x0000_t202" style="width:291.1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">
                      <v:textbox>
                        <w:txbxContent>
                          <w:p w14:paraId="18466CF1" w14:textId="77777777" w:rsidR="009A1120" w:rsidRPr="00AA202A" w:rsidRDefault="009A1120" w:rsidP="009A1120">
                            <w:pPr>
                              <w:spacing w:after="60"/>
                              <w:rPr>
                                <w:sz w:val="20"/>
                                <w:szCs w:val="20"/>
                              </w:rPr>
                            </w:pPr>
                            <w:r>
                              <w:rPr>
                                <w:sz w:val="20"/>
                                <w:szCs w:val="20"/>
                              </w:rPr>
                              <w:t xml:space="preserve">means the following, to the extent that they are controlled by a local authority or council controlled organisation </w:t>
                            </w:r>
                            <w:r w:rsidRPr="00AA202A" w:rsidDel="00AA1688">
                              <w:rPr>
                                <w:sz w:val="20"/>
                                <w:szCs w:val="20"/>
                              </w:rPr>
                              <w:t>(</w:t>
                            </w:r>
                            <w:r w:rsidRPr="00AA202A">
                              <w:rPr>
                                <w:sz w:val="20"/>
                                <w:szCs w:val="20"/>
                              </w:rPr>
                              <w:t>as defined in section 6 of the Local Government</w:t>
                            </w:r>
                            <w:r>
                              <w:rPr>
                                <w:sz w:val="20"/>
                                <w:szCs w:val="20"/>
                              </w:rPr>
                              <w:t xml:space="preserve"> </w:t>
                            </w:r>
                            <w:r w:rsidRPr="00AA202A">
                              <w:rPr>
                                <w:sz w:val="20"/>
                                <w:szCs w:val="20"/>
                              </w:rPr>
                              <w:t>Act 2002):</w:t>
                            </w:r>
                          </w:p>
                          <w:p w14:paraId="60CE0755" w14:textId="77777777" w:rsidR="009A1120" w:rsidRPr="00AA202A" w:rsidRDefault="009A1120" w:rsidP="009A1120">
                            <w:pPr>
                              <w:ind w:left="284" w:hanging="284"/>
                              <w:contextualSpacing/>
                              <w:rPr>
                                <w:sz w:val="20"/>
                                <w:szCs w:val="20"/>
                              </w:rPr>
                            </w:pPr>
                            <w:r>
                              <w:rPr>
                                <w:sz w:val="20"/>
                                <w:szCs w:val="20"/>
                              </w:rPr>
                              <w:t>(a)</w:t>
                            </w:r>
                            <w:r>
                              <w:rPr>
                                <w:sz w:val="20"/>
                                <w:szCs w:val="20"/>
                              </w:rPr>
                              <w:tab/>
                            </w:r>
                            <w:r w:rsidRPr="00AA202A">
                              <w:rPr>
                                <w:sz w:val="20"/>
                                <w:szCs w:val="20"/>
                              </w:rPr>
                              <w:t>network infrastructure for water supply, wastewater, or stormwater</w:t>
                            </w:r>
                          </w:p>
                          <w:p w14:paraId="5AFC210B" w14:textId="77777777" w:rsidR="009A1120" w:rsidRPr="001C42DB" w:rsidRDefault="009A1120" w:rsidP="009A1120">
                            <w:pPr>
                              <w:ind w:left="284" w:hanging="284"/>
                              <w:contextualSpacing/>
                              <w:rPr>
                                <w:sz w:val="20"/>
                                <w:szCs w:val="20"/>
                              </w:rPr>
                            </w:pPr>
                            <w:r>
                              <w:rPr>
                                <w:sz w:val="20"/>
                                <w:szCs w:val="20"/>
                              </w:rPr>
                              <w:t>(b)</w:t>
                            </w:r>
                            <w:r>
                              <w:rPr>
                                <w:sz w:val="20"/>
                                <w:szCs w:val="20"/>
                              </w:rPr>
                              <w:tab/>
                            </w:r>
                            <w:r w:rsidRPr="00AA202A">
                              <w:rPr>
                                <w:sz w:val="20"/>
                                <w:szCs w:val="20"/>
                              </w:rPr>
                              <w:t>land transport (as defined in section 5 of the Land Transport Management Act</w:t>
                            </w:r>
                            <w:r>
                              <w:rPr>
                                <w:sz w:val="20"/>
                                <w:szCs w:val="20"/>
                              </w:rPr>
                              <w:t xml:space="preserve"> </w:t>
                            </w:r>
                            <w:r w:rsidRPr="00AA202A">
                              <w:rPr>
                                <w:sz w:val="20"/>
                                <w:szCs w:val="20"/>
                              </w:rPr>
                              <w:t>2003)</w:t>
                            </w:r>
                          </w:p>
                          <w:p w14:paraId="158C82AF" w14:textId="77777777" w:rsidR="009A1120" w:rsidRPr="001A38AB" w:rsidRDefault="009A1120" w:rsidP="009A1120">
                            <w:pPr>
                              <w:rPr>
                                <w:sz w:val="20"/>
                                <w:szCs w:val="20"/>
                              </w:rPr>
                            </w:pPr>
                          </w:p>
                        </w:txbxContent>
                      </v:textbox>
                      <w10:anchorlock/>
                    </v:shape>
                  </w:pict>
                </mc:Fallback>
              </mc:AlternateContent>
            </w:r>
          </w:p>
        </w:tc>
      </w:tr>
      <w:tr w:rsidR="009A1120" w:rsidRPr="00472578" w14:paraId="6DCFCD0C" w14:textId="77777777" w:rsidTr="007612BD">
        <w:tc>
          <w:tcPr>
            <w:tcW w:w="2104" w:type="dxa"/>
          </w:tcPr>
          <w:p w14:paraId="2BF706E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Discharge</w:t>
            </w:r>
          </w:p>
        </w:tc>
        <w:tc>
          <w:tcPr>
            <w:tcW w:w="7146" w:type="dxa"/>
          </w:tcPr>
          <w:p w14:paraId="3ED1B48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0E0841C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B399DD9" wp14:editId="3C69382B">
                      <wp:extent cx="3697356" cy="270345"/>
                      <wp:effectExtent l="0" t="0" r="17780" b="158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70345"/>
                              </a:xfrm>
                              <a:prstGeom prst="rect">
                                <a:avLst/>
                              </a:prstGeom>
                              <a:solidFill>
                                <a:srgbClr val="FFFFFF"/>
                              </a:solidFill>
                              <a:ln w="9525">
                                <a:solidFill>
                                  <a:srgbClr val="000000"/>
                                </a:solidFill>
                                <a:miter lim="800000"/>
                                <a:headEnd/>
                                <a:tailEnd/>
                              </a:ln>
                            </wps:spPr>
                            <wps:txbx>
                              <w:txbxContent>
                                <w:p w14:paraId="4A7E2554" w14:textId="77777777" w:rsidR="009A1120" w:rsidRPr="001A38AB" w:rsidRDefault="009A1120" w:rsidP="009A1120">
                                  <w:pPr>
                                    <w:rPr>
                                      <w:sz w:val="20"/>
                                      <w:szCs w:val="20"/>
                                    </w:rPr>
                                  </w:pPr>
                                  <w:r w:rsidRPr="001A38AB">
                                    <w:rPr>
                                      <w:sz w:val="20"/>
                                      <w:szCs w:val="20"/>
                                    </w:rPr>
                                    <w:t>includes emit, deposit, and allow to escape</w:t>
                                  </w:r>
                                </w:p>
                              </w:txbxContent>
                            </wps:txbx>
                            <wps:bodyPr rot="0" vert="horz" wrap="square" lIns="91440" tIns="45720" rIns="91440" bIns="45720" anchor="t" anchorCtr="0">
                              <a:noAutofit/>
                            </wps:bodyPr>
                          </wps:wsp>
                        </a:graphicData>
                      </a:graphic>
                    </wp:inline>
                  </w:drawing>
                </mc:Choice>
                <mc:Fallback>
                  <w:pict>
                    <v:shape w14:anchorId="0B399DD9" id="Text Box 7" o:spid="_x0000_s1052" type="#_x0000_t202" style="width:291.1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">
                      <v:textbox>
                        <w:txbxContent>
                          <w:p w14:paraId="4A7E2554" w14:textId="77777777" w:rsidR="009A1120" w:rsidRPr="001A38AB" w:rsidRDefault="009A1120" w:rsidP="009A1120">
                            <w:pPr>
                              <w:rPr>
                                <w:sz w:val="20"/>
                                <w:szCs w:val="20"/>
                              </w:rPr>
                            </w:pPr>
                            <w:r w:rsidRPr="001A38AB">
                              <w:rPr>
                                <w:sz w:val="20"/>
                                <w:szCs w:val="20"/>
                              </w:rPr>
                              <w:t>includes emit, deposit, and allow to escape</w:t>
                            </w:r>
                          </w:p>
                        </w:txbxContent>
                      </v:textbox>
                      <w10:anchorlock/>
                    </v:shape>
                  </w:pict>
                </mc:Fallback>
              </mc:AlternateContent>
            </w:r>
          </w:p>
        </w:tc>
      </w:tr>
      <w:tr w:rsidR="009A1120" w:rsidRPr="00472578" w14:paraId="76285A2D" w14:textId="77777777" w:rsidTr="007612BD">
        <w:tc>
          <w:tcPr>
            <w:tcW w:w="2104" w:type="dxa"/>
          </w:tcPr>
          <w:p w14:paraId="57FA453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Distribution network</w:t>
            </w:r>
          </w:p>
        </w:tc>
        <w:tc>
          <w:tcPr>
            <w:tcW w:w="7146" w:type="dxa"/>
          </w:tcPr>
          <w:p w14:paraId="373D17C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Freshwater) Regulations 2020 (as set out in the box below)</w:t>
            </w:r>
          </w:p>
          <w:p w14:paraId="3DC6293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B9C9526" wp14:editId="3112B03E">
                      <wp:extent cx="3697356" cy="952500"/>
                      <wp:effectExtent l="0" t="0" r="17780" b="1905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52500"/>
                              </a:xfrm>
                              <a:prstGeom prst="rect">
                                <a:avLst/>
                              </a:prstGeom>
                              <a:solidFill>
                                <a:srgbClr val="FFFFFF"/>
                              </a:solidFill>
                              <a:ln w="9525">
                                <a:solidFill>
                                  <a:srgbClr val="000000"/>
                                </a:solidFill>
                                <a:miter lim="800000"/>
                                <a:headEnd/>
                                <a:tailEnd/>
                              </a:ln>
                            </wps:spPr>
                            <wps:txbx>
                              <w:txbxContent>
                                <w:p w14:paraId="646AD25E" w14:textId="77777777" w:rsidR="009A1120" w:rsidRDefault="009A1120" w:rsidP="009A1120">
                                  <w:pPr>
                                    <w:ind w:left="284" w:hanging="284"/>
                                    <w:contextualSpacing/>
                                    <w:rPr>
                                      <w:sz w:val="20"/>
                                      <w:szCs w:val="20"/>
                                    </w:rPr>
                                  </w:pPr>
                                  <w:r w:rsidRPr="001A38AB">
                                    <w:rPr>
                                      <w:sz w:val="20"/>
                                      <w:szCs w:val="20"/>
                                    </w:rPr>
                                    <w:t>(a)</w:t>
                                  </w:r>
                                  <w:r w:rsidRPr="001A38AB">
                                    <w:rPr>
                                      <w:sz w:val="20"/>
                                      <w:szCs w:val="20"/>
                                    </w:rPr>
                                    <w:tab/>
                                    <w:t xml:space="preserve">means </w:t>
                                  </w:r>
                                  <w:r w:rsidRPr="0099097F">
                                    <w:rPr>
                                      <w:sz w:val="20"/>
                                      <w:szCs w:val="20"/>
                                    </w:rPr>
                                    <w:t>lines and associated equipment that are used for conveying electricity and are operated by a business engaged in the distribution of electricity; but</w:t>
                                  </w:r>
                                </w:p>
                                <w:p w14:paraId="71154B98" w14:textId="77777777" w:rsidR="009A1120" w:rsidRPr="001A38AB" w:rsidRDefault="009A1120" w:rsidP="009A1120">
                                  <w:pPr>
                                    <w:ind w:left="284" w:hanging="284"/>
                                    <w:contextualSpacing/>
                                    <w:rPr>
                                      <w:sz w:val="20"/>
                                      <w:szCs w:val="20"/>
                                    </w:rPr>
                                  </w:pPr>
                                  <w:r>
                                    <w:rPr>
                                      <w:sz w:val="20"/>
                                      <w:szCs w:val="20"/>
                                    </w:rPr>
                                    <w:t xml:space="preserve">(b) </w:t>
                                  </w:r>
                                  <w:r w:rsidRPr="00683911">
                                    <w:rPr>
                                      <w:sz w:val="20"/>
                                      <w:szCs w:val="20"/>
                                    </w:rPr>
                                    <w:t>does not include lines and associated equipment that are part of the national grid</w:t>
                                  </w:r>
                                </w:p>
                                <w:p w14:paraId="5901F230" w14:textId="77777777" w:rsidR="009A1120" w:rsidRPr="001A38AB" w:rsidRDefault="009A1120" w:rsidP="009A1120">
                                  <w:pPr>
                                    <w:ind w:left="284" w:hanging="284"/>
                                    <w:rPr>
                                      <w:sz w:val="20"/>
                                      <w:szCs w:val="20"/>
                                    </w:rPr>
                                  </w:pPr>
                                </w:p>
                              </w:txbxContent>
                            </wps:txbx>
                            <wps:bodyPr rot="0" vert="horz" wrap="square" lIns="91440" tIns="45720" rIns="91440" bIns="45720" anchor="t" anchorCtr="0">
                              <a:noAutofit/>
                            </wps:bodyPr>
                          </wps:wsp>
                        </a:graphicData>
                      </a:graphic>
                    </wp:inline>
                  </w:drawing>
                </mc:Choice>
                <mc:Fallback>
                  <w:pict>
                    <v:shape w14:anchorId="2B9C9526" id="Text Box 47" o:spid="_x0000_s1053" type="#_x0000_t202" style="width:291.1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">
                      <v:textbox>
                        <w:txbxContent>
                          <w:p w14:paraId="646AD25E" w14:textId="77777777" w:rsidR="009A1120" w:rsidRDefault="009A1120" w:rsidP="009A1120">
                            <w:pPr>
                              <w:ind w:left="284" w:hanging="284"/>
                              <w:contextualSpacing/>
                              <w:rPr>
                                <w:sz w:val="20"/>
                                <w:szCs w:val="20"/>
                              </w:rPr>
                            </w:pPr>
                            <w:r w:rsidRPr="001A38AB">
                              <w:rPr>
                                <w:sz w:val="20"/>
                                <w:szCs w:val="20"/>
                              </w:rPr>
                              <w:t>(a)</w:t>
                            </w:r>
                            <w:r w:rsidRPr="001A38AB">
                              <w:rPr>
                                <w:sz w:val="20"/>
                                <w:szCs w:val="20"/>
                              </w:rPr>
                              <w:tab/>
                              <w:t xml:space="preserve">means </w:t>
                            </w:r>
                            <w:r w:rsidRPr="0099097F">
                              <w:rPr>
                                <w:sz w:val="20"/>
                                <w:szCs w:val="20"/>
                              </w:rPr>
                              <w:t>lines and associated equipment that are used for conveying electricity and are operated by a business engaged in the distribution of electricity; but</w:t>
                            </w:r>
                          </w:p>
                          <w:p w14:paraId="71154B98" w14:textId="77777777" w:rsidR="009A1120" w:rsidRPr="001A38AB" w:rsidRDefault="009A1120" w:rsidP="009A1120">
                            <w:pPr>
                              <w:ind w:left="284" w:hanging="284"/>
                              <w:contextualSpacing/>
                              <w:rPr>
                                <w:sz w:val="20"/>
                                <w:szCs w:val="20"/>
                              </w:rPr>
                            </w:pPr>
                            <w:r>
                              <w:rPr>
                                <w:sz w:val="20"/>
                                <w:szCs w:val="20"/>
                              </w:rPr>
                              <w:t xml:space="preserve">(b) </w:t>
                            </w:r>
                            <w:r w:rsidRPr="00683911">
                              <w:rPr>
                                <w:sz w:val="20"/>
                                <w:szCs w:val="20"/>
                              </w:rPr>
                              <w:t>does not include lines and associated equipment that are part of the national grid</w:t>
                            </w:r>
                          </w:p>
                          <w:p w14:paraId="5901F230" w14:textId="77777777" w:rsidR="009A1120" w:rsidRPr="001A38AB" w:rsidRDefault="009A1120" w:rsidP="009A1120">
                            <w:pPr>
                              <w:ind w:left="284" w:hanging="284"/>
                              <w:rPr>
                                <w:sz w:val="20"/>
                                <w:szCs w:val="20"/>
                              </w:rPr>
                            </w:pPr>
                          </w:p>
                        </w:txbxContent>
                      </v:textbox>
                      <w10:anchorlock/>
                    </v:shape>
                  </w:pict>
                </mc:Fallback>
              </mc:AlternateContent>
            </w:r>
          </w:p>
        </w:tc>
      </w:tr>
      <w:tr w:rsidR="009A1120" w:rsidRPr="00472578" w14:paraId="23CA71EA" w14:textId="77777777" w:rsidTr="007612BD">
        <w:tc>
          <w:tcPr>
            <w:tcW w:w="2104" w:type="dxa"/>
          </w:tcPr>
          <w:p w14:paraId="051874D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District plan</w:t>
            </w:r>
          </w:p>
        </w:tc>
        <w:tc>
          <w:tcPr>
            <w:tcW w:w="7146" w:type="dxa"/>
          </w:tcPr>
          <w:p w14:paraId="16467B8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43AA of the Resource Management Act 1991 (as set out in the box below)</w:t>
            </w:r>
          </w:p>
          <w:p w14:paraId="28FD985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5000168" wp14:editId="5C42C62D">
                      <wp:extent cx="3697356" cy="787179"/>
                      <wp:effectExtent l="0" t="0" r="17780" b="1333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787179"/>
                              </a:xfrm>
                              <a:prstGeom prst="rect">
                                <a:avLst/>
                              </a:prstGeom>
                              <a:solidFill>
                                <a:srgbClr val="FFFFFF"/>
                              </a:solidFill>
                              <a:ln w="9525">
                                <a:solidFill>
                                  <a:srgbClr val="000000"/>
                                </a:solidFill>
                                <a:miter lim="800000"/>
                                <a:headEnd/>
                                <a:tailEnd/>
                              </a:ln>
                            </wps:spPr>
                            <wps:txbx>
                              <w:txbxContent>
                                <w:p w14:paraId="3AB511E6"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means an operative plan approved by a territorial authority under Schedule 1; and</w:t>
                                  </w:r>
                                </w:p>
                                <w:p w14:paraId="4F7C8510" w14:textId="77777777" w:rsidR="009A1120" w:rsidRPr="001A38AB" w:rsidRDefault="009A1120" w:rsidP="009A1120">
                                  <w:pPr>
                                    <w:ind w:left="284" w:hanging="284"/>
                                    <w:rPr>
                                      <w:sz w:val="20"/>
                                      <w:szCs w:val="20"/>
                                    </w:rPr>
                                  </w:pPr>
                                  <w:r w:rsidRPr="001A38AB">
                                    <w:rPr>
                                      <w:sz w:val="20"/>
                                      <w:szCs w:val="20"/>
                                    </w:rPr>
                                    <w:t>(b)</w:t>
                                  </w:r>
                                  <w:r w:rsidRPr="001A38AB">
                                    <w:rPr>
                                      <w:sz w:val="20"/>
                                      <w:szCs w:val="20"/>
                                    </w:rPr>
                                    <w:tab/>
                                    <w:t>includes all operative changes to the plan (whether arising from a review or otherwise)</w:t>
                                  </w:r>
                                </w:p>
                              </w:txbxContent>
                            </wps:txbx>
                            <wps:bodyPr rot="0" vert="horz" wrap="square" lIns="91440" tIns="45720" rIns="91440" bIns="45720" anchor="t" anchorCtr="0">
                              <a:noAutofit/>
                            </wps:bodyPr>
                          </wps:wsp>
                        </a:graphicData>
                      </a:graphic>
                    </wp:inline>
                  </w:drawing>
                </mc:Choice>
                <mc:Fallback>
                  <w:pict>
                    <v:shape w14:anchorId="35000168" id="Text Box 13" o:spid="_x0000_s1054" type="#_x0000_t202" style="width:291.1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">
                      <v:textbox>
                        <w:txbxContent>
                          <w:p w14:paraId="3AB511E6"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means an operative plan approved by a territorial authority under Schedule 1; and</w:t>
                            </w:r>
                          </w:p>
                          <w:p w14:paraId="4F7C8510" w14:textId="77777777" w:rsidR="009A1120" w:rsidRPr="001A38AB" w:rsidRDefault="009A1120" w:rsidP="009A1120">
                            <w:pPr>
                              <w:ind w:left="284" w:hanging="284"/>
                              <w:rPr>
                                <w:sz w:val="20"/>
                                <w:szCs w:val="20"/>
                              </w:rPr>
                            </w:pPr>
                            <w:r w:rsidRPr="001A38AB">
                              <w:rPr>
                                <w:sz w:val="20"/>
                                <w:szCs w:val="20"/>
                              </w:rPr>
                              <w:t>(b)</w:t>
                            </w:r>
                            <w:r w:rsidRPr="001A38AB">
                              <w:rPr>
                                <w:sz w:val="20"/>
                                <w:szCs w:val="20"/>
                              </w:rPr>
                              <w:tab/>
                              <w:t>includes all operative changes to the plan (whether arising from a review or otherwise)</w:t>
                            </w:r>
                          </w:p>
                        </w:txbxContent>
                      </v:textbox>
                      <w10:anchorlock/>
                    </v:shape>
                  </w:pict>
                </mc:Fallback>
              </mc:AlternateContent>
            </w:r>
          </w:p>
        </w:tc>
      </w:tr>
      <w:tr w:rsidR="009A1120" w:rsidRPr="00472578" w14:paraId="61AA6CBD" w14:textId="77777777" w:rsidTr="007612BD">
        <w:tc>
          <w:tcPr>
            <w:tcW w:w="2104" w:type="dxa"/>
          </w:tcPr>
          <w:p w14:paraId="2880E0D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Drinking water</w:t>
            </w:r>
          </w:p>
        </w:tc>
        <w:tc>
          <w:tcPr>
            <w:tcW w:w="7146" w:type="dxa"/>
          </w:tcPr>
          <w:p w14:paraId="733E993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43885ED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8B98C8F" wp14:editId="5152061E">
                      <wp:extent cx="3697356" cy="604299"/>
                      <wp:effectExtent l="0" t="0" r="17780" b="24765"/>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04299"/>
                              </a:xfrm>
                              <a:prstGeom prst="rect">
                                <a:avLst/>
                              </a:prstGeom>
                              <a:solidFill>
                                <a:srgbClr val="FFFFFF"/>
                              </a:solidFill>
                              <a:ln w="9525">
                                <a:solidFill>
                                  <a:srgbClr val="000000"/>
                                </a:solidFill>
                                <a:miter lim="800000"/>
                                <a:headEnd/>
                                <a:tailEnd/>
                              </a:ln>
                            </wps:spPr>
                            <wps:txbx>
                              <w:txbxContent>
                                <w:p w14:paraId="77098EDA" w14:textId="77777777" w:rsidR="009A1120" w:rsidRPr="001A38AB" w:rsidRDefault="009A1120" w:rsidP="009A1120">
                                  <w:pPr>
                                    <w:spacing w:after="60"/>
                                    <w:rPr>
                                      <w:sz w:val="20"/>
                                      <w:szCs w:val="20"/>
                                    </w:rPr>
                                  </w:pPr>
                                  <w:r w:rsidRPr="001A38AB">
                                    <w:rPr>
                                      <w:sz w:val="20"/>
                                      <w:szCs w:val="20"/>
                                    </w:rPr>
                                    <w:t>means water intended to be used for human consumption; and includes water intended to be used for food preparation, utensil washing, and oral or other personal hygiene</w:t>
                                  </w:r>
                                </w:p>
                              </w:txbxContent>
                            </wps:txbx>
                            <wps:bodyPr rot="0" vert="horz" wrap="square" lIns="91440" tIns="45720" rIns="91440" bIns="45720" anchor="t" anchorCtr="0">
                              <a:noAutofit/>
                            </wps:bodyPr>
                          </wps:wsp>
                        </a:graphicData>
                      </a:graphic>
                    </wp:inline>
                  </w:drawing>
                </mc:Choice>
                <mc:Fallback>
                  <w:pict>
                    <v:shape w14:anchorId="08B98C8F" id="Text Box 206" o:spid="_x0000_s1055" type="#_x0000_t202" style="width:291.15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7uKAIAAFA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">
                      <v:textbox>
                        <w:txbxContent>
                          <w:p w14:paraId="77098EDA" w14:textId="77777777" w:rsidR="009A1120" w:rsidRPr="001A38AB" w:rsidRDefault="009A1120" w:rsidP="009A1120">
                            <w:pPr>
                              <w:spacing w:after="60"/>
                              <w:rPr>
                                <w:sz w:val="20"/>
                                <w:szCs w:val="20"/>
                              </w:rPr>
                            </w:pPr>
                            <w:r w:rsidRPr="001A38AB">
                              <w:rPr>
                                <w:sz w:val="20"/>
                                <w:szCs w:val="20"/>
                              </w:rPr>
                              <w:t>means water intended to be used for human consumption; and includes water intended to be used for food preparation, utensil washing, and oral or other personal hygiene</w:t>
                            </w:r>
                          </w:p>
                        </w:txbxContent>
                      </v:textbox>
                      <w10:anchorlock/>
                    </v:shape>
                  </w:pict>
                </mc:Fallback>
              </mc:AlternateContent>
            </w:r>
          </w:p>
        </w:tc>
      </w:tr>
      <w:tr w:rsidR="009A1120" w:rsidRPr="00472578" w14:paraId="2FF5C88E" w14:textId="77777777" w:rsidTr="007612BD">
        <w:tc>
          <w:tcPr>
            <w:tcW w:w="2104" w:type="dxa"/>
          </w:tcPr>
          <w:p w14:paraId="621A6F5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Dwelling</w:t>
            </w:r>
          </w:p>
        </w:tc>
        <w:tc>
          <w:tcPr>
            <w:tcW w:w="7146" w:type="dxa"/>
          </w:tcPr>
          <w:p w14:paraId="2B2D5C6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has the same meaning as that given for </w:t>
            </w:r>
            <w:proofErr w:type="spellStart"/>
            <w:r w:rsidRPr="00472578">
              <w:rPr>
                <w:sz w:val="20"/>
                <w:szCs w:val="20"/>
              </w:rPr>
              <w:t>dwellinghouse</w:t>
            </w:r>
            <w:proofErr w:type="spellEnd"/>
            <w:r w:rsidRPr="00472578">
              <w:rPr>
                <w:sz w:val="20"/>
                <w:szCs w:val="20"/>
              </w:rPr>
              <w:t xml:space="preserve"> in section 2 of the Resource Management Act 1991 (as set out in the box below)</w:t>
            </w:r>
          </w:p>
          <w:p w14:paraId="063EBD6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2C18144" wp14:editId="6488FBC5">
                      <wp:extent cx="3697356" cy="938151"/>
                      <wp:effectExtent l="0" t="0" r="17780" b="1460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38151"/>
                              </a:xfrm>
                              <a:prstGeom prst="rect">
                                <a:avLst/>
                              </a:prstGeom>
                              <a:solidFill>
                                <a:srgbClr val="FFFFFF"/>
                              </a:solidFill>
                              <a:ln w="9525">
                                <a:solidFill>
                                  <a:srgbClr val="000000"/>
                                </a:solidFill>
                                <a:miter lim="800000"/>
                                <a:headEnd/>
                                <a:tailEnd/>
                              </a:ln>
                            </wps:spPr>
                            <wps:txbx>
                              <w:txbxContent>
                                <w:p w14:paraId="44BA2B72" w14:textId="77777777" w:rsidR="009A1120" w:rsidRPr="001A38AB" w:rsidRDefault="009A1120" w:rsidP="009A1120">
                                  <w:pPr>
                                    <w:spacing w:after="60"/>
                                    <w:rPr>
                                      <w:sz w:val="20"/>
                                      <w:szCs w:val="20"/>
                                    </w:rPr>
                                  </w:pPr>
                                  <w:r w:rsidRPr="00F0015C">
                                    <w:rPr>
                                      <w:sz w:val="20"/>
                                      <w:szCs w:val="20"/>
                                    </w:rPr>
                                    <w:t>means any building, whether permanent or temporary, that is occupied, in whole or in part, as a residence; and includes any structure or outdoor living area that is accessory to, and used wholly or principally for the purposes of, the residence; but does not include the land upon which the residence is sited</w:t>
                                  </w:r>
                                </w:p>
                              </w:txbxContent>
                            </wps:txbx>
                            <wps:bodyPr rot="0" vert="horz" wrap="square" lIns="91440" tIns="45720" rIns="91440" bIns="45720" anchor="t" anchorCtr="0">
                              <a:noAutofit/>
                            </wps:bodyPr>
                          </wps:wsp>
                        </a:graphicData>
                      </a:graphic>
                    </wp:inline>
                  </w:drawing>
                </mc:Choice>
                <mc:Fallback>
                  <w:pict>
                    <v:shape w14:anchorId="52C18144" id="Text Box 49" o:spid="_x0000_s1056" type="#_x0000_t202" style="width:291.15pt;height:7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">
                      <v:textbox>
                        <w:txbxContent>
                          <w:p w14:paraId="44BA2B72" w14:textId="77777777" w:rsidR="009A1120" w:rsidRPr="001A38AB" w:rsidRDefault="009A1120" w:rsidP="009A1120">
                            <w:pPr>
                              <w:spacing w:after="60"/>
                              <w:rPr>
                                <w:sz w:val="20"/>
                                <w:szCs w:val="20"/>
                              </w:rPr>
                            </w:pPr>
                            <w:r w:rsidRPr="00F0015C">
                              <w:rPr>
                                <w:sz w:val="20"/>
                                <w:szCs w:val="20"/>
                              </w:rPr>
                              <w:t>means any building, whether permanent or temporary, that is occupied, in whole or in part, as a residence; and includes any structure or outdoor living area that is accessory to, and used wholly or principally for the purposes of, the residence; but does not include the land upon which the residence is sited</w:t>
                            </w:r>
                          </w:p>
                        </w:txbxContent>
                      </v:textbox>
                      <w10:anchorlock/>
                    </v:shape>
                  </w:pict>
                </mc:Fallback>
              </mc:AlternateContent>
            </w:r>
          </w:p>
        </w:tc>
      </w:tr>
      <w:tr w:rsidR="009A1120" w:rsidRPr="00472578" w14:paraId="7AECCEE8" w14:textId="77777777" w:rsidTr="007612BD">
        <w:tc>
          <w:tcPr>
            <w:tcW w:w="2104" w:type="dxa"/>
          </w:tcPr>
          <w:p w14:paraId="031BADC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Earthworks</w:t>
            </w:r>
          </w:p>
        </w:tc>
        <w:tc>
          <w:tcPr>
            <w:tcW w:w="7146" w:type="dxa"/>
          </w:tcPr>
          <w:p w14:paraId="57E67BF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402F8AC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62FAE3F" wp14:editId="1E3CA67E">
                      <wp:extent cx="3697356" cy="942975"/>
                      <wp:effectExtent l="0" t="0" r="17780" b="28575"/>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42975"/>
                              </a:xfrm>
                              <a:prstGeom prst="rect">
                                <a:avLst/>
                              </a:prstGeom>
                              <a:solidFill>
                                <a:srgbClr val="FFFFFF"/>
                              </a:solidFill>
                              <a:ln w="9525">
                                <a:solidFill>
                                  <a:srgbClr val="000000"/>
                                </a:solidFill>
                                <a:miter lim="800000"/>
                                <a:headEnd/>
                                <a:tailEnd/>
                              </a:ln>
                            </wps:spPr>
                            <wps:txbx>
                              <w:txbxContent>
                                <w:p w14:paraId="35217DC5" w14:textId="77777777" w:rsidR="009A1120" w:rsidRPr="001A38AB" w:rsidRDefault="009A1120" w:rsidP="009A1120">
                                  <w:pPr>
                                    <w:spacing w:after="60"/>
                                    <w:rPr>
                                      <w:sz w:val="20"/>
                                      <w:szCs w:val="20"/>
                                    </w:rPr>
                                  </w:pPr>
                                  <w:r w:rsidRPr="001A38AB">
                                    <w:rPr>
                                      <w:sz w:val="20"/>
                                      <w:szCs w:val="20"/>
                                    </w:rPr>
                                    <w:t>means the alteration or disturbance of land, including by moving, removing, placing, blading, cutting, contouring, filling or excavation of earth (or any matter constituting the land including soil, clay, sand and rock); but excludes gardening, cultivation, and disturbance of land for the installation of fence posts</w:t>
                                  </w:r>
                                </w:p>
                              </w:txbxContent>
                            </wps:txbx>
                            <wps:bodyPr rot="0" vert="horz" wrap="square" lIns="91440" tIns="45720" rIns="91440" bIns="45720" anchor="t" anchorCtr="0">
                              <a:noAutofit/>
                            </wps:bodyPr>
                          </wps:wsp>
                        </a:graphicData>
                      </a:graphic>
                    </wp:inline>
                  </w:drawing>
                </mc:Choice>
                <mc:Fallback>
                  <w:pict>
                    <v:shape w14:anchorId="762FAE3F" id="Text Box 29" o:spid="_x0000_s1057" type="#_x0000_t202" style="width:291.1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">
                      <v:textbox>
                        <w:txbxContent>
                          <w:p w14:paraId="35217DC5" w14:textId="77777777" w:rsidR="009A1120" w:rsidRPr="001A38AB" w:rsidRDefault="009A1120" w:rsidP="009A1120">
                            <w:pPr>
                              <w:spacing w:after="60"/>
                              <w:rPr>
                                <w:sz w:val="20"/>
                                <w:szCs w:val="20"/>
                              </w:rPr>
                            </w:pPr>
                            <w:r w:rsidRPr="001A38AB">
                              <w:rPr>
                                <w:sz w:val="20"/>
                                <w:szCs w:val="20"/>
                              </w:rPr>
                              <w:t>means the alteration or disturbance of land, including by moving, removing, placing, blading, cutting, contouring, filling or excavation of earth (or any matter constituting the land including soil, clay, sand and rock); but excludes gardening, cultivation, and disturbance of land for the installation of fence posts</w:t>
                            </w:r>
                          </w:p>
                        </w:txbxContent>
                      </v:textbox>
                      <w10:anchorlock/>
                    </v:shape>
                  </w:pict>
                </mc:Fallback>
              </mc:AlternateContent>
            </w:r>
          </w:p>
        </w:tc>
      </w:tr>
      <w:tr w:rsidR="009A1120" w:rsidRPr="00472578" w14:paraId="0970C5E6" w14:textId="77777777" w:rsidTr="007612BD">
        <w:tc>
          <w:tcPr>
            <w:tcW w:w="2104" w:type="dxa"/>
          </w:tcPr>
          <w:p w14:paraId="69CAA4D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Effect</w:t>
            </w:r>
          </w:p>
        </w:tc>
        <w:tc>
          <w:tcPr>
            <w:tcW w:w="7146" w:type="dxa"/>
          </w:tcPr>
          <w:p w14:paraId="1E2206F3"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3 of the Resource Management Act 1991 (as set out in the box below)</w:t>
            </w:r>
          </w:p>
          <w:p w14:paraId="1A71590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7CBF024" wp14:editId="05C849AF">
                      <wp:extent cx="3697356" cy="2170706"/>
                      <wp:effectExtent l="0" t="0" r="17780" b="203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170706"/>
                              </a:xfrm>
                              <a:prstGeom prst="rect">
                                <a:avLst/>
                              </a:prstGeom>
                              <a:solidFill>
                                <a:srgbClr val="FFFFFF"/>
                              </a:solidFill>
                              <a:ln w="9525">
                                <a:solidFill>
                                  <a:srgbClr val="000000"/>
                                </a:solidFill>
                                <a:miter lim="800000"/>
                                <a:headEnd/>
                                <a:tailEnd/>
                              </a:ln>
                            </wps:spPr>
                            <wps:txbx>
                              <w:txbxContent>
                                <w:p w14:paraId="60E2C1BC" w14:textId="77777777" w:rsidR="009A1120" w:rsidRPr="001A38AB" w:rsidRDefault="009A1120" w:rsidP="009A1120">
                                  <w:pPr>
                                    <w:spacing w:after="60"/>
                                    <w:rPr>
                                      <w:sz w:val="20"/>
                                      <w:szCs w:val="20"/>
                                    </w:rPr>
                                  </w:pPr>
                                  <w:r w:rsidRPr="001A38AB">
                                    <w:rPr>
                                      <w:sz w:val="20"/>
                                      <w:szCs w:val="20"/>
                                    </w:rPr>
                                    <w:t>In this Act, unless the context otherwise requires, the term effect includes—</w:t>
                                  </w:r>
                                </w:p>
                                <w:p w14:paraId="762F3AF6"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any positive or adverse effect; and</w:t>
                                  </w:r>
                                </w:p>
                                <w:p w14:paraId="0CF5DE44"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t>any temporary or permanent effect; and</w:t>
                                  </w:r>
                                </w:p>
                                <w:p w14:paraId="4F5C8396" w14:textId="77777777" w:rsidR="009A1120" w:rsidRPr="001A38AB" w:rsidRDefault="009A1120" w:rsidP="009A1120">
                                  <w:pPr>
                                    <w:ind w:left="284" w:hanging="284"/>
                                    <w:contextualSpacing/>
                                    <w:rPr>
                                      <w:sz w:val="20"/>
                                      <w:szCs w:val="20"/>
                                    </w:rPr>
                                  </w:pPr>
                                  <w:r w:rsidRPr="001A38AB">
                                    <w:rPr>
                                      <w:sz w:val="20"/>
                                      <w:szCs w:val="20"/>
                                    </w:rPr>
                                    <w:t>(c)</w:t>
                                  </w:r>
                                  <w:r w:rsidRPr="001A38AB">
                                    <w:rPr>
                                      <w:sz w:val="20"/>
                                      <w:szCs w:val="20"/>
                                    </w:rPr>
                                    <w:tab/>
                                    <w:t>any past, present, or future effect; and</w:t>
                                  </w:r>
                                </w:p>
                                <w:p w14:paraId="2B30E3C4" w14:textId="77777777" w:rsidR="009A1120" w:rsidRPr="001A38AB" w:rsidRDefault="009A1120" w:rsidP="009A1120">
                                  <w:pPr>
                                    <w:ind w:left="284" w:hanging="284"/>
                                    <w:contextualSpacing/>
                                    <w:rPr>
                                      <w:sz w:val="20"/>
                                      <w:szCs w:val="20"/>
                                    </w:rPr>
                                  </w:pPr>
                                  <w:r w:rsidRPr="001A38AB">
                                    <w:rPr>
                                      <w:sz w:val="20"/>
                                      <w:szCs w:val="20"/>
                                    </w:rPr>
                                    <w:t>(d)</w:t>
                                  </w:r>
                                  <w:r w:rsidRPr="001A38AB">
                                    <w:rPr>
                                      <w:sz w:val="20"/>
                                      <w:szCs w:val="20"/>
                                    </w:rPr>
                                    <w:tab/>
                                    <w:t>any cumulative effect which arises over time or in combination with other effects—</w:t>
                                  </w:r>
                                </w:p>
                                <w:p w14:paraId="0D9E9A9E" w14:textId="77777777" w:rsidR="009A1120" w:rsidRPr="001A38AB" w:rsidRDefault="009A1120" w:rsidP="009A1120">
                                  <w:pPr>
                                    <w:contextualSpacing/>
                                    <w:rPr>
                                      <w:sz w:val="20"/>
                                      <w:szCs w:val="20"/>
                                    </w:rPr>
                                  </w:pPr>
                                  <w:r w:rsidRPr="001A38AB">
                                    <w:rPr>
                                      <w:sz w:val="20"/>
                                      <w:szCs w:val="20"/>
                                    </w:rPr>
                                    <w:t>regardless of the scale, intensity, duration, or frequency of the effect, and also includes—</w:t>
                                  </w:r>
                                </w:p>
                                <w:p w14:paraId="189E4CA8" w14:textId="77777777" w:rsidR="009A1120" w:rsidRPr="001A38AB" w:rsidRDefault="009A1120" w:rsidP="009A1120">
                                  <w:pPr>
                                    <w:ind w:left="284" w:hanging="284"/>
                                    <w:contextualSpacing/>
                                    <w:rPr>
                                      <w:sz w:val="20"/>
                                      <w:szCs w:val="20"/>
                                    </w:rPr>
                                  </w:pPr>
                                  <w:r w:rsidRPr="001A38AB">
                                    <w:rPr>
                                      <w:sz w:val="20"/>
                                      <w:szCs w:val="20"/>
                                    </w:rPr>
                                    <w:t>(e)</w:t>
                                  </w:r>
                                  <w:r w:rsidRPr="001A38AB">
                                    <w:rPr>
                                      <w:sz w:val="20"/>
                                      <w:szCs w:val="20"/>
                                    </w:rPr>
                                    <w:tab/>
                                    <w:t>any potential effect of high probability; and</w:t>
                                  </w:r>
                                </w:p>
                                <w:p w14:paraId="0BEF97C9" w14:textId="77777777" w:rsidR="009A1120" w:rsidRPr="001A38AB" w:rsidRDefault="009A1120" w:rsidP="009A1120">
                                  <w:pPr>
                                    <w:ind w:left="284" w:hanging="284"/>
                                    <w:rPr>
                                      <w:sz w:val="20"/>
                                      <w:szCs w:val="20"/>
                                    </w:rPr>
                                  </w:pPr>
                                  <w:r w:rsidRPr="001A38AB">
                                    <w:rPr>
                                      <w:sz w:val="20"/>
                                      <w:szCs w:val="20"/>
                                    </w:rPr>
                                    <w:t>(f)</w:t>
                                  </w:r>
                                  <w:r w:rsidRPr="001A38AB">
                                    <w:rPr>
                                      <w:sz w:val="20"/>
                                      <w:szCs w:val="20"/>
                                    </w:rPr>
                                    <w:tab/>
                                    <w:t>any potential effect of low probability which has a high potential impact</w:t>
                                  </w:r>
                                </w:p>
                              </w:txbxContent>
                            </wps:txbx>
                            <wps:bodyPr rot="0" vert="horz" wrap="square" lIns="91440" tIns="45720" rIns="91440" bIns="45720" anchor="t" anchorCtr="0">
                              <a:noAutofit/>
                            </wps:bodyPr>
                          </wps:wsp>
                        </a:graphicData>
                      </a:graphic>
                    </wp:inline>
                  </w:drawing>
                </mc:Choice>
                <mc:Fallback>
                  <w:pict>
                    <v:shape w14:anchorId="17CBF024" id="Text Box 8" o:spid="_x0000_s1058" type="#_x0000_t202" style="width:291.15pt;height:17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">
                      <v:textbox>
                        <w:txbxContent>
                          <w:p w14:paraId="60E2C1BC" w14:textId="77777777" w:rsidR="009A1120" w:rsidRPr="001A38AB" w:rsidRDefault="009A1120" w:rsidP="009A1120">
                            <w:pPr>
                              <w:spacing w:after="60"/>
                              <w:rPr>
                                <w:sz w:val="20"/>
                                <w:szCs w:val="20"/>
                              </w:rPr>
                            </w:pPr>
                            <w:r w:rsidRPr="001A38AB">
                              <w:rPr>
                                <w:sz w:val="20"/>
                                <w:szCs w:val="20"/>
                              </w:rPr>
                              <w:t>In this Act, unless the context otherwise requires, the term effect includes—</w:t>
                            </w:r>
                          </w:p>
                          <w:p w14:paraId="762F3AF6"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any positive or adverse effect; and</w:t>
                            </w:r>
                          </w:p>
                          <w:p w14:paraId="0CF5DE44"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t>any temporary or permanent effect; and</w:t>
                            </w:r>
                          </w:p>
                          <w:p w14:paraId="4F5C8396" w14:textId="77777777" w:rsidR="009A1120" w:rsidRPr="001A38AB" w:rsidRDefault="009A1120" w:rsidP="009A1120">
                            <w:pPr>
                              <w:ind w:left="284" w:hanging="284"/>
                              <w:contextualSpacing/>
                              <w:rPr>
                                <w:sz w:val="20"/>
                                <w:szCs w:val="20"/>
                              </w:rPr>
                            </w:pPr>
                            <w:r w:rsidRPr="001A38AB">
                              <w:rPr>
                                <w:sz w:val="20"/>
                                <w:szCs w:val="20"/>
                              </w:rPr>
                              <w:t>(c)</w:t>
                            </w:r>
                            <w:r w:rsidRPr="001A38AB">
                              <w:rPr>
                                <w:sz w:val="20"/>
                                <w:szCs w:val="20"/>
                              </w:rPr>
                              <w:tab/>
                              <w:t>any past, present, or future effect; and</w:t>
                            </w:r>
                          </w:p>
                          <w:p w14:paraId="2B30E3C4" w14:textId="77777777" w:rsidR="009A1120" w:rsidRPr="001A38AB" w:rsidRDefault="009A1120" w:rsidP="009A1120">
                            <w:pPr>
                              <w:ind w:left="284" w:hanging="284"/>
                              <w:contextualSpacing/>
                              <w:rPr>
                                <w:sz w:val="20"/>
                                <w:szCs w:val="20"/>
                              </w:rPr>
                            </w:pPr>
                            <w:r w:rsidRPr="001A38AB">
                              <w:rPr>
                                <w:sz w:val="20"/>
                                <w:szCs w:val="20"/>
                              </w:rPr>
                              <w:t>(d)</w:t>
                            </w:r>
                            <w:r w:rsidRPr="001A38AB">
                              <w:rPr>
                                <w:sz w:val="20"/>
                                <w:szCs w:val="20"/>
                              </w:rPr>
                              <w:tab/>
                              <w:t>any cumulative effect which arises over time or in combination with other effects—</w:t>
                            </w:r>
                          </w:p>
                          <w:p w14:paraId="0D9E9A9E" w14:textId="77777777" w:rsidR="009A1120" w:rsidRPr="001A38AB" w:rsidRDefault="009A1120" w:rsidP="009A1120">
                            <w:pPr>
                              <w:contextualSpacing/>
                              <w:rPr>
                                <w:sz w:val="20"/>
                                <w:szCs w:val="20"/>
                              </w:rPr>
                            </w:pPr>
                            <w:r w:rsidRPr="001A38AB">
                              <w:rPr>
                                <w:sz w:val="20"/>
                                <w:szCs w:val="20"/>
                              </w:rPr>
                              <w:t>regardless of the scale, intensity, duration, or frequency of the effect, and also includes—</w:t>
                            </w:r>
                          </w:p>
                          <w:p w14:paraId="189E4CA8" w14:textId="77777777" w:rsidR="009A1120" w:rsidRPr="001A38AB" w:rsidRDefault="009A1120" w:rsidP="009A1120">
                            <w:pPr>
                              <w:ind w:left="284" w:hanging="284"/>
                              <w:contextualSpacing/>
                              <w:rPr>
                                <w:sz w:val="20"/>
                                <w:szCs w:val="20"/>
                              </w:rPr>
                            </w:pPr>
                            <w:r w:rsidRPr="001A38AB">
                              <w:rPr>
                                <w:sz w:val="20"/>
                                <w:szCs w:val="20"/>
                              </w:rPr>
                              <w:t>(e)</w:t>
                            </w:r>
                            <w:r w:rsidRPr="001A38AB">
                              <w:rPr>
                                <w:sz w:val="20"/>
                                <w:szCs w:val="20"/>
                              </w:rPr>
                              <w:tab/>
                              <w:t>any potential effect of high probability; and</w:t>
                            </w:r>
                          </w:p>
                          <w:p w14:paraId="0BEF97C9" w14:textId="77777777" w:rsidR="009A1120" w:rsidRPr="001A38AB" w:rsidRDefault="009A1120" w:rsidP="009A1120">
                            <w:pPr>
                              <w:ind w:left="284" w:hanging="284"/>
                              <w:rPr>
                                <w:sz w:val="20"/>
                                <w:szCs w:val="20"/>
                              </w:rPr>
                            </w:pPr>
                            <w:r w:rsidRPr="001A38AB">
                              <w:rPr>
                                <w:sz w:val="20"/>
                                <w:szCs w:val="20"/>
                              </w:rPr>
                              <w:t>(f)</w:t>
                            </w:r>
                            <w:r w:rsidRPr="001A38AB">
                              <w:rPr>
                                <w:sz w:val="20"/>
                                <w:szCs w:val="20"/>
                              </w:rPr>
                              <w:tab/>
                              <w:t>any potential effect of low probability which has a high potential impact</w:t>
                            </w:r>
                          </w:p>
                        </w:txbxContent>
                      </v:textbox>
                      <w10:anchorlock/>
                    </v:shape>
                  </w:pict>
                </mc:Fallback>
              </mc:AlternateContent>
            </w:r>
          </w:p>
        </w:tc>
      </w:tr>
      <w:tr w:rsidR="009A1120" w:rsidRPr="00472578" w14:paraId="0F0E196F" w14:textId="77777777" w:rsidTr="007612BD">
        <w:tc>
          <w:tcPr>
            <w:tcW w:w="2104" w:type="dxa"/>
          </w:tcPr>
          <w:p w14:paraId="4664BB0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Effects management hierarchy</w:t>
            </w:r>
          </w:p>
        </w:tc>
        <w:tc>
          <w:tcPr>
            <w:tcW w:w="7146" w:type="dxa"/>
          </w:tcPr>
          <w:p w14:paraId="52ED7FF4" w14:textId="55830EB3" w:rsidR="00EB5188" w:rsidRPr="00472578" w:rsidRDefault="00EB5188" w:rsidP="00E92686">
            <w:pPr>
              <w:tabs>
                <w:tab w:val="center" w:pos="4513"/>
                <w:tab w:val="right" w:pos="9026"/>
              </w:tabs>
              <w:spacing w:before="60" w:after="60"/>
              <w:jc w:val="both"/>
              <w:rPr>
                <w:sz w:val="20"/>
                <w:szCs w:val="20"/>
              </w:rPr>
            </w:pPr>
            <w:r w:rsidRPr="00472578">
              <w:rPr>
                <w:sz w:val="20"/>
                <w:szCs w:val="20"/>
                <w:u w:val="single"/>
              </w:rPr>
              <w:t>means an approach to managing the adverse effects of an activity</w:t>
            </w:r>
            <w:r w:rsidRPr="00260397">
              <w:rPr>
                <w:rStyle w:val="FootnoteReference"/>
                <w:sz w:val="20"/>
                <w:szCs w:val="20"/>
              </w:rPr>
              <w:footnoteReference w:id="93"/>
            </w:r>
          </w:p>
          <w:p w14:paraId="2168F243" w14:textId="77777777" w:rsidR="009A1120" w:rsidRPr="00472578" w:rsidRDefault="009A1120" w:rsidP="00E92686">
            <w:pPr>
              <w:tabs>
                <w:tab w:val="center" w:pos="4513"/>
                <w:tab w:val="right" w:pos="9026"/>
              </w:tabs>
              <w:spacing w:before="60" w:after="60"/>
              <w:jc w:val="both"/>
              <w:rPr>
                <w:strike/>
                <w:sz w:val="20"/>
                <w:szCs w:val="20"/>
              </w:rPr>
            </w:pPr>
            <w:r w:rsidRPr="00472578">
              <w:rPr>
                <w:strike/>
                <w:sz w:val="20"/>
                <w:szCs w:val="20"/>
              </w:rPr>
              <w:t>has the same meaning as in clause 3.21 of the National Policy Statement for Freshwater Management 2020 (as set out in the box below) and in this RPS also applies to natural wetlands</w:t>
            </w:r>
          </w:p>
          <w:p w14:paraId="18C31520" w14:textId="1DA0CED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FBF5F51" wp14:editId="1BB88EBA">
                      <wp:extent cx="3697356" cy="2663687"/>
                      <wp:effectExtent l="0" t="0" r="17780" b="2286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663687"/>
                              </a:xfrm>
                              <a:prstGeom prst="rect">
                                <a:avLst/>
                              </a:prstGeom>
                              <a:solidFill>
                                <a:srgbClr val="FFFFFF"/>
                              </a:solidFill>
                              <a:ln w="9525">
                                <a:solidFill>
                                  <a:srgbClr val="000000"/>
                                </a:solidFill>
                                <a:miter lim="800000"/>
                                <a:headEnd/>
                                <a:tailEnd/>
                              </a:ln>
                            </wps:spPr>
                            <wps:txbx>
                              <w:txbxContent>
                                <w:p w14:paraId="019EA9D4" w14:textId="77777777" w:rsidR="009A1120" w:rsidRPr="002D4945" w:rsidRDefault="009A1120" w:rsidP="009A1120">
                                  <w:pPr>
                                    <w:spacing w:before="60" w:after="60"/>
                                    <w:rPr>
                                      <w:strike/>
                                      <w:sz w:val="20"/>
                                      <w:szCs w:val="20"/>
                                    </w:rPr>
                                  </w:pPr>
                                  <w:r w:rsidRPr="002D4945">
                                    <w:rPr>
                                      <w:strike/>
                                      <w:sz w:val="20"/>
                                      <w:szCs w:val="20"/>
                                    </w:rPr>
                                    <w:t>in relation to natural inland wetlands and rivers, means an approach to managing the adverse effects of an activity on the extent or values of a wetland or river (including cumulative effects and loss of potential value) that requires that:</w:t>
                                  </w:r>
                                </w:p>
                                <w:p w14:paraId="3EE5D925" w14:textId="77777777" w:rsidR="009A1120" w:rsidRPr="002D4945" w:rsidRDefault="009A1120" w:rsidP="009A1120">
                                  <w:pPr>
                                    <w:spacing w:before="60" w:after="60"/>
                                    <w:ind w:left="337" w:hanging="337"/>
                                    <w:rPr>
                                      <w:strike/>
                                      <w:sz w:val="20"/>
                                      <w:szCs w:val="20"/>
                                    </w:rPr>
                                  </w:pPr>
                                  <w:r w:rsidRPr="002D4945">
                                    <w:rPr>
                                      <w:strike/>
                                      <w:sz w:val="20"/>
                                      <w:szCs w:val="20"/>
                                    </w:rPr>
                                    <w:t>(a)</w:t>
                                  </w:r>
                                  <w:r w:rsidRPr="002D4945">
                                    <w:rPr>
                                      <w:strike/>
                                      <w:sz w:val="20"/>
                                      <w:szCs w:val="20"/>
                                    </w:rPr>
                                    <w:tab/>
                                    <w:t xml:space="preserve">adverse effects are avoided where practicable, </w:t>
                                  </w:r>
                                </w:p>
                                <w:p w14:paraId="12C843F3" w14:textId="77777777" w:rsidR="009A1120" w:rsidRPr="002D4945" w:rsidRDefault="009A1120" w:rsidP="009A1120">
                                  <w:pPr>
                                    <w:spacing w:before="60" w:after="60"/>
                                    <w:ind w:left="337" w:hanging="337"/>
                                    <w:rPr>
                                      <w:strike/>
                                      <w:sz w:val="20"/>
                                      <w:szCs w:val="20"/>
                                    </w:rPr>
                                  </w:pPr>
                                  <w:r w:rsidRPr="002D4945">
                                    <w:rPr>
                                      <w:strike/>
                                      <w:sz w:val="20"/>
                                      <w:szCs w:val="20"/>
                                    </w:rPr>
                                    <w:t>(b)</w:t>
                                  </w:r>
                                  <w:r w:rsidRPr="002D4945">
                                    <w:rPr>
                                      <w:strike/>
                                      <w:sz w:val="20"/>
                                      <w:szCs w:val="20"/>
                                    </w:rPr>
                                    <w:tab/>
                                    <w:t>where adverse effects cannot be avoided, they are minimised where practicable,</w:t>
                                  </w:r>
                                </w:p>
                                <w:p w14:paraId="27E3889C" w14:textId="77777777" w:rsidR="009A1120" w:rsidRPr="002D4945" w:rsidRDefault="009A1120" w:rsidP="009A1120">
                                  <w:pPr>
                                    <w:spacing w:before="60" w:after="60"/>
                                    <w:ind w:left="337" w:hanging="337"/>
                                    <w:rPr>
                                      <w:strike/>
                                      <w:sz w:val="20"/>
                                      <w:szCs w:val="20"/>
                                    </w:rPr>
                                  </w:pPr>
                                  <w:r w:rsidRPr="002D4945">
                                    <w:rPr>
                                      <w:strike/>
                                      <w:sz w:val="20"/>
                                      <w:szCs w:val="20"/>
                                    </w:rPr>
                                    <w:t>(c)</w:t>
                                  </w:r>
                                  <w:r w:rsidRPr="002D4945">
                                    <w:rPr>
                                      <w:strike/>
                                      <w:sz w:val="20"/>
                                      <w:szCs w:val="20"/>
                                    </w:rPr>
                                    <w:tab/>
                                    <w:t xml:space="preserve">where adverse effects cannot be minimised, they are remedied where practicable, </w:t>
                                  </w:r>
                                </w:p>
                                <w:p w14:paraId="5EFC9F83" w14:textId="77777777" w:rsidR="009A1120" w:rsidRPr="002D4945" w:rsidRDefault="009A1120" w:rsidP="009A1120">
                                  <w:pPr>
                                    <w:spacing w:before="60" w:after="60"/>
                                    <w:ind w:left="337" w:hanging="337"/>
                                    <w:rPr>
                                      <w:strike/>
                                      <w:sz w:val="20"/>
                                      <w:szCs w:val="20"/>
                                    </w:rPr>
                                  </w:pPr>
                                  <w:r w:rsidRPr="002D4945">
                                    <w:rPr>
                                      <w:strike/>
                                      <w:sz w:val="20"/>
                                      <w:szCs w:val="20"/>
                                    </w:rPr>
                                    <w:t>(d)</w:t>
                                  </w:r>
                                  <w:r w:rsidRPr="002D4945">
                                    <w:rPr>
                                      <w:strike/>
                                      <w:sz w:val="20"/>
                                      <w:szCs w:val="20"/>
                                    </w:rPr>
                                    <w:tab/>
                                    <w:t>where more than minor residual adverse effects cannot be avoided, minimised, or remedied, aquatic offsetting is provided, and</w:t>
                                  </w:r>
                                </w:p>
                                <w:p w14:paraId="1C805270" w14:textId="77777777" w:rsidR="009A1120" w:rsidRPr="002D4945" w:rsidRDefault="009A1120" w:rsidP="009A1120">
                                  <w:pPr>
                                    <w:ind w:left="284" w:hanging="284"/>
                                    <w:rPr>
                                      <w:strike/>
                                      <w:sz w:val="20"/>
                                      <w:szCs w:val="20"/>
                                    </w:rPr>
                                  </w:pPr>
                                  <w:r w:rsidRPr="002D4945">
                                    <w:rPr>
                                      <w:strike/>
                                      <w:sz w:val="20"/>
                                      <w:szCs w:val="20"/>
                                    </w:rPr>
                                    <w:t>(e)</w:t>
                                  </w:r>
                                  <w:r w:rsidRPr="002D4945">
                                    <w:rPr>
                                      <w:strike/>
                                      <w:sz w:val="20"/>
                                      <w:szCs w:val="20"/>
                                    </w:rPr>
                                    <w:tab/>
                                    <w:t>if aquatic compensation is not appropriate, the activity itself is avoided</w:t>
                                  </w:r>
                                </w:p>
                              </w:txbxContent>
                            </wps:txbx>
                            <wps:bodyPr rot="0" vert="horz" wrap="square" lIns="91440" tIns="45720" rIns="91440" bIns="45720" anchor="t" anchorCtr="0">
                              <a:noAutofit/>
                            </wps:bodyPr>
                          </wps:wsp>
                        </a:graphicData>
                      </a:graphic>
                    </wp:inline>
                  </w:drawing>
                </mc:Choice>
                <mc:Fallback>
                  <w:pict>
                    <v:shape w14:anchorId="6FBF5F51" id="Text Box 63" o:spid="_x0000_s1059" type="#_x0000_t202" style="width:291.15pt;height:2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">
                      <v:textbox>
                        <w:txbxContent>
                          <w:p w14:paraId="019EA9D4" w14:textId="77777777" w:rsidR="009A1120" w:rsidRPr="002D4945" w:rsidRDefault="009A1120" w:rsidP="009A1120">
                            <w:pPr>
                              <w:spacing w:before="60" w:after="60"/>
                              <w:rPr>
                                <w:strike/>
                                <w:sz w:val="20"/>
                                <w:szCs w:val="20"/>
                              </w:rPr>
                            </w:pPr>
                            <w:r w:rsidRPr="002D4945">
                              <w:rPr>
                                <w:strike/>
                                <w:sz w:val="20"/>
                                <w:szCs w:val="20"/>
                              </w:rPr>
                              <w:t>in relation to natural inland wetlands and rivers, means an approach to managing the adverse effects of an activity on the extent or values of a wetland or river (including cumulative effects and loss of potential value) that requires that:</w:t>
                            </w:r>
                          </w:p>
                          <w:p w14:paraId="3EE5D925" w14:textId="77777777" w:rsidR="009A1120" w:rsidRPr="002D4945" w:rsidRDefault="009A1120" w:rsidP="009A1120">
                            <w:pPr>
                              <w:spacing w:before="60" w:after="60"/>
                              <w:ind w:left="337" w:hanging="337"/>
                              <w:rPr>
                                <w:strike/>
                                <w:sz w:val="20"/>
                                <w:szCs w:val="20"/>
                              </w:rPr>
                            </w:pPr>
                            <w:r w:rsidRPr="002D4945">
                              <w:rPr>
                                <w:strike/>
                                <w:sz w:val="20"/>
                                <w:szCs w:val="20"/>
                              </w:rPr>
                              <w:t>(a)</w:t>
                            </w:r>
                            <w:r w:rsidRPr="002D4945">
                              <w:rPr>
                                <w:strike/>
                                <w:sz w:val="20"/>
                                <w:szCs w:val="20"/>
                              </w:rPr>
                              <w:tab/>
                              <w:t xml:space="preserve">adverse effects are avoided where practicable, </w:t>
                            </w:r>
                          </w:p>
                          <w:p w14:paraId="12C843F3" w14:textId="77777777" w:rsidR="009A1120" w:rsidRPr="002D4945" w:rsidRDefault="009A1120" w:rsidP="009A1120">
                            <w:pPr>
                              <w:spacing w:before="60" w:after="60"/>
                              <w:ind w:left="337" w:hanging="337"/>
                              <w:rPr>
                                <w:strike/>
                                <w:sz w:val="20"/>
                                <w:szCs w:val="20"/>
                              </w:rPr>
                            </w:pPr>
                            <w:r w:rsidRPr="002D4945">
                              <w:rPr>
                                <w:strike/>
                                <w:sz w:val="20"/>
                                <w:szCs w:val="20"/>
                              </w:rPr>
                              <w:t>(b)</w:t>
                            </w:r>
                            <w:r w:rsidRPr="002D4945">
                              <w:rPr>
                                <w:strike/>
                                <w:sz w:val="20"/>
                                <w:szCs w:val="20"/>
                              </w:rPr>
                              <w:tab/>
                              <w:t>where adverse effects cannot be avoided, they are minimised where practicable,</w:t>
                            </w:r>
                          </w:p>
                          <w:p w14:paraId="27E3889C" w14:textId="77777777" w:rsidR="009A1120" w:rsidRPr="002D4945" w:rsidRDefault="009A1120" w:rsidP="009A1120">
                            <w:pPr>
                              <w:spacing w:before="60" w:after="60"/>
                              <w:ind w:left="337" w:hanging="337"/>
                              <w:rPr>
                                <w:strike/>
                                <w:sz w:val="20"/>
                                <w:szCs w:val="20"/>
                              </w:rPr>
                            </w:pPr>
                            <w:r w:rsidRPr="002D4945">
                              <w:rPr>
                                <w:strike/>
                                <w:sz w:val="20"/>
                                <w:szCs w:val="20"/>
                              </w:rPr>
                              <w:t>(c)</w:t>
                            </w:r>
                            <w:r w:rsidRPr="002D4945">
                              <w:rPr>
                                <w:strike/>
                                <w:sz w:val="20"/>
                                <w:szCs w:val="20"/>
                              </w:rPr>
                              <w:tab/>
                              <w:t xml:space="preserve">where adverse effects cannot be minimised, they are remedied where practicable, </w:t>
                            </w:r>
                          </w:p>
                          <w:p w14:paraId="5EFC9F83" w14:textId="77777777" w:rsidR="009A1120" w:rsidRPr="002D4945" w:rsidRDefault="009A1120" w:rsidP="009A1120">
                            <w:pPr>
                              <w:spacing w:before="60" w:after="60"/>
                              <w:ind w:left="337" w:hanging="337"/>
                              <w:rPr>
                                <w:strike/>
                                <w:sz w:val="20"/>
                                <w:szCs w:val="20"/>
                              </w:rPr>
                            </w:pPr>
                            <w:r w:rsidRPr="002D4945">
                              <w:rPr>
                                <w:strike/>
                                <w:sz w:val="20"/>
                                <w:szCs w:val="20"/>
                              </w:rPr>
                              <w:t>(d)</w:t>
                            </w:r>
                            <w:r w:rsidRPr="002D4945">
                              <w:rPr>
                                <w:strike/>
                                <w:sz w:val="20"/>
                                <w:szCs w:val="20"/>
                              </w:rPr>
                              <w:tab/>
                              <w:t>where more than minor residual adverse effects cannot be avoided, minimised, or remedied, aquatic offsetting is provided, and</w:t>
                            </w:r>
                          </w:p>
                          <w:p w14:paraId="1C805270" w14:textId="77777777" w:rsidR="009A1120" w:rsidRPr="002D4945" w:rsidRDefault="009A1120" w:rsidP="009A1120">
                            <w:pPr>
                              <w:ind w:left="284" w:hanging="284"/>
                              <w:rPr>
                                <w:strike/>
                                <w:sz w:val="20"/>
                                <w:szCs w:val="20"/>
                              </w:rPr>
                            </w:pPr>
                            <w:r w:rsidRPr="002D4945">
                              <w:rPr>
                                <w:strike/>
                                <w:sz w:val="20"/>
                                <w:szCs w:val="20"/>
                              </w:rPr>
                              <w:t>(e)</w:t>
                            </w:r>
                            <w:r w:rsidRPr="002D4945">
                              <w:rPr>
                                <w:strike/>
                                <w:sz w:val="20"/>
                                <w:szCs w:val="20"/>
                              </w:rPr>
                              <w:tab/>
                              <w:t>if aquatic compensation is not appropriate, the activity itself is avoided</w:t>
                            </w:r>
                          </w:p>
                        </w:txbxContent>
                      </v:textbox>
                      <w10:anchorlock/>
                    </v:shape>
                  </w:pict>
                </mc:Fallback>
              </mc:AlternateContent>
            </w:r>
          </w:p>
        </w:tc>
      </w:tr>
      <w:tr w:rsidR="00B151CF" w:rsidRPr="00472578" w14:paraId="74E27A06" w14:textId="77777777" w:rsidTr="007612BD">
        <w:tc>
          <w:tcPr>
            <w:tcW w:w="2104" w:type="dxa"/>
          </w:tcPr>
          <w:p w14:paraId="6B01B10C" w14:textId="6FDF9D7E" w:rsidR="00B151CF" w:rsidRPr="00472578" w:rsidRDefault="0045548B" w:rsidP="00DC6CD9">
            <w:pPr>
              <w:tabs>
                <w:tab w:val="center" w:pos="4513"/>
                <w:tab w:val="right" w:pos="9026"/>
              </w:tabs>
              <w:spacing w:before="60" w:after="60"/>
              <w:rPr>
                <w:b/>
                <w:bCs/>
                <w:sz w:val="20"/>
                <w:szCs w:val="20"/>
                <w:u w:val="single"/>
              </w:rPr>
            </w:pPr>
            <w:r w:rsidRPr="00472578">
              <w:rPr>
                <w:b/>
                <w:bCs/>
                <w:sz w:val="20"/>
                <w:szCs w:val="20"/>
                <w:u w:val="single"/>
              </w:rPr>
              <w:t xml:space="preserve">Effects management hierarchy (in relation </w:t>
            </w:r>
            <w:r w:rsidR="009637D0" w:rsidRPr="00472578">
              <w:rPr>
                <w:b/>
                <w:bCs/>
                <w:sz w:val="20"/>
                <w:szCs w:val="20"/>
                <w:u w:val="single"/>
              </w:rPr>
              <w:t>to indigenous biodiversity)</w:t>
            </w:r>
            <w:r w:rsidR="009637D0" w:rsidRPr="00472578">
              <w:rPr>
                <w:rStyle w:val="FootnoteReference"/>
                <w:b/>
                <w:bCs/>
                <w:sz w:val="20"/>
                <w:szCs w:val="20"/>
              </w:rPr>
              <w:footnoteReference w:id="94"/>
            </w:r>
          </w:p>
        </w:tc>
        <w:tc>
          <w:tcPr>
            <w:tcW w:w="7146" w:type="dxa"/>
          </w:tcPr>
          <w:p w14:paraId="3AF21A29" w14:textId="0DB8756D" w:rsidR="00B151CF" w:rsidRPr="00472578" w:rsidRDefault="00484724" w:rsidP="00E92686">
            <w:pPr>
              <w:tabs>
                <w:tab w:val="center" w:pos="4513"/>
                <w:tab w:val="right" w:pos="9026"/>
              </w:tabs>
              <w:spacing w:before="60" w:after="60"/>
              <w:jc w:val="both"/>
              <w:rPr>
                <w:sz w:val="20"/>
                <w:szCs w:val="20"/>
                <w:u w:val="single"/>
              </w:rPr>
            </w:pPr>
            <w:r w:rsidRPr="00472578">
              <w:rPr>
                <w:sz w:val="20"/>
                <w:szCs w:val="20"/>
                <w:u w:val="single"/>
              </w:rPr>
              <w:t xml:space="preserve">means </w:t>
            </w:r>
            <w:r w:rsidR="00E77A59" w:rsidRPr="00472578">
              <w:rPr>
                <w:sz w:val="20"/>
                <w:szCs w:val="20"/>
                <w:u w:val="single"/>
              </w:rPr>
              <w:t xml:space="preserve">the effects management hierarchy set out in </w:t>
            </w:r>
            <w:r w:rsidR="008F31C2" w:rsidRPr="00472578">
              <w:rPr>
                <w:sz w:val="20"/>
                <w:szCs w:val="20"/>
                <w:u w:val="single"/>
              </w:rPr>
              <w:t>ECO-P6.</w:t>
            </w:r>
          </w:p>
        </w:tc>
      </w:tr>
      <w:tr w:rsidR="00B151CF" w:rsidRPr="00472578" w14:paraId="6AA4258A" w14:textId="77777777" w:rsidTr="007612BD">
        <w:tc>
          <w:tcPr>
            <w:tcW w:w="2104" w:type="dxa"/>
          </w:tcPr>
          <w:p w14:paraId="3E48C515" w14:textId="734EBD4C" w:rsidR="00B151CF" w:rsidRPr="00472578" w:rsidRDefault="009637D0" w:rsidP="00DC6CD9">
            <w:pPr>
              <w:tabs>
                <w:tab w:val="center" w:pos="4513"/>
                <w:tab w:val="right" w:pos="9026"/>
              </w:tabs>
              <w:spacing w:before="60" w:after="60"/>
              <w:rPr>
                <w:b/>
                <w:bCs/>
                <w:sz w:val="20"/>
                <w:szCs w:val="20"/>
                <w:u w:val="single"/>
              </w:rPr>
            </w:pPr>
            <w:r w:rsidRPr="00472578">
              <w:rPr>
                <w:b/>
                <w:bCs/>
                <w:sz w:val="20"/>
                <w:szCs w:val="20"/>
                <w:u w:val="single"/>
              </w:rPr>
              <w:t xml:space="preserve">Effects management hierarchy (in relation to </w:t>
            </w:r>
            <w:r w:rsidR="00EC7BBA">
              <w:rPr>
                <w:b/>
                <w:bCs/>
                <w:sz w:val="20"/>
                <w:szCs w:val="20"/>
                <w:u w:val="single"/>
              </w:rPr>
              <w:t>natural wetlands and rivers</w:t>
            </w:r>
            <w:r w:rsidRPr="00472578">
              <w:rPr>
                <w:b/>
                <w:bCs/>
                <w:sz w:val="20"/>
                <w:szCs w:val="20"/>
                <w:u w:val="single"/>
              </w:rPr>
              <w:t>)</w:t>
            </w:r>
            <w:r w:rsidR="008F31C2" w:rsidRPr="00472578">
              <w:rPr>
                <w:rStyle w:val="FootnoteReference"/>
                <w:b/>
                <w:bCs/>
                <w:sz w:val="20"/>
                <w:szCs w:val="20"/>
              </w:rPr>
              <w:footnoteReference w:id="95"/>
            </w:r>
          </w:p>
        </w:tc>
        <w:tc>
          <w:tcPr>
            <w:tcW w:w="7146" w:type="dxa"/>
          </w:tcPr>
          <w:p w14:paraId="08BD8BAD" w14:textId="59D0D31B" w:rsidR="00B151CF" w:rsidRPr="00472578" w:rsidRDefault="007C5541" w:rsidP="00E92686">
            <w:pPr>
              <w:tabs>
                <w:tab w:val="center" w:pos="4513"/>
                <w:tab w:val="right" w:pos="9026"/>
              </w:tabs>
              <w:spacing w:before="60" w:after="60"/>
              <w:jc w:val="both"/>
              <w:rPr>
                <w:sz w:val="20"/>
                <w:szCs w:val="20"/>
                <w:u w:val="single"/>
              </w:rPr>
            </w:pPr>
            <w:r w:rsidRPr="00472578">
              <w:rPr>
                <w:sz w:val="20"/>
                <w:szCs w:val="20"/>
                <w:u w:val="single"/>
              </w:rPr>
              <w:t>means the effects management hierarchy set out in LF-FW-P13A.</w:t>
            </w:r>
          </w:p>
        </w:tc>
      </w:tr>
      <w:tr w:rsidR="00DD6018" w:rsidRPr="00472578" w14:paraId="19035C9E" w14:textId="77777777" w:rsidTr="007612BD">
        <w:tc>
          <w:tcPr>
            <w:tcW w:w="2104" w:type="dxa"/>
          </w:tcPr>
          <w:p w14:paraId="39289000" w14:textId="77777777" w:rsidR="00DD6018" w:rsidRPr="00472578" w:rsidRDefault="00DD6018" w:rsidP="00DC6CD9">
            <w:pPr>
              <w:tabs>
                <w:tab w:val="center" w:pos="4513"/>
                <w:tab w:val="right" w:pos="9026"/>
              </w:tabs>
              <w:spacing w:before="60" w:after="60"/>
              <w:rPr>
                <w:b/>
                <w:bCs/>
                <w:sz w:val="20"/>
                <w:szCs w:val="20"/>
                <w:u w:val="single"/>
              </w:rPr>
            </w:pPr>
          </w:p>
        </w:tc>
        <w:tc>
          <w:tcPr>
            <w:tcW w:w="7146" w:type="dxa"/>
          </w:tcPr>
          <w:p w14:paraId="642921D2" w14:textId="77777777" w:rsidR="00DD6018" w:rsidRPr="00472578" w:rsidRDefault="00DD6018" w:rsidP="00E92686">
            <w:pPr>
              <w:tabs>
                <w:tab w:val="center" w:pos="4513"/>
                <w:tab w:val="right" w:pos="9026"/>
              </w:tabs>
              <w:spacing w:before="60" w:after="60"/>
              <w:jc w:val="both"/>
              <w:rPr>
                <w:sz w:val="20"/>
                <w:szCs w:val="20"/>
                <w:u w:val="single"/>
              </w:rPr>
            </w:pPr>
          </w:p>
        </w:tc>
      </w:tr>
      <w:tr w:rsidR="009A1120" w:rsidRPr="00472578" w14:paraId="326E4A10" w14:textId="77777777" w:rsidTr="007612BD">
        <w:tc>
          <w:tcPr>
            <w:tcW w:w="2104" w:type="dxa"/>
          </w:tcPr>
          <w:p w14:paraId="2AF282A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Electricity sub-transmission infrastructure</w:t>
            </w:r>
          </w:p>
        </w:tc>
        <w:tc>
          <w:tcPr>
            <w:tcW w:w="7146" w:type="dxa"/>
          </w:tcPr>
          <w:p w14:paraId="548B1C66" w14:textId="70817CE1" w:rsidR="003D6DDF" w:rsidRDefault="009A1120" w:rsidP="00E92686">
            <w:pPr>
              <w:tabs>
                <w:tab w:val="center" w:pos="4513"/>
                <w:tab w:val="right" w:pos="9026"/>
              </w:tabs>
              <w:spacing w:before="60" w:after="60"/>
              <w:jc w:val="both"/>
              <w:rPr>
                <w:sz w:val="20"/>
                <w:szCs w:val="20"/>
              </w:rPr>
            </w:pPr>
            <w:r w:rsidRPr="00472578">
              <w:rPr>
                <w:sz w:val="20"/>
                <w:szCs w:val="20"/>
              </w:rPr>
              <w:t>means electricity infrastructure</w:t>
            </w:r>
            <w:r w:rsidR="00E61987">
              <w:rPr>
                <w:sz w:val="20"/>
                <w:szCs w:val="20"/>
              </w:rPr>
              <w:t xml:space="preserve"> </w:t>
            </w:r>
            <w:r w:rsidR="00E61987">
              <w:rPr>
                <w:sz w:val="20"/>
                <w:szCs w:val="20"/>
                <w:u w:val="single"/>
              </w:rPr>
              <w:t>that is not the National Grid and that</w:t>
            </w:r>
            <w:r w:rsidRPr="00472578">
              <w:rPr>
                <w:sz w:val="20"/>
                <w:szCs w:val="20"/>
              </w:rPr>
              <w:t xml:space="preserve"> </w:t>
            </w:r>
            <w:r w:rsidRPr="00E26435">
              <w:rPr>
                <w:strike/>
                <w:sz w:val="20"/>
                <w:szCs w:val="20"/>
              </w:rPr>
              <w:t>which</w:t>
            </w:r>
            <w:r w:rsidR="00934CE1" w:rsidRPr="00934CE1">
              <w:rPr>
                <w:sz w:val="20"/>
                <w:szCs w:val="20"/>
              </w:rPr>
              <w:t xml:space="preserve"> </w:t>
            </w:r>
            <w:r w:rsidRPr="00472578">
              <w:rPr>
                <w:sz w:val="20"/>
                <w:szCs w:val="20"/>
              </w:rPr>
              <w:t>conveys electricity between</w:t>
            </w:r>
            <w:r w:rsidR="003D6DDF" w:rsidRPr="003D6DDF">
              <w:rPr>
                <w:sz w:val="20"/>
                <w:szCs w:val="20"/>
                <w:u w:val="single"/>
              </w:rPr>
              <w:t>:</w:t>
            </w:r>
            <w:r w:rsidR="00934CE1">
              <w:rPr>
                <w:rStyle w:val="FootnoteReference"/>
                <w:sz w:val="20"/>
                <w:szCs w:val="20"/>
              </w:rPr>
              <w:footnoteReference w:id="96"/>
            </w:r>
          </w:p>
          <w:p w14:paraId="7E88CB3E" w14:textId="49625A4F" w:rsidR="0011599D" w:rsidRDefault="003D6DDF" w:rsidP="003D6DDF">
            <w:pPr>
              <w:tabs>
                <w:tab w:val="center" w:pos="4513"/>
                <w:tab w:val="right" w:pos="9026"/>
              </w:tabs>
              <w:spacing w:before="60" w:after="60"/>
              <w:ind w:left="400" w:hanging="400"/>
              <w:jc w:val="both"/>
              <w:rPr>
                <w:sz w:val="20"/>
                <w:szCs w:val="20"/>
              </w:rPr>
            </w:pPr>
            <w:r>
              <w:rPr>
                <w:sz w:val="20"/>
                <w:szCs w:val="20"/>
                <w:u w:val="single"/>
              </w:rPr>
              <w:t>(a)</w:t>
            </w:r>
            <w:r>
              <w:rPr>
                <w:sz w:val="20"/>
                <w:szCs w:val="20"/>
                <w:u w:val="single"/>
              </w:rPr>
              <w:tab/>
            </w:r>
            <w:r w:rsidR="009A1120" w:rsidRPr="00472578">
              <w:rPr>
                <w:sz w:val="20"/>
                <w:szCs w:val="20"/>
              </w:rPr>
              <w:t>energy generation sources</w:t>
            </w:r>
            <w:r w:rsidR="008A174F">
              <w:rPr>
                <w:sz w:val="20"/>
                <w:szCs w:val="20"/>
              </w:rPr>
              <w:t xml:space="preserve"> </w:t>
            </w:r>
            <w:r w:rsidR="008A174F">
              <w:rPr>
                <w:sz w:val="20"/>
                <w:szCs w:val="20"/>
                <w:u w:val="single"/>
              </w:rPr>
              <w:t>and zone substations</w:t>
            </w:r>
            <w:r w:rsidR="009A1120" w:rsidRPr="00472578">
              <w:rPr>
                <w:sz w:val="20"/>
                <w:szCs w:val="20"/>
              </w:rPr>
              <w:t xml:space="preserve">, </w:t>
            </w:r>
            <w:r w:rsidR="00934CE1">
              <w:rPr>
                <w:rStyle w:val="FootnoteReference"/>
                <w:sz w:val="20"/>
                <w:szCs w:val="20"/>
              </w:rPr>
              <w:footnoteReference w:id="97"/>
            </w:r>
          </w:p>
          <w:p w14:paraId="05B26E1C" w14:textId="554593CB" w:rsidR="00934CE1" w:rsidRDefault="0011599D" w:rsidP="003D6DDF">
            <w:pPr>
              <w:tabs>
                <w:tab w:val="center" w:pos="4513"/>
                <w:tab w:val="right" w:pos="9026"/>
              </w:tabs>
              <w:spacing w:before="60" w:after="60"/>
              <w:ind w:left="400" w:hanging="400"/>
              <w:jc w:val="both"/>
              <w:rPr>
                <w:sz w:val="20"/>
                <w:szCs w:val="20"/>
              </w:rPr>
            </w:pPr>
            <w:r w:rsidRPr="0011599D">
              <w:rPr>
                <w:sz w:val="20"/>
                <w:szCs w:val="20"/>
                <w:u w:val="single"/>
              </w:rPr>
              <w:t>(b)</w:t>
            </w:r>
            <w:r w:rsidRPr="0011599D">
              <w:rPr>
                <w:sz w:val="20"/>
                <w:szCs w:val="20"/>
                <w:u w:val="single"/>
              </w:rPr>
              <w:tab/>
            </w:r>
            <w:r w:rsidR="009A1120" w:rsidRPr="00472578">
              <w:rPr>
                <w:sz w:val="20"/>
                <w:szCs w:val="20"/>
              </w:rPr>
              <w:t>the National Grid and zone substations</w:t>
            </w:r>
            <w:r w:rsidR="00934CE1">
              <w:rPr>
                <w:sz w:val="20"/>
                <w:szCs w:val="20"/>
                <w:u w:val="single"/>
              </w:rPr>
              <w:t>; or</w:t>
            </w:r>
            <w:r w:rsidR="009A1120" w:rsidRPr="00472578">
              <w:rPr>
                <w:sz w:val="20"/>
                <w:szCs w:val="20"/>
              </w:rPr>
              <w:t xml:space="preserve"> </w:t>
            </w:r>
            <w:r w:rsidR="009A1120" w:rsidRPr="00934CE1">
              <w:rPr>
                <w:strike/>
                <w:sz w:val="20"/>
                <w:szCs w:val="20"/>
              </w:rPr>
              <w:t>and</w:t>
            </w:r>
            <w:r w:rsidR="00934CE1">
              <w:rPr>
                <w:rStyle w:val="FootnoteReference"/>
                <w:sz w:val="20"/>
                <w:szCs w:val="20"/>
              </w:rPr>
              <w:footnoteReference w:id="98"/>
            </w:r>
          </w:p>
          <w:p w14:paraId="348A2305" w14:textId="6943A6D0" w:rsidR="009A1120" w:rsidRPr="00472578" w:rsidRDefault="00934CE1" w:rsidP="003D6DDF">
            <w:pPr>
              <w:tabs>
                <w:tab w:val="center" w:pos="4513"/>
                <w:tab w:val="right" w:pos="9026"/>
              </w:tabs>
              <w:spacing w:before="60" w:after="60"/>
              <w:ind w:left="400" w:hanging="400"/>
              <w:jc w:val="both"/>
              <w:rPr>
                <w:sz w:val="20"/>
                <w:szCs w:val="20"/>
              </w:rPr>
            </w:pPr>
            <w:r w:rsidRPr="00934CE1">
              <w:rPr>
                <w:sz w:val="20"/>
                <w:szCs w:val="20"/>
                <w:u w:val="single"/>
              </w:rPr>
              <w:t>(c)</w:t>
            </w:r>
            <w:r w:rsidRPr="00934CE1">
              <w:rPr>
                <w:sz w:val="20"/>
                <w:szCs w:val="20"/>
                <w:u w:val="single"/>
              </w:rPr>
              <w:tab/>
            </w:r>
            <w:r w:rsidR="009A1120" w:rsidRPr="00472578">
              <w:rPr>
                <w:sz w:val="20"/>
                <w:szCs w:val="20"/>
              </w:rPr>
              <w:t>between zone substations.</w:t>
            </w:r>
            <w:r>
              <w:rPr>
                <w:rStyle w:val="FootnoteReference"/>
                <w:sz w:val="20"/>
                <w:szCs w:val="20"/>
              </w:rPr>
              <w:footnoteReference w:id="99"/>
            </w:r>
          </w:p>
        </w:tc>
      </w:tr>
      <w:tr w:rsidR="009A1120" w:rsidRPr="00472578" w14:paraId="108DB763" w14:textId="77777777" w:rsidTr="007612BD">
        <w:tc>
          <w:tcPr>
            <w:tcW w:w="2104" w:type="dxa"/>
          </w:tcPr>
          <w:p w14:paraId="4C1C1A1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Environment</w:t>
            </w:r>
          </w:p>
        </w:tc>
        <w:tc>
          <w:tcPr>
            <w:tcW w:w="7146" w:type="dxa"/>
          </w:tcPr>
          <w:p w14:paraId="6D218266"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39947D0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1248496B" wp14:editId="7A354B29">
                      <wp:extent cx="3697356" cy="1582310"/>
                      <wp:effectExtent l="0" t="0" r="17780" b="18415"/>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582310"/>
                              </a:xfrm>
                              <a:prstGeom prst="rect">
                                <a:avLst/>
                              </a:prstGeom>
                              <a:solidFill>
                                <a:srgbClr val="FFFFFF"/>
                              </a:solidFill>
                              <a:ln w="9525">
                                <a:solidFill>
                                  <a:srgbClr val="000000"/>
                                </a:solidFill>
                                <a:miter lim="800000"/>
                                <a:headEnd/>
                                <a:tailEnd/>
                              </a:ln>
                            </wps:spPr>
                            <wps:txbx>
                              <w:txbxContent>
                                <w:p w14:paraId="01E7511B" w14:textId="77777777" w:rsidR="009A1120" w:rsidRPr="001A38AB" w:rsidRDefault="009A1120" w:rsidP="009A1120">
                                  <w:pPr>
                                    <w:spacing w:after="60"/>
                                    <w:ind w:left="284" w:hanging="284"/>
                                    <w:rPr>
                                      <w:sz w:val="20"/>
                                      <w:szCs w:val="20"/>
                                    </w:rPr>
                                  </w:pPr>
                                  <w:r w:rsidRPr="001A38AB">
                                    <w:rPr>
                                      <w:sz w:val="20"/>
                                      <w:szCs w:val="20"/>
                                    </w:rPr>
                                    <w:t>includes—</w:t>
                                  </w:r>
                                </w:p>
                                <w:p w14:paraId="221F380D"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ecosystems and their constituent parts, including people and communities; and</w:t>
                                  </w:r>
                                </w:p>
                                <w:p w14:paraId="22B609E4"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all natural and physical resources; and</w:t>
                                  </w:r>
                                </w:p>
                                <w:p w14:paraId="3CA63F07"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amenity values; and</w:t>
                                  </w:r>
                                </w:p>
                                <w:p w14:paraId="50CCC928"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the social, economic, aesthetic, and cultural conditions which affect the matters stated in paragraphs (a) to (c) or which are affected by those matters</w:t>
                                  </w:r>
                                </w:p>
                              </w:txbxContent>
                            </wps:txbx>
                            <wps:bodyPr rot="0" vert="horz" wrap="square" lIns="91440" tIns="45720" rIns="91440" bIns="45720" anchor="t" anchorCtr="0">
                              <a:noAutofit/>
                            </wps:bodyPr>
                          </wps:wsp>
                        </a:graphicData>
                      </a:graphic>
                    </wp:inline>
                  </w:drawing>
                </mc:Choice>
                <mc:Fallback>
                  <w:pict>
                    <v:shape w14:anchorId="1248496B" id="Text Box 197" o:spid="_x0000_s1060" type="#_x0000_t202" style="width:291.1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NMKQIAAFE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">
                      <v:textbox>
                        <w:txbxContent>
                          <w:p w14:paraId="01E7511B" w14:textId="77777777" w:rsidR="009A1120" w:rsidRPr="001A38AB" w:rsidRDefault="009A1120" w:rsidP="009A1120">
                            <w:pPr>
                              <w:spacing w:after="60"/>
                              <w:ind w:left="284" w:hanging="284"/>
                              <w:rPr>
                                <w:sz w:val="20"/>
                                <w:szCs w:val="20"/>
                              </w:rPr>
                            </w:pPr>
                            <w:r w:rsidRPr="001A38AB">
                              <w:rPr>
                                <w:sz w:val="20"/>
                                <w:szCs w:val="20"/>
                              </w:rPr>
                              <w:t>includes—</w:t>
                            </w:r>
                          </w:p>
                          <w:p w14:paraId="221F380D"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ecosystems and their constituent parts, including people and communities; and</w:t>
                            </w:r>
                          </w:p>
                          <w:p w14:paraId="22B609E4"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all natural and physical resources; and</w:t>
                            </w:r>
                          </w:p>
                          <w:p w14:paraId="3CA63F07"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amenity values; and</w:t>
                            </w:r>
                          </w:p>
                          <w:p w14:paraId="50CCC928"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the social, economic, aesthetic, and cultural conditions which affect the matters stated in paragraphs (a) to (c) or which are affected by those matters</w:t>
                            </w:r>
                          </w:p>
                        </w:txbxContent>
                      </v:textbox>
                      <w10:anchorlock/>
                    </v:shape>
                  </w:pict>
                </mc:Fallback>
              </mc:AlternateContent>
            </w:r>
          </w:p>
        </w:tc>
      </w:tr>
      <w:tr w:rsidR="009A1120" w:rsidRPr="00472578" w14:paraId="614FC2C4" w14:textId="77777777" w:rsidTr="007612BD">
        <w:tc>
          <w:tcPr>
            <w:tcW w:w="2104" w:type="dxa"/>
          </w:tcPr>
          <w:p w14:paraId="27C100C5" w14:textId="77777777" w:rsidR="009A1120" w:rsidRPr="00472578" w:rsidRDefault="009A1120" w:rsidP="00DC6CD9">
            <w:pPr>
              <w:rPr>
                <w:rFonts w:ascii="Times New Roman" w:hAnsi="Times New Roman" w:cs="Times New Roman"/>
                <w:sz w:val="24"/>
                <w:szCs w:val="24"/>
                <w:lang w:eastAsia="en-NZ"/>
              </w:rPr>
            </w:pPr>
            <w:r w:rsidRPr="00472578">
              <w:rPr>
                <w:b/>
                <w:bCs/>
                <w:sz w:val="20"/>
                <w:szCs w:val="20"/>
                <w:u w:val="single"/>
              </w:rPr>
              <w:lastRenderedPageBreak/>
              <w:t>Environmental limit</w:t>
            </w:r>
            <w:r w:rsidRPr="00472578">
              <w:rPr>
                <w:rStyle w:val="FootnoteReference"/>
              </w:rPr>
              <w:footnoteReference w:id="100"/>
            </w:r>
            <w:r w:rsidRPr="00472578">
              <w:t xml:space="preserve"> </w:t>
            </w:r>
          </w:p>
        </w:tc>
        <w:tc>
          <w:tcPr>
            <w:tcW w:w="7146" w:type="dxa"/>
          </w:tcPr>
          <w:p w14:paraId="32475B10" w14:textId="77777777" w:rsidR="009A1120" w:rsidRPr="00472578" w:rsidRDefault="009A1120" w:rsidP="00E92686">
            <w:pPr>
              <w:tabs>
                <w:tab w:val="center" w:pos="4513"/>
                <w:tab w:val="right" w:pos="9026"/>
              </w:tabs>
              <w:spacing w:before="60" w:after="60"/>
              <w:jc w:val="both"/>
              <w:rPr>
                <w:sz w:val="20"/>
                <w:szCs w:val="20"/>
                <w:u w:val="single"/>
              </w:rPr>
            </w:pPr>
            <w:r w:rsidRPr="00472578">
              <w:rPr>
                <w:sz w:val="20"/>
                <w:szCs w:val="20"/>
                <w:u w:val="single"/>
              </w:rPr>
              <w:t>means, in relation to natural resources:</w:t>
            </w:r>
          </w:p>
          <w:p w14:paraId="767D31F3" w14:textId="77777777" w:rsidR="009A1120" w:rsidRPr="00472578" w:rsidRDefault="009A1120" w:rsidP="00E92686">
            <w:pPr>
              <w:tabs>
                <w:tab w:val="center" w:pos="4513"/>
                <w:tab w:val="right" w:pos="9026"/>
              </w:tabs>
              <w:spacing w:before="60" w:after="60"/>
              <w:ind w:left="400" w:hanging="400"/>
              <w:jc w:val="both"/>
              <w:rPr>
                <w:sz w:val="20"/>
                <w:szCs w:val="20"/>
                <w:u w:val="single"/>
              </w:rPr>
            </w:pPr>
            <w:r w:rsidRPr="00472578">
              <w:rPr>
                <w:sz w:val="20"/>
                <w:szCs w:val="20"/>
                <w:u w:val="single"/>
              </w:rPr>
              <w:t>(1)</w:t>
            </w:r>
            <w:r w:rsidRPr="00472578">
              <w:rPr>
                <w:sz w:val="20"/>
                <w:szCs w:val="20"/>
                <w:u w:val="single"/>
              </w:rPr>
              <w:tab/>
              <w:t>the minimum biophysical state (where biophysical means relating to biotic or abiotic physical features); or</w:t>
            </w:r>
          </w:p>
          <w:p w14:paraId="3BF23FDF" w14:textId="77777777" w:rsidR="009A1120" w:rsidRPr="00472578" w:rsidRDefault="009A1120" w:rsidP="00E92686">
            <w:pPr>
              <w:tabs>
                <w:tab w:val="center" w:pos="4513"/>
                <w:tab w:val="right" w:pos="9026"/>
              </w:tabs>
              <w:spacing w:before="60" w:after="60"/>
              <w:ind w:left="400" w:hanging="400"/>
              <w:jc w:val="both"/>
              <w:rPr>
                <w:sz w:val="20"/>
                <w:szCs w:val="20"/>
                <w:u w:val="single"/>
              </w:rPr>
            </w:pPr>
            <w:r w:rsidRPr="00472578">
              <w:rPr>
                <w:sz w:val="20"/>
                <w:szCs w:val="20"/>
                <w:u w:val="single"/>
              </w:rPr>
              <w:t>(2)</w:t>
            </w:r>
            <w:r w:rsidRPr="00472578">
              <w:rPr>
                <w:sz w:val="20"/>
                <w:szCs w:val="20"/>
                <w:u w:val="single"/>
              </w:rPr>
              <w:tab/>
              <w:t>the maximum amount of harm or stress that may be permitted; and</w:t>
            </w:r>
          </w:p>
          <w:p w14:paraId="57892CF2" w14:textId="77777777" w:rsidR="009A1120" w:rsidRPr="00472578" w:rsidRDefault="009A1120" w:rsidP="00E92686">
            <w:pPr>
              <w:tabs>
                <w:tab w:val="center" w:pos="4513"/>
                <w:tab w:val="right" w:pos="9026"/>
              </w:tabs>
              <w:spacing w:before="60" w:after="60"/>
              <w:ind w:left="400" w:hanging="400"/>
              <w:jc w:val="both"/>
              <w:rPr>
                <w:sz w:val="20"/>
                <w:szCs w:val="20"/>
                <w:u w:val="single"/>
              </w:rPr>
            </w:pPr>
            <w:r w:rsidRPr="00472578">
              <w:rPr>
                <w:sz w:val="20"/>
                <w:szCs w:val="20"/>
                <w:u w:val="single"/>
              </w:rPr>
              <w:t>(3)</w:t>
            </w:r>
            <w:r w:rsidRPr="00472578">
              <w:rPr>
                <w:sz w:val="20"/>
                <w:szCs w:val="20"/>
                <w:u w:val="single"/>
              </w:rPr>
              <w:tab/>
              <w:t>may be:</w:t>
            </w:r>
          </w:p>
          <w:p w14:paraId="448E1F13" w14:textId="77777777" w:rsidR="009A1120" w:rsidRPr="00472578" w:rsidRDefault="009A1120" w:rsidP="00E92686">
            <w:pPr>
              <w:tabs>
                <w:tab w:val="center" w:pos="4513"/>
                <w:tab w:val="right" w:pos="9026"/>
              </w:tabs>
              <w:spacing w:before="60" w:after="60"/>
              <w:ind w:left="825" w:hanging="425"/>
              <w:jc w:val="both"/>
              <w:rPr>
                <w:sz w:val="20"/>
                <w:szCs w:val="20"/>
                <w:u w:val="single"/>
              </w:rPr>
            </w:pPr>
            <w:r w:rsidRPr="00472578">
              <w:rPr>
                <w:sz w:val="20"/>
                <w:szCs w:val="20"/>
                <w:u w:val="single"/>
              </w:rPr>
              <w:t>(a)</w:t>
            </w:r>
            <w:r w:rsidRPr="00472578">
              <w:rPr>
                <w:sz w:val="20"/>
                <w:szCs w:val="20"/>
                <w:u w:val="single"/>
              </w:rPr>
              <w:tab/>
              <w:t xml:space="preserve">qualitative or </w:t>
            </w:r>
            <w:proofErr w:type="gramStart"/>
            <w:r w:rsidRPr="00472578">
              <w:rPr>
                <w:sz w:val="20"/>
                <w:szCs w:val="20"/>
                <w:u w:val="single"/>
              </w:rPr>
              <w:t>quantitative;</w:t>
            </w:r>
            <w:proofErr w:type="gramEnd"/>
          </w:p>
          <w:p w14:paraId="1B4AE99B" w14:textId="77777777" w:rsidR="009A1120" w:rsidRPr="00472578" w:rsidRDefault="009A1120" w:rsidP="00E92686">
            <w:pPr>
              <w:tabs>
                <w:tab w:val="center" w:pos="4513"/>
                <w:tab w:val="right" w:pos="9026"/>
              </w:tabs>
              <w:spacing w:before="60" w:after="60"/>
              <w:ind w:left="825" w:hanging="425"/>
              <w:jc w:val="both"/>
              <w:rPr>
                <w:sz w:val="20"/>
                <w:szCs w:val="20"/>
                <w:u w:val="single"/>
              </w:rPr>
            </w:pPr>
            <w:r w:rsidRPr="00472578">
              <w:rPr>
                <w:sz w:val="20"/>
                <w:szCs w:val="20"/>
                <w:u w:val="single"/>
              </w:rPr>
              <w:t>(b)</w:t>
            </w:r>
            <w:r w:rsidRPr="00472578">
              <w:rPr>
                <w:sz w:val="20"/>
                <w:szCs w:val="20"/>
                <w:u w:val="single"/>
              </w:rPr>
              <w:tab/>
              <w:t>set at different levels for different circumstances and locations; or</w:t>
            </w:r>
          </w:p>
          <w:p w14:paraId="23F0A0A6" w14:textId="77777777" w:rsidR="009A1120" w:rsidRPr="00472578" w:rsidRDefault="009A1120" w:rsidP="00E92686">
            <w:pPr>
              <w:tabs>
                <w:tab w:val="center" w:pos="4513"/>
                <w:tab w:val="right" w:pos="9026"/>
              </w:tabs>
              <w:spacing w:before="60" w:after="60"/>
              <w:ind w:left="825" w:hanging="425"/>
              <w:jc w:val="both"/>
              <w:rPr>
                <w:sz w:val="20"/>
                <w:szCs w:val="20"/>
              </w:rPr>
            </w:pPr>
            <w:r w:rsidRPr="00472578">
              <w:rPr>
                <w:sz w:val="20"/>
                <w:szCs w:val="20"/>
                <w:u w:val="single"/>
              </w:rPr>
              <w:t>(c)</w:t>
            </w:r>
            <w:r w:rsidRPr="00472578">
              <w:rPr>
                <w:sz w:val="20"/>
                <w:szCs w:val="20"/>
                <w:u w:val="single"/>
              </w:rPr>
              <w:tab/>
              <w:t>set in a way that integrates more than 1 natural resource.</w:t>
            </w:r>
          </w:p>
        </w:tc>
      </w:tr>
      <w:tr w:rsidR="009A1120" w:rsidRPr="00472578" w14:paraId="6E63CEC7" w14:textId="77777777" w:rsidTr="007612BD">
        <w:tc>
          <w:tcPr>
            <w:tcW w:w="2104" w:type="dxa"/>
          </w:tcPr>
          <w:p w14:paraId="4BEFB77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Environmental outcome</w:t>
            </w:r>
          </w:p>
        </w:tc>
        <w:tc>
          <w:tcPr>
            <w:tcW w:w="7146" w:type="dxa"/>
          </w:tcPr>
          <w:p w14:paraId="465E170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22A6A710"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991540F" wp14:editId="0752C082">
                      <wp:extent cx="3697356" cy="595423"/>
                      <wp:effectExtent l="0" t="0" r="17780" b="14605"/>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95423"/>
                              </a:xfrm>
                              <a:prstGeom prst="rect">
                                <a:avLst/>
                              </a:prstGeom>
                              <a:solidFill>
                                <a:srgbClr val="FFFFFF"/>
                              </a:solidFill>
                              <a:ln w="9525">
                                <a:solidFill>
                                  <a:srgbClr val="000000"/>
                                </a:solidFill>
                                <a:miter lim="800000"/>
                                <a:headEnd/>
                                <a:tailEnd/>
                              </a:ln>
                            </wps:spPr>
                            <wps:txbx>
                              <w:txbxContent>
                                <w:p w14:paraId="5B4DE6A9" w14:textId="77777777" w:rsidR="009A1120" w:rsidRPr="001A38AB" w:rsidRDefault="009A1120" w:rsidP="009A1120">
                                  <w:pPr>
                                    <w:spacing w:after="60"/>
                                    <w:rPr>
                                      <w:sz w:val="20"/>
                                      <w:szCs w:val="20"/>
                                    </w:rPr>
                                  </w:pPr>
                                  <w:r w:rsidRPr="00035AAF">
                                    <w:rPr>
                                      <w:sz w:val="20"/>
                                      <w:szCs w:val="20"/>
                                    </w:rPr>
                                    <w:t>means, in relation to a value that applies to an FMU or part of an</w:t>
                                  </w:r>
                                  <w:r>
                                    <w:rPr>
                                      <w:sz w:val="20"/>
                                      <w:szCs w:val="20"/>
                                    </w:rPr>
                                    <w:t xml:space="preserve"> </w:t>
                                  </w:r>
                                  <w:r w:rsidRPr="00035AAF">
                                    <w:rPr>
                                      <w:sz w:val="20"/>
                                      <w:szCs w:val="20"/>
                                    </w:rPr>
                                    <w:t>FMU, a desired outcome that a regional council identifies and then includes as an objective in</w:t>
                                  </w:r>
                                  <w:r>
                                    <w:rPr>
                                      <w:sz w:val="20"/>
                                      <w:szCs w:val="20"/>
                                    </w:rPr>
                                    <w:t xml:space="preserve"> </w:t>
                                  </w:r>
                                  <w:r w:rsidRPr="00035AAF">
                                    <w:rPr>
                                      <w:sz w:val="20"/>
                                      <w:szCs w:val="20"/>
                                    </w:rPr>
                                    <w:t xml:space="preserve">its </w:t>
                                  </w:r>
                                  <w:r w:rsidRPr="00A56687">
                                    <w:rPr>
                                      <w:i/>
                                      <w:sz w:val="20"/>
                                      <w:szCs w:val="20"/>
                                    </w:rPr>
                                    <w:t>regional plan(s)</w:t>
                                  </w:r>
                                </w:p>
                              </w:txbxContent>
                            </wps:txbx>
                            <wps:bodyPr rot="0" vert="horz" wrap="square" lIns="91440" tIns="45720" rIns="91440" bIns="45720" anchor="t" anchorCtr="0">
                              <a:noAutofit/>
                            </wps:bodyPr>
                          </wps:wsp>
                        </a:graphicData>
                      </a:graphic>
                    </wp:inline>
                  </w:drawing>
                </mc:Choice>
                <mc:Fallback>
                  <w:pict>
                    <v:shape w14:anchorId="6991540F" id="Text Box 248" o:spid="_x0000_s1061" type="#_x0000_t202" style="width:291.15pt;height:4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">
                      <v:textbox>
                        <w:txbxContent>
                          <w:p w14:paraId="5B4DE6A9" w14:textId="77777777" w:rsidR="009A1120" w:rsidRPr="001A38AB" w:rsidRDefault="009A1120" w:rsidP="009A1120">
                            <w:pPr>
                              <w:spacing w:after="60"/>
                              <w:rPr>
                                <w:sz w:val="20"/>
                                <w:szCs w:val="20"/>
                              </w:rPr>
                            </w:pPr>
                            <w:r w:rsidRPr="00035AAF">
                              <w:rPr>
                                <w:sz w:val="20"/>
                                <w:szCs w:val="20"/>
                              </w:rPr>
                              <w:t>means, in relation to a value that applies to an FMU or part of an</w:t>
                            </w:r>
                            <w:r>
                              <w:rPr>
                                <w:sz w:val="20"/>
                                <w:szCs w:val="20"/>
                              </w:rPr>
                              <w:t xml:space="preserve"> </w:t>
                            </w:r>
                            <w:r w:rsidRPr="00035AAF">
                              <w:rPr>
                                <w:sz w:val="20"/>
                                <w:szCs w:val="20"/>
                              </w:rPr>
                              <w:t>FMU, a desired outcome that a regional council identifies and then includes as an objective in</w:t>
                            </w:r>
                            <w:r>
                              <w:rPr>
                                <w:sz w:val="20"/>
                                <w:szCs w:val="20"/>
                              </w:rPr>
                              <w:t xml:space="preserve"> </w:t>
                            </w:r>
                            <w:r w:rsidRPr="00035AAF">
                              <w:rPr>
                                <w:sz w:val="20"/>
                                <w:szCs w:val="20"/>
                              </w:rPr>
                              <w:t xml:space="preserve">its </w:t>
                            </w:r>
                            <w:r w:rsidRPr="00A56687">
                              <w:rPr>
                                <w:i/>
                                <w:sz w:val="20"/>
                                <w:szCs w:val="20"/>
                              </w:rPr>
                              <w:t>regional plan(s)</w:t>
                            </w:r>
                          </w:p>
                        </w:txbxContent>
                      </v:textbox>
                      <w10:anchorlock/>
                    </v:shape>
                  </w:pict>
                </mc:Fallback>
              </mc:AlternateContent>
            </w:r>
          </w:p>
        </w:tc>
      </w:tr>
      <w:tr w:rsidR="009A1120" w:rsidRPr="00472578" w14:paraId="7E83F08D" w14:textId="77777777" w:rsidTr="007612BD">
        <w:tc>
          <w:tcPr>
            <w:tcW w:w="2104" w:type="dxa"/>
          </w:tcPr>
          <w:p w14:paraId="06008A74"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Esplanade reserve</w:t>
            </w:r>
          </w:p>
        </w:tc>
        <w:tc>
          <w:tcPr>
            <w:tcW w:w="7146" w:type="dxa"/>
          </w:tcPr>
          <w:p w14:paraId="5DCC35D1"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7E397D2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CAFF4C6" wp14:editId="554E1696">
                      <wp:extent cx="3697356" cy="1765190"/>
                      <wp:effectExtent l="0" t="0" r="17780" b="2603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765190"/>
                              </a:xfrm>
                              <a:prstGeom prst="rect">
                                <a:avLst/>
                              </a:prstGeom>
                              <a:solidFill>
                                <a:srgbClr val="FFFFFF"/>
                              </a:solidFill>
                              <a:ln w="9525">
                                <a:solidFill>
                                  <a:srgbClr val="000000"/>
                                </a:solidFill>
                                <a:miter lim="800000"/>
                                <a:headEnd/>
                                <a:tailEnd/>
                              </a:ln>
                            </wps:spPr>
                            <wps:txbx>
                              <w:txbxContent>
                                <w:p w14:paraId="5696C725" w14:textId="77777777" w:rsidR="009A1120" w:rsidRPr="001A38AB" w:rsidRDefault="009A1120" w:rsidP="009A1120">
                                  <w:pPr>
                                    <w:spacing w:after="60"/>
                                    <w:rPr>
                                      <w:sz w:val="20"/>
                                      <w:szCs w:val="20"/>
                                    </w:rPr>
                                  </w:pPr>
                                  <w:r w:rsidRPr="001A38AB">
                                    <w:rPr>
                                      <w:sz w:val="20"/>
                                      <w:szCs w:val="20"/>
                                    </w:rPr>
                                    <w:t>means a reserve within the meaning of the Reserves Act 1977—</w:t>
                                  </w:r>
                                </w:p>
                                <w:p w14:paraId="7162C9E7"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which is either—</w:t>
                                  </w:r>
                                </w:p>
                                <w:p w14:paraId="75E89F98" w14:textId="77777777" w:rsidR="009A1120" w:rsidRPr="001A38AB" w:rsidRDefault="009A1120" w:rsidP="009A1120">
                                  <w:pPr>
                                    <w:spacing w:after="60"/>
                                    <w:ind w:left="567" w:hanging="284"/>
                                    <w:rPr>
                                      <w:sz w:val="20"/>
                                      <w:szCs w:val="20"/>
                                    </w:rPr>
                                  </w:pPr>
                                  <w:r w:rsidRPr="001A38AB">
                                    <w:rPr>
                                      <w:sz w:val="20"/>
                                      <w:szCs w:val="20"/>
                                    </w:rPr>
                                    <w:t>(i)</w:t>
                                  </w:r>
                                  <w:r w:rsidRPr="001A38AB">
                                    <w:rPr>
                                      <w:sz w:val="20"/>
                                      <w:szCs w:val="20"/>
                                    </w:rPr>
                                    <w:tab/>
                                    <w:t>a local purpose reserve within the meaning of section 23 of that Act, if vested in the territorial authority under section 239; or</w:t>
                                  </w:r>
                                </w:p>
                                <w:p w14:paraId="783F9402" w14:textId="77777777" w:rsidR="009A1120" w:rsidRPr="001A38AB" w:rsidRDefault="009A1120" w:rsidP="009A1120">
                                  <w:pPr>
                                    <w:spacing w:after="60"/>
                                    <w:ind w:left="567" w:hanging="284"/>
                                    <w:rPr>
                                      <w:sz w:val="20"/>
                                      <w:szCs w:val="20"/>
                                    </w:rPr>
                                  </w:pPr>
                                  <w:r w:rsidRPr="001A38AB">
                                    <w:rPr>
                                      <w:sz w:val="20"/>
                                      <w:szCs w:val="20"/>
                                    </w:rPr>
                                    <w:t>(ii)</w:t>
                                  </w:r>
                                  <w:r w:rsidRPr="001A38AB">
                                    <w:rPr>
                                      <w:sz w:val="20"/>
                                      <w:szCs w:val="20"/>
                                    </w:rPr>
                                    <w:tab/>
                                    <w:t>a reserve vested in the Crown or a regional council under section 237D; and</w:t>
                                  </w:r>
                                </w:p>
                                <w:p w14:paraId="3A1E126E"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which is vested in the territorial authority, regional council, or the Crown for a purpose or purposes set out in section 229</w:t>
                                  </w:r>
                                </w:p>
                              </w:txbxContent>
                            </wps:txbx>
                            <wps:bodyPr rot="0" vert="horz" wrap="square" lIns="91440" tIns="45720" rIns="91440" bIns="45720" anchor="t" anchorCtr="0">
                              <a:noAutofit/>
                            </wps:bodyPr>
                          </wps:wsp>
                        </a:graphicData>
                      </a:graphic>
                    </wp:inline>
                  </w:drawing>
                </mc:Choice>
                <mc:Fallback>
                  <w:pict>
                    <v:shape w14:anchorId="0CAFF4C6" id="Text Box 14" o:spid="_x0000_s1062" type="#_x0000_t202" style="width:291.15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">
                      <v:textbox>
                        <w:txbxContent>
                          <w:p w14:paraId="5696C725" w14:textId="77777777" w:rsidR="009A1120" w:rsidRPr="001A38AB" w:rsidRDefault="009A1120" w:rsidP="009A1120">
                            <w:pPr>
                              <w:spacing w:after="60"/>
                              <w:rPr>
                                <w:sz w:val="20"/>
                                <w:szCs w:val="20"/>
                              </w:rPr>
                            </w:pPr>
                            <w:r w:rsidRPr="001A38AB">
                              <w:rPr>
                                <w:sz w:val="20"/>
                                <w:szCs w:val="20"/>
                              </w:rPr>
                              <w:t>means a reserve within the meaning of the Reserves Act 1977—</w:t>
                            </w:r>
                          </w:p>
                          <w:p w14:paraId="7162C9E7"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which is either—</w:t>
                            </w:r>
                          </w:p>
                          <w:p w14:paraId="75E89F98" w14:textId="77777777" w:rsidR="009A1120" w:rsidRPr="001A38AB" w:rsidRDefault="009A1120" w:rsidP="009A1120">
                            <w:pPr>
                              <w:spacing w:after="60"/>
                              <w:ind w:left="567" w:hanging="284"/>
                              <w:rPr>
                                <w:sz w:val="20"/>
                                <w:szCs w:val="20"/>
                              </w:rPr>
                            </w:pPr>
                            <w:r w:rsidRPr="001A38AB">
                              <w:rPr>
                                <w:sz w:val="20"/>
                                <w:szCs w:val="20"/>
                              </w:rPr>
                              <w:t>(i)</w:t>
                            </w:r>
                            <w:r w:rsidRPr="001A38AB">
                              <w:rPr>
                                <w:sz w:val="20"/>
                                <w:szCs w:val="20"/>
                              </w:rPr>
                              <w:tab/>
                              <w:t>a local purpose reserve within the meaning of section 23 of that Act, if vested in the territorial authority under section 239; or</w:t>
                            </w:r>
                          </w:p>
                          <w:p w14:paraId="783F9402" w14:textId="77777777" w:rsidR="009A1120" w:rsidRPr="001A38AB" w:rsidRDefault="009A1120" w:rsidP="009A1120">
                            <w:pPr>
                              <w:spacing w:after="60"/>
                              <w:ind w:left="567" w:hanging="284"/>
                              <w:rPr>
                                <w:sz w:val="20"/>
                                <w:szCs w:val="20"/>
                              </w:rPr>
                            </w:pPr>
                            <w:r w:rsidRPr="001A38AB">
                              <w:rPr>
                                <w:sz w:val="20"/>
                                <w:szCs w:val="20"/>
                              </w:rPr>
                              <w:t>(ii)</w:t>
                            </w:r>
                            <w:r w:rsidRPr="001A38AB">
                              <w:rPr>
                                <w:sz w:val="20"/>
                                <w:szCs w:val="20"/>
                              </w:rPr>
                              <w:tab/>
                              <w:t>a reserve vested in the Crown or a regional council under section 237D; and</w:t>
                            </w:r>
                          </w:p>
                          <w:p w14:paraId="3A1E126E"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which is vested in the territorial authority, regional council, or the Crown for a purpose or purposes set out in section 229</w:t>
                            </w:r>
                          </w:p>
                        </w:txbxContent>
                      </v:textbox>
                      <w10:anchorlock/>
                    </v:shape>
                  </w:pict>
                </mc:Fallback>
              </mc:AlternateContent>
            </w:r>
          </w:p>
        </w:tc>
      </w:tr>
      <w:tr w:rsidR="009A1120" w:rsidRPr="00472578" w14:paraId="76AB8D0F" w14:textId="77777777" w:rsidTr="007612BD">
        <w:tc>
          <w:tcPr>
            <w:tcW w:w="2104" w:type="dxa"/>
          </w:tcPr>
          <w:p w14:paraId="26B03CE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Esplanade strip</w:t>
            </w:r>
          </w:p>
        </w:tc>
        <w:tc>
          <w:tcPr>
            <w:tcW w:w="7146" w:type="dxa"/>
          </w:tcPr>
          <w:p w14:paraId="521CF7C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3C5A7E49"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FC55D59" wp14:editId="419AE58A">
                      <wp:extent cx="3697356" cy="620202"/>
                      <wp:effectExtent l="0" t="0" r="17780" b="2794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20202"/>
                              </a:xfrm>
                              <a:prstGeom prst="rect">
                                <a:avLst/>
                              </a:prstGeom>
                              <a:solidFill>
                                <a:srgbClr val="FFFFFF"/>
                              </a:solidFill>
                              <a:ln w="9525">
                                <a:solidFill>
                                  <a:srgbClr val="000000"/>
                                </a:solidFill>
                                <a:miter lim="800000"/>
                                <a:headEnd/>
                                <a:tailEnd/>
                              </a:ln>
                            </wps:spPr>
                            <wps:txbx>
                              <w:txbxContent>
                                <w:p w14:paraId="2EB5C99F" w14:textId="77777777" w:rsidR="009A1120" w:rsidRPr="001A38AB" w:rsidRDefault="009A1120" w:rsidP="009A1120">
                                  <w:pPr>
                                    <w:rPr>
                                      <w:sz w:val="20"/>
                                      <w:szCs w:val="20"/>
                                    </w:rPr>
                                  </w:pPr>
                                  <w:r w:rsidRPr="001A38AB">
                                    <w:rPr>
                                      <w:sz w:val="20"/>
                                      <w:szCs w:val="20"/>
                                    </w:rPr>
                                    <w:t>means a strip of land created by the registration of an instrument in accordance with section 232 for a purpose or purposes set out in section 229</w:t>
                                  </w:r>
                                </w:p>
                              </w:txbxContent>
                            </wps:txbx>
                            <wps:bodyPr rot="0" vert="horz" wrap="square" lIns="91440" tIns="45720" rIns="91440" bIns="45720" anchor="t" anchorCtr="0">
                              <a:noAutofit/>
                            </wps:bodyPr>
                          </wps:wsp>
                        </a:graphicData>
                      </a:graphic>
                    </wp:inline>
                  </w:drawing>
                </mc:Choice>
                <mc:Fallback>
                  <w:pict>
                    <v:shape w14:anchorId="2FC55D59" id="Text Box 15" o:spid="_x0000_s1063" type="#_x0000_t202" style="width:291.1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">
                      <v:textbox>
                        <w:txbxContent>
                          <w:p w14:paraId="2EB5C99F" w14:textId="77777777" w:rsidR="009A1120" w:rsidRPr="001A38AB" w:rsidRDefault="009A1120" w:rsidP="009A1120">
                            <w:pPr>
                              <w:rPr>
                                <w:sz w:val="20"/>
                                <w:szCs w:val="20"/>
                              </w:rPr>
                            </w:pPr>
                            <w:r w:rsidRPr="001A38AB">
                              <w:rPr>
                                <w:sz w:val="20"/>
                                <w:szCs w:val="20"/>
                              </w:rPr>
                              <w:t>means a strip of land created by the registration of an instrument in accordance with section 232 for a purpose or purposes set out in section 229</w:t>
                            </w:r>
                          </w:p>
                        </w:txbxContent>
                      </v:textbox>
                      <w10:anchorlock/>
                    </v:shape>
                  </w:pict>
                </mc:Fallback>
              </mc:AlternateContent>
            </w:r>
          </w:p>
        </w:tc>
      </w:tr>
      <w:tr w:rsidR="009A1120" w:rsidRPr="00472578" w14:paraId="1BE1FD5B" w14:textId="77777777" w:rsidTr="007612BD">
        <w:tc>
          <w:tcPr>
            <w:tcW w:w="2104" w:type="dxa"/>
          </w:tcPr>
          <w:p w14:paraId="2E4F70C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Exceedance</w:t>
            </w:r>
          </w:p>
        </w:tc>
        <w:tc>
          <w:tcPr>
            <w:tcW w:w="7146" w:type="dxa"/>
          </w:tcPr>
          <w:p w14:paraId="38A69E1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13 of the Resource Management (National Environmental Standards for Air Quality) Regulations 2004 (as set out in the box below)</w:t>
            </w:r>
          </w:p>
          <w:p w14:paraId="6B0AE43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E64C089" wp14:editId="2A3B4D12">
                      <wp:extent cx="3790950" cy="435935"/>
                      <wp:effectExtent l="0" t="0" r="19050" b="215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35935"/>
                              </a:xfrm>
                              <a:prstGeom prst="rect">
                                <a:avLst/>
                              </a:prstGeom>
                              <a:solidFill>
                                <a:srgbClr val="FFFFFF"/>
                              </a:solidFill>
                              <a:ln w="9525">
                                <a:solidFill>
                                  <a:srgbClr val="000000"/>
                                </a:solidFill>
                                <a:miter lim="800000"/>
                                <a:headEnd/>
                                <a:tailEnd/>
                              </a:ln>
                            </wps:spPr>
                            <wps:txbx>
                              <w:txbxContent>
                                <w:p w14:paraId="0F04B36E" w14:textId="77777777" w:rsidR="009A1120" w:rsidRPr="001227CC" w:rsidRDefault="009A1120" w:rsidP="009A1120">
                                  <w:pPr>
                                    <w:rPr>
                                      <w:sz w:val="20"/>
                                      <w:szCs w:val="20"/>
                                      <w:lang w:val="en-GB"/>
                                    </w:rPr>
                                  </w:pPr>
                                  <w:r w:rsidRPr="00E61FEC">
                                    <w:rPr>
                                      <w:color w:val="000000"/>
                                      <w:sz w:val="20"/>
                                      <w:szCs w:val="20"/>
                                      <w:shd w:val="clear" w:color="auto" w:fill="FFFFFF"/>
                                    </w:rPr>
                                    <w:t>for a contaminant, means an instance where the contaminant exceeds its threshold concentration in an airshed</w:t>
                                  </w:r>
                                </w:p>
                              </w:txbxContent>
                            </wps:txbx>
                            <wps:bodyPr rot="0" vert="horz" wrap="square" lIns="91440" tIns="45720" rIns="91440" bIns="45720" anchor="t" anchorCtr="0">
                              <a:noAutofit/>
                            </wps:bodyPr>
                          </wps:wsp>
                        </a:graphicData>
                      </a:graphic>
                    </wp:inline>
                  </w:drawing>
                </mc:Choice>
                <mc:Fallback>
                  <w:pict>
                    <v:shape w14:anchorId="6E64C089" id="Text Box 40" o:spid="_x0000_s1064" type="#_x0000_t202" style="width:298.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">
                      <v:textbox>
                        <w:txbxContent>
                          <w:p w14:paraId="0F04B36E" w14:textId="77777777" w:rsidR="009A1120" w:rsidRPr="001227CC" w:rsidRDefault="009A1120" w:rsidP="009A1120">
                            <w:pPr>
                              <w:rPr>
                                <w:sz w:val="20"/>
                                <w:szCs w:val="20"/>
                                <w:lang w:val="en-GB"/>
                              </w:rPr>
                            </w:pPr>
                            <w:r w:rsidRPr="00E61FEC">
                              <w:rPr>
                                <w:color w:val="000000"/>
                                <w:sz w:val="20"/>
                                <w:szCs w:val="20"/>
                                <w:shd w:val="clear" w:color="auto" w:fill="FFFFFF"/>
                              </w:rPr>
                              <w:t>for a contaminant, means an instance where the contaminant exceeds its threshold concentration in an airshed</w:t>
                            </w:r>
                          </w:p>
                        </w:txbxContent>
                      </v:textbox>
                      <w10:anchorlock/>
                    </v:shape>
                  </w:pict>
                </mc:Fallback>
              </mc:AlternateContent>
            </w:r>
          </w:p>
        </w:tc>
      </w:tr>
      <w:tr w:rsidR="009A1120" w:rsidRPr="00472578" w14:paraId="7DAA03A9" w14:textId="77777777" w:rsidTr="007612BD">
        <w:tc>
          <w:tcPr>
            <w:tcW w:w="2104" w:type="dxa"/>
          </w:tcPr>
          <w:p w14:paraId="47C14AC6" w14:textId="77777777"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Food and fibre production</w:t>
            </w:r>
            <w:r w:rsidRPr="00472578">
              <w:rPr>
                <w:rStyle w:val="FootnoteReference"/>
              </w:rPr>
              <w:footnoteReference w:id="101"/>
            </w:r>
          </w:p>
        </w:tc>
        <w:tc>
          <w:tcPr>
            <w:tcW w:w="7146" w:type="dxa"/>
          </w:tcPr>
          <w:p w14:paraId="5D5E690B" w14:textId="77777777" w:rsidR="009A1120" w:rsidRPr="00472578" w:rsidRDefault="009A1120" w:rsidP="00E92686">
            <w:pPr>
              <w:tabs>
                <w:tab w:val="center" w:pos="4513"/>
                <w:tab w:val="right" w:pos="9026"/>
              </w:tabs>
              <w:spacing w:before="60" w:after="60"/>
              <w:jc w:val="both"/>
              <w:rPr>
                <w:sz w:val="20"/>
                <w:szCs w:val="20"/>
                <w:u w:val="single"/>
              </w:rPr>
            </w:pPr>
            <w:r w:rsidRPr="00472578">
              <w:rPr>
                <w:sz w:val="20"/>
                <w:szCs w:val="20"/>
                <w:u w:val="single"/>
              </w:rPr>
              <w:t>means:</w:t>
            </w:r>
          </w:p>
          <w:p w14:paraId="09F0A00B" w14:textId="77777777" w:rsidR="009A1120" w:rsidRPr="00472578" w:rsidRDefault="009A1120" w:rsidP="00E92686">
            <w:pPr>
              <w:tabs>
                <w:tab w:val="center" w:pos="4513"/>
                <w:tab w:val="right" w:pos="9026"/>
              </w:tabs>
              <w:spacing w:before="60" w:after="60"/>
              <w:ind w:left="403" w:hanging="403"/>
              <w:jc w:val="both"/>
              <w:rPr>
                <w:sz w:val="20"/>
                <w:szCs w:val="20"/>
                <w:u w:val="single"/>
              </w:rPr>
            </w:pPr>
            <w:r w:rsidRPr="00472578">
              <w:rPr>
                <w:sz w:val="20"/>
                <w:szCs w:val="20"/>
                <w:u w:val="single"/>
              </w:rPr>
              <w:t>(a)</w:t>
            </w:r>
            <w:r w:rsidRPr="00472578">
              <w:rPr>
                <w:sz w:val="20"/>
                <w:szCs w:val="20"/>
                <w:u w:val="single"/>
              </w:rPr>
              <w:tab/>
              <w:t xml:space="preserve">any agricultural, pastoral, horticultural, or plantation forestry </w:t>
            </w:r>
            <w:proofErr w:type="gramStart"/>
            <w:r w:rsidRPr="00472578">
              <w:rPr>
                <w:sz w:val="20"/>
                <w:szCs w:val="20"/>
                <w:u w:val="single"/>
              </w:rPr>
              <w:t>activities;</w:t>
            </w:r>
            <w:proofErr w:type="gramEnd"/>
            <w:r w:rsidRPr="00472578">
              <w:rPr>
                <w:sz w:val="20"/>
                <w:szCs w:val="20"/>
                <w:u w:val="single"/>
              </w:rPr>
              <w:t xml:space="preserve"> </w:t>
            </w:r>
          </w:p>
          <w:p w14:paraId="6F387FB0" w14:textId="45B082F0" w:rsidR="009A1120" w:rsidRPr="00472578" w:rsidRDefault="009A1120" w:rsidP="00E92686">
            <w:pPr>
              <w:tabs>
                <w:tab w:val="center" w:pos="4513"/>
                <w:tab w:val="right" w:pos="9026"/>
              </w:tabs>
              <w:spacing w:before="60" w:after="60"/>
              <w:ind w:left="403" w:hanging="403"/>
              <w:jc w:val="both"/>
              <w:rPr>
                <w:sz w:val="20"/>
                <w:szCs w:val="20"/>
                <w:u w:val="single"/>
              </w:rPr>
            </w:pPr>
            <w:r w:rsidRPr="00472578">
              <w:rPr>
                <w:sz w:val="20"/>
                <w:szCs w:val="20"/>
                <w:u w:val="single"/>
              </w:rPr>
              <w:t>(b)</w:t>
            </w:r>
            <w:r w:rsidRPr="00472578">
              <w:rPr>
                <w:sz w:val="20"/>
                <w:szCs w:val="20"/>
                <w:u w:val="single"/>
              </w:rPr>
              <w:tab/>
              <w:t xml:space="preserve">includes, as an ancillary activity, </w:t>
            </w:r>
            <w:r w:rsidR="00747BD7" w:rsidRPr="00472578">
              <w:rPr>
                <w:sz w:val="20"/>
                <w:szCs w:val="20"/>
                <w:u w:val="single"/>
              </w:rPr>
              <w:t>the</w:t>
            </w:r>
            <w:r w:rsidRPr="00472578">
              <w:rPr>
                <w:sz w:val="20"/>
                <w:szCs w:val="20"/>
                <w:u w:val="single"/>
              </w:rPr>
              <w:t xml:space="preserve"> initial processing</w:t>
            </w:r>
            <w:r w:rsidR="00747BD7" w:rsidRPr="00472578">
              <w:rPr>
                <w:sz w:val="20"/>
                <w:szCs w:val="20"/>
                <w:u w:val="single"/>
              </w:rPr>
              <w:t xml:space="preserve"> </w:t>
            </w:r>
            <w:r w:rsidRPr="00472578">
              <w:rPr>
                <w:sz w:val="20"/>
                <w:szCs w:val="20"/>
                <w:u w:val="single"/>
              </w:rPr>
              <w:t xml:space="preserve">of commodities that result from the activities </w:t>
            </w:r>
            <w:r w:rsidR="00555C71">
              <w:rPr>
                <w:sz w:val="20"/>
                <w:szCs w:val="20"/>
                <w:u w:val="single"/>
              </w:rPr>
              <w:t xml:space="preserve">listed </w:t>
            </w:r>
            <w:r w:rsidRPr="00472578">
              <w:rPr>
                <w:sz w:val="20"/>
                <w:szCs w:val="20"/>
                <w:u w:val="single"/>
              </w:rPr>
              <w:t>in (a); and</w:t>
            </w:r>
          </w:p>
          <w:p w14:paraId="65877DE5" w14:textId="6E2F87C1" w:rsidR="009A1120" w:rsidRPr="00472578" w:rsidRDefault="009A1120" w:rsidP="00E92686">
            <w:pPr>
              <w:tabs>
                <w:tab w:val="center" w:pos="4513"/>
                <w:tab w:val="right" w:pos="9026"/>
              </w:tabs>
              <w:spacing w:before="60" w:after="60"/>
              <w:ind w:left="403" w:hanging="403"/>
              <w:jc w:val="both"/>
              <w:rPr>
                <w:sz w:val="20"/>
                <w:szCs w:val="20"/>
                <w:u w:val="single"/>
              </w:rPr>
            </w:pPr>
            <w:r w:rsidRPr="00472578">
              <w:rPr>
                <w:sz w:val="20"/>
                <w:szCs w:val="20"/>
                <w:u w:val="single"/>
              </w:rPr>
              <w:t>(c)</w:t>
            </w:r>
            <w:r w:rsidRPr="00472578">
              <w:rPr>
                <w:sz w:val="20"/>
                <w:szCs w:val="20"/>
                <w:u w:val="single"/>
              </w:rPr>
              <w:tab/>
              <w:t>includes any land and buildings used for (a) and (</w:t>
            </w:r>
            <w:r w:rsidR="003356BE" w:rsidRPr="00472578">
              <w:rPr>
                <w:sz w:val="20"/>
                <w:szCs w:val="20"/>
                <w:u w:val="single"/>
              </w:rPr>
              <w:t>b</w:t>
            </w:r>
            <w:r w:rsidRPr="00472578">
              <w:rPr>
                <w:sz w:val="20"/>
                <w:szCs w:val="20"/>
                <w:u w:val="single"/>
              </w:rPr>
              <w:t>); but</w:t>
            </w:r>
          </w:p>
          <w:p w14:paraId="19F596E1" w14:textId="727B48B4" w:rsidR="009A1120" w:rsidRPr="00472578" w:rsidRDefault="009A1120" w:rsidP="00E92686">
            <w:pPr>
              <w:tabs>
                <w:tab w:val="center" w:pos="4513"/>
                <w:tab w:val="right" w:pos="9026"/>
              </w:tabs>
              <w:spacing w:before="60" w:after="60"/>
              <w:ind w:left="403" w:hanging="403"/>
              <w:jc w:val="both"/>
              <w:rPr>
                <w:sz w:val="20"/>
                <w:szCs w:val="20"/>
                <w:u w:val="single"/>
              </w:rPr>
            </w:pPr>
            <w:r w:rsidRPr="00472578">
              <w:rPr>
                <w:sz w:val="20"/>
                <w:szCs w:val="20"/>
                <w:u w:val="single"/>
              </w:rPr>
              <w:t>(d)</w:t>
            </w:r>
            <w:r w:rsidRPr="00472578">
              <w:rPr>
                <w:sz w:val="20"/>
                <w:szCs w:val="20"/>
                <w:u w:val="single"/>
              </w:rPr>
              <w:tab/>
              <w:t>excludes further processing of those commodities into a different product.</w:t>
            </w:r>
          </w:p>
        </w:tc>
      </w:tr>
      <w:tr w:rsidR="009A1120" w:rsidRPr="00472578" w14:paraId="1153189F" w14:textId="77777777" w:rsidTr="007612BD">
        <w:tc>
          <w:tcPr>
            <w:tcW w:w="2104" w:type="dxa"/>
          </w:tcPr>
          <w:p w14:paraId="7E5B66F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Freshwater or fresh water</w:t>
            </w:r>
          </w:p>
        </w:tc>
        <w:tc>
          <w:tcPr>
            <w:tcW w:w="7146" w:type="dxa"/>
          </w:tcPr>
          <w:p w14:paraId="138B478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6144393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0086469" wp14:editId="1D00E4D1">
                      <wp:extent cx="3697356" cy="254442"/>
                      <wp:effectExtent l="0" t="0" r="17780" b="12700"/>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54442"/>
                              </a:xfrm>
                              <a:prstGeom prst="rect">
                                <a:avLst/>
                              </a:prstGeom>
                              <a:solidFill>
                                <a:srgbClr val="FFFFFF"/>
                              </a:solidFill>
                              <a:ln w="9525">
                                <a:solidFill>
                                  <a:srgbClr val="000000"/>
                                </a:solidFill>
                                <a:miter lim="800000"/>
                                <a:headEnd/>
                                <a:tailEnd/>
                              </a:ln>
                            </wps:spPr>
                            <wps:txbx>
                              <w:txbxContent>
                                <w:p w14:paraId="42642E32" w14:textId="77777777" w:rsidR="009A1120" w:rsidRPr="001A38AB" w:rsidRDefault="009A1120" w:rsidP="009A1120">
                                  <w:pPr>
                                    <w:rPr>
                                      <w:sz w:val="20"/>
                                      <w:szCs w:val="20"/>
                                    </w:rPr>
                                  </w:pPr>
                                  <w:r w:rsidRPr="001A38AB">
                                    <w:rPr>
                                      <w:sz w:val="20"/>
                                      <w:szCs w:val="20"/>
                                    </w:rPr>
                                    <w:t>means all water except coastal water and geothermal water</w:t>
                                  </w:r>
                                </w:p>
                              </w:txbxContent>
                            </wps:txbx>
                            <wps:bodyPr rot="0" vert="horz" wrap="square" lIns="91440" tIns="45720" rIns="91440" bIns="45720" anchor="t" anchorCtr="0">
                              <a:noAutofit/>
                            </wps:bodyPr>
                          </wps:wsp>
                        </a:graphicData>
                      </a:graphic>
                    </wp:inline>
                  </w:drawing>
                </mc:Choice>
                <mc:Fallback>
                  <w:pict>
                    <v:shape w14:anchorId="40086469" id="Text Box 199" o:spid="_x0000_s1065" type="#_x0000_t202" style="width:291.1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">
                      <v:textbox>
                        <w:txbxContent>
                          <w:p w14:paraId="42642E32" w14:textId="77777777" w:rsidR="009A1120" w:rsidRPr="001A38AB" w:rsidRDefault="009A1120" w:rsidP="009A1120">
                            <w:pPr>
                              <w:rPr>
                                <w:sz w:val="20"/>
                                <w:szCs w:val="20"/>
                              </w:rPr>
                            </w:pPr>
                            <w:r w:rsidRPr="001A38AB">
                              <w:rPr>
                                <w:sz w:val="20"/>
                                <w:szCs w:val="20"/>
                              </w:rPr>
                              <w:t>means all water except coastal water and geothermal water</w:t>
                            </w:r>
                          </w:p>
                        </w:txbxContent>
                      </v:textbox>
                      <w10:anchorlock/>
                    </v:shape>
                  </w:pict>
                </mc:Fallback>
              </mc:AlternateContent>
            </w:r>
          </w:p>
        </w:tc>
      </w:tr>
      <w:tr w:rsidR="009A1120" w:rsidRPr="00472578" w14:paraId="6B5FB9B5" w14:textId="77777777" w:rsidTr="007612BD">
        <w:tc>
          <w:tcPr>
            <w:tcW w:w="2104" w:type="dxa"/>
          </w:tcPr>
          <w:p w14:paraId="3BE43CFD"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Freshwater management unit or FMU</w:t>
            </w:r>
          </w:p>
        </w:tc>
        <w:tc>
          <w:tcPr>
            <w:tcW w:w="7146" w:type="dxa"/>
          </w:tcPr>
          <w:p w14:paraId="3E049CB6"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51FCD40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656E324" wp14:editId="0E54C548">
                      <wp:extent cx="3697356" cy="1097280"/>
                      <wp:effectExtent l="0" t="0" r="17780" b="26670"/>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097280"/>
                              </a:xfrm>
                              <a:prstGeom prst="rect">
                                <a:avLst/>
                              </a:prstGeom>
                              <a:solidFill>
                                <a:srgbClr val="FFFFFF"/>
                              </a:solidFill>
                              <a:ln w="9525">
                                <a:solidFill>
                                  <a:srgbClr val="000000"/>
                                </a:solidFill>
                                <a:miter lim="800000"/>
                                <a:headEnd/>
                                <a:tailEnd/>
                              </a:ln>
                            </wps:spPr>
                            <wps:txbx>
                              <w:txbxContent>
                                <w:p w14:paraId="184D0697" w14:textId="77777777" w:rsidR="009A1120" w:rsidRPr="001A38AB" w:rsidRDefault="009A1120" w:rsidP="009A1120">
                                  <w:pPr>
                                    <w:rPr>
                                      <w:sz w:val="20"/>
                                      <w:szCs w:val="20"/>
                                    </w:rPr>
                                  </w:pPr>
                                  <w:r w:rsidRPr="001A38AB">
                                    <w:rPr>
                                      <w:sz w:val="20"/>
                                      <w:szCs w:val="20"/>
                                    </w:rPr>
                                    <w:t>means all or any part of a water body or water bodies, and their related catchments, that a regional council determines under clause 3.8 is an appropriate unit for freshwater management and accounting purposes; and part of an FMU means any part of an FMU including, but not limited to, a specific site, river reach, water body, or part of a water body</w:t>
                                  </w:r>
                                </w:p>
                              </w:txbxContent>
                            </wps:txbx>
                            <wps:bodyPr rot="0" vert="horz" wrap="square" lIns="91440" tIns="45720" rIns="91440" bIns="45720" anchor="t" anchorCtr="0">
                              <a:noAutofit/>
                            </wps:bodyPr>
                          </wps:wsp>
                        </a:graphicData>
                      </a:graphic>
                    </wp:inline>
                  </w:drawing>
                </mc:Choice>
                <mc:Fallback>
                  <w:pict>
                    <v:shape w14:anchorId="4656E324" id="Text Box 211" o:spid="_x0000_s1066" type="#_x0000_t202" style="width:291.1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">
                      <v:textbox>
                        <w:txbxContent>
                          <w:p w14:paraId="184D0697" w14:textId="77777777" w:rsidR="009A1120" w:rsidRPr="001A38AB" w:rsidRDefault="009A1120" w:rsidP="009A1120">
                            <w:pPr>
                              <w:rPr>
                                <w:sz w:val="20"/>
                                <w:szCs w:val="20"/>
                              </w:rPr>
                            </w:pPr>
                            <w:r w:rsidRPr="001A38AB">
                              <w:rPr>
                                <w:sz w:val="20"/>
                                <w:szCs w:val="20"/>
                              </w:rPr>
                              <w:t>means all or any part of a water body or water bodies, and their related catchments, that a regional council determines under clause 3.8 is an appropriate unit for freshwater management and accounting purposes; and part of an FMU means any part of an FMU including, but not limited to, a specific site, river reach, water body, or part of a water body</w:t>
                            </w:r>
                          </w:p>
                        </w:txbxContent>
                      </v:textbox>
                      <w10:anchorlock/>
                    </v:shape>
                  </w:pict>
                </mc:Fallback>
              </mc:AlternateContent>
            </w:r>
          </w:p>
        </w:tc>
      </w:tr>
      <w:tr w:rsidR="009A1120" w:rsidRPr="00472578" w14:paraId="391D569C" w14:textId="77777777" w:rsidTr="007612BD">
        <w:tc>
          <w:tcPr>
            <w:tcW w:w="2104" w:type="dxa"/>
          </w:tcPr>
          <w:p w14:paraId="52643D6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Functional need</w:t>
            </w:r>
          </w:p>
        </w:tc>
        <w:tc>
          <w:tcPr>
            <w:tcW w:w="7146" w:type="dxa"/>
          </w:tcPr>
          <w:p w14:paraId="6A95755B"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02C4207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5210F87" wp14:editId="405DACF9">
                      <wp:extent cx="3697356" cy="596347"/>
                      <wp:effectExtent l="0" t="0" r="17780" b="1333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96347"/>
                              </a:xfrm>
                              <a:prstGeom prst="rect">
                                <a:avLst/>
                              </a:prstGeom>
                              <a:solidFill>
                                <a:srgbClr val="FFFFFF"/>
                              </a:solidFill>
                              <a:ln w="9525">
                                <a:solidFill>
                                  <a:srgbClr val="000000"/>
                                </a:solidFill>
                                <a:miter lim="800000"/>
                                <a:headEnd/>
                                <a:tailEnd/>
                              </a:ln>
                            </wps:spPr>
                            <wps:txbx>
                              <w:txbxContent>
                                <w:p w14:paraId="5E027AD6" w14:textId="77777777" w:rsidR="009A1120" w:rsidRPr="001A38AB" w:rsidRDefault="009A1120" w:rsidP="009A1120">
                                  <w:pPr>
                                    <w:spacing w:after="60"/>
                                    <w:rPr>
                                      <w:sz w:val="20"/>
                                      <w:szCs w:val="20"/>
                                    </w:rPr>
                                  </w:pPr>
                                  <w:r w:rsidRPr="001A38AB">
                                    <w:rPr>
                                      <w:sz w:val="20"/>
                                      <w:szCs w:val="20"/>
                                    </w:rPr>
                                    <w:t>means the need for a proposal or activity to traverse, locate or operate in a particular environment because the activity can only occur in that environment</w:t>
                                  </w:r>
                                </w:p>
                              </w:txbxContent>
                            </wps:txbx>
                            <wps:bodyPr rot="0" vert="horz" wrap="square" lIns="91440" tIns="45720" rIns="91440" bIns="45720" anchor="t" anchorCtr="0">
                              <a:noAutofit/>
                            </wps:bodyPr>
                          </wps:wsp>
                        </a:graphicData>
                      </a:graphic>
                    </wp:inline>
                  </w:drawing>
                </mc:Choice>
                <mc:Fallback>
                  <w:pict>
                    <v:shape w14:anchorId="65210F87" id="Text Box 30" o:spid="_x0000_s1067" type="#_x0000_t202" style="width:291.1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">
                      <v:textbox>
                        <w:txbxContent>
                          <w:p w14:paraId="5E027AD6" w14:textId="77777777" w:rsidR="009A1120" w:rsidRPr="001A38AB" w:rsidRDefault="009A1120" w:rsidP="009A1120">
                            <w:pPr>
                              <w:spacing w:after="60"/>
                              <w:rPr>
                                <w:sz w:val="20"/>
                                <w:szCs w:val="20"/>
                              </w:rPr>
                            </w:pPr>
                            <w:r w:rsidRPr="001A38AB">
                              <w:rPr>
                                <w:sz w:val="20"/>
                                <w:szCs w:val="20"/>
                              </w:rPr>
                              <w:t>means the need for a proposal or activity to traverse, locate or operate in a particular environment because the activity can only occur in that environment</w:t>
                            </w:r>
                          </w:p>
                        </w:txbxContent>
                      </v:textbox>
                      <w10:anchorlock/>
                    </v:shape>
                  </w:pict>
                </mc:Fallback>
              </mc:AlternateContent>
            </w:r>
          </w:p>
        </w:tc>
      </w:tr>
      <w:tr w:rsidR="009A1120" w:rsidRPr="00472578" w14:paraId="722E634F" w14:textId="77777777" w:rsidTr="007612BD">
        <w:tc>
          <w:tcPr>
            <w:tcW w:w="2104" w:type="dxa"/>
          </w:tcPr>
          <w:p w14:paraId="3590640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Future development strategy</w:t>
            </w:r>
          </w:p>
        </w:tc>
        <w:tc>
          <w:tcPr>
            <w:tcW w:w="7146" w:type="dxa"/>
          </w:tcPr>
          <w:p w14:paraId="7F5B6591"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National Policy Statement for Urban Development 2020 (as set out in the box below)</w:t>
            </w:r>
          </w:p>
          <w:p w14:paraId="70546ED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4C19AC1" wp14:editId="725AD732">
                      <wp:extent cx="3697356" cy="447675"/>
                      <wp:effectExtent l="0" t="0" r="17780" b="28575"/>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47675"/>
                              </a:xfrm>
                              <a:prstGeom prst="rect">
                                <a:avLst/>
                              </a:prstGeom>
                              <a:solidFill>
                                <a:srgbClr val="FFFFFF"/>
                              </a:solidFill>
                              <a:ln w="9525">
                                <a:solidFill>
                                  <a:srgbClr val="000000"/>
                                </a:solidFill>
                                <a:miter lim="800000"/>
                                <a:headEnd/>
                                <a:tailEnd/>
                              </a:ln>
                            </wps:spPr>
                            <wps:txbx>
                              <w:txbxContent>
                                <w:p w14:paraId="202F557C" w14:textId="77777777" w:rsidR="009A1120" w:rsidRPr="001A38AB" w:rsidRDefault="009A1120" w:rsidP="009A1120">
                                  <w:pPr>
                                    <w:spacing w:after="60"/>
                                    <w:rPr>
                                      <w:sz w:val="20"/>
                                      <w:szCs w:val="20"/>
                                    </w:rPr>
                                  </w:pPr>
                                  <w:r>
                                    <w:rPr>
                                      <w:sz w:val="20"/>
                                      <w:szCs w:val="20"/>
                                    </w:rPr>
                                    <w:t>means the Future Development Strategy required by subpart 4 of Part 3</w:t>
                                  </w:r>
                                </w:p>
                              </w:txbxContent>
                            </wps:txbx>
                            <wps:bodyPr rot="0" vert="horz" wrap="square" lIns="91440" tIns="45720" rIns="91440" bIns="45720" anchor="t" anchorCtr="0">
                              <a:noAutofit/>
                            </wps:bodyPr>
                          </wps:wsp>
                        </a:graphicData>
                      </a:graphic>
                    </wp:inline>
                  </w:drawing>
                </mc:Choice>
                <mc:Fallback>
                  <w:pict>
                    <v:shape w14:anchorId="64C19AC1" id="Text Box 235" o:spid="_x0000_s1068" type="#_x0000_t202" style="width:291.1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">
                      <v:textbox>
                        <w:txbxContent>
                          <w:p w14:paraId="202F557C" w14:textId="77777777" w:rsidR="009A1120" w:rsidRPr="001A38AB" w:rsidRDefault="009A1120" w:rsidP="009A1120">
                            <w:pPr>
                              <w:spacing w:after="60"/>
                              <w:rPr>
                                <w:sz w:val="20"/>
                                <w:szCs w:val="20"/>
                              </w:rPr>
                            </w:pPr>
                            <w:r>
                              <w:rPr>
                                <w:sz w:val="20"/>
                                <w:szCs w:val="20"/>
                              </w:rPr>
                              <w:t>means the Future Development Strategy required by subpart 4 of Part 3</w:t>
                            </w:r>
                          </w:p>
                        </w:txbxContent>
                      </v:textbox>
                      <w10:anchorlock/>
                    </v:shape>
                  </w:pict>
                </mc:Fallback>
              </mc:AlternateContent>
            </w:r>
          </w:p>
        </w:tc>
      </w:tr>
      <w:tr w:rsidR="009A1120" w:rsidRPr="00472578" w14:paraId="16DBF5E6" w14:textId="77777777" w:rsidTr="007612BD">
        <w:tc>
          <w:tcPr>
            <w:tcW w:w="2104" w:type="dxa"/>
          </w:tcPr>
          <w:p w14:paraId="78A4C91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Greenhouse gas</w:t>
            </w:r>
          </w:p>
        </w:tc>
        <w:tc>
          <w:tcPr>
            <w:tcW w:w="7146" w:type="dxa"/>
          </w:tcPr>
          <w:p w14:paraId="64C3F0F1"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4(1) of the Climate Change Response Act 2002 (as set in in the box below)</w:t>
            </w:r>
          </w:p>
          <w:p w14:paraId="4BFF2930"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21FE8763" wp14:editId="3C9C9BEF">
                      <wp:extent cx="3697356" cy="1518699"/>
                      <wp:effectExtent l="0" t="0" r="17780" b="24765"/>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518699"/>
                              </a:xfrm>
                              <a:prstGeom prst="rect">
                                <a:avLst/>
                              </a:prstGeom>
                              <a:solidFill>
                                <a:srgbClr val="FFFFFF"/>
                              </a:solidFill>
                              <a:ln w="9525">
                                <a:solidFill>
                                  <a:srgbClr val="000000"/>
                                </a:solidFill>
                                <a:miter lim="800000"/>
                                <a:headEnd/>
                                <a:tailEnd/>
                              </a:ln>
                            </wps:spPr>
                            <wps:txbx>
                              <w:txbxContent>
                                <w:p w14:paraId="52EF458C" w14:textId="77777777" w:rsidR="009A1120" w:rsidRPr="001A38AB" w:rsidRDefault="009A1120" w:rsidP="009A1120">
                                  <w:pPr>
                                    <w:spacing w:after="60"/>
                                    <w:rPr>
                                      <w:sz w:val="20"/>
                                      <w:szCs w:val="20"/>
                                    </w:rPr>
                                  </w:pPr>
                                  <w:r w:rsidRPr="001A38AB">
                                    <w:rPr>
                                      <w:sz w:val="20"/>
                                      <w:szCs w:val="20"/>
                                    </w:rPr>
                                    <w:t>means—</w:t>
                                  </w:r>
                                </w:p>
                                <w:p w14:paraId="404BDAFC"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carbon dioxide (CO2):</w:t>
                                  </w:r>
                                </w:p>
                                <w:p w14:paraId="391CC832"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methane (CH4):</w:t>
                                  </w:r>
                                </w:p>
                                <w:p w14:paraId="2038E70E"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nitrous oxide (N2O):</w:t>
                                  </w:r>
                                </w:p>
                                <w:p w14:paraId="4204C31A"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any hydrofluorocarbon:</w:t>
                                  </w:r>
                                </w:p>
                                <w:p w14:paraId="4BBD8D11" w14:textId="77777777" w:rsidR="009A1120" w:rsidRPr="001A38AB" w:rsidRDefault="009A1120" w:rsidP="009A1120">
                                  <w:pPr>
                                    <w:spacing w:after="60"/>
                                    <w:ind w:left="284" w:hanging="284"/>
                                    <w:rPr>
                                      <w:sz w:val="20"/>
                                      <w:szCs w:val="20"/>
                                    </w:rPr>
                                  </w:pPr>
                                  <w:r w:rsidRPr="001A38AB">
                                    <w:rPr>
                                      <w:sz w:val="20"/>
                                      <w:szCs w:val="20"/>
                                    </w:rPr>
                                    <w:t>(e)</w:t>
                                  </w:r>
                                  <w:r w:rsidRPr="001A38AB">
                                    <w:rPr>
                                      <w:sz w:val="20"/>
                                      <w:szCs w:val="20"/>
                                    </w:rPr>
                                    <w:tab/>
                                    <w:t>any perfluorocarbon:</w:t>
                                  </w:r>
                                </w:p>
                                <w:p w14:paraId="41D9B019" w14:textId="77777777" w:rsidR="009A1120" w:rsidRPr="001A38AB" w:rsidRDefault="009A1120" w:rsidP="009A1120">
                                  <w:pPr>
                                    <w:spacing w:after="60"/>
                                    <w:ind w:left="284" w:hanging="284"/>
                                    <w:rPr>
                                      <w:sz w:val="20"/>
                                      <w:szCs w:val="20"/>
                                    </w:rPr>
                                  </w:pPr>
                                  <w:r w:rsidRPr="001A38AB">
                                    <w:rPr>
                                      <w:sz w:val="20"/>
                                      <w:szCs w:val="20"/>
                                    </w:rPr>
                                    <w:t>(f)</w:t>
                                  </w:r>
                                  <w:r>
                                    <w:rPr>
                                      <w:sz w:val="20"/>
                                      <w:szCs w:val="20"/>
                                    </w:rPr>
                                    <w:tab/>
                                  </w:r>
                                  <w:r w:rsidRPr="001A38AB">
                                    <w:rPr>
                                      <w:sz w:val="20"/>
                                      <w:szCs w:val="20"/>
                                    </w:rPr>
                                    <w:t>sulphur hexafluoride (SF6)</w:t>
                                  </w:r>
                                </w:p>
                              </w:txbxContent>
                            </wps:txbx>
                            <wps:bodyPr rot="0" vert="horz" wrap="square" lIns="91440" tIns="45720" rIns="91440" bIns="45720" anchor="t" anchorCtr="0">
                              <a:noAutofit/>
                            </wps:bodyPr>
                          </wps:wsp>
                        </a:graphicData>
                      </a:graphic>
                    </wp:inline>
                  </w:drawing>
                </mc:Choice>
                <mc:Fallback>
                  <w:pict>
                    <v:shape w14:anchorId="21FE8763" id="Text Box 216" o:spid="_x0000_s1069" type="#_x0000_t202" style="width:291.1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">
                      <v:textbox>
                        <w:txbxContent>
                          <w:p w14:paraId="52EF458C" w14:textId="77777777" w:rsidR="009A1120" w:rsidRPr="001A38AB" w:rsidRDefault="009A1120" w:rsidP="009A1120">
                            <w:pPr>
                              <w:spacing w:after="60"/>
                              <w:rPr>
                                <w:sz w:val="20"/>
                                <w:szCs w:val="20"/>
                              </w:rPr>
                            </w:pPr>
                            <w:r w:rsidRPr="001A38AB">
                              <w:rPr>
                                <w:sz w:val="20"/>
                                <w:szCs w:val="20"/>
                              </w:rPr>
                              <w:t>means—</w:t>
                            </w:r>
                          </w:p>
                          <w:p w14:paraId="404BDAFC"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carbon dioxide (CO2):</w:t>
                            </w:r>
                          </w:p>
                          <w:p w14:paraId="391CC832"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methane (CH4):</w:t>
                            </w:r>
                          </w:p>
                          <w:p w14:paraId="2038E70E"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nitrous oxide (N2O):</w:t>
                            </w:r>
                          </w:p>
                          <w:p w14:paraId="4204C31A"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any hydrofluorocarbon:</w:t>
                            </w:r>
                          </w:p>
                          <w:p w14:paraId="4BBD8D11" w14:textId="77777777" w:rsidR="009A1120" w:rsidRPr="001A38AB" w:rsidRDefault="009A1120" w:rsidP="009A1120">
                            <w:pPr>
                              <w:spacing w:after="60"/>
                              <w:ind w:left="284" w:hanging="284"/>
                              <w:rPr>
                                <w:sz w:val="20"/>
                                <w:szCs w:val="20"/>
                              </w:rPr>
                            </w:pPr>
                            <w:r w:rsidRPr="001A38AB">
                              <w:rPr>
                                <w:sz w:val="20"/>
                                <w:szCs w:val="20"/>
                              </w:rPr>
                              <w:t>(e)</w:t>
                            </w:r>
                            <w:r w:rsidRPr="001A38AB">
                              <w:rPr>
                                <w:sz w:val="20"/>
                                <w:szCs w:val="20"/>
                              </w:rPr>
                              <w:tab/>
                              <w:t>any perfluorocarbon:</w:t>
                            </w:r>
                          </w:p>
                          <w:p w14:paraId="41D9B019" w14:textId="77777777" w:rsidR="009A1120" w:rsidRPr="001A38AB" w:rsidRDefault="009A1120" w:rsidP="009A1120">
                            <w:pPr>
                              <w:spacing w:after="60"/>
                              <w:ind w:left="284" w:hanging="284"/>
                              <w:rPr>
                                <w:sz w:val="20"/>
                                <w:szCs w:val="20"/>
                              </w:rPr>
                            </w:pPr>
                            <w:r w:rsidRPr="001A38AB">
                              <w:rPr>
                                <w:sz w:val="20"/>
                                <w:szCs w:val="20"/>
                              </w:rPr>
                              <w:t>(f)</w:t>
                            </w:r>
                            <w:r>
                              <w:rPr>
                                <w:sz w:val="20"/>
                                <w:szCs w:val="20"/>
                              </w:rPr>
                              <w:tab/>
                            </w:r>
                            <w:r w:rsidRPr="001A38AB">
                              <w:rPr>
                                <w:sz w:val="20"/>
                                <w:szCs w:val="20"/>
                              </w:rPr>
                              <w:t>sulphur hexafluoride (SF6)</w:t>
                            </w:r>
                          </w:p>
                        </w:txbxContent>
                      </v:textbox>
                      <w10:anchorlock/>
                    </v:shape>
                  </w:pict>
                </mc:Fallback>
              </mc:AlternateContent>
            </w:r>
          </w:p>
        </w:tc>
      </w:tr>
      <w:tr w:rsidR="009A1120" w:rsidRPr="00472578" w14:paraId="0D0F2257" w14:textId="77777777" w:rsidTr="007612BD">
        <w:tc>
          <w:tcPr>
            <w:tcW w:w="2104" w:type="dxa"/>
          </w:tcPr>
          <w:p w14:paraId="0F753BC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Groundwater</w:t>
            </w:r>
          </w:p>
        </w:tc>
        <w:tc>
          <w:tcPr>
            <w:tcW w:w="7146" w:type="dxa"/>
          </w:tcPr>
          <w:p w14:paraId="1F82A56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7210E431"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F16F7CA" wp14:editId="0F2CE3AB">
                      <wp:extent cx="3697356" cy="445273"/>
                      <wp:effectExtent l="0" t="0" r="17780" b="12065"/>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45273"/>
                              </a:xfrm>
                              <a:prstGeom prst="rect">
                                <a:avLst/>
                              </a:prstGeom>
                              <a:solidFill>
                                <a:srgbClr val="FFFFFF"/>
                              </a:solidFill>
                              <a:ln w="9525">
                                <a:solidFill>
                                  <a:srgbClr val="000000"/>
                                </a:solidFill>
                                <a:miter lim="800000"/>
                                <a:headEnd/>
                                <a:tailEnd/>
                              </a:ln>
                            </wps:spPr>
                            <wps:txbx>
                              <w:txbxContent>
                                <w:p w14:paraId="574590A3" w14:textId="77777777" w:rsidR="009A1120" w:rsidRPr="001A38AB" w:rsidRDefault="009A1120" w:rsidP="009A1120">
                                  <w:pPr>
                                    <w:spacing w:after="60"/>
                                    <w:rPr>
                                      <w:sz w:val="20"/>
                                      <w:szCs w:val="20"/>
                                    </w:rPr>
                                  </w:pPr>
                                  <w:r w:rsidRPr="001A38AB">
                                    <w:rPr>
                                      <w:sz w:val="20"/>
                                      <w:szCs w:val="20"/>
                                    </w:rPr>
                                    <w:t>means water occupying openings, cavities, or spaces in soils or rocks beneath the surface of the ground</w:t>
                                  </w:r>
                                </w:p>
                              </w:txbxContent>
                            </wps:txbx>
                            <wps:bodyPr rot="0" vert="horz" wrap="square" lIns="91440" tIns="45720" rIns="91440" bIns="45720" anchor="t" anchorCtr="0">
                              <a:noAutofit/>
                            </wps:bodyPr>
                          </wps:wsp>
                        </a:graphicData>
                      </a:graphic>
                    </wp:inline>
                  </w:drawing>
                </mc:Choice>
                <mc:Fallback>
                  <w:pict>
                    <v:shape w14:anchorId="5F16F7CA" id="Text Box 207" o:spid="_x0000_s1070" type="#_x0000_t202" style="width:291.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">
                      <v:textbox>
                        <w:txbxContent>
                          <w:p w14:paraId="574590A3" w14:textId="77777777" w:rsidR="009A1120" w:rsidRPr="001A38AB" w:rsidRDefault="009A1120" w:rsidP="009A1120">
                            <w:pPr>
                              <w:spacing w:after="60"/>
                              <w:rPr>
                                <w:sz w:val="20"/>
                                <w:szCs w:val="20"/>
                              </w:rPr>
                            </w:pPr>
                            <w:r w:rsidRPr="001A38AB">
                              <w:rPr>
                                <w:sz w:val="20"/>
                                <w:szCs w:val="20"/>
                              </w:rPr>
                              <w:t>means water occupying openings, cavities, or spaces in soils or rocks beneath the surface of the ground</w:t>
                            </w:r>
                          </w:p>
                        </w:txbxContent>
                      </v:textbox>
                      <w10:anchorlock/>
                    </v:shape>
                  </w:pict>
                </mc:Fallback>
              </mc:AlternateContent>
            </w:r>
          </w:p>
        </w:tc>
      </w:tr>
      <w:tr w:rsidR="009A1120" w:rsidRPr="00472578" w14:paraId="79EBD63A" w14:textId="77777777" w:rsidTr="007612BD">
        <w:tc>
          <w:tcPr>
            <w:tcW w:w="2104" w:type="dxa"/>
          </w:tcPr>
          <w:p w14:paraId="18A524D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Hard protection structure</w:t>
            </w:r>
          </w:p>
        </w:tc>
        <w:tc>
          <w:tcPr>
            <w:tcW w:w="7146" w:type="dxa"/>
          </w:tcPr>
          <w:p w14:paraId="12843A8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within the coastal environment, has the same meaning as in the Glossary of the New Zealand Coastal Policy Statement 2010 (as set out in the box below)</w:t>
            </w:r>
          </w:p>
          <w:p w14:paraId="75C5493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826BE15" wp14:editId="115716DB">
                      <wp:extent cx="3697356" cy="914400"/>
                      <wp:effectExtent l="0" t="0" r="17780" b="19050"/>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14400"/>
                              </a:xfrm>
                              <a:prstGeom prst="rect">
                                <a:avLst/>
                              </a:prstGeom>
                              <a:solidFill>
                                <a:srgbClr val="FFFFFF"/>
                              </a:solidFill>
                              <a:ln w="9525">
                                <a:solidFill>
                                  <a:srgbClr val="000000"/>
                                </a:solidFill>
                                <a:miter lim="800000"/>
                                <a:headEnd/>
                                <a:tailEnd/>
                              </a:ln>
                            </wps:spPr>
                            <wps:txbx>
                              <w:txbxContent>
                                <w:p w14:paraId="22CAAA16" w14:textId="77777777" w:rsidR="009A1120" w:rsidRPr="001A38AB" w:rsidRDefault="009A1120" w:rsidP="009A1120">
                                  <w:pPr>
                                    <w:spacing w:after="60"/>
                                    <w:rPr>
                                      <w:sz w:val="20"/>
                                      <w:szCs w:val="20"/>
                                    </w:rPr>
                                  </w:pPr>
                                  <w:r w:rsidRPr="001A38AB">
                                    <w:rPr>
                                      <w:sz w:val="20"/>
                                      <w:szCs w:val="20"/>
                                    </w:rPr>
                                    <w:t>includes a seawall, rock revetment, groyne, breakwater, stop bank, retaining wall or comparable structure or modification to the seabed, foreshore or coastal land that has the primary purpose or effect of protecting an activity from a coastal hazard, including erosion</w:t>
                                  </w:r>
                                </w:p>
                              </w:txbxContent>
                            </wps:txbx>
                            <wps:bodyPr rot="0" vert="horz" wrap="square" lIns="91440" tIns="45720" rIns="91440" bIns="45720" anchor="t" anchorCtr="0">
                              <a:noAutofit/>
                            </wps:bodyPr>
                          </wps:wsp>
                        </a:graphicData>
                      </a:graphic>
                    </wp:inline>
                  </w:drawing>
                </mc:Choice>
                <mc:Fallback>
                  <w:pict>
                    <v:shape w14:anchorId="4826BE15" id="Text Box 231" o:spid="_x0000_s1071" type="#_x0000_t202" style="width:291.1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">
                      <v:textbox>
                        <w:txbxContent>
                          <w:p w14:paraId="22CAAA16" w14:textId="77777777" w:rsidR="009A1120" w:rsidRPr="001A38AB" w:rsidRDefault="009A1120" w:rsidP="009A1120">
                            <w:pPr>
                              <w:spacing w:after="60"/>
                              <w:rPr>
                                <w:sz w:val="20"/>
                                <w:szCs w:val="20"/>
                              </w:rPr>
                            </w:pPr>
                            <w:r w:rsidRPr="001A38AB">
                              <w:rPr>
                                <w:sz w:val="20"/>
                                <w:szCs w:val="20"/>
                              </w:rPr>
                              <w:t>includes a seawall, rock revetment, groyne, breakwater, stop bank, retaining wall or comparable structure or modification to the seabed, foreshore or coastal land that has the primary purpose or effect of protecting an activity from a coastal hazard, including erosion</w:t>
                            </w:r>
                          </w:p>
                        </w:txbxContent>
                      </v:textbox>
                      <w10:anchorlock/>
                    </v:shape>
                  </w:pict>
                </mc:Fallback>
              </mc:AlternateContent>
            </w:r>
          </w:p>
          <w:p w14:paraId="2C97BC5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and</w:t>
            </w:r>
          </w:p>
          <w:p w14:paraId="542065BD" w14:textId="3CE51750"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outside the coastal environment, </w:t>
            </w:r>
            <w:r w:rsidRPr="00C46415">
              <w:rPr>
                <w:sz w:val="20"/>
                <w:szCs w:val="20"/>
                <w:u w:val="single"/>
              </w:rPr>
              <w:t xml:space="preserve">means </w:t>
            </w:r>
            <w:r w:rsidR="00C46415" w:rsidRPr="00C46415">
              <w:rPr>
                <w:sz w:val="20"/>
                <w:szCs w:val="20"/>
                <w:u w:val="single"/>
              </w:rPr>
              <w:t>any kind of structure which is specifically established for the purpose of natural hazard risk mitigation, including</w:t>
            </w:r>
            <w:r w:rsidR="00C46415">
              <w:rPr>
                <w:sz w:val="20"/>
                <w:szCs w:val="20"/>
              </w:rPr>
              <w:t>:</w:t>
            </w:r>
            <w:r w:rsidR="00C46415" w:rsidRPr="00C46415">
              <w:rPr>
                <w:sz w:val="20"/>
                <w:szCs w:val="20"/>
              </w:rPr>
              <w:t xml:space="preserve"> </w:t>
            </w:r>
            <w:r w:rsidRPr="00B552C2">
              <w:rPr>
                <w:strike/>
                <w:sz w:val="20"/>
                <w:szCs w:val="20"/>
              </w:rPr>
              <w:t>any</w:t>
            </w:r>
            <w:r w:rsidRPr="00472578">
              <w:rPr>
                <w:sz w:val="20"/>
                <w:szCs w:val="20"/>
              </w:rPr>
              <w:t xml:space="preserve"> dam</w:t>
            </w:r>
            <w:r w:rsidR="00B552C2">
              <w:rPr>
                <w:sz w:val="20"/>
                <w:szCs w:val="20"/>
                <w:u w:val="single"/>
              </w:rPr>
              <w:t>s</w:t>
            </w:r>
            <w:r w:rsidRPr="00472578">
              <w:rPr>
                <w:sz w:val="20"/>
                <w:szCs w:val="20"/>
              </w:rPr>
              <w:t>, weir</w:t>
            </w:r>
            <w:r w:rsidR="00B552C2">
              <w:rPr>
                <w:sz w:val="20"/>
                <w:szCs w:val="20"/>
                <w:u w:val="single"/>
              </w:rPr>
              <w:t>s</w:t>
            </w:r>
            <w:r w:rsidRPr="00472578">
              <w:rPr>
                <w:sz w:val="20"/>
                <w:szCs w:val="20"/>
              </w:rPr>
              <w:t xml:space="preserve">, </w:t>
            </w:r>
            <w:proofErr w:type="spellStart"/>
            <w:r w:rsidRPr="00472578">
              <w:rPr>
                <w:sz w:val="20"/>
                <w:szCs w:val="20"/>
              </w:rPr>
              <w:t>stopbank</w:t>
            </w:r>
            <w:r w:rsidR="00B552C2">
              <w:rPr>
                <w:sz w:val="20"/>
                <w:szCs w:val="20"/>
                <w:u w:val="single"/>
              </w:rPr>
              <w:t>s</w:t>
            </w:r>
            <w:proofErr w:type="spellEnd"/>
            <w:r w:rsidRPr="00472578">
              <w:rPr>
                <w:sz w:val="20"/>
                <w:szCs w:val="20"/>
              </w:rPr>
              <w:t>, carriageway</w:t>
            </w:r>
            <w:r w:rsidR="00B552C2">
              <w:rPr>
                <w:sz w:val="20"/>
                <w:szCs w:val="20"/>
                <w:u w:val="single"/>
              </w:rPr>
              <w:t>s</w:t>
            </w:r>
            <w:r w:rsidRPr="00472578">
              <w:rPr>
                <w:sz w:val="20"/>
                <w:szCs w:val="20"/>
              </w:rPr>
              <w:t>, groyne</w:t>
            </w:r>
            <w:r w:rsidR="00B552C2">
              <w:rPr>
                <w:sz w:val="20"/>
                <w:szCs w:val="20"/>
                <w:u w:val="single"/>
              </w:rPr>
              <w:t>s</w:t>
            </w:r>
            <w:r w:rsidRPr="00472578">
              <w:rPr>
                <w:sz w:val="20"/>
                <w:szCs w:val="20"/>
              </w:rPr>
              <w:t>, or reservoir</w:t>
            </w:r>
            <w:r w:rsidR="00B552C2">
              <w:rPr>
                <w:sz w:val="20"/>
                <w:szCs w:val="20"/>
                <w:u w:val="single"/>
              </w:rPr>
              <w:t>s</w:t>
            </w:r>
            <w:r w:rsidRPr="00472578">
              <w:rPr>
                <w:sz w:val="20"/>
                <w:szCs w:val="20"/>
              </w:rPr>
              <w:t xml:space="preserve"> </w:t>
            </w:r>
            <w:r w:rsidRPr="00B552C2">
              <w:rPr>
                <w:strike/>
                <w:sz w:val="20"/>
                <w:szCs w:val="20"/>
              </w:rPr>
              <w:t>and any structure or appliance of any kind which is specifically established for the purpose of natural hazard risk mitigation</w:t>
            </w:r>
            <w:r w:rsidR="001713B6" w:rsidRPr="001713B6">
              <w:rPr>
                <w:sz w:val="20"/>
                <w:szCs w:val="20"/>
              </w:rPr>
              <w:t>.</w:t>
            </w:r>
            <w:r w:rsidR="00683DB9" w:rsidRPr="004F73BC">
              <w:rPr>
                <w:rStyle w:val="FootnoteReference"/>
                <w:sz w:val="20"/>
                <w:szCs w:val="20"/>
              </w:rPr>
              <w:footnoteReference w:id="102"/>
            </w:r>
          </w:p>
        </w:tc>
      </w:tr>
      <w:tr w:rsidR="00BC7C16" w:rsidRPr="00472578" w14:paraId="7033440E" w14:textId="77777777" w:rsidTr="007612BD">
        <w:tc>
          <w:tcPr>
            <w:tcW w:w="2104" w:type="dxa"/>
          </w:tcPr>
          <w:p w14:paraId="27CDAD6C" w14:textId="1B9B073B" w:rsidR="00BC7C16" w:rsidRPr="00BC7C16" w:rsidRDefault="00BC7C16" w:rsidP="00DC6CD9">
            <w:pPr>
              <w:tabs>
                <w:tab w:val="center" w:pos="4513"/>
                <w:tab w:val="right" w:pos="9026"/>
              </w:tabs>
              <w:spacing w:before="60" w:after="60"/>
              <w:rPr>
                <w:b/>
                <w:bCs/>
                <w:sz w:val="20"/>
                <w:szCs w:val="20"/>
                <w:u w:val="single"/>
              </w:rPr>
            </w:pPr>
            <w:r w:rsidRPr="00BC7C16">
              <w:rPr>
                <w:b/>
                <w:bCs/>
                <w:sz w:val="20"/>
                <w:szCs w:val="20"/>
                <w:u w:val="single"/>
              </w:rPr>
              <w:t>High valued species and vegetation types</w:t>
            </w:r>
            <w:r w:rsidR="00206AA9" w:rsidRPr="00206AA9">
              <w:rPr>
                <w:rStyle w:val="FootnoteReference"/>
                <w:b/>
                <w:bCs/>
                <w:sz w:val="20"/>
                <w:szCs w:val="20"/>
              </w:rPr>
              <w:footnoteReference w:id="103"/>
            </w:r>
          </w:p>
        </w:tc>
        <w:tc>
          <w:tcPr>
            <w:tcW w:w="7146" w:type="dxa"/>
          </w:tcPr>
          <w:p w14:paraId="016F8947" w14:textId="7BAD9DC0" w:rsidR="00BC7C16" w:rsidRPr="0067594E" w:rsidRDefault="0067594E" w:rsidP="00E92686">
            <w:pPr>
              <w:tabs>
                <w:tab w:val="center" w:pos="4513"/>
                <w:tab w:val="right" w:pos="9026"/>
              </w:tabs>
              <w:spacing w:before="60" w:after="60"/>
              <w:jc w:val="both"/>
              <w:rPr>
                <w:sz w:val="20"/>
                <w:szCs w:val="20"/>
                <w:u w:val="single"/>
              </w:rPr>
            </w:pPr>
            <w:r w:rsidRPr="0067594E">
              <w:rPr>
                <w:sz w:val="20"/>
                <w:szCs w:val="20"/>
                <w:u w:val="single"/>
              </w:rPr>
              <w:t>include:</w:t>
            </w:r>
          </w:p>
          <w:p w14:paraId="481B4623" w14:textId="77777777" w:rsidR="0067594E" w:rsidRPr="0067594E" w:rsidRDefault="0067594E" w:rsidP="0067594E">
            <w:pPr>
              <w:tabs>
                <w:tab w:val="center" w:pos="4513"/>
                <w:tab w:val="right" w:pos="9026"/>
              </w:tabs>
              <w:spacing w:before="60" w:after="60" w:line="240" w:lineRule="auto"/>
              <w:ind w:left="479" w:hanging="479"/>
              <w:jc w:val="both"/>
              <w:rPr>
                <w:sz w:val="20"/>
                <w:szCs w:val="20"/>
                <w:u w:val="single"/>
              </w:rPr>
            </w:pPr>
            <w:r w:rsidRPr="0067594E">
              <w:rPr>
                <w:sz w:val="20"/>
                <w:szCs w:val="20"/>
                <w:u w:val="single"/>
              </w:rPr>
              <w:t>(a)</w:t>
            </w:r>
            <w:r w:rsidRPr="0067594E">
              <w:rPr>
                <w:sz w:val="20"/>
                <w:szCs w:val="20"/>
                <w:u w:val="single"/>
              </w:rPr>
              <w:tab/>
              <w:t xml:space="preserve">any agricultural, pastoral, horticultural, or plantation forestry </w:t>
            </w:r>
            <w:proofErr w:type="gramStart"/>
            <w:r w:rsidRPr="0067594E">
              <w:rPr>
                <w:sz w:val="20"/>
                <w:szCs w:val="20"/>
                <w:u w:val="single"/>
              </w:rPr>
              <w:t>activities;</w:t>
            </w:r>
            <w:proofErr w:type="gramEnd"/>
            <w:r w:rsidRPr="0067594E">
              <w:rPr>
                <w:sz w:val="20"/>
                <w:szCs w:val="20"/>
                <w:u w:val="single"/>
              </w:rPr>
              <w:t xml:space="preserve"> </w:t>
            </w:r>
          </w:p>
          <w:p w14:paraId="595E8B6C" w14:textId="77777777" w:rsidR="0067594E" w:rsidRPr="0067594E" w:rsidRDefault="0067594E" w:rsidP="0067594E">
            <w:pPr>
              <w:tabs>
                <w:tab w:val="center" w:pos="4513"/>
                <w:tab w:val="right" w:pos="9026"/>
              </w:tabs>
              <w:spacing w:before="60" w:after="60" w:line="240" w:lineRule="auto"/>
              <w:ind w:left="479" w:hanging="479"/>
              <w:jc w:val="both"/>
              <w:rPr>
                <w:sz w:val="20"/>
                <w:szCs w:val="20"/>
                <w:u w:val="single"/>
              </w:rPr>
            </w:pPr>
            <w:r w:rsidRPr="0067594E">
              <w:rPr>
                <w:sz w:val="20"/>
                <w:szCs w:val="20"/>
                <w:u w:val="single"/>
              </w:rPr>
              <w:t>(b)</w:t>
            </w:r>
            <w:r w:rsidRPr="0067594E">
              <w:rPr>
                <w:sz w:val="20"/>
                <w:szCs w:val="20"/>
                <w:u w:val="single"/>
              </w:rPr>
              <w:tab/>
              <w:t>includes, as an ancillary activity, the initial processing of commodities that result from the activities listed in (a); and</w:t>
            </w:r>
          </w:p>
          <w:p w14:paraId="1B179EDB" w14:textId="77777777" w:rsidR="0067594E" w:rsidRPr="0067594E" w:rsidRDefault="0067594E" w:rsidP="0067594E">
            <w:pPr>
              <w:tabs>
                <w:tab w:val="center" w:pos="4513"/>
                <w:tab w:val="right" w:pos="9026"/>
              </w:tabs>
              <w:spacing w:before="60" w:after="60" w:line="240" w:lineRule="auto"/>
              <w:ind w:left="479" w:hanging="479"/>
              <w:jc w:val="both"/>
              <w:rPr>
                <w:sz w:val="20"/>
                <w:szCs w:val="20"/>
                <w:u w:val="single"/>
              </w:rPr>
            </w:pPr>
            <w:r w:rsidRPr="0067594E">
              <w:rPr>
                <w:sz w:val="20"/>
                <w:szCs w:val="20"/>
                <w:u w:val="single"/>
              </w:rPr>
              <w:t>(c)</w:t>
            </w:r>
            <w:r w:rsidRPr="0067594E">
              <w:rPr>
                <w:sz w:val="20"/>
                <w:szCs w:val="20"/>
                <w:u w:val="single"/>
              </w:rPr>
              <w:tab/>
              <w:t>includes any land and buildings used for (a) and (b); but</w:t>
            </w:r>
          </w:p>
          <w:p w14:paraId="1882E260" w14:textId="7435EB42" w:rsidR="0067594E" w:rsidRPr="00472578" w:rsidRDefault="0067594E" w:rsidP="0067594E">
            <w:pPr>
              <w:tabs>
                <w:tab w:val="center" w:pos="4513"/>
                <w:tab w:val="right" w:pos="9026"/>
              </w:tabs>
              <w:spacing w:before="60" w:after="60"/>
              <w:ind w:left="479" w:hanging="479"/>
              <w:jc w:val="both"/>
              <w:rPr>
                <w:sz w:val="20"/>
                <w:szCs w:val="20"/>
              </w:rPr>
            </w:pPr>
            <w:r w:rsidRPr="0067594E">
              <w:rPr>
                <w:sz w:val="20"/>
                <w:szCs w:val="20"/>
                <w:u w:val="single"/>
              </w:rPr>
              <w:t>(d)</w:t>
            </w:r>
            <w:r w:rsidRPr="0067594E">
              <w:rPr>
                <w:sz w:val="20"/>
                <w:szCs w:val="20"/>
                <w:u w:val="single"/>
              </w:rPr>
              <w:tab/>
              <w:t>excludes further processing of those commodities into a different product.</w:t>
            </w:r>
          </w:p>
        </w:tc>
      </w:tr>
      <w:tr w:rsidR="009A1120" w:rsidRPr="00472578" w14:paraId="14EEFAC9" w14:textId="77777777" w:rsidTr="007612BD">
        <w:tc>
          <w:tcPr>
            <w:tcW w:w="2104" w:type="dxa"/>
          </w:tcPr>
          <w:p w14:paraId="678675B7" w14:textId="77777777" w:rsidR="009A1120" w:rsidRPr="00472578" w:rsidRDefault="009A1120" w:rsidP="00DC6CD9">
            <w:pPr>
              <w:tabs>
                <w:tab w:val="center" w:pos="4513"/>
                <w:tab w:val="right" w:pos="9026"/>
              </w:tabs>
              <w:spacing w:before="60" w:after="60"/>
              <w:rPr>
                <w:b/>
                <w:sz w:val="20"/>
                <w:szCs w:val="20"/>
                <w:u w:val="single"/>
              </w:rPr>
            </w:pPr>
            <w:r w:rsidRPr="00472578">
              <w:rPr>
                <w:b/>
                <w:sz w:val="20"/>
                <w:szCs w:val="20"/>
                <w:u w:val="single"/>
              </w:rPr>
              <w:t>Highly productive land</w:t>
            </w:r>
            <w:r w:rsidRPr="00472578">
              <w:rPr>
                <w:rStyle w:val="FootnoteReference"/>
                <w:b/>
                <w:sz w:val="20"/>
                <w:szCs w:val="20"/>
              </w:rPr>
              <w:footnoteReference w:id="104"/>
            </w:r>
          </w:p>
        </w:tc>
        <w:tc>
          <w:tcPr>
            <w:tcW w:w="7146" w:type="dxa"/>
          </w:tcPr>
          <w:p w14:paraId="2C5ED70E" w14:textId="02C1EC2C" w:rsidR="009A1120" w:rsidRPr="00472578" w:rsidRDefault="009A1120" w:rsidP="00E92686">
            <w:pPr>
              <w:tabs>
                <w:tab w:val="center" w:pos="4513"/>
                <w:tab w:val="right" w:pos="9026"/>
              </w:tabs>
              <w:spacing w:before="60" w:after="60"/>
              <w:jc w:val="both"/>
              <w:rPr>
                <w:sz w:val="20"/>
                <w:szCs w:val="20"/>
                <w:u w:val="single"/>
                <w:lang w:val="en-US"/>
              </w:rPr>
            </w:pPr>
            <w:r w:rsidRPr="00472578">
              <w:rPr>
                <w:sz w:val="20"/>
                <w:szCs w:val="20"/>
                <w:u w:val="single"/>
                <w:lang w:val="en-US"/>
              </w:rPr>
              <w:t>means:</w:t>
            </w:r>
          </w:p>
          <w:p w14:paraId="4D6D0B4D" w14:textId="0B0276EF" w:rsidR="009A1120" w:rsidRPr="00472578" w:rsidRDefault="009A1120" w:rsidP="00E92686">
            <w:pPr>
              <w:tabs>
                <w:tab w:val="center" w:pos="4513"/>
                <w:tab w:val="right" w:pos="9026"/>
              </w:tabs>
              <w:spacing w:before="60" w:after="60"/>
              <w:ind w:left="400" w:hanging="400"/>
              <w:jc w:val="both"/>
              <w:rPr>
                <w:sz w:val="20"/>
                <w:szCs w:val="20"/>
                <w:u w:val="single"/>
                <w:lang w:val="en-US"/>
              </w:rPr>
            </w:pPr>
            <w:r w:rsidRPr="00472578">
              <w:rPr>
                <w:sz w:val="20"/>
                <w:szCs w:val="20"/>
                <w:u w:val="single"/>
                <w:lang w:val="en-US"/>
              </w:rPr>
              <w:t xml:space="preserve">(a) </w:t>
            </w:r>
            <w:r w:rsidRPr="00472578">
              <w:rPr>
                <w:sz w:val="20"/>
                <w:szCs w:val="20"/>
                <w:u w:val="single"/>
                <w:lang w:val="en-US"/>
              </w:rPr>
              <w:tab/>
              <w:t xml:space="preserve">land that has been identified </w:t>
            </w:r>
            <w:r w:rsidR="00EB6C16">
              <w:rPr>
                <w:sz w:val="20"/>
                <w:szCs w:val="20"/>
                <w:u w:val="single"/>
                <w:lang w:val="en-US"/>
              </w:rPr>
              <w:t>in accordance</w:t>
            </w:r>
            <w:r w:rsidR="009E3938">
              <w:rPr>
                <w:sz w:val="20"/>
                <w:szCs w:val="20"/>
                <w:u w:val="single"/>
                <w:lang w:val="en-US"/>
              </w:rPr>
              <w:t xml:space="preserve"> with</w:t>
            </w:r>
            <w:r w:rsidRPr="00472578">
              <w:rPr>
                <w:sz w:val="20"/>
                <w:szCs w:val="20"/>
                <w:u w:val="single"/>
                <w:lang w:val="en-US"/>
              </w:rPr>
              <w:t xml:space="preserve"> LF-LS-P19; or</w:t>
            </w:r>
          </w:p>
          <w:p w14:paraId="6B57734B" w14:textId="0A3B90FD" w:rsidR="009A1120" w:rsidRPr="00472578" w:rsidRDefault="009A1120" w:rsidP="00E92686">
            <w:pPr>
              <w:tabs>
                <w:tab w:val="center" w:pos="4513"/>
                <w:tab w:val="right" w:pos="9026"/>
              </w:tabs>
              <w:spacing w:before="60" w:after="60"/>
              <w:ind w:left="400" w:hanging="400"/>
              <w:jc w:val="both"/>
              <w:rPr>
                <w:sz w:val="20"/>
                <w:szCs w:val="20"/>
                <w:u w:val="single"/>
                <w:lang w:val="en-US"/>
              </w:rPr>
            </w:pPr>
            <w:r w:rsidRPr="00472578">
              <w:rPr>
                <w:sz w:val="20"/>
                <w:szCs w:val="20"/>
                <w:u w:val="single"/>
                <w:lang w:val="en-US"/>
              </w:rPr>
              <w:t xml:space="preserve">(b) </w:t>
            </w:r>
            <w:r w:rsidRPr="00472578">
              <w:rPr>
                <w:sz w:val="20"/>
                <w:szCs w:val="20"/>
                <w:u w:val="single"/>
                <w:lang w:val="en-US"/>
              </w:rPr>
              <w:tab/>
              <w:t xml:space="preserve">where </w:t>
            </w:r>
            <w:r w:rsidR="009E3938">
              <w:rPr>
                <w:sz w:val="20"/>
                <w:szCs w:val="20"/>
                <w:u w:val="single"/>
                <w:lang w:val="en-US"/>
              </w:rPr>
              <w:t>the</w:t>
            </w:r>
            <w:r w:rsidRPr="00472578">
              <w:rPr>
                <w:sz w:val="20"/>
                <w:szCs w:val="20"/>
                <w:u w:val="single"/>
                <w:lang w:val="en-US"/>
              </w:rPr>
              <w:t xml:space="preserve"> identification </w:t>
            </w:r>
            <w:r w:rsidR="009E3938">
              <w:rPr>
                <w:sz w:val="20"/>
                <w:szCs w:val="20"/>
                <w:u w:val="single"/>
                <w:lang w:val="en-US"/>
              </w:rPr>
              <w:t>in (a)</w:t>
            </w:r>
            <w:r w:rsidR="00C61323">
              <w:rPr>
                <w:sz w:val="20"/>
                <w:szCs w:val="20"/>
                <w:u w:val="single"/>
                <w:lang w:val="en-US"/>
              </w:rPr>
              <w:t xml:space="preserve"> </w:t>
            </w:r>
            <w:r w:rsidRPr="00472578">
              <w:rPr>
                <w:sz w:val="20"/>
                <w:szCs w:val="20"/>
                <w:u w:val="single"/>
                <w:lang w:val="en-US"/>
              </w:rPr>
              <w:t xml:space="preserve">has not occurred, land in the </w:t>
            </w:r>
            <w:r w:rsidRPr="00472578">
              <w:rPr>
                <w:i/>
                <w:iCs/>
                <w:sz w:val="20"/>
                <w:szCs w:val="20"/>
                <w:u w:val="single"/>
                <w:lang w:val="en-US"/>
              </w:rPr>
              <w:t>rural area</w:t>
            </w:r>
            <w:r w:rsidRPr="00472578">
              <w:rPr>
                <w:sz w:val="20"/>
                <w:szCs w:val="20"/>
                <w:u w:val="single"/>
                <w:lang w:val="en-US"/>
              </w:rPr>
              <w:t xml:space="preserve"> that is classified as LUC 1,</w:t>
            </w:r>
            <w:r w:rsidR="006D2385">
              <w:rPr>
                <w:sz w:val="20"/>
                <w:szCs w:val="20"/>
                <w:u w:val="single"/>
                <w:lang w:val="en-US"/>
              </w:rPr>
              <w:t xml:space="preserve"> </w:t>
            </w:r>
            <w:r w:rsidRPr="00472578">
              <w:rPr>
                <w:sz w:val="20"/>
                <w:szCs w:val="20"/>
                <w:u w:val="single"/>
                <w:lang w:val="en-US"/>
              </w:rPr>
              <w:t>2 or 3 as mapped by the NZ Land Resource Inventory or by more detailed site</w:t>
            </w:r>
            <w:r w:rsidR="000C4476" w:rsidRPr="00472578">
              <w:rPr>
                <w:sz w:val="20"/>
                <w:szCs w:val="20"/>
                <w:u w:val="single"/>
                <w:lang w:val="en-US"/>
              </w:rPr>
              <w:t>-specific</w:t>
            </w:r>
            <w:r w:rsidR="0075693A">
              <w:rPr>
                <w:sz w:val="20"/>
                <w:szCs w:val="20"/>
                <w:u w:val="single"/>
                <w:lang w:val="en-US"/>
              </w:rPr>
              <w:t xml:space="preserve"> research</w:t>
            </w:r>
            <w:r w:rsidRPr="00472578">
              <w:rPr>
                <w:sz w:val="20"/>
                <w:szCs w:val="20"/>
                <w:u w:val="single"/>
                <w:lang w:val="en-US"/>
              </w:rPr>
              <w:t>.</w:t>
            </w:r>
          </w:p>
        </w:tc>
      </w:tr>
      <w:tr w:rsidR="009A1120" w:rsidRPr="00472578" w14:paraId="10CB7F48" w14:textId="77777777" w:rsidTr="007612BD">
        <w:tc>
          <w:tcPr>
            <w:tcW w:w="2104" w:type="dxa"/>
          </w:tcPr>
          <w:p w14:paraId="2F17B249" w14:textId="77777777" w:rsidR="009A1120" w:rsidRPr="00472578" w:rsidRDefault="009A1120" w:rsidP="00DC6CD9">
            <w:pPr>
              <w:tabs>
                <w:tab w:val="center" w:pos="4513"/>
                <w:tab w:val="right" w:pos="9026"/>
              </w:tabs>
              <w:spacing w:before="60" w:after="60"/>
              <w:rPr>
                <w:b/>
                <w:sz w:val="20"/>
                <w:szCs w:val="20"/>
              </w:rPr>
            </w:pPr>
            <w:r w:rsidRPr="00472578">
              <w:rPr>
                <w:b/>
                <w:sz w:val="20"/>
                <w:szCs w:val="20"/>
              </w:rPr>
              <w:t>Highly valued natural</w:t>
            </w:r>
          </w:p>
          <w:p w14:paraId="3B1F5603" w14:textId="77777777" w:rsidR="009A1120" w:rsidRPr="00472578" w:rsidRDefault="009A1120" w:rsidP="00DC6CD9">
            <w:pPr>
              <w:tabs>
                <w:tab w:val="center" w:pos="4513"/>
                <w:tab w:val="right" w:pos="9026"/>
              </w:tabs>
              <w:spacing w:before="60" w:after="60"/>
              <w:rPr>
                <w:b/>
                <w:sz w:val="20"/>
                <w:szCs w:val="20"/>
              </w:rPr>
            </w:pPr>
            <w:r w:rsidRPr="00472578">
              <w:rPr>
                <w:b/>
                <w:sz w:val="20"/>
                <w:szCs w:val="20"/>
              </w:rPr>
              <w:lastRenderedPageBreak/>
              <w:t>features and landscapes</w:t>
            </w:r>
          </w:p>
          <w:p w14:paraId="3C339379" w14:textId="77777777" w:rsidR="009A1120" w:rsidRPr="00472578" w:rsidRDefault="009A1120" w:rsidP="00DC6CD9">
            <w:pPr>
              <w:tabs>
                <w:tab w:val="center" w:pos="4513"/>
                <w:tab w:val="right" w:pos="9026"/>
              </w:tabs>
              <w:spacing w:before="60" w:after="60"/>
              <w:rPr>
                <w:b/>
                <w:bCs/>
                <w:sz w:val="20"/>
                <w:szCs w:val="20"/>
              </w:rPr>
            </w:pPr>
          </w:p>
        </w:tc>
        <w:tc>
          <w:tcPr>
            <w:tcW w:w="7146" w:type="dxa"/>
          </w:tcPr>
          <w:p w14:paraId="21AD4F64" w14:textId="25C8D110" w:rsidR="009A1120" w:rsidRPr="00472578" w:rsidRDefault="00E37317" w:rsidP="00E92686">
            <w:pPr>
              <w:tabs>
                <w:tab w:val="center" w:pos="4513"/>
                <w:tab w:val="right" w:pos="9026"/>
              </w:tabs>
              <w:spacing w:before="60" w:after="60"/>
              <w:jc w:val="both"/>
              <w:rPr>
                <w:sz w:val="20"/>
                <w:szCs w:val="20"/>
              </w:rPr>
            </w:pPr>
            <w:r w:rsidRPr="00472578">
              <w:rPr>
                <w:sz w:val="20"/>
                <w:szCs w:val="20"/>
              </w:rPr>
              <w:lastRenderedPageBreak/>
              <w:t>highly valued natural features</w:t>
            </w:r>
            <w:r w:rsidRPr="00472578">
              <w:rPr>
                <w:strike/>
                <w:sz w:val="20"/>
                <w:szCs w:val="20"/>
              </w:rPr>
              <w:t>,</w:t>
            </w:r>
            <w:r w:rsidRPr="00472578">
              <w:rPr>
                <w:sz w:val="20"/>
                <w:szCs w:val="20"/>
              </w:rPr>
              <w:t xml:space="preserve"> </w:t>
            </w:r>
            <w:r w:rsidRPr="00472578">
              <w:rPr>
                <w:sz w:val="20"/>
                <w:szCs w:val="20"/>
                <w:u w:val="single"/>
              </w:rPr>
              <w:t>and</w:t>
            </w:r>
            <w:r w:rsidRPr="00472578">
              <w:rPr>
                <w:sz w:val="20"/>
                <w:szCs w:val="20"/>
              </w:rPr>
              <w:t xml:space="preserve"> landscapes </w:t>
            </w:r>
            <w:r w:rsidRPr="00472578">
              <w:rPr>
                <w:strike/>
                <w:sz w:val="20"/>
                <w:szCs w:val="20"/>
              </w:rPr>
              <w:t>and seascapes</w:t>
            </w:r>
            <w:r w:rsidRPr="00472578">
              <w:rPr>
                <w:rStyle w:val="FootnoteReference"/>
                <w:sz w:val="20"/>
                <w:szCs w:val="20"/>
              </w:rPr>
              <w:footnoteReference w:id="105"/>
            </w:r>
            <w:r w:rsidRPr="00472578">
              <w:rPr>
                <w:sz w:val="20"/>
                <w:szCs w:val="20"/>
              </w:rPr>
              <w:t xml:space="preserve"> are areas which contain attributes and values of significance under Sections 7(c) and 7(f) of the RMA</w:t>
            </w:r>
            <w:r w:rsidRPr="006072DC">
              <w:rPr>
                <w:strike/>
                <w:sz w:val="20"/>
                <w:szCs w:val="20"/>
              </w:rPr>
              <w:t xml:space="preserve"> </w:t>
            </w:r>
            <w:r w:rsidRPr="006072DC">
              <w:rPr>
                <w:strike/>
                <w:sz w:val="20"/>
                <w:szCs w:val="20"/>
              </w:rPr>
              <w:lastRenderedPageBreak/>
              <w:t>1991</w:t>
            </w:r>
            <w:r w:rsidRPr="00472578">
              <w:rPr>
                <w:sz w:val="20"/>
                <w:szCs w:val="20"/>
              </w:rPr>
              <w:t>,</w:t>
            </w:r>
            <w:r w:rsidR="006072DC">
              <w:rPr>
                <w:rStyle w:val="FootnoteReference"/>
                <w:sz w:val="20"/>
                <w:szCs w:val="20"/>
              </w:rPr>
              <w:footnoteReference w:id="106"/>
            </w:r>
            <w:r w:rsidRPr="00472578">
              <w:rPr>
                <w:sz w:val="20"/>
                <w:szCs w:val="20"/>
              </w:rPr>
              <w:t xml:space="preserve"> which have been identified in accordance with APP9, </w:t>
            </w:r>
            <w:r w:rsidRPr="00472578">
              <w:rPr>
                <w:sz w:val="20"/>
                <w:szCs w:val="20"/>
                <w:u w:val="single"/>
              </w:rPr>
              <w:t>and for the purposes of the Resource Management (National Environmental Standards for Plantation Forestry) Regulations 2017 they are visual amenity landscapes.</w:t>
            </w:r>
            <w:r w:rsidRPr="00472578">
              <w:rPr>
                <w:rStyle w:val="FootnoteReference"/>
                <w:sz w:val="20"/>
                <w:szCs w:val="20"/>
              </w:rPr>
              <w:footnoteReference w:id="107"/>
            </w:r>
          </w:p>
        </w:tc>
      </w:tr>
      <w:tr w:rsidR="009A1120" w:rsidRPr="00472578" w14:paraId="12A08B19" w14:textId="77777777" w:rsidTr="007612BD">
        <w:tc>
          <w:tcPr>
            <w:tcW w:w="2104" w:type="dxa"/>
          </w:tcPr>
          <w:p w14:paraId="69DE995D" w14:textId="77777777" w:rsidR="009A1120" w:rsidRPr="00472578" w:rsidRDefault="009A1120" w:rsidP="00DC6CD9">
            <w:pPr>
              <w:tabs>
                <w:tab w:val="center" w:pos="4513"/>
                <w:tab w:val="right" w:pos="9026"/>
              </w:tabs>
              <w:spacing w:before="60" w:after="60"/>
              <w:rPr>
                <w:b/>
                <w:bCs/>
                <w:sz w:val="20"/>
                <w:szCs w:val="20"/>
              </w:rPr>
            </w:pPr>
            <w:bookmarkStart w:id="22" w:name="_Hlk71546136"/>
            <w:r w:rsidRPr="00472578">
              <w:rPr>
                <w:b/>
                <w:bCs/>
                <w:sz w:val="20"/>
                <w:szCs w:val="20"/>
              </w:rPr>
              <w:lastRenderedPageBreak/>
              <w:t>Historic heritage</w:t>
            </w:r>
            <w:bookmarkEnd w:id="22"/>
          </w:p>
        </w:tc>
        <w:tc>
          <w:tcPr>
            <w:tcW w:w="7146" w:type="dxa"/>
          </w:tcPr>
          <w:p w14:paraId="1BAE651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0C6826A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5148043" wp14:editId="0E8966BB">
                      <wp:extent cx="3697356" cy="3061252"/>
                      <wp:effectExtent l="0" t="0" r="17780" b="2540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3061252"/>
                              </a:xfrm>
                              <a:prstGeom prst="rect">
                                <a:avLst/>
                              </a:prstGeom>
                              <a:solidFill>
                                <a:srgbClr val="FFFFFF"/>
                              </a:solidFill>
                              <a:ln w="9525">
                                <a:solidFill>
                                  <a:srgbClr val="000000"/>
                                </a:solidFill>
                                <a:miter lim="800000"/>
                                <a:headEnd/>
                                <a:tailEnd/>
                              </a:ln>
                            </wps:spPr>
                            <wps:txbx>
                              <w:txbxContent>
                                <w:p w14:paraId="53EBE4E8"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means those natural and physical resources that contribute to an understanding and appreciation of New Zealand’s history and cultures, deriving from any of the following qualities:</w:t>
                                  </w:r>
                                </w:p>
                                <w:p w14:paraId="1BB98D19" w14:textId="77777777" w:rsidR="009A1120" w:rsidRPr="001A38AB" w:rsidRDefault="009A1120" w:rsidP="009A1120">
                                  <w:pPr>
                                    <w:spacing w:after="60"/>
                                    <w:ind w:left="568" w:hanging="284"/>
                                    <w:rPr>
                                      <w:sz w:val="20"/>
                                      <w:szCs w:val="20"/>
                                    </w:rPr>
                                  </w:pPr>
                                  <w:r w:rsidRPr="001A38AB">
                                    <w:rPr>
                                      <w:sz w:val="20"/>
                                      <w:szCs w:val="20"/>
                                    </w:rPr>
                                    <w:t>(i)</w:t>
                                  </w:r>
                                  <w:r>
                                    <w:rPr>
                                      <w:sz w:val="20"/>
                                      <w:szCs w:val="20"/>
                                    </w:rPr>
                                    <w:t xml:space="preserve"> </w:t>
                                  </w:r>
                                  <w:r>
                                    <w:rPr>
                                      <w:sz w:val="20"/>
                                      <w:szCs w:val="20"/>
                                    </w:rPr>
                                    <w:tab/>
                                  </w:r>
                                  <w:r>
                                    <w:rPr>
                                      <w:sz w:val="20"/>
                                      <w:szCs w:val="20"/>
                                    </w:rPr>
                                    <w:tab/>
                                  </w:r>
                                  <w:r w:rsidRPr="001A38AB">
                                    <w:rPr>
                                      <w:sz w:val="20"/>
                                      <w:szCs w:val="20"/>
                                    </w:rPr>
                                    <w:t>archaeological:</w:t>
                                  </w:r>
                                </w:p>
                                <w:p w14:paraId="3866B261" w14:textId="77777777" w:rsidR="009A1120" w:rsidRPr="001A38AB" w:rsidRDefault="009A1120" w:rsidP="009A1120">
                                  <w:pPr>
                                    <w:spacing w:after="60"/>
                                    <w:ind w:left="568" w:hanging="284"/>
                                    <w:rPr>
                                      <w:sz w:val="20"/>
                                      <w:szCs w:val="20"/>
                                    </w:rPr>
                                  </w:pPr>
                                  <w:r w:rsidRPr="001A38AB">
                                    <w:rPr>
                                      <w:sz w:val="20"/>
                                      <w:szCs w:val="20"/>
                                    </w:rPr>
                                    <w:t>(ii)</w:t>
                                  </w:r>
                                  <w:r w:rsidRPr="001A38AB">
                                    <w:rPr>
                                      <w:sz w:val="20"/>
                                      <w:szCs w:val="20"/>
                                    </w:rPr>
                                    <w:tab/>
                                  </w:r>
                                  <w:r>
                                    <w:rPr>
                                      <w:sz w:val="20"/>
                                      <w:szCs w:val="20"/>
                                    </w:rPr>
                                    <w:tab/>
                                  </w:r>
                                  <w:r w:rsidRPr="001A38AB">
                                    <w:rPr>
                                      <w:sz w:val="20"/>
                                      <w:szCs w:val="20"/>
                                    </w:rPr>
                                    <w:t>architectural:</w:t>
                                  </w:r>
                                </w:p>
                                <w:p w14:paraId="56D5F2DA" w14:textId="77777777" w:rsidR="009A1120" w:rsidRPr="001A38AB" w:rsidRDefault="009A1120" w:rsidP="009A1120">
                                  <w:pPr>
                                    <w:spacing w:after="60"/>
                                    <w:ind w:left="568" w:hanging="284"/>
                                    <w:rPr>
                                      <w:sz w:val="20"/>
                                      <w:szCs w:val="20"/>
                                    </w:rPr>
                                  </w:pPr>
                                  <w:r w:rsidRPr="001A38AB">
                                    <w:rPr>
                                      <w:sz w:val="20"/>
                                      <w:szCs w:val="20"/>
                                    </w:rPr>
                                    <w:t>(iii)</w:t>
                                  </w:r>
                                  <w:r w:rsidRPr="001A38AB">
                                    <w:rPr>
                                      <w:sz w:val="20"/>
                                      <w:szCs w:val="20"/>
                                    </w:rPr>
                                    <w:tab/>
                                  </w:r>
                                  <w:r>
                                    <w:rPr>
                                      <w:sz w:val="20"/>
                                      <w:szCs w:val="20"/>
                                    </w:rPr>
                                    <w:tab/>
                                  </w:r>
                                  <w:r w:rsidRPr="001A38AB">
                                    <w:rPr>
                                      <w:sz w:val="20"/>
                                      <w:szCs w:val="20"/>
                                    </w:rPr>
                                    <w:t>cultural:</w:t>
                                  </w:r>
                                </w:p>
                                <w:p w14:paraId="68D27733" w14:textId="77777777" w:rsidR="009A1120" w:rsidRPr="001A38AB" w:rsidRDefault="009A1120" w:rsidP="009A1120">
                                  <w:pPr>
                                    <w:spacing w:after="60"/>
                                    <w:ind w:left="568" w:hanging="284"/>
                                    <w:rPr>
                                      <w:sz w:val="20"/>
                                      <w:szCs w:val="20"/>
                                    </w:rPr>
                                  </w:pPr>
                                  <w:r w:rsidRPr="001A38AB">
                                    <w:rPr>
                                      <w:sz w:val="20"/>
                                      <w:szCs w:val="20"/>
                                    </w:rPr>
                                    <w:t>(iv)</w:t>
                                  </w:r>
                                  <w:r w:rsidRPr="001A38AB">
                                    <w:rPr>
                                      <w:sz w:val="20"/>
                                      <w:szCs w:val="20"/>
                                    </w:rPr>
                                    <w:tab/>
                                  </w:r>
                                  <w:r w:rsidRPr="001A38AB">
                                    <w:rPr>
                                      <w:sz w:val="20"/>
                                      <w:szCs w:val="20"/>
                                    </w:rPr>
                                    <w:tab/>
                                    <w:t>historic:</w:t>
                                  </w:r>
                                </w:p>
                                <w:p w14:paraId="6D33CFD8" w14:textId="77777777" w:rsidR="009A1120" w:rsidRPr="001A38AB" w:rsidRDefault="009A1120" w:rsidP="009A1120">
                                  <w:pPr>
                                    <w:spacing w:after="60"/>
                                    <w:ind w:left="568" w:hanging="284"/>
                                    <w:rPr>
                                      <w:sz w:val="20"/>
                                      <w:szCs w:val="20"/>
                                    </w:rPr>
                                  </w:pPr>
                                  <w:r w:rsidRPr="001A38AB">
                                    <w:rPr>
                                      <w:sz w:val="20"/>
                                      <w:szCs w:val="20"/>
                                    </w:rPr>
                                    <w:t>(v)</w:t>
                                  </w:r>
                                  <w:r w:rsidRPr="001A38AB">
                                    <w:rPr>
                                      <w:sz w:val="20"/>
                                      <w:szCs w:val="20"/>
                                    </w:rPr>
                                    <w:tab/>
                                  </w:r>
                                  <w:r w:rsidRPr="001A38AB">
                                    <w:rPr>
                                      <w:sz w:val="20"/>
                                      <w:szCs w:val="20"/>
                                    </w:rPr>
                                    <w:tab/>
                                    <w:t>scientific:</w:t>
                                  </w:r>
                                </w:p>
                                <w:p w14:paraId="77B97605" w14:textId="77777777" w:rsidR="009A1120" w:rsidRPr="001A38AB" w:rsidRDefault="009A1120" w:rsidP="009A1120">
                                  <w:pPr>
                                    <w:spacing w:after="60"/>
                                    <w:ind w:left="568" w:hanging="284"/>
                                    <w:rPr>
                                      <w:sz w:val="20"/>
                                      <w:szCs w:val="20"/>
                                    </w:rPr>
                                  </w:pPr>
                                  <w:r w:rsidRPr="001A38AB">
                                    <w:rPr>
                                      <w:sz w:val="20"/>
                                      <w:szCs w:val="20"/>
                                    </w:rPr>
                                    <w:t>(vi)</w:t>
                                  </w:r>
                                  <w:r w:rsidRPr="001A38AB">
                                    <w:rPr>
                                      <w:sz w:val="20"/>
                                      <w:szCs w:val="20"/>
                                    </w:rPr>
                                    <w:tab/>
                                  </w:r>
                                  <w:r w:rsidRPr="001A38AB">
                                    <w:rPr>
                                      <w:sz w:val="20"/>
                                      <w:szCs w:val="20"/>
                                    </w:rPr>
                                    <w:tab/>
                                    <w:t>technological; and</w:t>
                                  </w:r>
                                </w:p>
                                <w:p w14:paraId="20F19508"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w:t>
                                  </w:r>
                                </w:p>
                                <w:p w14:paraId="6EEF0714" w14:textId="77777777" w:rsidR="009A1120" w:rsidRPr="001A38AB" w:rsidRDefault="009A1120" w:rsidP="009A1120">
                                  <w:pPr>
                                    <w:spacing w:after="60"/>
                                    <w:ind w:left="568" w:hanging="284"/>
                                    <w:rPr>
                                      <w:sz w:val="20"/>
                                      <w:szCs w:val="20"/>
                                    </w:rPr>
                                  </w:pPr>
                                  <w:r w:rsidRPr="001A38AB">
                                    <w:rPr>
                                      <w:sz w:val="20"/>
                                      <w:szCs w:val="20"/>
                                    </w:rPr>
                                    <w:t>(i)</w:t>
                                  </w:r>
                                  <w:r w:rsidRPr="001A38AB">
                                    <w:rPr>
                                      <w:sz w:val="20"/>
                                      <w:szCs w:val="20"/>
                                    </w:rPr>
                                    <w:tab/>
                                  </w:r>
                                  <w:r>
                                    <w:rPr>
                                      <w:sz w:val="20"/>
                                      <w:szCs w:val="20"/>
                                    </w:rPr>
                                    <w:tab/>
                                  </w:r>
                                  <w:r w:rsidRPr="001A38AB">
                                    <w:rPr>
                                      <w:sz w:val="20"/>
                                      <w:szCs w:val="20"/>
                                    </w:rPr>
                                    <w:t>historic sites, structures, places, and areas; and</w:t>
                                  </w:r>
                                </w:p>
                                <w:p w14:paraId="62EF8CCA" w14:textId="77777777" w:rsidR="009A1120" w:rsidRPr="001A38AB" w:rsidRDefault="009A1120" w:rsidP="009A1120">
                                  <w:pPr>
                                    <w:spacing w:after="60"/>
                                    <w:ind w:left="568" w:hanging="284"/>
                                    <w:rPr>
                                      <w:sz w:val="20"/>
                                      <w:szCs w:val="20"/>
                                    </w:rPr>
                                  </w:pPr>
                                  <w:r w:rsidRPr="001A38AB">
                                    <w:rPr>
                                      <w:sz w:val="20"/>
                                      <w:szCs w:val="20"/>
                                    </w:rPr>
                                    <w:t>(ii)</w:t>
                                  </w:r>
                                  <w:r>
                                    <w:rPr>
                                      <w:sz w:val="20"/>
                                      <w:szCs w:val="20"/>
                                    </w:rPr>
                                    <w:tab/>
                                  </w:r>
                                  <w:r w:rsidRPr="001A38AB">
                                    <w:rPr>
                                      <w:sz w:val="20"/>
                                      <w:szCs w:val="20"/>
                                    </w:rPr>
                                    <w:tab/>
                                    <w:t>archaeological sites; and</w:t>
                                  </w:r>
                                </w:p>
                                <w:p w14:paraId="1AF90B69" w14:textId="77777777" w:rsidR="009A1120" w:rsidRPr="001A38AB" w:rsidRDefault="009A1120" w:rsidP="009A1120">
                                  <w:pPr>
                                    <w:spacing w:after="60"/>
                                    <w:ind w:left="568" w:hanging="284"/>
                                    <w:rPr>
                                      <w:sz w:val="20"/>
                                      <w:szCs w:val="20"/>
                                    </w:rPr>
                                  </w:pPr>
                                  <w:r w:rsidRPr="001A38AB">
                                    <w:rPr>
                                      <w:sz w:val="20"/>
                                      <w:szCs w:val="20"/>
                                    </w:rPr>
                                    <w:t>(iii)</w:t>
                                  </w:r>
                                  <w:r w:rsidRPr="001A38AB">
                                    <w:rPr>
                                      <w:sz w:val="20"/>
                                      <w:szCs w:val="20"/>
                                    </w:rPr>
                                    <w:tab/>
                                  </w:r>
                                  <w:r>
                                    <w:rPr>
                                      <w:sz w:val="20"/>
                                      <w:szCs w:val="20"/>
                                    </w:rPr>
                                    <w:tab/>
                                  </w:r>
                                  <w:r w:rsidRPr="001A38AB">
                                    <w:rPr>
                                      <w:sz w:val="20"/>
                                      <w:szCs w:val="20"/>
                                    </w:rPr>
                                    <w:t>sites of significance to Māori, including wāhi tapu; and</w:t>
                                  </w:r>
                                </w:p>
                                <w:p w14:paraId="5F376F71" w14:textId="77777777" w:rsidR="009A1120" w:rsidRPr="001A38AB" w:rsidRDefault="009A1120" w:rsidP="009A1120">
                                  <w:pPr>
                                    <w:spacing w:after="60"/>
                                    <w:ind w:left="716" w:hanging="432"/>
                                    <w:rPr>
                                      <w:sz w:val="20"/>
                                      <w:szCs w:val="20"/>
                                    </w:rPr>
                                  </w:pPr>
                                  <w:r w:rsidRPr="001A38AB">
                                    <w:rPr>
                                      <w:sz w:val="20"/>
                                      <w:szCs w:val="20"/>
                                    </w:rPr>
                                    <w:t>(iv)</w:t>
                                  </w:r>
                                  <w:r w:rsidRPr="001A38AB">
                                    <w:rPr>
                                      <w:sz w:val="20"/>
                                      <w:szCs w:val="20"/>
                                    </w:rPr>
                                    <w:tab/>
                                  </w:r>
                                  <w:r w:rsidRPr="001A38AB">
                                    <w:rPr>
                                      <w:sz w:val="20"/>
                                      <w:szCs w:val="20"/>
                                    </w:rPr>
                                    <w:tab/>
                                    <w:t>surroundings associated with the natural and physical resources</w:t>
                                  </w:r>
                                </w:p>
                              </w:txbxContent>
                            </wps:txbx>
                            <wps:bodyPr rot="0" vert="horz" wrap="square" lIns="91440" tIns="45720" rIns="91440" bIns="45720" anchor="t" anchorCtr="0">
                              <a:noAutofit/>
                            </wps:bodyPr>
                          </wps:wsp>
                        </a:graphicData>
                      </a:graphic>
                    </wp:inline>
                  </w:drawing>
                </mc:Choice>
                <mc:Fallback>
                  <w:pict>
                    <v:shape w14:anchorId="55148043" id="Text Box 16" o:spid="_x0000_s1072" type="#_x0000_t202" style="width:291.15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">
                      <v:textbox>
                        <w:txbxContent>
                          <w:p w14:paraId="53EBE4E8"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means those natural and physical resources that contribute to an understanding and appreciation of New Zealand’s history and cultures, deriving from any of the following qualities:</w:t>
                            </w:r>
                          </w:p>
                          <w:p w14:paraId="1BB98D19" w14:textId="77777777" w:rsidR="009A1120" w:rsidRPr="001A38AB" w:rsidRDefault="009A1120" w:rsidP="009A1120">
                            <w:pPr>
                              <w:spacing w:after="60"/>
                              <w:ind w:left="568" w:hanging="284"/>
                              <w:rPr>
                                <w:sz w:val="20"/>
                                <w:szCs w:val="20"/>
                              </w:rPr>
                            </w:pPr>
                            <w:r w:rsidRPr="001A38AB">
                              <w:rPr>
                                <w:sz w:val="20"/>
                                <w:szCs w:val="20"/>
                              </w:rPr>
                              <w:t>(i)</w:t>
                            </w:r>
                            <w:r>
                              <w:rPr>
                                <w:sz w:val="20"/>
                                <w:szCs w:val="20"/>
                              </w:rPr>
                              <w:t xml:space="preserve"> </w:t>
                            </w:r>
                            <w:r>
                              <w:rPr>
                                <w:sz w:val="20"/>
                                <w:szCs w:val="20"/>
                              </w:rPr>
                              <w:tab/>
                            </w:r>
                            <w:r>
                              <w:rPr>
                                <w:sz w:val="20"/>
                                <w:szCs w:val="20"/>
                              </w:rPr>
                              <w:tab/>
                            </w:r>
                            <w:r w:rsidRPr="001A38AB">
                              <w:rPr>
                                <w:sz w:val="20"/>
                                <w:szCs w:val="20"/>
                              </w:rPr>
                              <w:t>archaeological:</w:t>
                            </w:r>
                          </w:p>
                          <w:p w14:paraId="3866B261" w14:textId="77777777" w:rsidR="009A1120" w:rsidRPr="001A38AB" w:rsidRDefault="009A1120" w:rsidP="009A1120">
                            <w:pPr>
                              <w:spacing w:after="60"/>
                              <w:ind w:left="568" w:hanging="284"/>
                              <w:rPr>
                                <w:sz w:val="20"/>
                                <w:szCs w:val="20"/>
                              </w:rPr>
                            </w:pPr>
                            <w:r w:rsidRPr="001A38AB">
                              <w:rPr>
                                <w:sz w:val="20"/>
                                <w:szCs w:val="20"/>
                              </w:rPr>
                              <w:t>(ii)</w:t>
                            </w:r>
                            <w:r w:rsidRPr="001A38AB">
                              <w:rPr>
                                <w:sz w:val="20"/>
                                <w:szCs w:val="20"/>
                              </w:rPr>
                              <w:tab/>
                            </w:r>
                            <w:r>
                              <w:rPr>
                                <w:sz w:val="20"/>
                                <w:szCs w:val="20"/>
                              </w:rPr>
                              <w:tab/>
                            </w:r>
                            <w:r w:rsidRPr="001A38AB">
                              <w:rPr>
                                <w:sz w:val="20"/>
                                <w:szCs w:val="20"/>
                              </w:rPr>
                              <w:t>architectural:</w:t>
                            </w:r>
                          </w:p>
                          <w:p w14:paraId="56D5F2DA" w14:textId="77777777" w:rsidR="009A1120" w:rsidRPr="001A38AB" w:rsidRDefault="009A1120" w:rsidP="009A1120">
                            <w:pPr>
                              <w:spacing w:after="60"/>
                              <w:ind w:left="568" w:hanging="284"/>
                              <w:rPr>
                                <w:sz w:val="20"/>
                                <w:szCs w:val="20"/>
                              </w:rPr>
                            </w:pPr>
                            <w:r w:rsidRPr="001A38AB">
                              <w:rPr>
                                <w:sz w:val="20"/>
                                <w:szCs w:val="20"/>
                              </w:rPr>
                              <w:t>(iii)</w:t>
                            </w:r>
                            <w:r w:rsidRPr="001A38AB">
                              <w:rPr>
                                <w:sz w:val="20"/>
                                <w:szCs w:val="20"/>
                              </w:rPr>
                              <w:tab/>
                            </w:r>
                            <w:r>
                              <w:rPr>
                                <w:sz w:val="20"/>
                                <w:szCs w:val="20"/>
                              </w:rPr>
                              <w:tab/>
                            </w:r>
                            <w:r w:rsidRPr="001A38AB">
                              <w:rPr>
                                <w:sz w:val="20"/>
                                <w:szCs w:val="20"/>
                              </w:rPr>
                              <w:t>cultural:</w:t>
                            </w:r>
                          </w:p>
                          <w:p w14:paraId="68D27733" w14:textId="77777777" w:rsidR="009A1120" w:rsidRPr="001A38AB" w:rsidRDefault="009A1120" w:rsidP="009A1120">
                            <w:pPr>
                              <w:spacing w:after="60"/>
                              <w:ind w:left="568" w:hanging="284"/>
                              <w:rPr>
                                <w:sz w:val="20"/>
                                <w:szCs w:val="20"/>
                              </w:rPr>
                            </w:pPr>
                            <w:r w:rsidRPr="001A38AB">
                              <w:rPr>
                                <w:sz w:val="20"/>
                                <w:szCs w:val="20"/>
                              </w:rPr>
                              <w:t>(iv)</w:t>
                            </w:r>
                            <w:r w:rsidRPr="001A38AB">
                              <w:rPr>
                                <w:sz w:val="20"/>
                                <w:szCs w:val="20"/>
                              </w:rPr>
                              <w:tab/>
                            </w:r>
                            <w:r w:rsidRPr="001A38AB">
                              <w:rPr>
                                <w:sz w:val="20"/>
                                <w:szCs w:val="20"/>
                              </w:rPr>
                              <w:tab/>
                              <w:t>historic:</w:t>
                            </w:r>
                          </w:p>
                          <w:p w14:paraId="6D33CFD8" w14:textId="77777777" w:rsidR="009A1120" w:rsidRPr="001A38AB" w:rsidRDefault="009A1120" w:rsidP="009A1120">
                            <w:pPr>
                              <w:spacing w:after="60"/>
                              <w:ind w:left="568" w:hanging="284"/>
                              <w:rPr>
                                <w:sz w:val="20"/>
                                <w:szCs w:val="20"/>
                              </w:rPr>
                            </w:pPr>
                            <w:r w:rsidRPr="001A38AB">
                              <w:rPr>
                                <w:sz w:val="20"/>
                                <w:szCs w:val="20"/>
                              </w:rPr>
                              <w:t>(v)</w:t>
                            </w:r>
                            <w:r w:rsidRPr="001A38AB">
                              <w:rPr>
                                <w:sz w:val="20"/>
                                <w:szCs w:val="20"/>
                              </w:rPr>
                              <w:tab/>
                            </w:r>
                            <w:r w:rsidRPr="001A38AB">
                              <w:rPr>
                                <w:sz w:val="20"/>
                                <w:szCs w:val="20"/>
                              </w:rPr>
                              <w:tab/>
                              <w:t>scientific:</w:t>
                            </w:r>
                          </w:p>
                          <w:p w14:paraId="77B97605" w14:textId="77777777" w:rsidR="009A1120" w:rsidRPr="001A38AB" w:rsidRDefault="009A1120" w:rsidP="009A1120">
                            <w:pPr>
                              <w:spacing w:after="60"/>
                              <w:ind w:left="568" w:hanging="284"/>
                              <w:rPr>
                                <w:sz w:val="20"/>
                                <w:szCs w:val="20"/>
                              </w:rPr>
                            </w:pPr>
                            <w:r w:rsidRPr="001A38AB">
                              <w:rPr>
                                <w:sz w:val="20"/>
                                <w:szCs w:val="20"/>
                              </w:rPr>
                              <w:t>(vi)</w:t>
                            </w:r>
                            <w:r w:rsidRPr="001A38AB">
                              <w:rPr>
                                <w:sz w:val="20"/>
                                <w:szCs w:val="20"/>
                              </w:rPr>
                              <w:tab/>
                            </w:r>
                            <w:r w:rsidRPr="001A38AB">
                              <w:rPr>
                                <w:sz w:val="20"/>
                                <w:szCs w:val="20"/>
                              </w:rPr>
                              <w:tab/>
                              <w:t>technological; and</w:t>
                            </w:r>
                          </w:p>
                          <w:p w14:paraId="20F19508"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w:t>
                            </w:r>
                          </w:p>
                          <w:p w14:paraId="6EEF0714" w14:textId="77777777" w:rsidR="009A1120" w:rsidRPr="001A38AB" w:rsidRDefault="009A1120" w:rsidP="009A1120">
                            <w:pPr>
                              <w:spacing w:after="60"/>
                              <w:ind w:left="568" w:hanging="284"/>
                              <w:rPr>
                                <w:sz w:val="20"/>
                                <w:szCs w:val="20"/>
                              </w:rPr>
                            </w:pPr>
                            <w:r w:rsidRPr="001A38AB">
                              <w:rPr>
                                <w:sz w:val="20"/>
                                <w:szCs w:val="20"/>
                              </w:rPr>
                              <w:t>(i)</w:t>
                            </w:r>
                            <w:r w:rsidRPr="001A38AB">
                              <w:rPr>
                                <w:sz w:val="20"/>
                                <w:szCs w:val="20"/>
                              </w:rPr>
                              <w:tab/>
                            </w:r>
                            <w:r>
                              <w:rPr>
                                <w:sz w:val="20"/>
                                <w:szCs w:val="20"/>
                              </w:rPr>
                              <w:tab/>
                            </w:r>
                            <w:r w:rsidRPr="001A38AB">
                              <w:rPr>
                                <w:sz w:val="20"/>
                                <w:szCs w:val="20"/>
                              </w:rPr>
                              <w:t>historic sites, structures, places, and areas; and</w:t>
                            </w:r>
                          </w:p>
                          <w:p w14:paraId="62EF8CCA" w14:textId="77777777" w:rsidR="009A1120" w:rsidRPr="001A38AB" w:rsidRDefault="009A1120" w:rsidP="009A1120">
                            <w:pPr>
                              <w:spacing w:after="60"/>
                              <w:ind w:left="568" w:hanging="284"/>
                              <w:rPr>
                                <w:sz w:val="20"/>
                                <w:szCs w:val="20"/>
                              </w:rPr>
                            </w:pPr>
                            <w:r w:rsidRPr="001A38AB">
                              <w:rPr>
                                <w:sz w:val="20"/>
                                <w:szCs w:val="20"/>
                              </w:rPr>
                              <w:t>(ii)</w:t>
                            </w:r>
                            <w:r>
                              <w:rPr>
                                <w:sz w:val="20"/>
                                <w:szCs w:val="20"/>
                              </w:rPr>
                              <w:tab/>
                            </w:r>
                            <w:r w:rsidRPr="001A38AB">
                              <w:rPr>
                                <w:sz w:val="20"/>
                                <w:szCs w:val="20"/>
                              </w:rPr>
                              <w:tab/>
                              <w:t>archaeological sites; and</w:t>
                            </w:r>
                          </w:p>
                          <w:p w14:paraId="1AF90B69" w14:textId="77777777" w:rsidR="009A1120" w:rsidRPr="001A38AB" w:rsidRDefault="009A1120" w:rsidP="009A1120">
                            <w:pPr>
                              <w:spacing w:after="60"/>
                              <w:ind w:left="568" w:hanging="284"/>
                              <w:rPr>
                                <w:sz w:val="20"/>
                                <w:szCs w:val="20"/>
                              </w:rPr>
                            </w:pPr>
                            <w:r w:rsidRPr="001A38AB">
                              <w:rPr>
                                <w:sz w:val="20"/>
                                <w:szCs w:val="20"/>
                              </w:rPr>
                              <w:t>(iii)</w:t>
                            </w:r>
                            <w:r w:rsidRPr="001A38AB">
                              <w:rPr>
                                <w:sz w:val="20"/>
                                <w:szCs w:val="20"/>
                              </w:rPr>
                              <w:tab/>
                            </w:r>
                            <w:r>
                              <w:rPr>
                                <w:sz w:val="20"/>
                                <w:szCs w:val="20"/>
                              </w:rPr>
                              <w:tab/>
                            </w:r>
                            <w:r w:rsidRPr="001A38AB">
                              <w:rPr>
                                <w:sz w:val="20"/>
                                <w:szCs w:val="20"/>
                              </w:rPr>
                              <w:t>sites of significance to Māori, including wāhi tapu; and</w:t>
                            </w:r>
                          </w:p>
                          <w:p w14:paraId="5F376F71" w14:textId="77777777" w:rsidR="009A1120" w:rsidRPr="001A38AB" w:rsidRDefault="009A1120" w:rsidP="009A1120">
                            <w:pPr>
                              <w:spacing w:after="60"/>
                              <w:ind w:left="716" w:hanging="432"/>
                              <w:rPr>
                                <w:sz w:val="20"/>
                                <w:szCs w:val="20"/>
                              </w:rPr>
                            </w:pPr>
                            <w:r w:rsidRPr="001A38AB">
                              <w:rPr>
                                <w:sz w:val="20"/>
                                <w:szCs w:val="20"/>
                              </w:rPr>
                              <w:t>(iv)</w:t>
                            </w:r>
                            <w:r w:rsidRPr="001A38AB">
                              <w:rPr>
                                <w:sz w:val="20"/>
                                <w:szCs w:val="20"/>
                              </w:rPr>
                              <w:tab/>
                            </w:r>
                            <w:r w:rsidRPr="001A38AB">
                              <w:rPr>
                                <w:sz w:val="20"/>
                                <w:szCs w:val="20"/>
                              </w:rPr>
                              <w:tab/>
                              <w:t>surroundings associated with the natural and physical resources</w:t>
                            </w:r>
                          </w:p>
                        </w:txbxContent>
                      </v:textbox>
                      <w10:anchorlock/>
                    </v:shape>
                  </w:pict>
                </mc:Fallback>
              </mc:AlternateContent>
            </w:r>
          </w:p>
        </w:tc>
      </w:tr>
      <w:tr w:rsidR="009A1120" w:rsidRPr="00472578" w14:paraId="15B567EC" w14:textId="77777777" w:rsidTr="007612BD">
        <w:tc>
          <w:tcPr>
            <w:tcW w:w="2104" w:type="dxa"/>
          </w:tcPr>
          <w:p w14:paraId="3405062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Housing and Business Development Capacity Assessment</w:t>
            </w:r>
          </w:p>
        </w:tc>
        <w:tc>
          <w:tcPr>
            <w:tcW w:w="7146" w:type="dxa"/>
          </w:tcPr>
          <w:p w14:paraId="3FCA490F"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National Policy Statement for Urban Development Capacity 2020 (as set out in the box below)</w:t>
            </w:r>
          </w:p>
          <w:p w14:paraId="4E61891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836C5FC" wp14:editId="78563B45">
                      <wp:extent cx="3697356" cy="466253"/>
                      <wp:effectExtent l="0" t="0" r="17780" b="101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66253"/>
                              </a:xfrm>
                              <a:prstGeom prst="rect">
                                <a:avLst/>
                              </a:prstGeom>
                              <a:solidFill>
                                <a:srgbClr val="FFFFFF"/>
                              </a:solidFill>
                              <a:ln w="9525">
                                <a:solidFill>
                                  <a:srgbClr val="000000"/>
                                </a:solidFill>
                                <a:miter lim="800000"/>
                                <a:headEnd/>
                                <a:tailEnd/>
                              </a:ln>
                            </wps:spPr>
                            <wps:txbx>
                              <w:txbxContent>
                                <w:p w14:paraId="6CBB3A02" w14:textId="77777777" w:rsidR="009A1120" w:rsidRPr="00E03239" w:rsidRDefault="009A1120" w:rsidP="009A1120">
                                  <w:pPr>
                                    <w:contextualSpacing/>
                                    <w:rPr>
                                      <w:sz w:val="20"/>
                                      <w:szCs w:val="20"/>
                                    </w:rPr>
                                  </w:pPr>
                                  <w:r w:rsidRPr="0089213E">
                                    <w:rPr>
                                      <w:sz w:val="20"/>
                                      <w:szCs w:val="20"/>
                                    </w:rPr>
                                    <w:t>means the Housing and Business Development Capacity Assessment (HBA) required by subpart 5 of Part 3</w:t>
                                  </w:r>
                                </w:p>
                              </w:txbxContent>
                            </wps:txbx>
                            <wps:bodyPr rot="0" vert="horz" wrap="square" lIns="91440" tIns="45720" rIns="91440" bIns="45720" anchor="t" anchorCtr="0">
                              <a:noAutofit/>
                            </wps:bodyPr>
                          </wps:wsp>
                        </a:graphicData>
                      </a:graphic>
                    </wp:inline>
                  </w:drawing>
                </mc:Choice>
                <mc:Fallback>
                  <w:pict>
                    <v:shape w14:anchorId="4836C5FC" id="Text Box 3" o:spid="_x0000_s1073" type="#_x0000_t202" style="width:291.1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">
                      <v:textbox>
                        <w:txbxContent>
                          <w:p w14:paraId="6CBB3A02" w14:textId="77777777" w:rsidR="009A1120" w:rsidRPr="00E03239" w:rsidRDefault="009A1120" w:rsidP="009A1120">
                            <w:pPr>
                              <w:contextualSpacing/>
                              <w:rPr>
                                <w:sz w:val="20"/>
                                <w:szCs w:val="20"/>
                              </w:rPr>
                            </w:pPr>
                            <w:r w:rsidRPr="0089213E">
                              <w:rPr>
                                <w:sz w:val="20"/>
                                <w:szCs w:val="20"/>
                              </w:rPr>
                              <w:t>means the Housing and Business Development Capacity Assessment (HBA) required by subpart 5 of Part 3</w:t>
                            </w:r>
                          </w:p>
                        </w:txbxContent>
                      </v:textbox>
                      <w10:anchorlock/>
                    </v:shape>
                  </w:pict>
                </mc:Fallback>
              </mc:AlternateContent>
            </w:r>
          </w:p>
          <w:p w14:paraId="0ED4D328" w14:textId="77777777" w:rsidR="009A1120" w:rsidRPr="00472578" w:rsidRDefault="009A1120" w:rsidP="00E92686">
            <w:pPr>
              <w:tabs>
                <w:tab w:val="center" w:pos="4513"/>
                <w:tab w:val="right" w:pos="9026"/>
              </w:tabs>
              <w:spacing w:before="60" w:after="60"/>
              <w:jc w:val="both"/>
              <w:rPr>
                <w:sz w:val="20"/>
                <w:szCs w:val="20"/>
              </w:rPr>
            </w:pPr>
          </w:p>
        </w:tc>
      </w:tr>
      <w:tr w:rsidR="009A1120" w:rsidRPr="00472578" w14:paraId="7539E0FD" w14:textId="77777777" w:rsidTr="007612BD">
        <w:tc>
          <w:tcPr>
            <w:tcW w:w="2104" w:type="dxa"/>
          </w:tcPr>
          <w:p w14:paraId="6B6079A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Indigenous vegetation</w:t>
            </w:r>
          </w:p>
        </w:tc>
        <w:tc>
          <w:tcPr>
            <w:tcW w:w="7146" w:type="dxa"/>
          </w:tcPr>
          <w:p w14:paraId="6F2839AF" w14:textId="6A087440" w:rsidR="009A1120" w:rsidRPr="00472578" w:rsidRDefault="009A1120" w:rsidP="00E92686">
            <w:pPr>
              <w:tabs>
                <w:tab w:val="center" w:pos="4513"/>
                <w:tab w:val="right" w:pos="9026"/>
              </w:tabs>
              <w:spacing w:before="60" w:after="60"/>
              <w:jc w:val="both"/>
              <w:rPr>
                <w:sz w:val="20"/>
                <w:szCs w:val="20"/>
              </w:rPr>
            </w:pPr>
            <w:r w:rsidRPr="00472578">
              <w:rPr>
                <w:sz w:val="20"/>
                <w:szCs w:val="20"/>
              </w:rPr>
              <w:t>means vascular and non-vascular plants that, in relation to a particular area, are native to the ecological district</w:t>
            </w:r>
            <w:r w:rsidR="00BD5EE6" w:rsidRPr="00BD5EE6">
              <w:rPr>
                <w:rStyle w:val="FootnoteReference"/>
                <w:sz w:val="20"/>
                <w:szCs w:val="20"/>
                <w:u w:val="single"/>
                <w:shd w:val="clear" w:color="auto" w:fill="D9D9D9" w:themeFill="background1" w:themeFillShade="D9"/>
              </w:rPr>
              <w:footnoteReference w:id="108"/>
            </w:r>
            <w:r w:rsidRPr="00472578">
              <w:rPr>
                <w:sz w:val="20"/>
                <w:szCs w:val="20"/>
              </w:rPr>
              <w:t xml:space="preserve"> in which that area is located.</w:t>
            </w:r>
          </w:p>
        </w:tc>
      </w:tr>
      <w:tr w:rsidR="000D0967" w:rsidRPr="00472578" w14:paraId="3A5FD085" w14:textId="77777777" w:rsidTr="007612BD">
        <w:tc>
          <w:tcPr>
            <w:tcW w:w="2104" w:type="dxa"/>
          </w:tcPr>
          <w:p w14:paraId="2A3784D5" w14:textId="12EBAFE0" w:rsidR="000D0967" w:rsidRPr="000D0967" w:rsidRDefault="000D0967" w:rsidP="00DC6CD9">
            <w:pPr>
              <w:tabs>
                <w:tab w:val="center" w:pos="4513"/>
                <w:tab w:val="right" w:pos="9026"/>
              </w:tabs>
              <w:spacing w:before="60" w:after="60"/>
              <w:rPr>
                <w:b/>
                <w:bCs/>
                <w:sz w:val="20"/>
                <w:szCs w:val="20"/>
                <w:u w:val="single"/>
              </w:rPr>
            </w:pPr>
            <w:r w:rsidRPr="000D0967">
              <w:rPr>
                <w:b/>
                <w:bCs/>
                <w:sz w:val="20"/>
                <w:szCs w:val="20"/>
                <w:u w:val="single"/>
              </w:rPr>
              <w:t>Indigenous species</w:t>
            </w:r>
            <w:r w:rsidR="0051661E">
              <w:rPr>
                <w:b/>
                <w:bCs/>
                <w:sz w:val="20"/>
                <w:szCs w:val="20"/>
                <w:u w:val="single"/>
              </w:rPr>
              <w:t xml:space="preserve"> (in relation to the ECO chapter)</w:t>
            </w:r>
            <w:r w:rsidR="00253481" w:rsidRPr="0EC914AA">
              <w:rPr>
                <w:rStyle w:val="FootnoteReference"/>
              </w:rPr>
              <w:footnoteReference w:id="109"/>
            </w:r>
          </w:p>
        </w:tc>
        <w:tc>
          <w:tcPr>
            <w:tcW w:w="7146" w:type="dxa"/>
          </w:tcPr>
          <w:p w14:paraId="2EEFA37D" w14:textId="23D26B84" w:rsidR="000D0967" w:rsidRPr="00253481" w:rsidRDefault="0051661E" w:rsidP="00E92686">
            <w:pPr>
              <w:tabs>
                <w:tab w:val="center" w:pos="4513"/>
                <w:tab w:val="right" w:pos="9026"/>
              </w:tabs>
              <w:spacing w:before="60" w:after="60"/>
              <w:jc w:val="both"/>
              <w:rPr>
                <w:sz w:val="20"/>
                <w:szCs w:val="20"/>
                <w:u w:val="single"/>
              </w:rPr>
            </w:pPr>
            <w:r>
              <w:rPr>
                <w:sz w:val="20"/>
                <w:szCs w:val="20"/>
                <w:u w:val="single"/>
              </w:rPr>
              <w:t xml:space="preserve">where used in the ECO chapter, </w:t>
            </w:r>
            <w:r w:rsidR="00253481" w:rsidRPr="00253481">
              <w:rPr>
                <w:sz w:val="20"/>
                <w:szCs w:val="20"/>
                <w:u w:val="single"/>
              </w:rPr>
              <w:t>means species that occur naturally in Otago.</w:t>
            </w:r>
          </w:p>
        </w:tc>
      </w:tr>
      <w:tr w:rsidR="009A1120" w:rsidRPr="00472578" w14:paraId="360A3E83" w14:textId="77777777" w:rsidTr="007612BD">
        <w:tc>
          <w:tcPr>
            <w:tcW w:w="2104" w:type="dxa"/>
          </w:tcPr>
          <w:p w14:paraId="487931D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Industrial activities</w:t>
            </w:r>
          </w:p>
        </w:tc>
        <w:tc>
          <w:tcPr>
            <w:tcW w:w="7146" w:type="dxa"/>
          </w:tcPr>
          <w:p w14:paraId="6C79B62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144F01F1"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1F2CC765" wp14:editId="13EA34F4">
                      <wp:extent cx="3697356" cy="771525"/>
                      <wp:effectExtent l="0" t="0" r="17780" b="28575"/>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771525"/>
                              </a:xfrm>
                              <a:prstGeom prst="rect">
                                <a:avLst/>
                              </a:prstGeom>
                              <a:solidFill>
                                <a:srgbClr val="FFFFFF"/>
                              </a:solidFill>
                              <a:ln w="9525">
                                <a:solidFill>
                                  <a:srgbClr val="000000"/>
                                </a:solidFill>
                                <a:miter lim="800000"/>
                                <a:headEnd/>
                                <a:tailEnd/>
                              </a:ln>
                            </wps:spPr>
                            <wps:txbx>
                              <w:txbxContent>
                                <w:p w14:paraId="65AD5782" w14:textId="77777777" w:rsidR="009A1120" w:rsidRPr="00E03239" w:rsidRDefault="009A1120" w:rsidP="009A1120">
                                  <w:pPr>
                                    <w:contextualSpacing/>
                                    <w:rPr>
                                      <w:sz w:val="20"/>
                                      <w:szCs w:val="20"/>
                                    </w:rPr>
                                  </w:pPr>
                                  <w:r w:rsidRPr="00E03239">
                                    <w:rPr>
                                      <w:sz w:val="20"/>
                                      <w:szCs w:val="20"/>
                                    </w:rPr>
                                    <w:t xml:space="preserve">means </w:t>
                                  </w:r>
                                  <w:r w:rsidRPr="00AB75C2">
                                    <w:rPr>
                                      <w:sz w:val="20"/>
                                      <w:szCs w:val="20"/>
                                    </w:rPr>
                                    <w:t>an activity that manufactures, fabricates, processes, packages, distributes, repairs, stores, or disposes of materials (including raw, processed, or partly processed materials) or goods. It includes any ancillary activity to the industrial activity</w:t>
                                  </w:r>
                                </w:p>
                              </w:txbxContent>
                            </wps:txbx>
                            <wps:bodyPr rot="0" vert="horz" wrap="square" lIns="91440" tIns="45720" rIns="91440" bIns="45720" anchor="t" anchorCtr="0">
                              <a:noAutofit/>
                            </wps:bodyPr>
                          </wps:wsp>
                        </a:graphicData>
                      </a:graphic>
                    </wp:inline>
                  </w:drawing>
                </mc:Choice>
                <mc:Fallback>
                  <w:pict>
                    <v:shape w14:anchorId="1F2CC765" id="Text Box 234" o:spid="_x0000_s1074" type="#_x0000_t202" style="width:291.1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">
                      <v:textbox>
                        <w:txbxContent>
                          <w:p w14:paraId="65AD5782" w14:textId="77777777" w:rsidR="009A1120" w:rsidRPr="00E03239" w:rsidRDefault="009A1120" w:rsidP="009A1120">
                            <w:pPr>
                              <w:contextualSpacing/>
                              <w:rPr>
                                <w:sz w:val="20"/>
                                <w:szCs w:val="20"/>
                              </w:rPr>
                            </w:pPr>
                            <w:r w:rsidRPr="00E03239">
                              <w:rPr>
                                <w:sz w:val="20"/>
                                <w:szCs w:val="20"/>
                              </w:rPr>
                              <w:t xml:space="preserve">means </w:t>
                            </w:r>
                            <w:r w:rsidRPr="00AB75C2">
                              <w:rPr>
                                <w:sz w:val="20"/>
                                <w:szCs w:val="20"/>
                              </w:rPr>
                              <w:t>an activity that manufactures, fabricates, processes, packages, distributes, repairs, stores, or disposes of materials (including raw, processed, or partly processed materials) or goods. It includes any ancillary activity to the industrial activity</w:t>
                            </w:r>
                          </w:p>
                        </w:txbxContent>
                      </v:textbox>
                      <w10:anchorlock/>
                    </v:shape>
                  </w:pict>
                </mc:Fallback>
              </mc:AlternateContent>
            </w:r>
          </w:p>
        </w:tc>
      </w:tr>
      <w:tr w:rsidR="00EB0A3D" w:rsidRPr="00472578" w14:paraId="62DC4850" w14:textId="77777777" w:rsidTr="007612BD">
        <w:tc>
          <w:tcPr>
            <w:tcW w:w="2104" w:type="dxa"/>
          </w:tcPr>
          <w:p w14:paraId="34B56833" w14:textId="18EFE7E7" w:rsidR="00EB0A3D" w:rsidRPr="00472578" w:rsidRDefault="00EB0A3D" w:rsidP="00DC6CD9">
            <w:pPr>
              <w:tabs>
                <w:tab w:val="center" w:pos="4513"/>
                <w:tab w:val="right" w:pos="9026"/>
              </w:tabs>
              <w:spacing w:before="60" w:after="60"/>
              <w:rPr>
                <w:b/>
                <w:bCs/>
                <w:sz w:val="20"/>
                <w:szCs w:val="20"/>
              </w:rPr>
            </w:pPr>
            <w:r w:rsidRPr="00472578">
              <w:rPr>
                <w:b/>
                <w:sz w:val="20"/>
                <w:szCs w:val="20"/>
                <w:u w:val="single"/>
              </w:rPr>
              <w:lastRenderedPageBreak/>
              <w:t>Industrial and trade waste</w:t>
            </w:r>
            <w:r w:rsidRPr="00472578">
              <w:rPr>
                <w:rStyle w:val="FootnoteReference"/>
                <w:b/>
                <w:bCs/>
                <w:sz w:val="20"/>
                <w:szCs w:val="20"/>
              </w:rPr>
              <w:footnoteReference w:id="110"/>
            </w:r>
          </w:p>
        </w:tc>
        <w:tc>
          <w:tcPr>
            <w:tcW w:w="7146" w:type="dxa"/>
          </w:tcPr>
          <w:p w14:paraId="357DB2CA" w14:textId="77777777" w:rsidR="001417F6" w:rsidRPr="00472578" w:rsidRDefault="001417F6" w:rsidP="00E92686">
            <w:pPr>
              <w:tabs>
                <w:tab w:val="center" w:pos="4513"/>
                <w:tab w:val="right" w:pos="9026"/>
              </w:tabs>
              <w:spacing w:before="60" w:after="60"/>
              <w:jc w:val="both"/>
              <w:rPr>
                <w:sz w:val="20"/>
                <w:szCs w:val="20"/>
                <w:u w:val="single"/>
              </w:rPr>
            </w:pPr>
            <w:r w:rsidRPr="00472578">
              <w:rPr>
                <w:sz w:val="20"/>
                <w:szCs w:val="20"/>
                <w:u w:val="single"/>
              </w:rPr>
              <w:t>has the same meaning as in Standard 14 of the National Planning Standards 2019 (as set out in the box below)</w:t>
            </w:r>
          </w:p>
          <w:p w14:paraId="2E6B3BA7" w14:textId="3240CC85" w:rsidR="00EB0A3D" w:rsidRPr="00472578" w:rsidRDefault="001417F6"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AF2DBAF" wp14:editId="51E2D2D1">
                      <wp:extent cx="3697356" cy="771525"/>
                      <wp:effectExtent l="0" t="0" r="17780" b="2857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771525"/>
                              </a:xfrm>
                              <a:prstGeom prst="rect">
                                <a:avLst/>
                              </a:prstGeom>
                              <a:solidFill>
                                <a:srgbClr val="FFFFFF"/>
                              </a:solidFill>
                              <a:ln w="9525">
                                <a:solidFill>
                                  <a:srgbClr val="000000"/>
                                </a:solidFill>
                                <a:miter lim="800000"/>
                                <a:headEnd/>
                                <a:tailEnd/>
                              </a:ln>
                            </wps:spPr>
                            <wps:txbx>
                              <w:txbxContent>
                                <w:p w14:paraId="2A467F97" w14:textId="0E1EEE90" w:rsidR="001417F6" w:rsidRPr="000B0D3A" w:rsidRDefault="000B0D3A" w:rsidP="000B0D3A">
                                  <w:pPr>
                                    <w:contextualSpacing/>
                                    <w:rPr>
                                      <w:sz w:val="20"/>
                                      <w:szCs w:val="20"/>
                                      <w:u w:val="single"/>
                                    </w:rPr>
                                  </w:pPr>
                                  <w:r w:rsidRPr="000B0D3A">
                                    <w:rPr>
                                      <w:sz w:val="20"/>
                                      <w:szCs w:val="20"/>
                                      <w:u w:val="single"/>
                                    </w:rPr>
                                    <w:t>means liquid waste, with or without matter in suspension, from the receipt, manufacture or processing of materials as part of a commercial, industrial or trade process, but excludes sewage and greywater.</w:t>
                                  </w:r>
                                </w:p>
                              </w:txbxContent>
                            </wps:txbx>
                            <wps:bodyPr rot="0" vert="horz" wrap="square" lIns="91440" tIns="45720" rIns="91440" bIns="45720" anchor="t" anchorCtr="0">
                              <a:noAutofit/>
                            </wps:bodyPr>
                          </wps:wsp>
                        </a:graphicData>
                      </a:graphic>
                    </wp:inline>
                  </w:drawing>
                </mc:Choice>
                <mc:Fallback>
                  <w:pict>
                    <v:shape w14:anchorId="7AF2DBAF" id="Text Box 59" o:spid="_x0000_s1075" type="#_x0000_t202" style="width:291.1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">
                      <v:textbox>
                        <w:txbxContent>
                          <w:p w14:paraId="2A467F97" w14:textId="0E1EEE90" w:rsidR="001417F6" w:rsidRPr="000B0D3A" w:rsidRDefault="000B0D3A" w:rsidP="000B0D3A">
                            <w:pPr>
                              <w:contextualSpacing/>
                              <w:rPr>
                                <w:sz w:val="20"/>
                                <w:szCs w:val="20"/>
                                <w:u w:val="single"/>
                              </w:rPr>
                            </w:pPr>
                            <w:r w:rsidRPr="000B0D3A">
                              <w:rPr>
                                <w:sz w:val="20"/>
                                <w:szCs w:val="20"/>
                                <w:u w:val="single"/>
                              </w:rPr>
                              <w:t>means liquid waste, with or without matter in suspension, from the receipt, manufacture or processing of materials as part of a commercial, industrial or trade process, but excludes sewage and greywater.</w:t>
                            </w:r>
                          </w:p>
                        </w:txbxContent>
                      </v:textbox>
                      <w10:anchorlock/>
                    </v:shape>
                  </w:pict>
                </mc:Fallback>
              </mc:AlternateContent>
            </w:r>
          </w:p>
        </w:tc>
      </w:tr>
      <w:tr w:rsidR="009A1120" w:rsidRPr="00472578" w14:paraId="75C1C897" w14:textId="77777777" w:rsidTr="007612BD">
        <w:tc>
          <w:tcPr>
            <w:tcW w:w="2104" w:type="dxa"/>
          </w:tcPr>
          <w:p w14:paraId="420CF7C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Infrastructure</w:t>
            </w:r>
          </w:p>
        </w:tc>
        <w:tc>
          <w:tcPr>
            <w:tcW w:w="7146" w:type="dxa"/>
          </w:tcPr>
          <w:p w14:paraId="0689DB5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71AF8658"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1AFE1E27" wp14:editId="21D789C6">
                      <wp:extent cx="3697356" cy="5979381"/>
                      <wp:effectExtent l="0" t="0" r="17780" b="2159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979381"/>
                              </a:xfrm>
                              <a:prstGeom prst="rect">
                                <a:avLst/>
                              </a:prstGeom>
                              <a:solidFill>
                                <a:srgbClr val="FFFFFF"/>
                              </a:solidFill>
                              <a:ln w="9525">
                                <a:solidFill>
                                  <a:srgbClr val="000000"/>
                                </a:solidFill>
                                <a:miter lim="800000"/>
                                <a:headEnd/>
                                <a:tailEnd/>
                              </a:ln>
                            </wps:spPr>
                            <wps:txbx>
                              <w:txbxContent>
                                <w:p w14:paraId="46030EF0" w14:textId="77777777" w:rsidR="009A1120" w:rsidRPr="001A38AB" w:rsidRDefault="009A1120" w:rsidP="009A1120">
                                  <w:pPr>
                                    <w:spacing w:after="60"/>
                                    <w:ind w:left="284" w:hanging="284"/>
                                    <w:rPr>
                                      <w:sz w:val="20"/>
                                      <w:szCs w:val="20"/>
                                    </w:rPr>
                                  </w:pPr>
                                  <w:r w:rsidRPr="001A38AB">
                                    <w:rPr>
                                      <w:sz w:val="20"/>
                                      <w:szCs w:val="20"/>
                                    </w:rPr>
                                    <w:t>means—</w:t>
                                  </w:r>
                                </w:p>
                                <w:p w14:paraId="7E60D890"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pipelines that distribute or transmit natural or manufactured gas, petroleum, biofuel, or geothermal energy:</w:t>
                                  </w:r>
                                </w:p>
                                <w:p w14:paraId="6461022C"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a network for the purpose of telecommunication as defined in section 5 of the Telecommunications Act 2001:</w:t>
                                  </w:r>
                                </w:p>
                                <w:p w14:paraId="789D478B"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a network for the purpose of radiocommunication as defined in section 2(1) of the Radiocommunications Act 1989:</w:t>
                                  </w:r>
                                </w:p>
                                <w:p w14:paraId="44CE9F79"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facilities for the generation of electricity, lines used or intended to be used to convey electricity, and support structures for lines used or intended to be used to convey electricity, excluding facilities, lines, and support structures if a person—</w:t>
                                  </w:r>
                                </w:p>
                                <w:p w14:paraId="45C8C816" w14:textId="77777777" w:rsidR="009A1120" w:rsidRPr="001A38AB" w:rsidRDefault="009A1120" w:rsidP="009A1120">
                                  <w:pPr>
                                    <w:spacing w:after="60"/>
                                    <w:ind w:left="567" w:hanging="284"/>
                                    <w:rPr>
                                      <w:sz w:val="20"/>
                                      <w:szCs w:val="20"/>
                                    </w:rPr>
                                  </w:pPr>
                                  <w:r w:rsidRPr="001A38AB">
                                    <w:rPr>
                                      <w:sz w:val="20"/>
                                      <w:szCs w:val="20"/>
                                    </w:rPr>
                                    <w:t>(i)</w:t>
                                  </w:r>
                                  <w:r w:rsidRPr="001A38AB">
                                    <w:rPr>
                                      <w:sz w:val="20"/>
                                      <w:szCs w:val="20"/>
                                    </w:rPr>
                                    <w:tab/>
                                    <w:t>uses them in connection with the generation of electricity for the person’s use; and</w:t>
                                  </w:r>
                                </w:p>
                                <w:p w14:paraId="42B0D9BF" w14:textId="77777777" w:rsidR="009A1120" w:rsidRPr="001A38AB" w:rsidRDefault="009A1120" w:rsidP="009A1120">
                                  <w:pPr>
                                    <w:spacing w:after="60"/>
                                    <w:ind w:left="567" w:hanging="284"/>
                                    <w:rPr>
                                      <w:sz w:val="20"/>
                                      <w:szCs w:val="20"/>
                                    </w:rPr>
                                  </w:pPr>
                                  <w:r w:rsidRPr="001A38AB">
                                    <w:rPr>
                                      <w:sz w:val="20"/>
                                      <w:szCs w:val="20"/>
                                    </w:rPr>
                                    <w:t>(ii)</w:t>
                                  </w:r>
                                  <w:r w:rsidRPr="001A38AB">
                                    <w:rPr>
                                      <w:sz w:val="20"/>
                                      <w:szCs w:val="20"/>
                                    </w:rPr>
                                    <w:tab/>
                                    <w:t>does not use them to generate any electricity for supply to any other person:</w:t>
                                  </w:r>
                                </w:p>
                                <w:p w14:paraId="159E417E" w14:textId="77777777" w:rsidR="009A1120" w:rsidRPr="001A38AB" w:rsidRDefault="009A1120" w:rsidP="009A1120">
                                  <w:pPr>
                                    <w:spacing w:after="60"/>
                                    <w:ind w:left="284" w:hanging="284"/>
                                    <w:rPr>
                                      <w:sz w:val="20"/>
                                      <w:szCs w:val="20"/>
                                    </w:rPr>
                                  </w:pPr>
                                  <w:r w:rsidRPr="001A38AB">
                                    <w:rPr>
                                      <w:sz w:val="20"/>
                                      <w:szCs w:val="20"/>
                                    </w:rPr>
                                    <w:t>(e)</w:t>
                                  </w:r>
                                  <w:r w:rsidRPr="001A38AB">
                                    <w:rPr>
                                      <w:sz w:val="20"/>
                                      <w:szCs w:val="20"/>
                                    </w:rPr>
                                    <w:tab/>
                                    <w:t>a water supply distribution system, including a system for irrigation:</w:t>
                                  </w:r>
                                </w:p>
                                <w:p w14:paraId="73432EBA" w14:textId="77777777" w:rsidR="009A1120" w:rsidRPr="001A38AB" w:rsidRDefault="009A1120" w:rsidP="009A1120">
                                  <w:pPr>
                                    <w:spacing w:after="60"/>
                                    <w:ind w:left="284" w:hanging="284"/>
                                    <w:rPr>
                                      <w:sz w:val="20"/>
                                      <w:szCs w:val="20"/>
                                    </w:rPr>
                                  </w:pPr>
                                  <w:r w:rsidRPr="001A38AB">
                                    <w:rPr>
                                      <w:sz w:val="20"/>
                                      <w:szCs w:val="20"/>
                                    </w:rPr>
                                    <w:t>(f)</w:t>
                                  </w:r>
                                  <w:r w:rsidRPr="001A38AB">
                                    <w:rPr>
                                      <w:sz w:val="20"/>
                                      <w:szCs w:val="20"/>
                                    </w:rPr>
                                    <w:tab/>
                                    <w:t>a drainage or sewerage system:</w:t>
                                  </w:r>
                                </w:p>
                                <w:p w14:paraId="736478FF" w14:textId="77777777" w:rsidR="009A1120" w:rsidRPr="001A38AB" w:rsidRDefault="009A1120" w:rsidP="009A1120">
                                  <w:pPr>
                                    <w:spacing w:after="60"/>
                                    <w:ind w:left="284" w:hanging="284"/>
                                    <w:rPr>
                                      <w:sz w:val="20"/>
                                      <w:szCs w:val="20"/>
                                    </w:rPr>
                                  </w:pPr>
                                  <w:r w:rsidRPr="001A38AB">
                                    <w:rPr>
                                      <w:sz w:val="20"/>
                                      <w:szCs w:val="20"/>
                                    </w:rPr>
                                    <w:t>(g)</w:t>
                                  </w:r>
                                  <w:r w:rsidRPr="001A38AB">
                                    <w:rPr>
                                      <w:sz w:val="20"/>
                                      <w:szCs w:val="20"/>
                                    </w:rPr>
                                    <w:tab/>
                                    <w:t>structures for transport on land by cycleways, rail, roads, walkways, or any other means:</w:t>
                                  </w:r>
                                </w:p>
                                <w:p w14:paraId="7082D056" w14:textId="77777777" w:rsidR="009A1120" w:rsidRPr="001A38AB" w:rsidRDefault="009A1120" w:rsidP="009A1120">
                                  <w:pPr>
                                    <w:spacing w:after="60"/>
                                    <w:ind w:left="284" w:hanging="284"/>
                                    <w:rPr>
                                      <w:sz w:val="20"/>
                                      <w:szCs w:val="20"/>
                                    </w:rPr>
                                  </w:pPr>
                                  <w:r w:rsidRPr="001A38AB">
                                    <w:rPr>
                                      <w:sz w:val="20"/>
                                      <w:szCs w:val="20"/>
                                    </w:rPr>
                                    <w:t>(h)</w:t>
                                  </w:r>
                                  <w:r w:rsidRPr="001A38AB">
                                    <w:rPr>
                                      <w:sz w:val="20"/>
                                      <w:szCs w:val="20"/>
                                    </w:rPr>
                                    <w:tab/>
                                    <w:t>facilities for the loading or unloading of cargo or passengers transported on land by any means:</w:t>
                                  </w:r>
                                </w:p>
                                <w:p w14:paraId="657F5D44" w14:textId="77777777" w:rsidR="009A1120" w:rsidRPr="001A38AB" w:rsidRDefault="009A1120" w:rsidP="009A1120">
                                  <w:pPr>
                                    <w:spacing w:after="60"/>
                                    <w:ind w:left="284" w:hanging="284"/>
                                    <w:rPr>
                                      <w:sz w:val="20"/>
                                      <w:szCs w:val="20"/>
                                    </w:rPr>
                                  </w:pPr>
                                  <w:r w:rsidRPr="001A38AB">
                                    <w:rPr>
                                      <w:sz w:val="20"/>
                                      <w:szCs w:val="20"/>
                                    </w:rPr>
                                    <w:t>(i)</w:t>
                                  </w:r>
                                  <w:r w:rsidRPr="001A38AB">
                                    <w:rPr>
                                      <w:sz w:val="20"/>
                                      <w:szCs w:val="20"/>
                                    </w:rPr>
                                    <w:tab/>
                                    <w:t>an airport as defined in section 2 of the Airport Authorities Act 1966:</w:t>
                                  </w:r>
                                </w:p>
                                <w:p w14:paraId="6229D471" w14:textId="77777777" w:rsidR="009A1120" w:rsidRPr="001A38AB" w:rsidRDefault="009A1120" w:rsidP="009A1120">
                                  <w:pPr>
                                    <w:spacing w:after="60"/>
                                    <w:ind w:left="284" w:hanging="284"/>
                                    <w:rPr>
                                      <w:sz w:val="20"/>
                                      <w:szCs w:val="20"/>
                                    </w:rPr>
                                  </w:pPr>
                                  <w:r w:rsidRPr="001A38AB">
                                    <w:rPr>
                                      <w:sz w:val="20"/>
                                      <w:szCs w:val="20"/>
                                    </w:rPr>
                                    <w:t>(j)</w:t>
                                  </w:r>
                                  <w:r w:rsidRPr="001A38AB">
                                    <w:rPr>
                                      <w:sz w:val="20"/>
                                      <w:szCs w:val="20"/>
                                    </w:rPr>
                                    <w:tab/>
                                    <w:t>a navigation installation as defined in section 2 of the Civil Aviation Act 1990:</w:t>
                                  </w:r>
                                </w:p>
                                <w:p w14:paraId="79C7CB9D" w14:textId="77777777" w:rsidR="009A1120" w:rsidRPr="001A38AB" w:rsidRDefault="009A1120" w:rsidP="009A1120">
                                  <w:pPr>
                                    <w:spacing w:after="60"/>
                                    <w:ind w:left="284" w:hanging="284"/>
                                    <w:rPr>
                                      <w:sz w:val="20"/>
                                      <w:szCs w:val="20"/>
                                    </w:rPr>
                                  </w:pPr>
                                  <w:r w:rsidRPr="001A38AB">
                                    <w:rPr>
                                      <w:sz w:val="20"/>
                                      <w:szCs w:val="20"/>
                                    </w:rPr>
                                    <w:t>(k)</w:t>
                                  </w:r>
                                  <w:r w:rsidRPr="001A38AB">
                                    <w:rPr>
                                      <w:sz w:val="20"/>
                                      <w:szCs w:val="20"/>
                                    </w:rPr>
                                    <w:tab/>
                                    <w:t>facilities for the loading or unloading of cargo or passengers carried by sea, including a port related commercial undertaking as defined in section 2(1) of the Port Companies Act 1988:</w:t>
                                  </w:r>
                                </w:p>
                                <w:p w14:paraId="00DB3AB4" w14:textId="77777777" w:rsidR="009A1120" w:rsidRPr="001A38AB" w:rsidRDefault="009A1120" w:rsidP="009A1120">
                                  <w:pPr>
                                    <w:spacing w:after="60"/>
                                    <w:ind w:left="284" w:hanging="284"/>
                                    <w:rPr>
                                      <w:sz w:val="20"/>
                                      <w:szCs w:val="20"/>
                                    </w:rPr>
                                  </w:pPr>
                                  <w:r w:rsidRPr="001A38AB">
                                    <w:rPr>
                                      <w:sz w:val="20"/>
                                      <w:szCs w:val="20"/>
                                    </w:rPr>
                                    <w:t>(l)</w:t>
                                  </w:r>
                                  <w:r w:rsidRPr="001A38AB">
                                    <w:rPr>
                                      <w:sz w:val="20"/>
                                      <w:szCs w:val="20"/>
                                    </w:rPr>
                                    <w:tab/>
                                    <w:t>anything described as a network utility operation in regulations made for the purposes of the definition of network utility operator in section 166</w:t>
                                  </w:r>
                                </w:p>
                              </w:txbxContent>
                            </wps:txbx>
                            <wps:bodyPr rot="0" vert="horz" wrap="square" lIns="91440" tIns="45720" rIns="91440" bIns="45720" anchor="t" anchorCtr="0">
                              <a:noAutofit/>
                            </wps:bodyPr>
                          </wps:wsp>
                        </a:graphicData>
                      </a:graphic>
                    </wp:inline>
                  </w:drawing>
                </mc:Choice>
                <mc:Fallback>
                  <w:pict>
                    <v:shape w14:anchorId="1AFE1E27" id="Text Box 17" o:spid="_x0000_s1076" type="#_x0000_t202" style="width:291.15pt;height:4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">
                      <v:textbox>
                        <w:txbxContent>
                          <w:p w14:paraId="46030EF0" w14:textId="77777777" w:rsidR="009A1120" w:rsidRPr="001A38AB" w:rsidRDefault="009A1120" w:rsidP="009A1120">
                            <w:pPr>
                              <w:spacing w:after="60"/>
                              <w:ind w:left="284" w:hanging="284"/>
                              <w:rPr>
                                <w:sz w:val="20"/>
                                <w:szCs w:val="20"/>
                              </w:rPr>
                            </w:pPr>
                            <w:r w:rsidRPr="001A38AB">
                              <w:rPr>
                                <w:sz w:val="20"/>
                                <w:szCs w:val="20"/>
                              </w:rPr>
                              <w:t>means—</w:t>
                            </w:r>
                          </w:p>
                          <w:p w14:paraId="7E60D890"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pipelines that distribute or transmit natural or manufactured gas, petroleum, biofuel, or geothermal energy:</w:t>
                            </w:r>
                          </w:p>
                          <w:p w14:paraId="6461022C"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a network for the purpose of telecommunication as defined in section 5 of the Telecommunications Act 2001:</w:t>
                            </w:r>
                          </w:p>
                          <w:p w14:paraId="789D478B"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a network for the purpose of radiocommunication as defined in section 2(1) of the Radiocommunications Act 1989:</w:t>
                            </w:r>
                          </w:p>
                          <w:p w14:paraId="44CE9F79"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facilities for the generation of electricity, lines used or intended to be used to convey electricity, and support structures for lines used or intended to be used to convey electricity, excluding facilities, lines, and support structures if a person—</w:t>
                            </w:r>
                          </w:p>
                          <w:p w14:paraId="45C8C816" w14:textId="77777777" w:rsidR="009A1120" w:rsidRPr="001A38AB" w:rsidRDefault="009A1120" w:rsidP="009A1120">
                            <w:pPr>
                              <w:spacing w:after="60"/>
                              <w:ind w:left="567" w:hanging="284"/>
                              <w:rPr>
                                <w:sz w:val="20"/>
                                <w:szCs w:val="20"/>
                              </w:rPr>
                            </w:pPr>
                            <w:r w:rsidRPr="001A38AB">
                              <w:rPr>
                                <w:sz w:val="20"/>
                                <w:szCs w:val="20"/>
                              </w:rPr>
                              <w:t>(i)</w:t>
                            </w:r>
                            <w:r w:rsidRPr="001A38AB">
                              <w:rPr>
                                <w:sz w:val="20"/>
                                <w:szCs w:val="20"/>
                              </w:rPr>
                              <w:tab/>
                              <w:t>uses them in connection with the generation of electricity for the person’s use; and</w:t>
                            </w:r>
                          </w:p>
                          <w:p w14:paraId="42B0D9BF" w14:textId="77777777" w:rsidR="009A1120" w:rsidRPr="001A38AB" w:rsidRDefault="009A1120" w:rsidP="009A1120">
                            <w:pPr>
                              <w:spacing w:after="60"/>
                              <w:ind w:left="567" w:hanging="284"/>
                              <w:rPr>
                                <w:sz w:val="20"/>
                                <w:szCs w:val="20"/>
                              </w:rPr>
                            </w:pPr>
                            <w:r w:rsidRPr="001A38AB">
                              <w:rPr>
                                <w:sz w:val="20"/>
                                <w:szCs w:val="20"/>
                              </w:rPr>
                              <w:t>(ii)</w:t>
                            </w:r>
                            <w:r w:rsidRPr="001A38AB">
                              <w:rPr>
                                <w:sz w:val="20"/>
                                <w:szCs w:val="20"/>
                              </w:rPr>
                              <w:tab/>
                              <w:t>does not use them to generate any electricity for supply to any other person:</w:t>
                            </w:r>
                          </w:p>
                          <w:p w14:paraId="159E417E" w14:textId="77777777" w:rsidR="009A1120" w:rsidRPr="001A38AB" w:rsidRDefault="009A1120" w:rsidP="009A1120">
                            <w:pPr>
                              <w:spacing w:after="60"/>
                              <w:ind w:left="284" w:hanging="284"/>
                              <w:rPr>
                                <w:sz w:val="20"/>
                                <w:szCs w:val="20"/>
                              </w:rPr>
                            </w:pPr>
                            <w:r w:rsidRPr="001A38AB">
                              <w:rPr>
                                <w:sz w:val="20"/>
                                <w:szCs w:val="20"/>
                              </w:rPr>
                              <w:t>(e)</w:t>
                            </w:r>
                            <w:r w:rsidRPr="001A38AB">
                              <w:rPr>
                                <w:sz w:val="20"/>
                                <w:szCs w:val="20"/>
                              </w:rPr>
                              <w:tab/>
                              <w:t>a water supply distribution system, including a system for irrigation:</w:t>
                            </w:r>
                          </w:p>
                          <w:p w14:paraId="73432EBA" w14:textId="77777777" w:rsidR="009A1120" w:rsidRPr="001A38AB" w:rsidRDefault="009A1120" w:rsidP="009A1120">
                            <w:pPr>
                              <w:spacing w:after="60"/>
                              <w:ind w:left="284" w:hanging="284"/>
                              <w:rPr>
                                <w:sz w:val="20"/>
                                <w:szCs w:val="20"/>
                              </w:rPr>
                            </w:pPr>
                            <w:r w:rsidRPr="001A38AB">
                              <w:rPr>
                                <w:sz w:val="20"/>
                                <w:szCs w:val="20"/>
                              </w:rPr>
                              <w:t>(f)</w:t>
                            </w:r>
                            <w:r w:rsidRPr="001A38AB">
                              <w:rPr>
                                <w:sz w:val="20"/>
                                <w:szCs w:val="20"/>
                              </w:rPr>
                              <w:tab/>
                              <w:t>a drainage or sewerage system:</w:t>
                            </w:r>
                          </w:p>
                          <w:p w14:paraId="736478FF" w14:textId="77777777" w:rsidR="009A1120" w:rsidRPr="001A38AB" w:rsidRDefault="009A1120" w:rsidP="009A1120">
                            <w:pPr>
                              <w:spacing w:after="60"/>
                              <w:ind w:left="284" w:hanging="284"/>
                              <w:rPr>
                                <w:sz w:val="20"/>
                                <w:szCs w:val="20"/>
                              </w:rPr>
                            </w:pPr>
                            <w:r w:rsidRPr="001A38AB">
                              <w:rPr>
                                <w:sz w:val="20"/>
                                <w:szCs w:val="20"/>
                              </w:rPr>
                              <w:t>(g)</w:t>
                            </w:r>
                            <w:r w:rsidRPr="001A38AB">
                              <w:rPr>
                                <w:sz w:val="20"/>
                                <w:szCs w:val="20"/>
                              </w:rPr>
                              <w:tab/>
                              <w:t>structures for transport on land by cycleways, rail, roads, walkways, or any other means:</w:t>
                            </w:r>
                          </w:p>
                          <w:p w14:paraId="7082D056" w14:textId="77777777" w:rsidR="009A1120" w:rsidRPr="001A38AB" w:rsidRDefault="009A1120" w:rsidP="009A1120">
                            <w:pPr>
                              <w:spacing w:after="60"/>
                              <w:ind w:left="284" w:hanging="284"/>
                              <w:rPr>
                                <w:sz w:val="20"/>
                                <w:szCs w:val="20"/>
                              </w:rPr>
                            </w:pPr>
                            <w:r w:rsidRPr="001A38AB">
                              <w:rPr>
                                <w:sz w:val="20"/>
                                <w:szCs w:val="20"/>
                              </w:rPr>
                              <w:t>(h)</w:t>
                            </w:r>
                            <w:r w:rsidRPr="001A38AB">
                              <w:rPr>
                                <w:sz w:val="20"/>
                                <w:szCs w:val="20"/>
                              </w:rPr>
                              <w:tab/>
                              <w:t>facilities for the loading or unloading of cargo or passengers transported on land by any means:</w:t>
                            </w:r>
                          </w:p>
                          <w:p w14:paraId="657F5D44" w14:textId="77777777" w:rsidR="009A1120" w:rsidRPr="001A38AB" w:rsidRDefault="009A1120" w:rsidP="009A1120">
                            <w:pPr>
                              <w:spacing w:after="60"/>
                              <w:ind w:left="284" w:hanging="284"/>
                              <w:rPr>
                                <w:sz w:val="20"/>
                                <w:szCs w:val="20"/>
                              </w:rPr>
                            </w:pPr>
                            <w:r w:rsidRPr="001A38AB">
                              <w:rPr>
                                <w:sz w:val="20"/>
                                <w:szCs w:val="20"/>
                              </w:rPr>
                              <w:t>(i)</w:t>
                            </w:r>
                            <w:r w:rsidRPr="001A38AB">
                              <w:rPr>
                                <w:sz w:val="20"/>
                                <w:szCs w:val="20"/>
                              </w:rPr>
                              <w:tab/>
                              <w:t>an airport as defined in section 2 of the Airport Authorities Act 1966:</w:t>
                            </w:r>
                          </w:p>
                          <w:p w14:paraId="6229D471" w14:textId="77777777" w:rsidR="009A1120" w:rsidRPr="001A38AB" w:rsidRDefault="009A1120" w:rsidP="009A1120">
                            <w:pPr>
                              <w:spacing w:after="60"/>
                              <w:ind w:left="284" w:hanging="284"/>
                              <w:rPr>
                                <w:sz w:val="20"/>
                                <w:szCs w:val="20"/>
                              </w:rPr>
                            </w:pPr>
                            <w:r w:rsidRPr="001A38AB">
                              <w:rPr>
                                <w:sz w:val="20"/>
                                <w:szCs w:val="20"/>
                              </w:rPr>
                              <w:t>(j)</w:t>
                            </w:r>
                            <w:r w:rsidRPr="001A38AB">
                              <w:rPr>
                                <w:sz w:val="20"/>
                                <w:szCs w:val="20"/>
                              </w:rPr>
                              <w:tab/>
                              <w:t>a navigation installation as defined in section 2 of the Civil Aviation Act 1990:</w:t>
                            </w:r>
                          </w:p>
                          <w:p w14:paraId="79C7CB9D" w14:textId="77777777" w:rsidR="009A1120" w:rsidRPr="001A38AB" w:rsidRDefault="009A1120" w:rsidP="009A1120">
                            <w:pPr>
                              <w:spacing w:after="60"/>
                              <w:ind w:left="284" w:hanging="284"/>
                              <w:rPr>
                                <w:sz w:val="20"/>
                                <w:szCs w:val="20"/>
                              </w:rPr>
                            </w:pPr>
                            <w:r w:rsidRPr="001A38AB">
                              <w:rPr>
                                <w:sz w:val="20"/>
                                <w:szCs w:val="20"/>
                              </w:rPr>
                              <w:t>(k)</w:t>
                            </w:r>
                            <w:r w:rsidRPr="001A38AB">
                              <w:rPr>
                                <w:sz w:val="20"/>
                                <w:szCs w:val="20"/>
                              </w:rPr>
                              <w:tab/>
                              <w:t>facilities for the loading or unloading of cargo or passengers carried by sea, including a port related commercial undertaking as defined in section 2(1) of the Port Companies Act 1988:</w:t>
                            </w:r>
                          </w:p>
                          <w:p w14:paraId="00DB3AB4" w14:textId="77777777" w:rsidR="009A1120" w:rsidRPr="001A38AB" w:rsidRDefault="009A1120" w:rsidP="009A1120">
                            <w:pPr>
                              <w:spacing w:after="60"/>
                              <w:ind w:left="284" w:hanging="284"/>
                              <w:rPr>
                                <w:sz w:val="20"/>
                                <w:szCs w:val="20"/>
                              </w:rPr>
                            </w:pPr>
                            <w:r w:rsidRPr="001A38AB">
                              <w:rPr>
                                <w:sz w:val="20"/>
                                <w:szCs w:val="20"/>
                              </w:rPr>
                              <w:t>(l)</w:t>
                            </w:r>
                            <w:r w:rsidRPr="001A38AB">
                              <w:rPr>
                                <w:sz w:val="20"/>
                                <w:szCs w:val="20"/>
                              </w:rPr>
                              <w:tab/>
                              <w:t>anything described as a network utility operation in regulations made for the purposes of the definition of network utility operator in section 166</w:t>
                            </w:r>
                          </w:p>
                        </w:txbxContent>
                      </v:textbox>
                      <w10:anchorlock/>
                    </v:shape>
                  </w:pict>
                </mc:Fallback>
              </mc:AlternateContent>
            </w:r>
          </w:p>
        </w:tc>
      </w:tr>
      <w:tr w:rsidR="009A1120" w:rsidRPr="00472578" w:rsidDel="000047A2" w14:paraId="3C1ED498" w14:textId="77777777" w:rsidTr="007612BD">
        <w:tc>
          <w:tcPr>
            <w:tcW w:w="2104" w:type="dxa"/>
          </w:tcPr>
          <w:p w14:paraId="263934FB" w14:textId="77777777" w:rsidR="009A1120" w:rsidRPr="00472578" w:rsidDel="000047A2" w:rsidRDefault="009A1120" w:rsidP="00DC6CD9">
            <w:pPr>
              <w:tabs>
                <w:tab w:val="center" w:pos="4513"/>
                <w:tab w:val="right" w:pos="9026"/>
              </w:tabs>
              <w:spacing w:before="60" w:after="60"/>
              <w:rPr>
                <w:b/>
                <w:bCs/>
                <w:sz w:val="20"/>
                <w:szCs w:val="20"/>
              </w:rPr>
            </w:pPr>
            <w:r w:rsidRPr="00472578">
              <w:rPr>
                <w:b/>
                <w:bCs/>
                <w:sz w:val="20"/>
                <w:szCs w:val="20"/>
              </w:rPr>
              <w:lastRenderedPageBreak/>
              <w:t>Intrinsic values</w:t>
            </w:r>
          </w:p>
        </w:tc>
        <w:tc>
          <w:tcPr>
            <w:tcW w:w="7146" w:type="dxa"/>
          </w:tcPr>
          <w:p w14:paraId="7BB238D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7F3C01D2" w14:textId="77777777" w:rsidR="009A1120" w:rsidRPr="00472578" w:rsidDel="000047A2"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4CD2EF8" wp14:editId="2E8FC938">
                      <wp:extent cx="3697356" cy="1085850"/>
                      <wp:effectExtent l="0" t="0" r="17780" b="19050"/>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085850"/>
                              </a:xfrm>
                              <a:prstGeom prst="rect">
                                <a:avLst/>
                              </a:prstGeom>
                              <a:solidFill>
                                <a:srgbClr val="FFFFFF"/>
                              </a:solidFill>
                              <a:ln w="9525">
                                <a:solidFill>
                                  <a:srgbClr val="000000"/>
                                </a:solidFill>
                                <a:miter lim="800000"/>
                                <a:headEnd/>
                                <a:tailEnd/>
                              </a:ln>
                            </wps:spPr>
                            <wps:txbx>
                              <w:txbxContent>
                                <w:p w14:paraId="7567B7D2" w14:textId="77777777" w:rsidR="009A1120" w:rsidRDefault="009A1120" w:rsidP="009A1120">
                                  <w:pPr>
                                    <w:contextualSpacing/>
                                    <w:rPr>
                                      <w:sz w:val="20"/>
                                      <w:szCs w:val="20"/>
                                    </w:rPr>
                                  </w:pPr>
                                  <w:r>
                                    <w:rPr>
                                      <w:sz w:val="20"/>
                                      <w:szCs w:val="20"/>
                                    </w:rPr>
                                    <w:t xml:space="preserve">In relation to ecosystems, means those aspects of ecosystems and their constituent parts which have value in their own right, including – </w:t>
                                  </w:r>
                                </w:p>
                                <w:p w14:paraId="2703E87B" w14:textId="77777777" w:rsidR="009A1120" w:rsidRDefault="009A1120" w:rsidP="009A1120">
                                  <w:pPr>
                                    <w:ind w:left="426" w:hanging="426"/>
                                    <w:contextualSpacing/>
                                    <w:rPr>
                                      <w:sz w:val="20"/>
                                      <w:szCs w:val="20"/>
                                    </w:rPr>
                                  </w:pPr>
                                  <w:r>
                                    <w:rPr>
                                      <w:sz w:val="20"/>
                                      <w:szCs w:val="20"/>
                                    </w:rPr>
                                    <w:t>(a)</w:t>
                                  </w:r>
                                  <w:r>
                                    <w:rPr>
                                      <w:sz w:val="20"/>
                                      <w:szCs w:val="20"/>
                                    </w:rPr>
                                    <w:tab/>
                                    <w:t>their biological and genetic diversity; and</w:t>
                                  </w:r>
                                </w:p>
                                <w:p w14:paraId="5BFA78FE" w14:textId="77777777" w:rsidR="009A1120" w:rsidRPr="001A38AB" w:rsidRDefault="009A1120" w:rsidP="009A1120">
                                  <w:pPr>
                                    <w:ind w:left="426" w:hanging="426"/>
                                    <w:contextualSpacing/>
                                    <w:rPr>
                                      <w:sz w:val="20"/>
                                      <w:szCs w:val="20"/>
                                    </w:rPr>
                                  </w:pPr>
                                  <w:r>
                                    <w:rPr>
                                      <w:sz w:val="20"/>
                                      <w:szCs w:val="20"/>
                                    </w:rPr>
                                    <w:t>(b)</w:t>
                                  </w:r>
                                  <w:r>
                                    <w:rPr>
                                      <w:sz w:val="20"/>
                                      <w:szCs w:val="20"/>
                                    </w:rPr>
                                    <w:tab/>
                                    <w:t>the essential characteristics that determine an ecosystem’s integrity, form, functioning and resilience</w:t>
                                  </w:r>
                                </w:p>
                              </w:txbxContent>
                            </wps:txbx>
                            <wps:bodyPr rot="0" vert="horz" wrap="square" lIns="91440" tIns="45720" rIns="91440" bIns="45720" anchor="t" anchorCtr="0">
                              <a:noAutofit/>
                            </wps:bodyPr>
                          </wps:wsp>
                        </a:graphicData>
                      </a:graphic>
                    </wp:inline>
                  </w:drawing>
                </mc:Choice>
                <mc:Fallback>
                  <w:pict>
                    <v:shape w14:anchorId="64CD2EF8" id="Text Box 252" o:spid="_x0000_s1077" type="#_x0000_t202" style="width:291.1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">
                      <v:textbox>
                        <w:txbxContent>
                          <w:p w14:paraId="7567B7D2" w14:textId="77777777" w:rsidR="009A1120" w:rsidRDefault="009A1120" w:rsidP="009A1120">
                            <w:pPr>
                              <w:contextualSpacing/>
                              <w:rPr>
                                <w:sz w:val="20"/>
                                <w:szCs w:val="20"/>
                              </w:rPr>
                            </w:pPr>
                            <w:r>
                              <w:rPr>
                                <w:sz w:val="20"/>
                                <w:szCs w:val="20"/>
                              </w:rPr>
                              <w:t xml:space="preserve">In relation to ecosystems, means those aspects of ecosystems and their constituent parts which have value in their own right, including – </w:t>
                            </w:r>
                          </w:p>
                          <w:p w14:paraId="2703E87B" w14:textId="77777777" w:rsidR="009A1120" w:rsidRDefault="009A1120" w:rsidP="009A1120">
                            <w:pPr>
                              <w:ind w:left="426" w:hanging="426"/>
                              <w:contextualSpacing/>
                              <w:rPr>
                                <w:sz w:val="20"/>
                                <w:szCs w:val="20"/>
                              </w:rPr>
                            </w:pPr>
                            <w:r>
                              <w:rPr>
                                <w:sz w:val="20"/>
                                <w:szCs w:val="20"/>
                              </w:rPr>
                              <w:t>(a)</w:t>
                            </w:r>
                            <w:r>
                              <w:rPr>
                                <w:sz w:val="20"/>
                                <w:szCs w:val="20"/>
                              </w:rPr>
                              <w:tab/>
                              <w:t>their biological and genetic diversity; and</w:t>
                            </w:r>
                          </w:p>
                          <w:p w14:paraId="5BFA78FE" w14:textId="77777777" w:rsidR="009A1120" w:rsidRPr="001A38AB" w:rsidRDefault="009A1120" w:rsidP="009A1120">
                            <w:pPr>
                              <w:ind w:left="426" w:hanging="426"/>
                              <w:contextualSpacing/>
                              <w:rPr>
                                <w:sz w:val="20"/>
                                <w:szCs w:val="20"/>
                              </w:rPr>
                            </w:pPr>
                            <w:r>
                              <w:rPr>
                                <w:sz w:val="20"/>
                                <w:szCs w:val="20"/>
                              </w:rPr>
                              <w:t>(b)</w:t>
                            </w:r>
                            <w:r>
                              <w:rPr>
                                <w:sz w:val="20"/>
                                <w:szCs w:val="20"/>
                              </w:rPr>
                              <w:tab/>
                              <w:t>the essential characteristics that determine an ecosystem’s integrity, form, functioning and resilience</w:t>
                            </w:r>
                          </w:p>
                        </w:txbxContent>
                      </v:textbox>
                      <w10:anchorlock/>
                    </v:shape>
                  </w:pict>
                </mc:Fallback>
              </mc:AlternateContent>
            </w:r>
          </w:p>
        </w:tc>
      </w:tr>
      <w:tr w:rsidR="009A1120" w:rsidRPr="00472578" w14:paraId="3F1E7E85" w14:textId="77777777" w:rsidTr="007612BD">
        <w:tc>
          <w:tcPr>
            <w:tcW w:w="2104" w:type="dxa"/>
          </w:tcPr>
          <w:p w14:paraId="05CE961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Kāika</w:t>
            </w:r>
          </w:p>
        </w:tc>
        <w:tc>
          <w:tcPr>
            <w:tcW w:w="7146" w:type="dxa"/>
          </w:tcPr>
          <w:p w14:paraId="61601BF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a settlement of Kāi Tahu or their tūpuna.</w:t>
            </w:r>
          </w:p>
        </w:tc>
      </w:tr>
      <w:tr w:rsidR="009A1120" w:rsidRPr="00472578" w14:paraId="2FB237D2" w14:textId="77777777" w:rsidTr="007612BD">
        <w:tc>
          <w:tcPr>
            <w:tcW w:w="2104" w:type="dxa"/>
          </w:tcPr>
          <w:p w14:paraId="0FE8845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Kaitiakitanga or kaitiakitaka</w:t>
            </w:r>
          </w:p>
        </w:tc>
        <w:tc>
          <w:tcPr>
            <w:tcW w:w="7146" w:type="dxa"/>
          </w:tcPr>
          <w:p w14:paraId="6629D725"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6E2F829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5D273D1D" wp14:editId="45605E39">
                      <wp:extent cx="3697356" cy="612250"/>
                      <wp:effectExtent l="0" t="0" r="17780" b="16510"/>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12250"/>
                              </a:xfrm>
                              <a:prstGeom prst="rect">
                                <a:avLst/>
                              </a:prstGeom>
                              <a:solidFill>
                                <a:srgbClr val="FFFFFF"/>
                              </a:solidFill>
                              <a:ln w="9525">
                                <a:solidFill>
                                  <a:srgbClr val="000000"/>
                                </a:solidFill>
                                <a:miter lim="800000"/>
                                <a:headEnd/>
                                <a:tailEnd/>
                              </a:ln>
                            </wps:spPr>
                            <wps:txbx>
                              <w:txbxContent>
                                <w:p w14:paraId="33009EF6" w14:textId="77777777" w:rsidR="009A1120" w:rsidRPr="001A38AB" w:rsidRDefault="009A1120" w:rsidP="009A1120">
                                  <w:pPr>
                                    <w:contextualSpacing/>
                                    <w:rPr>
                                      <w:sz w:val="20"/>
                                      <w:szCs w:val="20"/>
                                    </w:rPr>
                                  </w:pPr>
                                  <w:r w:rsidRPr="001A38AB">
                                    <w:rPr>
                                      <w:sz w:val="20"/>
                                      <w:szCs w:val="20"/>
                                    </w:rPr>
                                    <w:t>means the exercise of guardianship by the tangata whenua of an area in accordance with tikanga M</w:t>
                                  </w:r>
                                  <w:r>
                                    <w:rPr>
                                      <w:rFonts w:cstheme="minorHAnsi"/>
                                      <w:sz w:val="20"/>
                                      <w:szCs w:val="20"/>
                                    </w:rPr>
                                    <w:t>ā</w:t>
                                  </w:r>
                                  <w:r w:rsidRPr="001A38AB">
                                    <w:rPr>
                                      <w:sz w:val="20"/>
                                      <w:szCs w:val="20"/>
                                    </w:rPr>
                                    <w:t>ori in relation to natural and physical resources; and includes the ethic of stewardship</w:t>
                                  </w:r>
                                </w:p>
                              </w:txbxContent>
                            </wps:txbx>
                            <wps:bodyPr rot="0" vert="horz" wrap="square" lIns="91440" tIns="45720" rIns="91440" bIns="45720" anchor="t" anchorCtr="0">
                              <a:noAutofit/>
                            </wps:bodyPr>
                          </wps:wsp>
                        </a:graphicData>
                      </a:graphic>
                    </wp:inline>
                  </w:drawing>
                </mc:Choice>
                <mc:Fallback>
                  <w:pict>
                    <v:shape w14:anchorId="5D273D1D" id="Text Box 200" o:spid="_x0000_s1078" type="#_x0000_t202" style="width:291.1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">
                      <v:textbox>
                        <w:txbxContent>
                          <w:p w14:paraId="33009EF6" w14:textId="77777777" w:rsidR="009A1120" w:rsidRPr="001A38AB" w:rsidRDefault="009A1120" w:rsidP="009A1120">
                            <w:pPr>
                              <w:contextualSpacing/>
                              <w:rPr>
                                <w:sz w:val="20"/>
                                <w:szCs w:val="20"/>
                              </w:rPr>
                            </w:pPr>
                            <w:r w:rsidRPr="001A38AB">
                              <w:rPr>
                                <w:sz w:val="20"/>
                                <w:szCs w:val="20"/>
                              </w:rPr>
                              <w:t>means the exercise of guardianship by the tangata whenua of an area in accordance with tikanga M</w:t>
                            </w:r>
                            <w:r>
                              <w:rPr>
                                <w:rFonts w:cstheme="minorHAnsi"/>
                                <w:sz w:val="20"/>
                                <w:szCs w:val="20"/>
                              </w:rPr>
                              <w:t>ā</w:t>
                            </w:r>
                            <w:r w:rsidRPr="001A38AB">
                              <w:rPr>
                                <w:sz w:val="20"/>
                                <w:szCs w:val="20"/>
                              </w:rPr>
                              <w:t>ori in relation to natural and physical resources; and includes the ethic of stewardship</w:t>
                            </w:r>
                          </w:p>
                        </w:txbxContent>
                      </v:textbox>
                      <w10:anchorlock/>
                    </v:shape>
                  </w:pict>
                </mc:Fallback>
              </mc:AlternateContent>
            </w:r>
          </w:p>
        </w:tc>
      </w:tr>
      <w:tr w:rsidR="009A1120" w:rsidRPr="00472578" w14:paraId="5A797FCF" w14:textId="77777777" w:rsidTr="007612BD">
        <w:tc>
          <w:tcPr>
            <w:tcW w:w="2104" w:type="dxa"/>
          </w:tcPr>
          <w:p w14:paraId="63144017" w14:textId="1D803B2D" w:rsidR="009A1120" w:rsidRPr="0024132B" w:rsidRDefault="009A1120" w:rsidP="00DC6CD9">
            <w:pPr>
              <w:tabs>
                <w:tab w:val="center" w:pos="4513"/>
                <w:tab w:val="right" w:pos="9026"/>
              </w:tabs>
              <w:spacing w:before="60" w:after="60"/>
              <w:rPr>
                <w:b/>
                <w:strike/>
                <w:sz w:val="20"/>
                <w:szCs w:val="20"/>
              </w:rPr>
            </w:pPr>
            <w:r w:rsidRPr="0024132B">
              <w:rPr>
                <w:b/>
                <w:strike/>
                <w:sz w:val="20"/>
                <w:szCs w:val="20"/>
              </w:rPr>
              <w:lastRenderedPageBreak/>
              <w:t>Key civic public spaces</w:t>
            </w:r>
            <w:r w:rsidR="00B4783F">
              <w:rPr>
                <w:rStyle w:val="FootnoteReference"/>
                <w:b/>
                <w:bCs/>
                <w:strike/>
                <w:sz w:val="20"/>
                <w:szCs w:val="20"/>
              </w:rPr>
              <w:footnoteReference w:id="111"/>
            </w:r>
          </w:p>
        </w:tc>
        <w:tc>
          <w:tcPr>
            <w:tcW w:w="7146" w:type="dxa"/>
          </w:tcPr>
          <w:p w14:paraId="1AEB932A" w14:textId="77777777" w:rsidR="009A1120" w:rsidRPr="0024132B" w:rsidRDefault="009A1120" w:rsidP="00E92686">
            <w:pPr>
              <w:tabs>
                <w:tab w:val="center" w:pos="4513"/>
                <w:tab w:val="right" w:pos="9026"/>
              </w:tabs>
              <w:spacing w:before="60" w:after="60"/>
              <w:jc w:val="both"/>
              <w:rPr>
                <w:strike/>
                <w:sz w:val="20"/>
                <w:szCs w:val="20"/>
              </w:rPr>
            </w:pPr>
            <w:r w:rsidRPr="0024132B">
              <w:rPr>
                <w:strike/>
                <w:sz w:val="20"/>
                <w:szCs w:val="20"/>
              </w:rPr>
              <w:t>are publicly owned and accessible public spaces identified by local authorities where the public use and enjoyment of the space is strongly influenced by sun and daylight access to the extent that loss of sun and daylight may diminish this use and enjoyment.</w:t>
            </w:r>
          </w:p>
        </w:tc>
      </w:tr>
      <w:tr w:rsidR="009A1120" w:rsidRPr="00472578" w14:paraId="0D83DCAD" w14:textId="77777777" w:rsidTr="007612BD">
        <w:tc>
          <w:tcPr>
            <w:tcW w:w="2104" w:type="dxa"/>
          </w:tcPr>
          <w:p w14:paraId="022901F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Lake</w:t>
            </w:r>
          </w:p>
        </w:tc>
        <w:tc>
          <w:tcPr>
            <w:tcW w:w="7146" w:type="dxa"/>
          </w:tcPr>
          <w:p w14:paraId="7A3D2B6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17B81ED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D0B7EA3" wp14:editId="5D05E318">
                      <wp:extent cx="3697356" cy="445273"/>
                      <wp:effectExtent l="0" t="0" r="17780"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45273"/>
                              </a:xfrm>
                              <a:prstGeom prst="rect">
                                <a:avLst/>
                              </a:prstGeom>
                              <a:solidFill>
                                <a:srgbClr val="FFFFFF"/>
                              </a:solidFill>
                              <a:ln w="9525">
                                <a:solidFill>
                                  <a:srgbClr val="000000"/>
                                </a:solidFill>
                                <a:miter lim="800000"/>
                                <a:headEnd/>
                                <a:tailEnd/>
                              </a:ln>
                            </wps:spPr>
                            <wps:txbx>
                              <w:txbxContent>
                                <w:p w14:paraId="39DF126B" w14:textId="77777777" w:rsidR="009A1120" w:rsidRPr="001A38AB" w:rsidRDefault="009A1120" w:rsidP="009A1120">
                                  <w:pPr>
                                    <w:contextualSpacing/>
                                    <w:rPr>
                                      <w:sz w:val="20"/>
                                      <w:szCs w:val="20"/>
                                    </w:rPr>
                                  </w:pPr>
                                  <w:r w:rsidRPr="001A38AB">
                                    <w:rPr>
                                      <w:sz w:val="20"/>
                                      <w:szCs w:val="20"/>
                                    </w:rPr>
                                    <w:t>means a body of fresh water which is entirely or nearly surrounded by land</w:t>
                                  </w:r>
                                </w:p>
                              </w:txbxContent>
                            </wps:txbx>
                            <wps:bodyPr rot="0" vert="horz" wrap="square" lIns="91440" tIns="45720" rIns="91440" bIns="45720" anchor="t" anchorCtr="0">
                              <a:noAutofit/>
                            </wps:bodyPr>
                          </wps:wsp>
                        </a:graphicData>
                      </a:graphic>
                    </wp:inline>
                  </w:drawing>
                </mc:Choice>
                <mc:Fallback>
                  <w:pict>
                    <v:shape w14:anchorId="1D0B7EA3" id="Text Box 18" o:spid="_x0000_s1079" type="#_x0000_t202" style="width:291.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">
                      <v:textbox>
                        <w:txbxContent>
                          <w:p w14:paraId="39DF126B" w14:textId="77777777" w:rsidR="009A1120" w:rsidRPr="001A38AB" w:rsidRDefault="009A1120" w:rsidP="009A1120">
                            <w:pPr>
                              <w:contextualSpacing/>
                              <w:rPr>
                                <w:sz w:val="20"/>
                                <w:szCs w:val="20"/>
                              </w:rPr>
                            </w:pPr>
                            <w:r w:rsidRPr="001A38AB">
                              <w:rPr>
                                <w:sz w:val="20"/>
                                <w:szCs w:val="20"/>
                              </w:rPr>
                              <w:t>means a body of fresh water which is entirely or nearly surrounded by land</w:t>
                            </w:r>
                          </w:p>
                        </w:txbxContent>
                      </v:textbox>
                      <w10:anchorlock/>
                    </v:shape>
                  </w:pict>
                </mc:Fallback>
              </mc:AlternateContent>
            </w:r>
          </w:p>
        </w:tc>
      </w:tr>
      <w:tr w:rsidR="009A1120" w:rsidRPr="00472578" w14:paraId="7C61DEF3" w14:textId="77777777" w:rsidTr="007612BD">
        <w:tc>
          <w:tcPr>
            <w:tcW w:w="2104" w:type="dxa"/>
          </w:tcPr>
          <w:p w14:paraId="16B57FA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Land</w:t>
            </w:r>
          </w:p>
        </w:tc>
        <w:tc>
          <w:tcPr>
            <w:tcW w:w="7146" w:type="dxa"/>
          </w:tcPr>
          <w:p w14:paraId="4BEF53A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376A198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5E5EC2E" wp14:editId="20A28019">
                      <wp:extent cx="3697356" cy="1415332"/>
                      <wp:effectExtent l="0" t="0" r="17780" b="1397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415332"/>
                              </a:xfrm>
                              <a:prstGeom prst="rect">
                                <a:avLst/>
                              </a:prstGeom>
                              <a:solidFill>
                                <a:srgbClr val="FFFFFF"/>
                              </a:solidFill>
                              <a:ln w="9525">
                                <a:solidFill>
                                  <a:srgbClr val="000000"/>
                                </a:solidFill>
                                <a:miter lim="800000"/>
                                <a:headEnd/>
                                <a:tailEnd/>
                              </a:ln>
                            </wps:spPr>
                            <wps:txbx>
                              <w:txbxContent>
                                <w:p w14:paraId="3DD25E8D"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includes land covered by water and the airspace above land; and</w:t>
                                  </w:r>
                                </w:p>
                                <w:p w14:paraId="4A820C3B"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t>in a national environmental standard dealing with a regional council function under section 30 or a regional rule, does not include the bed of a lake or river; and</w:t>
                                  </w:r>
                                </w:p>
                                <w:p w14:paraId="7A1C186F" w14:textId="77777777" w:rsidR="009A1120" w:rsidRPr="001A38AB" w:rsidRDefault="009A1120" w:rsidP="009A1120">
                                  <w:pPr>
                                    <w:ind w:left="284" w:hanging="284"/>
                                    <w:rPr>
                                      <w:sz w:val="20"/>
                                      <w:szCs w:val="20"/>
                                    </w:rPr>
                                  </w:pPr>
                                  <w:r w:rsidRPr="001A38AB">
                                    <w:rPr>
                                      <w:sz w:val="20"/>
                                      <w:szCs w:val="20"/>
                                    </w:rPr>
                                    <w:t>(c)</w:t>
                                  </w:r>
                                  <w:r w:rsidRPr="001A38AB">
                                    <w:rPr>
                                      <w:sz w:val="20"/>
                                      <w:szCs w:val="20"/>
                                    </w:rPr>
                                    <w:tab/>
                                    <w:t>in a national environmental standard dealing with a territorial authority function under section 31 or a district rule, includes the surface of water in a lake or river</w:t>
                                  </w:r>
                                </w:p>
                              </w:txbxContent>
                            </wps:txbx>
                            <wps:bodyPr rot="0" vert="horz" wrap="square" lIns="91440" tIns="45720" rIns="91440" bIns="45720" anchor="t" anchorCtr="0">
                              <a:noAutofit/>
                            </wps:bodyPr>
                          </wps:wsp>
                        </a:graphicData>
                      </a:graphic>
                    </wp:inline>
                  </w:drawing>
                </mc:Choice>
                <mc:Fallback>
                  <w:pict>
                    <v:shape w14:anchorId="45E5EC2E" id="Text Box 9" o:spid="_x0000_s1080" type="#_x0000_t202" style="width:291.15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">
                      <v:textbox>
                        <w:txbxContent>
                          <w:p w14:paraId="3DD25E8D"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includes land covered by water and the airspace above land; and</w:t>
                            </w:r>
                          </w:p>
                          <w:p w14:paraId="4A820C3B"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t>in a national environmental standard dealing with a regional council function under section 30 or a regional rule, does not include the bed of a lake or river; and</w:t>
                            </w:r>
                          </w:p>
                          <w:p w14:paraId="7A1C186F" w14:textId="77777777" w:rsidR="009A1120" w:rsidRPr="001A38AB" w:rsidRDefault="009A1120" w:rsidP="009A1120">
                            <w:pPr>
                              <w:ind w:left="284" w:hanging="284"/>
                              <w:rPr>
                                <w:sz w:val="20"/>
                                <w:szCs w:val="20"/>
                              </w:rPr>
                            </w:pPr>
                            <w:r w:rsidRPr="001A38AB">
                              <w:rPr>
                                <w:sz w:val="20"/>
                                <w:szCs w:val="20"/>
                              </w:rPr>
                              <w:t>(c)</w:t>
                            </w:r>
                            <w:r w:rsidRPr="001A38AB">
                              <w:rPr>
                                <w:sz w:val="20"/>
                                <w:szCs w:val="20"/>
                              </w:rPr>
                              <w:tab/>
                              <w:t>in a national environmental standard dealing with a territorial authority function under section 31 or a district rule, includes the surface of water in a lake or river</w:t>
                            </w:r>
                          </w:p>
                        </w:txbxContent>
                      </v:textbox>
                      <w10:anchorlock/>
                    </v:shape>
                  </w:pict>
                </mc:Fallback>
              </mc:AlternateContent>
            </w:r>
          </w:p>
        </w:tc>
      </w:tr>
      <w:tr w:rsidR="009A1120" w:rsidRPr="00472578" w14:paraId="00D5F8FF" w14:textId="77777777" w:rsidTr="007612BD">
        <w:tc>
          <w:tcPr>
            <w:tcW w:w="2104" w:type="dxa"/>
          </w:tcPr>
          <w:p w14:paraId="51B3161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Landfill</w:t>
            </w:r>
          </w:p>
        </w:tc>
        <w:tc>
          <w:tcPr>
            <w:tcW w:w="7146" w:type="dxa"/>
          </w:tcPr>
          <w:p w14:paraId="5E63A6C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300311F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518FB54" wp14:editId="7A6E7A7D">
                      <wp:extent cx="3697356" cy="427512"/>
                      <wp:effectExtent l="0" t="0" r="17780" b="1079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27512"/>
                              </a:xfrm>
                              <a:prstGeom prst="rect">
                                <a:avLst/>
                              </a:prstGeom>
                              <a:solidFill>
                                <a:srgbClr val="FFFFFF"/>
                              </a:solidFill>
                              <a:ln w="9525">
                                <a:solidFill>
                                  <a:srgbClr val="000000"/>
                                </a:solidFill>
                                <a:miter lim="800000"/>
                                <a:headEnd/>
                                <a:tailEnd/>
                              </a:ln>
                            </wps:spPr>
                            <wps:txbx>
                              <w:txbxContent>
                                <w:p w14:paraId="22E254D6" w14:textId="77777777" w:rsidR="009A1120" w:rsidRPr="001A38AB" w:rsidRDefault="009A1120" w:rsidP="009A1120">
                                  <w:pPr>
                                    <w:spacing w:after="60"/>
                                    <w:rPr>
                                      <w:sz w:val="20"/>
                                      <w:szCs w:val="20"/>
                                    </w:rPr>
                                  </w:pPr>
                                  <w:r>
                                    <w:rPr>
                                      <w:sz w:val="20"/>
                                      <w:szCs w:val="20"/>
                                    </w:rPr>
                                    <w:t>means an area used for, or previously used for, the disposal of solid waste. It excludes cleanfill areas</w:t>
                                  </w:r>
                                </w:p>
                              </w:txbxContent>
                            </wps:txbx>
                            <wps:bodyPr rot="0" vert="horz" wrap="square" lIns="91440" tIns="45720" rIns="91440" bIns="45720" anchor="t" anchorCtr="0">
                              <a:noAutofit/>
                            </wps:bodyPr>
                          </wps:wsp>
                        </a:graphicData>
                      </a:graphic>
                    </wp:inline>
                  </w:drawing>
                </mc:Choice>
                <mc:Fallback>
                  <w:pict>
                    <v:shape w14:anchorId="1518FB54" id="Text Box 43" o:spid="_x0000_s1081" type="#_x0000_t202" style="width:291.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">
                      <v:textbox>
                        <w:txbxContent>
                          <w:p w14:paraId="22E254D6" w14:textId="77777777" w:rsidR="009A1120" w:rsidRPr="001A38AB" w:rsidRDefault="009A1120" w:rsidP="009A1120">
                            <w:pPr>
                              <w:spacing w:after="60"/>
                              <w:rPr>
                                <w:sz w:val="20"/>
                                <w:szCs w:val="20"/>
                              </w:rPr>
                            </w:pPr>
                            <w:r>
                              <w:rPr>
                                <w:sz w:val="20"/>
                                <w:szCs w:val="20"/>
                              </w:rPr>
                              <w:t>means an area used for, or previously used for, the disposal of solid waste. It excludes cleanfill areas</w:t>
                            </w:r>
                          </w:p>
                        </w:txbxContent>
                      </v:textbox>
                      <w10:anchorlock/>
                    </v:shape>
                  </w:pict>
                </mc:Fallback>
              </mc:AlternateContent>
            </w:r>
          </w:p>
        </w:tc>
      </w:tr>
      <w:tr w:rsidR="009A1120" w:rsidRPr="00472578" w14:paraId="577B7128" w14:textId="77777777" w:rsidTr="007612BD">
        <w:tc>
          <w:tcPr>
            <w:tcW w:w="2104" w:type="dxa"/>
          </w:tcPr>
          <w:p w14:paraId="2BBDF933" w14:textId="77777777" w:rsidR="009A1120" w:rsidRPr="00472578" w:rsidRDefault="009A1120" w:rsidP="00DC6CD9">
            <w:pPr>
              <w:tabs>
                <w:tab w:val="center" w:pos="4513"/>
                <w:tab w:val="right" w:pos="9026"/>
              </w:tabs>
              <w:spacing w:before="60" w:after="60"/>
              <w:rPr>
                <w:b/>
                <w:sz w:val="20"/>
                <w:szCs w:val="20"/>
              </w:rPr>
            </w:pPr>
            <w:r w:rsidRPr="00472578">
              <w:rPr>
                <w:b/>
                <w:bCs/>
                <w:sz w:val="20"/>
                <w:szCs w:val="20"/>
              </w:rPr>
              <w:t>Lifeline utilities</w:t>
            </w:r>
          </w:p>
        </w:tc>
        <w:tc>
          <w:tcPr>
            <w:tcW w:w="7146" w:type="dxa"/>
          </w:tcPr>
          <w:p w14:paraId="320DD39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utilities provided by those entities listed in Schedule 1 of the Civil Defence Emergency Management Act 2002</w:t>
            </w:r>
          </w:p>
        </w:tc>
      </w:tr>
      <w:tr w:rsidR="00915097" w:rsidRPr="00472578" w14:paraId="29CBD154" w14:textId="77777777" w:rsidTr="007612BD">
        <w:tc>
          <w:tcPr>
            <w:tcW w:w="2104" w:type="dxa"/>
          </w:tcPr>
          <w:p w14:paraId="18893CB2" w14:textId="0FECE467" w:rsidR="00915097" w:rsidRPr="00472578" w:rsidRDefault="00915097" w:rsidP="00DC6CD9">
            <w:pPr>
              <w:tabs>
                <w:tab w:val="center" w:pos="4513"/>
                <w:tab w:val="right" w:pos="9026"/>
              </w:tabs>
              <w:spacing w:before="60" w:after="60"/>
              <w:rPr>
                <w:b/>
                <w:bCs/>
                <w:sz w:val="20"/>
                <w:szCs w:val="20"/>
              </w:rPr>
            </w:pPr>
            <w:r w:rsidRPr="00472578">
              <w:rPr>
                <w:b/>
                <w:bCs/>
                <w:sz w:val="20"/>
                <w:szCs w:val="20"/>
                <w:u w:val="single"/>
              </w:rPr>
              <w:t>Limit</w:t>
            </w:r>
            <w:r w:rsidRPr="00472578">
              <w:rPr>
                <w:rStyle w:val="FootnoteReference"/>
                <w:b/>
                <w:bCs/>
                <w:sz w:val="20"/>
                <w:szCs w:val="20"/>
              </w:rPr>
              <w:footnoteReference w:id="112"/>
            </w:r>
          </w:p>
        </w:tc>
        <w:tc>
          <w:tcPr>
            <w:tcW w:w="7146" w:type="dxa"/>
          </w:tcPr>
          <w:p w14:paraId="49CFA28D" w14:textId="2EBA1047" w:rsidR="007612BD" w:rsidRPr="00472578" w:rsidRDefault="007612BD" w:rsidP="00E92686">
            <w:pPr>
              <w:tabs>
                <w:tab w:val="center" w:pos="4513"/>
                <w:tab w:val="right" w:pos="9026"/>
              </w:tabs>
              <w:spacing w:before="60" w:after="60"/>
              <w:jc w:val="both"/>
              <w:rPr>
                <w:sz w:val="20"/>
                <w:szCs w:val="20"/>
                <w:u w:val="single"/>
              </w:rPr>
            </w:pPr>
            <w:r w:rsidRPr="00472578">
              <w:rPr>
                <w:sz w:val="20"/>
                <w:szCs w:val="20"/>
                <w:u w:val="single"/>
              </w:rPr>
              <w:t xml:space="preserve">has the same meaning as in clause 1.4(1) of the National Policy Statement </w:t>
            </w:r>
            <w:r w:rsidR="002A0DA0" w:rsidRPr="00472578">
              <w:rPr>
                <w:sz w:val="20"/>
                <w:szCs w:val="20"/>
                <w:u w:val="single"/>
              </w:rPr>
              <w:t xml:space="preserve">for Freshwater Management 2020 </w:t>
            </w:r>
            <w:r w:rsidRPr="00472578">
              <w:rPr>
                <w:sz w:val="20"/>
                <w:szCs w:val="20"/>
                <w:u w:val="single"/>
              </w:rPr>
              <w:t>(as set out in the box below)</w:t>
            </w:r>
          </w:p>
          <w:p w14:paraId="63EA2CF6" w14:textId="3D9BE15A" w:rsidR="00915097" w:rsidRPr="00472578" w:rsidRDefault="007612BD"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0210347" wp14:editId="189D7262">
                      <wp:extent cx="3697356" cy="247650"/>
                      <wp:effectExtent l="0" t="0" r="17780" b="19050"/>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47650"/>
                              </a:xfrm>
                              <a:prstGeom prst="rect">
                                <a:avLst/>
                              </a:prstGeom>
                              <a:solidFill>
                                <a:srgbClr val="FFFFFF"/>
                              </a:solidFill>
                              <a:ln w="9525">
                                <a:solidFill>
                                  <a:srgbClr val="000000"/>
                                </a:solidFill>
                                <a:miter lim="800000"/>
                                <a:headEnd/>
                                <a:tailEnd/>
                              </a:ln>
                            </wps:spPr>
                            <wps:txbx>
                              <w:txbxContent>
                                <w:p w14:paraId="5C48011A" w14:textId="26A50599" w:rsidR="007612BD" w:rsidRPr="00D03C41" w:rsidRDefault="002A0DA0" w:rsidP="009A1120">
                                  <w:pPr>
                                    <w:spacing w:after="60"/>
                                    <w:rPr>
                                      <w:sz w:val="20"/>
                                      <w:szCs w:val="20"/>
                                      <w:u w:val="single"/>
                                      <w:lang w:val="en-GB"/>
                                    </w:rPr>
                                  </w:pPr>
                                  <w:r w:rsidRPr="00D03C41">
                                    <w:rPr>
                                      <w:sz w:val="20"/>
                                      <w:szCs w:val="20"/>
                                      <w:u w:val="single"/>
                                      <w:lang w:val="en-GB"/>
                                    </w:rPr>
                                    <w:t>means either a limit on resource use or a take limit</w:t>
                                  </w:r>
                                </w:p>
                              </w:txbxContent>
                            </wps:txbx>
                            <wps:bodyPr rot="0" vert="horz" wrap="square" lIns="91440" tIns="45720" rIns="91440" bIns="45720" anchor="t" anchorCtr="0">
                              <a:noAutofit/>
                            </wps:bodyPr>
                          </wps:wsp>
                        </a:graphicData>
                      </a:graphic>
                    </wp:inline>
                  </w:drawing>
                </mc:Choice>
                <mc:Fallback>
                  <w:pict>
                    <v:shape w14:anchorId="20210347" id="Text Box 57" o:spid="_x0000_s1082" type="#_x0000_t202" style="width:291.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">
                      <v:textbox>
                        <w:txbxContent>
                          <w:p w14:paraId="5C48011A" w14:textId="26A50599" w:rsidR="007612BD" w:rsidRPr="00D03C41" w:rsidRDefault="002A0DA0" w:rsidP="009A1120">
                            <w:pPr>
                              <w:spacing w:after="60"/>
                              <w:rPr>
                                <w:sz w:val="20"/>
                                <w:szCs w:val="20"/>
                                <w:u w:val="single"/>
                                <w:lang w:val="en-GB"/>
                              </w:rPr>
                            </w:pPr>
                            <w:r w:rsidRPr="00D03C41">
                              <w:rPr>
                                <w:sz w:val="20"/>
                                <w:szCs w:val="20"/>
                                <w:u w:val="single"/>
                                <w:lang w:val="en-GB"/>
                              </w:rPr>
                              <w:t>means either a limit on resource use or a take limit</w:t>
                            </w:r>
                          </w:p>
                        </w:txbxContent>
                      </v:textbox>
                      <w10:anchorlock/>
                    </v:shape>
                  </w:pict>
                </mc:Fallback>
              </mc:AlternateContent>
            </w:r>
          </w:p>
        </w:tc>
      </w:tr>
      <w:tr w:rsidR="00915097" w:rsidRPr="00472578" w14:paraId="1A2C9934" w14:textId="77777777" w:rsidTr="007612BD">
        <w:tc>
          <w:tcPr>
            <w:tcW w:w="2104" w:type="dxa"/>
          </w:tcPr>
          <w:p w14:paraId="29AE1526" w14:textId="7B9DD903" w:rsidR="00915097" w:rsidRPr="00472578" w:rsidRDefault="00D03C41" w:rsidP="00DC6CD9">
            <w:pPr>
              <w:tabs>
                <w:tab w:val="center" w:pos="4513"/>
                <w:tab w:val="right" w:pos="9026"/>
              </w:tabs>
              <w:spacing w:before="60" w:after="60"/>
              <w:rPr>
                <w:b/>
                <w:sz w:val="20"/>
                <w:szCs w:val="20"/>
                <w:u w:val="single"/>
              </w:rPr>
            </w:pPr>
            <w:r w:rsidRPr="00472578">
              <w:rPr>
                <w:b/>
                <w:bCs/>
                <w:sz w:val="20"/>
                <w:szCs w:val="20"/>
                <w:u w:val="single"/>
              </w:rPr>
              <w:t>Limit on resource use</w:t>
            </w:r>
            <w:r w:rsidR="0008633B" w:rsidRPr="00472578">
              <w:rPr>
                <w:rStyle w:val="FootnoteReference"/>
                <w:b/>
                <w:bCs/>
                <w:sz w:val="20"/>
                <w:szCs w:val="20"/>
              </w:rPr>
              <w:footnoteReference w:id="113"/>
            </w:r>
          </w:p>
        </w:tc>
        <w:tc>
          <w:tcPr>
            <w:tcW w:w="7146" w:type="dxa"/>
          </w:tcPr>
          <w:p w14:paraId="4505320A" w14:textId="77777777" w:rsidR="0008633B" w:rsidRPr="00472578" w:rsidRDefault="0008633B" w:rsidP="00E92686">
            <w:pPr>
              <w:tabs>
                <w:tab w:val="center" w:pos="4513"/>
                <w:tab w:val="right" w:pos="9026"/>
              </w:tabs>
              <w:spacing w:before="60" w:after="60"/>
              <w:jc w:val="both"/>
              <w:rPr>
                <w:sz w:val="20"/>
                <w:szCs w:val="20"/>
                <w:u w:val="single"/>
              </w:rPr>
            </w:pPr>
            <w:r w:rsidRPr="00472578">
              <w:rPr>
                <w:sz w:val="20"/>
                <w:szCs w:val="20"/>
                <w:u w:val="single"/>
              </w:rPr>
              <w:t>has the same meaning as in clause 1.4(1) of the National Policy Statement for Freshwater Management 2020 (as set out in the box below)</w:t>
            </w:r>
          </w:p>
          <w:p w14:paraId="166E2275" w14:textId="735D7310" w:rsidR="00915097" w:rsidRPr="00472578" w:rsidRDefault="0008633B"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314126A" wp14:editId="360E3BF6">
                      <wp:extent cx="3697356" cy="581025"/>
                      <wp:effectExtent l="0" t="0" r="17780" b="2857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81025"/>
                              </a:xfrm>
                              <a:prstGeom prst="rect">
                                <a:avLst/>
                              </a:prstGeom>
                              <a:solidFill>
                                <a:srgbClr val="FFFFFF"/>
                              </a:solidFill>
                              <a:ln w="9525">
                                <a:solidFill>
                                  <a:srgbClr val="000000"/>
                                </a:solidFill>
                                <a:miter lim="800000"/>
                                <a:headEnd/>
                                <a:tailEnd/>
                              </a:ln>
                            </wps:spPr>
                            <wps:txbx>
                              <w:txbxContent>
                                <w:p w14:paraId="39A16B4B" w14:textId="718C6B57" w:rsidR="0008633B" w:rsidRPr="00E054E6" w:rsidRDefault="0008633B" w:rsidP="009A1120">
                                  <w:pPr>
                                    <w:spacing w:after="60"/>
                                    <w:rPr>
                                      <w:sz w:val="20"/>
                                      <w:szCs w:val="20"/>
                                      <w:u w:val="single"/>
                                      <w:lang w:val="en-GB"/>
                                    </w:rPr>
                                  </w:pPr>
                                  <w:r w:rsidRPr="00D03C41">
                                    <w:rPr>
                                      <w:sz w:val="20"/>
                                      <w:szCs w:val="20"/>
                                      <w:u w:val="single"/>
                                      <w:lang w:val="en-GB"/>
                                    </w:rPr>
                                    <w:t xml:space="preserve">means </w:t>
                                  </w:r>
                                  <w:r>
                                    <w:rPr>
                                      <w:sz w:val="20"/>
                                      <w:szCs w:val="20"/>
                                      <w:u w:val="single"/>
                                      <w:lang w:val="en-GB"/>
                                    </w:rPr>
                                    <w:t xml:space="preserve">the maximum amount of a resource use that is permissible </w:t>
                                  </w:r>
                                  <w:r w:rsidR="00E054E6">
                                    <w:rPr>
                                      <w:sz w:val="20"/>
                                      <w:szCs w:val="20"/>
                                      <w:u w:val="single"/>
                                      <w:lang w:val="en-GB"/>
                                    </w:rPr>
                                    <w:t>while still achieving a relevant target attribute state (</w:t>
                                  </w:r>
                                  <w:r w:rsidR="00E054E6">
                                    <w:rPr>
                                      <w:i/>
                                      <w:iCs/>
                                      <w:sz w:val="20"/>
                                      <w:szCs w:val="20"/>
                                      <w:u w:val="single"/>
                                      <w:lang w:val="en-GB"/>
                                    </w:rPr>
                                    <w:t>see</w:t>
                                  </w:r>
                                  <w:r w:rsidR="00E054E6">
                                    <w:rPr>
                                      <w:sz w:val="20"/>
                                      <w:szCs w:val="20"/>
                                      <w:u w:val="single"/>
                                      <w:lang w:val="en-GB"/>
                                    </w:rPr>
                                    <w:t xml:space="preserve"> clauses 3.12 and 3.14)</w:t>
                                  </w:r>
                                </w:p>
                              </w:txbxContent>
                            </wps:txbx>
                            <wps:bodyPr rot="0" vert="horz" wrap="square" lIns="91440" tIns="45720" rIns="91440" bIns="45720" anchor="t" anchorCtr="0">
                              <a:noAutofit/>
                            </wps:bodyPr>
                          </wps:wsp>
                        </a:graphicData>
                      </a:graphic>
                    </wp:inline>
                  </w:drawing>
                </mc:Choice>
                <mc:Fallback>
                  <w:pict>
                    <v:shape w14:anchorId="6314126A" id="Text Box 58" o:spid="_x0000_s1083" type="#_x0000_t202" style="width:291.1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">
                      <v:textbox>
                        <w:txbxContent>
                          <w:p w14:paraId="39A16B4B" w14:textId="718C6B57" w:rsidR="0008633B" w:rsidRPr="00E054E6" w:rsidRDefault="0008633B" w:rsidP="009A1120">
                            <w:pPr>
                              <w:spacing w:after="60"/>
                              <w:rPr>
                                <w:sz w:val="20"/>
                                <w:szCs w:val="20"/>
                                <w:u w:val="single"/>
                                <w:lang w:val="en-GB"/>
                              </w:rPr>
                            </w:pPr>
                            <w:r w:rsidRPr="00D03C41">
                              <w:rPr>
                                <w:sz w:val="20"/>
                                <w:szCs w:val="20"/>
                                <w:u w:val="single"/>
                                <w:lang w:val="en-GB"/>
                              </w:rPr>
                              <w:t xml:space="preserve">means </w:t>
                            </w:r>
                            <w:r>
                              <w:rPr>
                                <w:sz w:val="20"/>
                                <w:szCs w:val="20"/>
                                <w:u w:val="single"/>
                                <w:lang w:val="en-GB"/>
                              </w:rPr>
                              <w:t xml:space="preserve">the maximum amount of a resource use that is permissible </w:t>
                            </w:r>
                            <w:r w:rsidR="00E054E6">
                              <w:rPr>
                                <w:sz w:val="20"/>
                                <w:szCs w:val="20"/>
                                <w:u w:val="single"/>
                                <w:lang w:val="en-GB"/>
                              </w:rPr>
                              <w:t>while still achieving a relevant target attribute state (</w:t>
                            </w:r>
                            <w:r w:rsidR="00E054E6">
                              <w:rPr>
                                <w:i/>
                                <w:iCs/>
                                <w:sz w:val="20"/>
                                <w:szCs w:val="20"/>
                                <w:u w:val="single"/>
                                <w:lang w:val="en-GB"/>
                              </w:rPr>
                              <w:t>see</w:t>
                            </w:r>
                            <w:r w:rsidR="00E054E6">
                              <w:rPr>
                                <w:sz w:val="20"/>
                                <w:szCs w:val="20"/>
                                <w:u w:val="single"/>
                                <w:lang w:val="en-GB"/>
                              </w:rPr>
                              <w:t xml:space="preserve"> clauses 3.12 and 3.14)</w:t>
                            </w:r>
                          </w:p>
                        </w:txbxContent>
                      </v:textbox>
                      <w10:anchorlock/>
                    </v:shape>
                  </w:pict>
                </mc:Fallback>
              </mc:AlternateContent>
            </w:r>
          </w:p>
        </w:tc>
      </w:tr>
      <w:tr w:rsidR="009A1120" w:rsidRPr="00472578" w14:paraId="0218D2CA" w14:textId="77777777" w:rsidTr="007612BD">
        <w:tc>
          <w:tcPr>
            <w:tcW w:w="2104" w:type="dxa"/>
          </w:tcPr>
          <w:p w14:paraId="35B0E23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Local authority</w:t>
            </w:r>
          </w:p>
        </w:tc>
        <w:tc>
          <w:tcPr>
            <w:tcW w:w="7146" w:type="dxa"/>
          </w:tcPr>
          <w:p w14:paraId="5DE214B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5 of the Local Government Act 2002 (as set out in the box below)</w:t>
            </w:r>
          </w:p>
          <w:p w14:paraId="4541A30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7B5DF75B" wp14:editId="5EE75844">
                      <wp:extent cx="3697356" cy="278295"/>
                      <wp:effectExtent l="0" t="0" r="17780" b="2667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78295"/>
                              </a:xfrm>
                              <a:prstGeom prst="rect">
                                <a:avLst/>
                              </a:prstGeom>
                              <a:solidFill>
                                <a:srgbClr val="FFFFFF"/>
                              </a:solidFill>
                              <a:ln w="9525">
                                <a:solidFill>
                                  <a:srgbClr val="000000"/>
                                </a:solidFill>
                                <a:miter lim="800000"/>
                                <a:headEnd/>
                                <a:tailEnd/>
                              </a:ln>
                            </wps:spPr>
                            <wps:txbx>
                              <w:txbxContent>
                                <w:p w14:paraId="5FDD489E" w14:textId="77777777" w:rsidR="009A1120" w:rsidRPr="001A38AB" w:rsidRDefault="009A1120" w:rsidP="009A1120">
                                  <w:pPr>
                                    <w:spacing w:after="60"/>
                                    <w:rPr>
                                      <w:sz w:val="20"/>
                                      <w:szCs w:val="20"/>
                                    </w:rPr>
                                  </w:pPr>
                                  <w:r w:rsidRPr="001A38AB">
                                    <w:rPr>
                                      <w:sz w:val="20"/>
                                      <w:szCs w:val="20"/>
                                    </w:rPr>
                                    <w:t>means a regional council or territorial authority</w:t>
                                  </w:r>
                                </w:p>
                              </w:txbxContent>
                            </wps:txbx>
                            <wps:bodyPr rot="0" vert="horz" wrap="square" lIns="91440" tIns="45720" rIns="91440" bIns="45720" anchor="t" anchorCtr="0">
                              <a:noAutofit/>
                            </wps:bodyPr>
                          </wps:wsp>
                        </a:graphicData>
                      </a:graphic>
                    </wp:inline>
                  </w:drawing>
                </mc:Choice>
                <mc:Fallback>
                  <w:pict>
                    <v:shape w14:anchorId="7B5DF75B" id="Text Box 25" o:spid="_x0000_s1084" type="#_x0000_t202" style="width:291.1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cOKAIAAE4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">
                      <v:textbox>
                        <w:txbxContent>
                          <w:p w14:paraId="5FDD489E" w14:textId="77777777" w:rsidR="009A1120" w:rsidRPr="001A38AB" w:rsidRDefault="009A1120" w:rsidP="009A1120">
                            <w:pPr>
                              <w:spacing w:after="60"/>
                              <w:rPr>
                                <w:sz w:val="20"/>
                                <w:szCs w:val="20"/>
                              </w:rPr>
                            </w:pPr>
                            <w:r w:rsidRPr="001A38AB">
                              <w:rPr>
                                <w:sz w:val="20"/>
                                <w:szCs w:val="20"/>
                              </w:rPr>
                              <w:t>means a regional council or territorial authority</w:t>
                            </w:r>
                          </w:p>
                        </w:txbxContent>
                      </v:textbox>
                      <w10:anchorlock/>
                    </v:shape>
                  </w:pict>
                </mc:Fallback>
              </mc:AlternateContent>
            </w:r>
          </w:p>
        </w:tc>
      </w:tr>
      <w:tr w:rsidR="009A1120" w:rsidRPr="00472578" w14:paraId="499DF257" w14:textId="77777777" w:rsidTr="007612BD">
        <w:tc>
          <w:tcPr>
            <w:tcW w:w="2104" w:type="dxa"/>
          </w:tcPr>
          <w:p w14:paraId="0D5B312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Loss of values</w:t>
            </w:r>
          </w:p>
        </w:tc>
        <w:tc>
          <w:tcPr>
            <w:tcW w:w="7146" w:type="dxa"/>
          </w:tcPr>
          <w:p w14:paraId="7E7A621D" w14:textId="77777777" w:rsidR="009A1120" w:rsidRPr="00472578" w:rsidRDefault="009A1120" w:rsidP="00E92686">
            <w:pPr>
              <w:tabs>
                <w:tab w:val="center" w:pos="4513"/>
                <w:tab w:val="right" w:pos="9026"/>
              </w:tabs>
              <w:spacing w:before="60" w:after="60"/>
              <w:jc w:val="both"/>
              <w:rPr>
                <w:i/>
                <w:sz w:val="20"/>
                <w:szCs w:val="20"/>
              </w:rPr>
            </w:pPr>
            <w:r w:rsidRPr="00472578">
              <w:rPr>
                <w:sz w:val="20"/>
                <w:szCs w:val="20"/>
              </w:rPr>
              <w:t xml:space="preserve">has the same meaning as in clause 3.21(1) of the National Policy Statement for Freshwater Management 2020 (as set out in the box below) and in this RPS also refers to </w:t>
            </w:r>
            <w:r w:rsidRPr="00472578">
              <w:rPr>
                <w:i/>
                <w:iCs/>
                <w:sz w:val="20"/>
                <w:szCs w:val="20"/>
              </w:rPr>
              <w:t>natural wetlands</w:t>
            </w:r>
          </w:p>
          <w:p w14:paraId="3812F06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C320C6E" wp14:editId="5713CF19">
                      <wp:extent cx="3697356" cy="1933575"/>
                      <wp:effectExtent l="0" t="0" r="17780" b="28575"/>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933575"/>
                              </a:xfrm>
                              <a:prstGeom prst="rect">
                                <a:avLst/>
                              </a:prstGeom>
                              <a:solidFill>
                                <a:srgbClr val="FFFFFF"/>
                              </a:solidFill>
                              <a:ln w="9525">
                                <a:solidFill>
                                  <a:srgbClr val="000000"/>
                                </a:solidFill>
                                <a:miter lim="800000"/>
                                <a:headEnd/>
                                <a:tailEnd/>
                              </a:ln>
                            </wps:spPr>
                            <wps:txbx>
                              <w:txbxContent>
                                <w:p w14:paraId="4737BC0D" w14:textId="77777777" w:rsidR="009A1120" w:rsidRPr="00BB4A60" w:rsidRDefault="009A1120" w:rsidP="009A1120">
                                  <w:pPr>
                                    <w:contextualSpacing/>
                                    <w:rPr>
                                      <w:sz w:val="20"/>
                                      <w:szCs w:val="20"/>
                                    </w:rPr>
                                  </w:pPr>
                                  <w:r>
                                    <w:rPr>
                                      <w:sz w:val="20"/>
                                      <w:szCs w:val="20"/>
                                    </w:rPr>
                                    <w:t xml:space="preserve">in relation to a natural inland </w:t>
                                  </w:r>
                                  <w:r w:rsidRPr="00154E48">
                                    <w:rPr>
                                      <w:i/>
                                      <w:sz w:val="20"/>
                                      <w:szCs w:val="20"/>
                                    </w:rPr>
                                    <w:t>wetland</w:t>
                                  </w:r>
                                  <w:r>
                                    <w:rPr>
                                      <w:sz w:val="20"/>
                                      <w:szCs w:val="20"/>
                                    </w:rPr>
                                    <w:t xml:space="preserve"> or </w:t>
                                  </w:r>
                                  <w:r w:rsidRPr="00154E48">
                                    <w:rPr>
                                      <w:i/>
                                      <w:sz w:val="20"/>
                                      <w:szCs w:val="20"/>
                                    </w:rPr>
                                    <w:t>river</w:t>
                                  </w:r>
                                  <w:r>
                                    <w:rPr>
                                      <w:sz w:val="20"/>
                                      <w:szCs w:val="20"/>
                                    </w:rPr>
                                    <w:t xml:space="preserve">, means the </w:t>
                                  </w:r>
                                  <w:r w:rsidRPr="00154E48">
                                    <w:rPr>
                                      <w:i/>
                                      <w:sz w:val="20"/>
                                      <w:szCs w:val="20"/>
                                    </w:rPr>
                                    <w:t>wetland</w:t>
                                  </w:r>
                                  <w:r>
                                    <w:rPr>
                                      <w:sz w:val="20"/>
                                      <w:szCs w:val="20"/>
                                    </w:rPr>
                                    <w:t xml:space="preserve"> or </w:t>
                                  </w:r>
                                  <w:r w:rsidRPr="00154E48">
                                    <w:rPr>
                                      <w:i/>
                                      <w:sz w:val="20"/>
                                      <w:szCs w:val="20"/>
                                    </w:rPr>
                                    <w:t>river</w:t>
                                  </w:r>
                                  <w:r>
                                    <w:rPr>
                                      <w:sz w:val="20"/>
                                      <w:szCs w:val="20"/>
                                    </w:rPr>
                                    <w:t xml:space="preserve"> is less able to provide for the following existing or potential values:</w:t>
                                  </w:r>
                                </w:p>
                                <w:p w14:paraId="403612B8"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r>
                                  <w:r>
                                    <w:rPr>
                                      <w:sz w:val="20"/>
                                      <w:szCs w:val="20"/>
                                    </w:rPr>
                                    <w:t>any value identified for it under the NOF process; or</w:t>
                                  </w:r>
                                </w:p>
                                <w:p w14:paraId="7578E812"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r>
                                  <w:r>
                                    <w:rPr>
                                      <w:sz w:val="20"/>
                                      <w:szCs w:val="20"/>
                                    </w:rPr>
                                    <w:t>any of the following, whether or not they are identified under the NOF process:</w:t>
                                  </w:r>
                                </w:p>
                                <w:p w14:paraId="3A6BE277" w14:textId="77777777" w:rsidR="009A1120" w:rsidRDefault="009A1120" w:rsidP="009A1120">
                                  <w:pPr>
                                    <w:ind w:left="568" w:hanging="284"/>
                                    <w:rPr>
                                      <w:sz w:val="20"/>
                                      <w:szCs w:val="20"/>
                                    </w:rPr>
                                  </w:pPr>
                                  <w:r>
                                    <w:rPr>
                                      <w:sz w:val="20"/>
                                      <w:szCs w:val="20"/>
                                    </w:rPr>
                                    <w:t>(i)</w:t>
                                  </w:r>
                                  <w:r>
                                    <w:rPr>
                                      <w:sz w:val="20"/>
                                      <w:szCs w:val="20"/>
                                    </w:rPr>
                                    <w:tab/>
                                    <w:t>ecosystem health</w:t>
                                  </w:r>
                                </w:p>
                                <w:p w14:paraId="57DBC6AC" w14:textId="77777777" w:rsidR="009A1120" w:rsidRDefault="009A1120" w:rsidP="009A1120">
                                  <w:pPr>
                                    <w:ind w:left="568" w:hanging="284"/>
                                    <w:rPr>
                                      <w:sz w:val="20"/>
                                      <w:szCs w:val="20"/>
                                    </w:rPr>
                                  </w:pPr>
                                  <w:r>
                                    <w:rPr>
                                      <w:sz w:val="20"/>
                                      <w:szCs w:val="20"/>
                                    </w:rPr>
                                    <w:t>(ii)</w:t>
                                  </w:r>
                                  <w:r>
                                    <w:rPr>
                                      <w:sz w:val="20"/>
                                      <w:szCs w:val="20"/>
                                    </w:rPr>
                                    <w:tab/>
                                    <w:t>indigenous biodiversity</w:t>
                                  </w:r>
                                </w:p>
                                <w:p w14:paraId="25618D5A" w14:textId="77777777" w:rsidR="009A1120" w:rsidRDefault="009A1120" w:rsidP="009A1120">
                                  <w:pPr>
                                    <w:ind w:left="568" w:hanging="284"/>
                                    <w:rPr>
                                      <w:sz w:val="20"/>
                                      <w:szCs w:val="20"/>
                                    </w:rPr>
                                  </w:pPr>
                                  <w:r>
                                    <w:rPr>
                                      <w:sz w:val="20"/>
                                      <w:szCs w:val="20"/>
                                    </w:rPr>
                                    <w:t>(iii)</w:t>
                                  </w:r>
                                  <w:r>
                                    <w:rPr>
                                      <w:sz w:val="20"/>
                                      <w:szCs w:val="20"/>
                                    </w:rPr>
                                    <w:tab/>
                                    <w:t>hydrological functioning</w:t>
                                  </w:r>
                                </w:p>
                                <w:p w14:paraId="2A787982" w14:textId="77777777" w:rsidR="009A1120" w:rsidRDefault="009A1120" w:rsidP="009A1120">
                                  <w:pPr>
                                    <w:ind w:left="568" w:hanging="284"/>
                                    <w:rPr>
                                      <w:sz w:val="20"/>
                                      <w:szCs w:val="20"/>
                                    </w:rPr>
                                  </w:pPr>
                                  <w:r>
                                    <w:rPr>
                                      <w:sz w:val="20"/>
                                      <w:szCs w:val="20"/>
                                    </w:rPr>
                                    <w:t>(iv)</w:t>
                                  </w:r>
                                  <w:r>
                                    <w:rPr>
                                      <w:sz w:val="20"/>
                                      <w:szCs w:val="20"/>
                                    </w:rPr>
                                    <w:tab/>
                                    <w:t>Māori freshwater values</w:t>
                                  </w:r>
                                </w:p>
                                <w:p w14:paraId="6ADA3276" w14:textId="77777777" w:rsidR="009A1120" w:rsidRPr="002609BD" w:rsidRDefault="009A1120" w:rsidP="009A1120">
                                  <w:pPr>
                                    <w:ind w:left="568" w:hanging="284"/>
                                    <w:rPr>
                                      <w:sz w:val="20"/>
                                      <w:szCs w:val="20"/>
                                    </w:rPr>
                                  </w:pPr>
                                  <w:r>
                                    <w:rPr>
                                      <w:sz w:val="20"/>
                                      <w:szCs w:val="20"/>
                                    </w:rPr>
                                    <w:t>(v)</w:t>
                                  </w:r>
                                  <w:r>
                                    <w:rPr>
                                      <w:sz w:val="20"/>
                                      <w:szCs w:val="20"/>
                                    </w:rPr>
                                    <w:tab/>
                                    <w:t>amenity</w:t>
                                  </w:r>
                                </w:p>
                              </w:txbxContent>
                            </wps:txbx>
                            <wps:bodyPr rot="0" vert="horz" wrap="square" lIns="91440" tIns="45720" rIns="91440" bIns="45720" anchor="t" anchorCtr="0">
                              <a:noAutofit/>
                            </wps:bodyPr>
                          </wps:wsp>
                        </a:graphicData>
                      </a:graphic>
                    </wp:inline>
                  </w:drawing>
                </mc:Choice>
                <mc:Fallback>
                  <w:pict>
                    <v:shape w14:anchorId="6C320C6E" id="Text Box 53" o:spid="_x0000_s1085" type="#_x0000_t202" style="width:291.1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">
                      <v:textbox>
                        <w:txbxContent>
                          <w:p w14:paraId="4737BC0D" w14:textId="77777777" w:rsidR="009A1120" w:rsidRPr="00BB4A60" w:rsidRDefault="009A1120" w:rsidP="009A1120">
                            <w:pPr>
                              <w:contextualSpacing/>
                              <w:rPr>
                                <w:sz w:val="20"/>
                                <w:szCs w:val="20"/>
                              </w:rPr>
                            </w:pPr>
                            <w:r>
                              <w:rPr>
                                <w:sz w:val="20"/>
                                <w:szCs w:val="20"/>
                              </w:rPr>
                              <w:t xml:space="preserve">in relation to a natural inland </w:t>
                            </w:r>
                            <w:r w:rsidRPr="00154E48">
                              <w:rPr>
                                <w:i/>
                                <w:sz w:val="20"/>
                                <w:szCs w:val="20"/>
                              </w:rPr>
                              <w:t>wetland</w:t>
                            </w:r>
                            <w:r>
                              <w:rPr>
                                <w:sz w:val="20"/>
                                <w:szCs w:val="20"/>
                              </w:rPr>
                              <w:t xml:space="preserve"> or </w:t>
                            </w:r>
                            <w:r w:rsidRPr="00154E48">
                              <w:rPr>
                                <w:i/>
                                <w:sz w:val="20"/>
                                <w:szCs w:val="20"/>
                              </w:rPr>
                              <w:t>river</w:t>
                            </w:r>
                            <w:r>
                              <w:rPr>
                                <w:sz w:val="20"/>
                                <w:szCs w:val="20"/>
                              </w:rPr>
                              <w:t xml:space="preserve">, means the </w:t>
                            </w:r>
                            <w:r w:rsidRPr="00154E48">
                              <w:rPr>
                                <w:i/>
                                <w:sz w:val="20"/>
                                <w:szCs w:val="20"/>
                              </w:rPr>
                              <w:t>wetland</w:t>
                            </w:r>
                            <w:r>
                              <w:rPr>
                                <w:sz w:val="20"/>
                                <w:szCs w:val="20"/>
                              </w:rPr>
                              <w:t xml:space="preserve"> or </w:t>
                            </w:r>
                            <w:r w:rsidRPr="00154E48">
                              <w:rPr>
                                <w:i/>
                                <w:sz w:val="20"/>
                                <w:szCs w:val="20"/>
                              </w:rPr>
                              <w:t>river</w:t>
                            </w:r>
                            <w:r>
                              <w:rPr>
                                <w:sz w:val="20"/>
                                <w:szCs w:val="20"/>
                              </w:rPr>
                              <w:t xml:space="preserve"> is less able to provide for the following existing or potential values:</w:t>
                            </w:r>
                          </w:p>
                          <w:p w14:paraId="403612B8"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r>
                            <w:r>
                              <w:rPr>
                                <w:sz w:val="20"/>
                                <w:szCs w:val="20"/>
                              </w:rPr>
                              <w:t>any value identified for it under the NOF process; or</w:t>
                            </w:r>
                          </w:p>
                          <w:p w14:paraId="7578E812"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r>
                            <w:r>
                              <w:rPr>
                                <w:sz w:val="20"/>
                                <w:szCs w:val="20"/>
                              </w:rPr>
                              <w:t>any of the following, whether or not they are identified under the NOF process:</w:t>
                            </w:r>
                          </w:p>
                          <w:p w14:paraId="3A6BE277" w14:textId="77777777" w:rsidR="009A1120" w:rsidRDefault="009A1120" w:rsidP="009A1120">
                            <w:pPr>
                              <w:ind w:left="568" w:hanging="284"/>
                              <w:rPr>
                                <w:sz w:val="20"/>
                                <w:szCs w:val="20"/>
                              </w:rPr>
                            </w:pPr>
                            <w:r>
                              <w:rPr>
                                <w:sz w:val="20"/>
                                <w:szCs w:val="20"/>
                              </w:rPr>
                              <w:t>(i)</w:t>
                            </w:r>
                            <w:r>
                              <w:rPr>
                                <w:sz w:val="20"/>
                                <w:szCs w:val="20"/>
                              </w:rPr>
                              <w:tab/>
                              <w:t>ecosystem health</w:t>
                            </w:r>
                          </w:p>
                          <w:p w14:paraId="57DBC6AC" w14:textId="77777777" w:rsidR="009A1120" w:rsidRDefault="009A1120" w:rsidP="009A1120">
                            <w:pPr>
                              <w:ind w:left="568" w:hanging="284"/>
                              <w:rPr>
                                <w:sz w:val="20"/>
                                <w:szCs w:val="20"/>
                              </w:rPr>
                            </w:pPr>
                            <w:r>
                              <w:rPr>
                                <w:sz w:val="20"/>
                                <w:szCs w:val="20"/>
                              </w:rPr>
                              <w:t>(ii)</w:t>
                            </w:r>
                            <w:r>
                              <w:rPr>
                                <w:sz w:val="20"/>
                                <w:szCs w:val="20"/>
                              </w:rPr>
                              <w:tab/>
                              <w:t>indigenous biodiversity</w:t>
                            </w:r>
                          </w:p>
                          <w:p w14:paraId="25618D5A" w14:textId="77777777" w:rsidR="009A1120" w:rsidRDefault="009A1120" w:rsidP="009A1120">
                            <w:pPr>
                              <w:ind w:left="568" w:hanging="284"/>
                              <w:rPr>
                                <w:sz w:val="20"/>
                                <w:szCs w:val="20"/>
                              </w:rPr>
                            </w:pPr>
                            <w:r>
                              <w:rPr>
                                <w:sz w:val="20"/>
                                <w:szCs w:val="20"/>
                              </w:rPr>
                              <w:t>(iii)</w:t>
                            </w:r>
                            <w:r>
                              <w:rPr>
                                <w:sz w:val="20"/>
                                <w:szCs w:val="20"/>
                              </w:rPr>
                              <w:tab/>
                              <w:t>hydrological functioning</w:t>
                            </w:r>
                          </w:p>
                          <w:p w14:paraId="2A787982" w14:textId="77777777" w:rsidR="009A1120" w:rsidRDefault="009A1120" w:rsidP="009A1120">
                            <w:pPr>
                              <w:ind w:left="568" w:hanging="284"/>
                              <w:rPr>
                                <w:sz w:val="20"/>
                                <w:szCs w:val="20"/>
                              </w:rPr>
                            </w:pPr>
                            <w:r>
                              <w:rPr>
                                <w:sz w:val="20"/>
                                <w:szCs w:val="20"/>
                              </w:rPr>
                              <w:t>(iv)</w:t>
                            </w:r>
                            <w:r>
                              <w:rPr>
                                <w:sz w:val="20"/>
                                <w:szCs w:val="20"/>
                              </w:rPr>
                              <w:tab/>
                              <w:t>Māori freshwater values</w:t>
                            </w:r>
                          </w:p>
                          <w:p w14:paraId="6ADA3276" w14:textId="77777777" w:rsidR="009A1120" w:rsidRPr="002609BD" w:rsidRDefault="009A1120" w:rsidP="009A1120">
                            <w:pPr>
                              <w:ind w:left="568" w:hanging="284"/>
                              <w:rPr>
                                <w:sz w:val="20"/>
                                <w:szCs w:val="20"/>
                              </w:rPr>
                            </w:pPr>
                            <w:r>
                              <w:rPr>
                                <w:sz w:val="20"/>
                                <w:szCs w:val="20"/>
                              </w:rPr>
                              <w:t>(v)</w:t>
                            </w:r>
                            <w:r>
                              <w:rPr>
                                <w:sz w:val="20"/>
                                <w:szCs w:val="20"/>
                              </w:rPr>
                              <w:tab/>
                              <w:t>amenity</w:t>
                            </w:r>
                          </w:p>
                        </w:txbxContent>
                      </v:textbox>
                      <w10:anchorlock/>
                    </v:shape>
                  </w:pict>
                </mc:Fallback>
              </mc:AlternateContent>
            </w:r>
          </w:p>
        </w:tc>
      </w:tr>
      <w:tr w:rsidR="009A1120" w:rsidRPr="00472578" w14:paraId="281C7190" w14:textId="77777777" w:rsidTr="007612BD">
        <w:tc>
          <w:tcPr>
            <w:tcW w:w="2104" w:type="dxa"/>
          </w:tcPr>
          <w:p w14:paraId="4B66D9A8" w14:textId="36FC7A5B"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Mahika kai</w:t>
            </w:r>
            <w:r w:rsidR="00FA35D1" w:rsidRPr="00472578">
              <w:rPr>
                <w:rStyle w:val="FootnoteReference"/>
                <w:sz w:val="20"/>
                <w:szCs w:val="20"/>
              </w:rPr>
              <w:footnoteReference w:id="114"/>
            </w:r>
          </w:p>
        </w:tc>
        <w:tc>
          <w:tcPr>
            <w:tcW w:w="7146" w:type="dxa"/>
          </w:tcPr>
          <w:p w14:paraId="43B8EB02" w14:textId="433A8491" w:rsidR="009A1120" w:rsidRPr="00472578" w:rsidRDefault="009A1120" w:rsidP="00E92686">
            <w:pPr>
              <w:spacing w:line="259" w:lineRule="auto"/>
              <w:contextualSpacing/>
              <w:jc w:val="both"/>
              <w:rPr>
                <w:sz w:val="20"/>
                <w:szCs w:val="20"/>
                <w:u w:val="single"/>
              </w:rPr>
            </w:pPr>
            <w:r w:rsidRPr="00472578">
              <w:rPr>
                <w:sz w:val="20"/>
                <w:szCs w:val="20"/>
                <w:u w:val="single"/>
              </w:rPr>
              <w:t>means gathering of food and natural materials by Kāi Tahu whānui in accordance with tikaka, the places where those resources are gathered, and the work, methods and cultural activities involved in obtaining them.</w:t>
            </w:r>
          </w:p>
        </w:tc>
      </w:tr>
      <w:tr w:rsidR="009A1120" w:rsidRPr="00472578" w14:paraId="023A118F" w14:textId="77777777" w:rsidTr="007612BD">
        <w:tc>
          <w:tcPr>
            <w:tcW w:w="2104" w:type="dxa"/>
          </w:tcPr>
          <w:p w14:paraId="663D5FE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Mana whenua</w:t>
            </w:r>
          </w:p>
        </w:tc>
        <w:tc>
          <w:tcPr>
            <w:tcW w:w="7146" w:type="dxa"/>
          </w:tcPr>
          <w:p w14:paraId="5B9407E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 and in this RPS also refers to the people who hold customary authority</w:t>
            </w:r>
          </w:p>
          <w:p w14:paraId="5900794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DFCC4BB" wp14:editId="5513FAD2">
                      <wp:extent cx="3697356" cy="429370"/>
                      <wp:effectExtent l="0" t="0" r="17780" b="27940"/>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29370"/>
                              </a:xfrm>
                              <a:prstGeom prst="rect">
                                <a:avLst/>
                              </a:prstGeom>
                              <a:solidFill>
                                <a:srgbClr val="FFFFFF"/>
                              </a:solidFill>
                              <a:ln w="9525">
                                <a:solidFill>
                                  <a:srgbClr val="000000"/>
                                </a:solidFill>
                                <a:miter lim="800000"/>
                                <a:headEnd/>
                                <a:tailEnd/>
                              </a:ln>
                            </wps:spPr>
                            <wps:txbx>
                              <w:txbxContent>
                                <w:p w14:paraId="4FCEC896" w14:textId="77777777" w:rsidR="009A1120" w:rsidRPr="001A38AB" w:rsidRDefault="009A1120" w:rsidP="009A1120">
                                  <w:pPr>
                                    <w:contextualSpacing/>
                                    <w:rPr>
                                      <w:sz w:val="20"/>
                                      <w:szCs w:val="20"/>
                                    </w:rPr>
                                  </w:pPr>
                                  <w:bookmarkStart w:id="23" w:name="_Hlk56525650"/>
                                  <w:bookmarkStart w:id="24" w:name="_Hlk56525651"/>
                                  <w:r w:rsidRPr="001A38AB">
                                    <w:rPr>
                                      <w:sz w:val="20"/>
                                      <w:szCs w:val="20"/>
                                    </w:rPr>
                                    <w:t>means customary authority exercised by an iwi or hapu in an identified area</w:t>
                                  </w:r>
                                  <w:bookmarkEnd w:id="23"/>
                                  <w:bookmarkEnd w:id="24"/>
                                </w:p>
                              </w:txbxContent>
                            </wps:txbx>
                            <wps:bodyPr rot="0" vert="horz" wrap="square" lIns="91440" tIns="45720" rIns="91440" bIns="45720" anchor="t" anchorCtr="0">
                              <a:noAutofit/>
                            </wps:bodyPr>
                          </wps:wsp>
                        </a:graphicData>
                      </a:graphic>
                    </wp:inline>
                  </w:drawing>
                </mc:Choice>
                <mc:Fallback>
                  <w:pict>
                    <v:shape w14:anchorId="2DFCC4BB" id="Text Box 201" o:spid="_x0000_s1086" type="#_x0000_t202" style="width:291.1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">
                      <v:textbox>
                        <w:txbxContent>
                          <w:p w14:paraId="4FCEC896" w14:textId="77777777" w:rsidR="009A1120" w:rsidRPr="001A38AB" w:rsidRDefault="009A1120" w:rsidP="009A1120">
                            <w:pPr>
                              <w:contextualSpacing/>
                              <w:rPr>
                                <w:sz w:val="20"/>
                                <w:szCs w:val="20"/>
                              </w:rPr>
                            </w:pPr>
                            <w:bookmarkStart w:id="25" w:name="_Hlk56525650"/>
                            <w:bookmarkStart w:id="26" w:name="_Hlk56525651"/>
                            <w:r w:rsidRPr="001A38AB">
                              <w:rPr>
                                <w:sz w:val="20"/>
                                <w:szCs w:val="20"/>
                              </w:rPr>
                              <w:t>means customary authority exercised by an iwi or hapu in an identified area</w:t>
                            </w:r>
                            <w:bookmarkEnd w:id="25"/>
                            <w:bookmarkEnd w:id="26"/>
                          </w:p>
                        </w:txbxContent>
                      </v:textbox>
                      <w10:anchorlock/>
                    </v:shape>
                  </w:pict>
                </mc:Fallback>
              </mc:AlternateContent>
            </w:r>
          </w:p>
        </w:tc>
      </w:tr>
      <w:tr w:rsidR="009A1120" w:rsidRPr="00472578" w14:paraId="51A48CE1" w14:textId="77777777" w:rsidTr="007612BD">
        <w:tc>
          <w:tcPr>
            <w:tcW w:w="2104" w:type="dxa"/>
          </w:tcPr>
          <w:p w14:paraId="08C0503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Mineral</w:t>
            </w:r>
          </w:p>
        </w:tc>
        <w:tc>
          <w:tcPr>
            <w:tcW w:w="7146" w:type="dxa"/>
          </w:tcPr>
          <w:p w14:paraId="54D27A2B"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2(1) of the Crown Minerals Act 1991 (as set out in the box below)</w:t>
            </w:r>
          </w:p>
          <w:p w14:paraId="29A59DD4"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A8A2FAA" wp14:editId="225383BF">
                      <wp:extent cx="3697356" cy="930303"/>
                      <wp:effectExtent l="0" t="0" r="17780" b="22225"/>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30303"/>
                              </a:xfrm>
                              <a:prstGeom prst="rect">
                                <a:avLst/>
                              </a:prstGeom>
                              <a:solidFill>
                                <a:srgbClr val="FFFFFF"/>
                              </a:solidFill>
                              <a:ln w="9525">
                                <a:solidFill>
                                  <a:srgbClr val="000000"/>
                                </a:solidFill>
                                <a:miter lim="800000"/>
                                <a:headEnd/>
                                <a:tailEnd/>
                              </a:ln>
                            </wps:spPr>
                            <wps:txbx>
                              <w:txbxContent>
                                <w:p w14:paraId="4AF1F5BD" w14:textId="77777777" w:rsidR="009A1120" w:rsidRPr="001A38AB" w:rsidRDefault="009A1120" w:rsidP="009A1120">
                                  <w:pPr>
                                    <w:contextualSpacing/>
                                    <w:rPr>
                                      <w:sz w:val="20"/>
                                      <w:szCs w:val="20"/>
                                    </w:rPr>
                                  </w:pPr>
                                  <w:r w:rsidRPr="001A38AB">
                                    <w:rPr>
                                      <w:sz w:val="20"/>
                                      <w:szCs w:val="20"/>
                                    </w:rPr>
                                    <w:t>means a naturally occurring inorganic substance beneath or at the surface of the earth, whether or not under water; and includes all metallic minerals, non-metallic minerals, fuel minerals, precious stones, industrial rocks and building stones, and a prescribed substance within the meaning of the Atomic Energy Act 1945</w:t>
                                  </w:r>
                                </w:p>
                              </w:txbxContent>
                            </wps:txbx>
                            <wps:bodyPr rot="0" vert="horz" wrap="square" lIns="91440" tIns="45720" rIns="91440" bIns="45720" anchor="t" anchorCtr="0">
                              <a:noAutofit/>
                            </wps:bodyPr>
                          </wps:wsp>
                        </a:graphicData>
                      </a:graphic>
                    </wp:inline>
                  </w:drawing>
                </mc:Choice>
                <mc:Fallback>
                  <w:pict>
                    <v:shape w14:anchorId="7A8A2FAA" id="Text Box 202" o:spid="_x0000_s1087" type="#_x0000_t202" style="width:291.1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">
                      <v:textbox>
                        <w:txbxContent>
                          <w:p w14:paraId="4AF1F5BD" w14:textId="77777777" w:rsidR="009A1120" w:rsidRPr="001A38AB" w:rsidRDefault="009A1120" w:rsidP="009A1120">
                            <w:pPr>
                              <w:contextualSpacing/>
                              <w:rPr>
                                <w:sz w:val="20"/>
                                <w:szCs w:val="20"/>
                              </w:rPr>
                            </w:pPr>
                            <w:r w:rsidRPr="001A38AB">
                              <w:rPr>
                                <w:sz w:val="20"/>
                                <w:szCs w:val="20"/>
                              </w:rPr>
                              <w:t>means a naturally occurring inorganic substance beneath or at the surface of the earth, whether or not under water; and includes all metallic minerals, non-metallic minerals, fuel minerals, precious stones, industrial rocks and building stones, and a prescribed substance within the meaning of the Atomic Energy Act 1945</w:t>
                            </w:r>
                          </w:p>
                        </w:txbxContent>
                      </v:textbox>
                      <w10:anchorlock/>
                    </v:shape>
                  </w:pict>
                </mc:Fallback>
              </mc:AlternateContent>
            </w:r>
          </w:p>
        </w:tc>
      </w:tr>
      <w:tr w:rsidR="009A1120" w:rsidRPr="00472578" w14:paraId="25FB98A7" w14:textId="77777777" w:rsidTr="007612BD">
        <w:tc>
          <w:tcPr>
            <w:tcW w:w="2104" w:type="dxa"/>
          </w:tcPr>
          <w:p w14:paraId="30BD7CC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Mixing zone</w:t>
            </w:r>
          </w:p>
        </w:tc>
        <w:tc>
          <w:tcPr>
            <w:tcW w:w="7146" w:type="dxa"/>
          </w:tcPr>
          <w:p w14:paraId="70691E2F"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Glossary of the New Zealand Coastal Policy Statement 2010 (as set out in the box below)</w:t>
            </w:r>
          </w:p>
          <w:p w14:paraId="0BB7D1E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8F1FAF1" wp14:editId="7634F778">
                      <wp:extent cx="3697356" cy="616688"/>
                      <wp:effectExtent l="0" t="0" r="17780" b="12065"/>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16688"/>
                              </a:xfrm>
                              <a:prstGeom prst="rect">
                                <a:avLst/>
                              </a:prstGeom>
                              <a:solidFill>
                                <a:srgbClr val="FFFFFF"/>
                              </a:solidFill>
                              <a:ln w="9525">
                                <a:solidFill>
                                  <a:srgbClr val="000000"/>
                                </a:solidFill>
                                <a:miter lim="800000"/>
                                <a:headEnd/>
                                <a:tailEnd/>
                              </a:ln>
                            </wps:spPr>
                            <wps:txbx>
                              <w:txbxContent>
                                <w:p w14:paraId="3F6D25EF" w14:textId="77777777" w:rsidR="009A1120" w:rsidRPr="00B67E33" w:rsidRDefault="009A1120" w:rsidP="009A1120">
                                  <w:pPr>
                                    <w:contextualSpacing/>
                                    <w:rPr>
                                      <w:sz w:val="20"/>
                                      <w:szCs w:val="20"/>
                                      <w:lang w:val="en-GB"/>
                                    </w:rPr>
                                  </w:pPr>
                                  <w:r>
                                    <w:rPr>
                                      <w:sz w:val="20"/>
                                      <w:szCs w:val="20"/>
                                      <w:lang w:val="en-GB"/>
                                    </w:rPr>
                                    <w:t>the area within which ‘reasonable mixing’ of contaminants from discharges occurs in receiving waters and within which the relevant water quality standards do not apply</w:t>
                                  </w:r>
                                </w:p>
                              </w:txbxContent>
                            </wps:txbx>
                            <wps:bodyPr rot="0" vert="horz" wrap="square" lIns="91440" tIns="45720" rIns="91440" bIns="45720" anchor="t" anchorCtr="0">
                              <a:noAutofit/>
                            </wps:bodyPr>
                          </wps:wsp>
                        </a:graphicData>
                      </a:graphic>
                    </wp:inline>
                  </w:drawing>
                </mc:Choice>
                <mc:Fallback>
                  <w:pict>
                    <v:shape w14:anchorId="78F1FAF1" id="Text Box 39" o:spid="_x0000_s1088" type="#_x0000_t202" style="width:291.15pt;height:4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">
                      <v:textbox>
                        <w:txbxContent>
                          <w:p w14:paraId="3F6D25EF" w14:textId="77777777" w:rsidR="009A1120" w:rsidRPr="00B67E33" w:rsidRDefault="009A1120" w:rsidP="009A1120">
                            <w:pPr>
                              <w:contextualSpacing/>
                              <w:rPr>
                                <w:sz w:val="20"/>
                                <w:szCs w:val="20"/>
                                <w:lang w:val="en-GB"/>
                              </w:rPr>
                            </w:pPr>
                            <w:r>
                              <w:rPr>
                                <w:sz w:val="20"/>
                                <w:szCs w:val="20"/>
                                <w:lang w:val="en-GB"/>
                              </w:rPr>
                              <w:t>the area within which ‘reasonable mixing’ of contaminants from discharges occurs in receiving waters and within which the relevant water quality standards do not apply</w:t>
                            </w:r>
                          </w:p>
                        </w:txbxContent>
                      </v:textbox>
                      <w10:anchorlock/>
                    </v:shape>
                  </w:pict>
                </mc:Fallback>
              </mc:AlternateContent>
            </w:r>
          </w:p>
        </w:tc>
      </w:tr>
      <w:tr w:rsidR="009A1120" w:rsidRPr="00472578" w14:paraId="4EB35B0E" w14:textId="77777777" w:rsidTr="007612BD">
        <w:tc>
          <w:tcPr>
            <w:tcW w:w="2104" w:type="dxa"/>
          </w:tcPr>
          <w:p w14:paraId="401C186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Multiple hazards</w:t>
            </w:r>
          </w:p>
        </w:tc>
        <w:tc>
          <w:tcPr>
            <w:tcW w:w="7146" w:type="dxa"/>
          </w:tcPr>
          <w:p w14:paraId="10E22508" w14:textId="77777777" w:rsidR="009A1120" w:rsidRPr="00472578" w:rsidRDefault="009A1120" w:rsidP="00E92686">
            <w:pPr>
              <w:tabs>
                <w:tab w:val="center" w:pos="4513"/>
                <w:tab w:val="right" w:pos="9026"/>
              </w:tabs>
              <w:spacing w:line="256" w:lineRule="auto"/>
              <w:ind w:firstLine="1"/>
              <w:jc w:val="both"/>
              <w:rPr>
                <w:rFonts w:cs="Times New Roman"/>
                <w:sz w:val="20"/>
                <w:szCs w:val="20"/>
              </w:rPr>
            </w:pPr>
            <w:r w:rsidRPr="00472578">
              <w:rPr>
                <w:rFonts w:cs="Times New Roman"/>
                <w:sz w:val="20"/>
                <w:szCs w:val="20"/>
              </w:rPr>
              <w:t>means where two or more unrelated natural hazard events may occur.</w:t>
            </w:r>
          </w:p>
        </w:tc>
      </w:tr>
      <w:tr w:rsidR="009A1120" w:rsidRPr="00472578" w14:paraId="1AF04CCA" w14:textId="77777777" w:rsidTr="007612BD">
        <w:tc>
          <w:tcPr>
            <w:tcW w:w="2104" w:type="dxa"/>
          </w:tcPr>
          <w:p w14:paraId="51B8F5F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National grid</w:t>
            </w:r>
          </w:p>
        </w:tc>
        <w:tc>
          <w:tcPr>
            <w:tcW w:w="7146" w:type="dxa"/>
          </w:tcPr>
          <w:p w14:paraId="3FBFC776" w14:textId="4235F3B0"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Interpretation section of the National Policy Statement</w:t>
            </w:r>
            <w:r w:rsidR="009D7637">
              <w:rPr>
                <w:sz w:val="20"/>
                <w:szCs w:val="20"/>
              </w:rPr>
              <w:t xml:space="preserve"> </w:t>
            </w:r>
            <w:r w:rsidR="009D7637">
              <w:rPr>
                <w:sz w:val="20"/>
                <w:szCs w:val="20"/>
                <w:u w:val="single"/>
              </w:rPr>
              <w:t xml:space="preserve">on </w:t>
            </w:r>
            <w:r w:rsidR="00F20884">
              <w:rPr>
                <w:sz w:val="20"/>
                <w:szCs w:val="20"/>
                <w:u w:val="single"/>
              </w:rPr>
              <w:t>Electricity Transmission 2008</w:t>
            </w:r>
            <w:r w:rsidRPr="00472578">
              <w:rPr>
                <w:sz w:val="20"/>
                <w:szCs w:val="20"/>
              </w:rPr>
              <w:t xml:space="preserve"> </w:t>
            </w:r>
            <w:r w:rsidRPr="009D7637">
              <w:rPr>
                <w:strike/>
                <w:sz w:val="20"/>
                <w:szCs w:val="20"/>
              </w:rPr>
              <w:t>for Renewable Electricity Generation 2011</w:t>
            </w:r>
            <w:r w:rsidRPr="00472578">
              <w:rPr>
                <w:sz w:val="20"/>
                <w:szCs w:val="20"/>
              </w:rPr>
              <w:t xml:space="preserve"> </w:t>
            </w:r>
            <w:r w:rsidR="00F20884">
              <w:rPr>
                <w:rStyle w:val="FootnoteReference"/>
                <w:sz w:val="20"/>
                <w:szCs w:val="20"/>
              </w:rPr>
              <w:footnoteReference w:id="115"/>
            </w:r>
            <w:r w:rsidRPr="00472578">
              <w:rPr>
                <w:sz w:val="20"/>
                <w:szCs w:val="20"/>
              </w:rPr>
              <w:t>(as set out in the box below)</w:t>
            </w:r>
          </w:p>
          <w:p w14:paraId="3B53DA73" w14:textId="386139EA"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6906A39D" wp14:editId="3EBFA2F7">
                      <wp:extent cx="3697356" cy="437322"/>
                      <wp:effectExtent l="0" t="0" r="17780" b="2032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37322"/>
                              </a:xfrm>
                              <a:prstGeom prst="rect">
                                <a:avLst/>
                              </a:prstGeom>
                              <a:solidFill>
                                <a:srgbClr val="FFFFFF"/>
                              </a:solidFill>
                              <a:ln w="9525">
                                <a:solidFill>
                                  <a:srgbClr val="000000"/>
                                </a:solidFill>
                                <a:miter lim="800000"/>
                                <a:headEnd/>
                                <a:tailEnd/>
                              </a:ln>
                            </wps:spPr>
                            <wps:txbx>
                              <w:txbxContent>
                                <w:p w14:paraId="5955063C" w14:textId="41C186E8" w:rsidR="009A1120" w:rsidRPr="00F20884" w:rsidRDefault="009A1120" w:rsidP="009A1120">
                                  <w:pPr>
                                    <w:contextualSpacing/>
                                    <w:rPr>
                                      <w:sz w:val="20"/>
                                      <w:szCs w:val="20"/>
                                    </w:rPr>
                                  </w:pPr>
                                  <w:r w:rsidRPr="001A38AB">
                                    <w:rPr>
                                      <w:sz w:val="20"/>
                                      <w:szCs w:val="20"/>
                                    </w:rPr>
                                    <w:t>means the</w:t>
                                  </w:r>
                                  <w:r w:rsidR="00F20884">
                                    <w:rPr>
                                      <w:sz w:val="20"/>
                                      <w:szCs w:val="20"/>
                                    </w:rPr>
                                    <w:t xml:space="preserve"> </w:t>
                                  </w:r>
                                  <w:r w:rsidR="00F20884">
                                    <w:rPr>
                                      <w:sz w:val="20"/>
                                      <w:szCs w:val="20"/>
                                      <w:u w:val="single"/>
                                    </w:rPr>
                                    <w:t>assets</w:t>
                                  </w:r>
                                  <w:r w:rsidRPr="001A38AB">
                                    <w:rPr>
                                      <w:sz w:val="20"/>
                                      <w:szCs w:val="20"/>
                                    </w:rPr>
                                    <w:t xml:space="preserve"> </w:t>
                                  </w:r>
                                  <w:r w:rsidRPr="00F20884">
                                    <w:rPr>
                                      <w:strike/>
                                      <w:sz w:val="20"/>
                                      <w:szCs w:val="20"/>
                                    </w:rPr>
                                    <w:t>lines and associated equipment</w:t>
                                  </w:r>
                                  <w:r w:rsidRPr="001A38AB">
                                    <w:rPr>
                                      <w:sz w:val="20"/>
                                      <w:szCs w:val="20"/>
                                    </w:rPr>
                                    <w:t xml:space="preserve"> used or owned by Transpower</w:t>
                                  </w:r>
                                  <w:r w:rsidR="00F20884">
                                    <w:rPr>
                                      <w:sz w:val="20"/>
                                      <w:szCs w:val="20"/>
                                    </w:rPr>
                                    <w:t xml:space="preserve"> </w:t>
                                  </w:r>
                                  <w:r w:rsidR="00F20884">
                                    <w:rPr>
                                      <w:sz w:val="20"/>
                                      <w:szCs w:val="20"/>
                                      <w:u w:val="single"/>
                                    </w:rPr>
                                    <w:t>New Zealand Limited</w:t>
                                  </w:r>
                                  <w:r w:rsidRPr="001A38AB">
                                    <w:rPr>
                                      <w:sz w:val="20"/>
                                      <w:szCs w:val="20"/>
                                    </w:rPr>
                                    <w:t xml:space="preserve"> </w:t>
                                  </w:r>
                                  <w:r w:rsidRPr="00F20884">
                                    <w:rPr>
                                      <w:strike/>
                                      <w:sz w:val="20"/>
                                      <w:szCs w:val="20"/>
                                    </w:rPr>
                                    <w:t>to convey electricity</w:t>
                                  </w:r>
                                </w:p>
                              </w:txbxContent>
                            </wps:txbx>
                            <wps:bodyPr rot="0" vert="horz" wrap="square" lIns="91440" tIns="45720" rIns="91440" bIns="45720" anchor="t" anchorCtr="0">
                              <a:noAutofit/>
                            </wps:bodyPr>
                          </wps:wsp>
                        </a:graphicData>
                      </a:graphic>
                    </wp:inline>
                  </w:drawing>
                </mc:Choice>
                <mc:Fallback>
                  <w:pict>
                    <v:shape w14:anchorId="6906A39D" id="Text Box 219" o:spid="_x0000_s1089" type="#_x0000_t202" style="width:291.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SYKgIAAFA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">
                      <v:textbox>
                        <w:txbxContent>
                          <w:p w14:paraId="5955063C" w14:textId="41C186E8" w:rsidR="009A1120" w:rsidRPr="00F20884" w:rsidRDefault="009A1120" w:rsidP="009A1120">
                            <w:pPr>
                              <w:contextualSpacing/>
                              <w:rPr>
                                <w:sz w:val="20"/>
                                <w:szCs w:val="20"/>
                              </w:rPr>
                            </w:pPr>
                            <w:r w:rsidRPr="001A38AB">
                              <w:rPr>
                                <w:sz w:val="20"/>
                                <w:szCs w:val="20"/>
                              </w:rPr>
                              <w:t>means the</w:t>
                            </w:r>
                            <w:r w:rsidR="00F20884">
                              <w:rPr>
                                <w:sz w:val="20"/>
                                <w:szCs w:val="20"/>
                              </w:rPr>
                              <w:t xml:space="preserve"> </w:t>
                            </w:r>
                            <w:r w:rsidR="00F20884">
                              <w:rPr>
                                <w:sz w:val="20"/>
                                <w:szCs w:val="20"/>
                                <w:u w:val="single"/>
                              </w:rPr>
                              <w:t>assets</w:t>
                            </w:r>
                            <w:r w:rsidRPr="001A38AB">
                              <w:rPr>
                                <w:sz w:val="20"/>
                                <w:szCs w:val="20"/>
                              </w:rPr>
                              <w:t xml:space="preserve"> </w:t>
                            </w:r>
                            <w:r w:rsidRPr="00F20884">
                              <w:rPr>
                                <w:strike/>
                                <w:sz w:val="20"/>
                                <w:szCs w:val="20"/>
                              </w:rPr>
                              <w:t>lines and associated equipment</w:t>
                            </w:r>
                            <w:r w:rsidRPr="001A38AB">
                              <w:rPr>
                                <w:sz w:val="20"/>
                                <w:szCs w:val="20"/>
                              </w:rPr>
                              <w:t xml:space="preserve"> used or owned by Transpower</w:t>
                            </w:r>
                            <w:r w:rsidR="00F20884">
                              <w:rPr>
                                <w:sz w:val="20"/>
                                <w:szCs w:val="20"/>
                              </w:rPr>
                              <w:t xml:space="preserve"> </w:t>
                            </w:r>
                            <w:r w:rsidR="00F20884">
                              <w:rPr>
                                <w:sz w:val="20"/>
                                <w:szCs w:val="20"/>
                                <w:u w:val="single"/>
                              </w:rPr>
                              <w:t>New Zealand Limited</w:t>
                            </w:r>
                            <w:r w:rsidRPr="001A38AB">
                              <w:rPr>
                                <w:sz w:val="20"/>
                                <w:szCs w:val="20"/>
                              </w:rPr>
                              <w:t xml:space="preserve"> </w:t>
                            </w:r>
                            <w:r w:rsidRPr="00F20884">
                              <w:rPr>
                                <w:strike/>
                                <w:sz w:val="20"/>
                                <w:szCs w:val="20"/>
                              </w:rPr>
                              <w:t>to convey electricity</w:t>
                            </w:r>
                          </w:p>
                        </w:txbxContent>
                      </v:textbox>
                      <w10:anchorlock/>
                    </v:shape>
                  </w:pict>
                </mc:Fallback>
              </mc:AlternateContent>
            </w:r>
            <w:r w:rsidR="00F20884">
              <w:rPr>
                <w:rStyle w:val="FootnoteReference"/>
                <w:sz w:val="20"/>
                <w:szCs w:val="20"/>
              </w:rPr>
              <w:footnoteReference w:id="116"/>
            </w:r>
          </w:p>
        </w:tc>
      </w:tr>
      <w:tr w:rsidR="009A1120" w:rsidRPr="00472578" w14:paraId="51283155" w14:textId="77777777" w:rsidTr="007612BD">
        <w:tc>
          <w:tcPr>
            <w:tcW w:w="2104" w:type="dxa"/>
          </w:tcPr>
          <w:p w14:paraId="0FBEA12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National Objectives Framework</w:t>
            </w:r>
          </w:p>
        </w:tc>
        <w:tc>
          <w:tcPr>
            <w:tcW w:w="7146" w:type="dxa"/>
          </w:tcPr>
          <w:p w14:paraId="1F38F863"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679DAFAD" w14:textId="77777777" w:rsidR="009A1120" w:rsidRPr="00472578" w:rsidRDefault="009A1120" w:rsidP="00E92686">
            <w:pPr>
              <w:tabs>
                <w:tab w:val="center" w:pos="4513"/>
                <w:tab w:val="right" w:pos="9026"/>
              </w:tabs>
              <w:spacing w:before="60" w:after="60"/>
              <w:jc w:val="both"/>
              <w:rPr>
                <w:sz w:val="20"/>
                <w:szCs w:val="20"/>
              </w:rPr>
            </w:pPr>
          </w:p>
          <w:p w14:paraId="2769652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8DBAAE8" wp14:editId="7E386390">
                      <wp:extent cx="3697356" cy="437322"/>
                      <wp:effectExtent l="0" t="0" r="17780" b="2032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37322"/>
                              </a:xfrm>
                              <a:prstGeom prst="rect">
                                <a:avLst/>
                              </a:prstGeom>
                              <a:solidFill>
                                <a:srgbClr val="FFFFFF"/>
                              </a:solidFill>
                              <a:ln w="9525">
                                <a:solidFill>
                                  <a:srgbClr val="000000"/>
                                </a:solidFill>
                                <a:miter lim="800000"/>
                                <a:headEnd/>
                                <a:tailEnd/>
                              </a:ln>
                            </wps:spPr>
                            <wps:txbx>
                              <w:txbxContent>
                                <w:p w14:paraId="2DDCFF6B" w14:textId="77777777" w:rsidR="009A1120" w:rsidRPr="001A38AB" w:rsidRDefault="009A1120" w:rsidP="009A1120">
                                  <w:pPr>
                                    <w:contextualSpacing/>
                                    <w:rPr>
                                      <w:sz w:val="20"/>
                                      <w:szCs w:val="20"/>
                                    </w:rPr>
                                  </w:pPr>
                                  <w:r>
                                    <w:rPr>
                                      <w:sz w:val="20"/>
                                      <w:szCs w:val="20"/>
                                    </w:rPr>
                                    <w:t>means the framework for managing freshwater as described in subpart 2 of Part 3</w:t>
                                  </w:r>
                                </w:p>
                              </w:txbxContent>
                            </wps:txbx>
                            <wps:bodyPr rot="0" vert="horz" wrap="square" lIns="91440" tIns="45720" rIns="91440" bIns="45720" anchor="t" anchorCtr="0">
                              <a:noAutofit/>
                            </wps:bodyPr>
                          </wps:wsp>
                        </a:graphicData>
                      </a:graphic>
                    </wp:inline>
                  </w:drawing>
                </mc:Choice>
                <mc:Fallback>
                  <w:pict>
                    <v:shape w14:anchorId="58DBAAE8" id="Text Box 32" o:spid="_x0000_s1090" type="#_x0000_t202" style="width:291.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sdKQ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">
                      <v:textbox>
                        <w:txbxContent>
                          <w:p w14:paraId="2DDCFF6B" w14:textId="77777777" w:rsidR="009A1120" w:rsidRPr="001A38AB" w:rsidRDefault="009A1120" w:rsidP="009A1120">
                            <w:pPr>
                              <w:contextualSpacing/>
                              <w:rPr>
                                <w:sz w:val="20"/>
                                <w:szCs w:val="20"/>
                              </w:rPr>
                            </w:pPr>
                            <w:r>
                              <w:rPr>
                                <w:sz w:val="20"/>
                                <w:szCs w:val="20"/>
                              </w:rPr>
                              <w:t>means the framework for managing freshwater as described in subpart 2 of Part 3</w:t>
                            </w:r>
                          </w:p>
                        </w:txbxContent>
                      </v:textbox>
                      <w10:anchorlock/>
                    </v:shape>
                  </w:pict>
                </mc:Fallback>
              </mc:AlternateContent>
            </w:r>
          </w:p>
          <w:p w14:paraId="115A52D3" w14:textId="77777777" w:rsidR="009A1120" w:rsidRPr="00472578" w:rsidRDefault="009A1120" w:rsidP="00E92686">
            <w:pPr>
              <w:tabs>
                <w:tab w:val="center" w:pos="4513"/>
                <w:tab w:val="right" w:pos="9026"/>
              </w:tabs>
              <w:spacing w:before="60" w:after="60"/>
              <w:jc w:val="both"/>
              <w:rPr>
                <w:sz w:val="20"/>
                <w:szCs w:val="20"/>
              </w:rPr>
            </w:pPr>
          </w:p>
        </w:tc>
      </w:tr>
      <w:tr w:rsidR="009A1120" w:rsidRPr="00472578" w14:paraId="05D2A212" w14:textId="77777777" w:rsidTr="007612BD">
        <w:tc>
          <w:tcPr>
            <w:tcW w:w="2104" w:type="dxa"/>
          </w:tcPr>
          <w:p w14:paraId="0DF96B1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Nationally significant infrastructure</w:t>
            </w:r>
          </w:p>
        </w:tc>
        <w:tc>
          <w:tcPr>
            <w:tcW w:w="7146" w:type="dxa"/>
          </w:tcPr>
          <w:p w14:paraId="348D0ED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to the extent applicable to the Otago Region, the same meaning as in clause 1.4(1) of the National Policy Statement for Urban Development 2020 (as set out in the box below)</w:t>
            </w:r>
          </w:p>
          <w:p w14:paraId="227F39A1"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45090FC" wp14:editId="31D6EF2F">
                      <wp:extent cx="3697356" cy="2943225"/>
                      <wp:effectExtent l="0" t="0" r="17780" b="28575"/>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943225"/>
                              </a:xfrm>
                              <a:prstGeom prst="rect">
                                <a:avLst/>
                              </a:prstGeom>
                              <a:solidFill>
                                <a:srgbClr val="FFFFFF"/>
                              </a:solidFill>
                              <a:ln w="9525">
                                <a:solidFill>
                                  <a:srgbClr val="000000"/>
                                </a:solidFill>
                                <a:miter lim="800000"/>
                                <a:headEnd/>
                                <a:tailEnd/>
                              </a:ln>
                            </wps:spPr>
                            <wps:txbx>
                              <w:txbxContent>
                                <w:p w14:paraId="123F7AA0" w14:textId="77777777" w:rsidR="009A1120" w:rsidRPr="001A38AB" w:rsidRDefault="009A1120" w:rsidP="009A1120">
                                  <w:pPr>
                                    <w:contextualSpacing/>
                                    <w:rPr>
                                      <w:sz w:val="20"/>
                                      <w:szCs w:val="20"/>
                                    </w:rPr>
                                  </w:pPr>
                                  <w:r w:rsidRPr="001A38AB">
                                    <w:rPr>
                                      <w:sz w:val="20"/>
                                      <w:szCs w:val="20"/>
                                    </w:rPr>
                                    <w:t>means all of the following:</w:t>
                                  </w:r>
                                </w:p>
                                <w:p w14:paraId="284FFBEE"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State highways</w:t>
                                  </w:r>
                                </w:p>
                                <w:p w14:paraId="1F80AEF5"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t>the national grid electricity transmission network</w:t>
                                  </w:r>
                                </w:p>
                                <w:p w14:paraId="26C4AA26" w14:textId="77777777" w:rsidR="009A1120" w:rsidRPr="001A38AB" w:rsidRDefault="009A1120" w:rsidP="009A1120">
                                  <w:pPr>
                                    <w:ind w:left="284" w:hanging="284"/>
                                    <w:contextualSpacing/>
                                    <w:rPr>
                                      <w:sz w:val="20"/>
                                      <w:szCs w:val="20"/>
                                    </w:rPr>
                                  </w:pPr>
                                  <w:r w:rsidRPr="001A38AB">
                                    <w:rPr>
                                      <w:sz w:val="20"/>
                                      <w:szCs w:val="20"/>
                                    </w:rPr>
                                    <w:t>(c)</w:t>
                                  </w:r>
                                  <w:r w:rsidRPr="001A38AB">
                                    <w:rPr>
                                      <w:sz w:val="20"/>
                                      <w:szCs w:val="20"/>
                                    </w:rPr>
                                    <w:tab/>
                                    <w:t>renewable electricity generation facilities that connect with the national grid</w:t>
                                  </w:r>
                                </w:p>
                                <w:p w14:paraId="61C02FAC" w14:textId="77777777" w:rsidR="009A1120" w:rsidRPr="001A38AB" w:rsidRDefault="009A1120" w:rsidP="009A1120">
                                  <w:pPr>
                                    <w:ind w:left="284" w:hanging="284"/>
                                    <w:contextualSpacing/>
                                    <w:rPr>
                                      <w:sz w:val="20"/>
                                      <w:szCs w:val="20"/>
                                    </w:rPr>
                                  </w:pPr>
                                  <w:r w:rsidRPr="001A38AB">
                                    <w:rPr>
                                      <w:sz w:val="20"/>
                                      <w:szCs w:val="20"/>
                                    </w:rPr>
                                    <w:t>(d)</w:t>
                                  </w:r>
                                  <w:r w:rsidRPr="001A38AB">
                                    <w:rPr>
                                      <w:sz w:val="20"/>
                                      <w:szCs w:val="20"/>
                                    </w:rPr>
                                    <w:tab/>
                                    <w:t>the high-pressure gas transmission pipeline network operating in the North Island</w:t>
                                  </w:r>
                                </w:p>
                                <w:p w14:paraId="24F1B858" w14:textId="77777777" w:rsidR="009A1120" w:rsidRPr="001A38AB" w:rsidRDefault="009A1120" w:rsidP="009A1120">
                                  <w:pPr>
                                    <w:ind w:left="284" w:hanging="284"/>
                                    <w:contextualSpacing/>
                                    <w:rPr>
                                      <w:sz w:val="20"/>
                                      <w:szCs w:val="20"/>
                                    </w:rPr>
                                  </w:pPr>
                                  <w:r w:rsidRPr="001A38AB">
                                    <w:rPr>
                                      <w:sz w:val="20"/>
                                      <w:szCs w:val="20"/>
                                    </w:rPr>
                                    <w:t>(e)</w:t>
                                  </w:r>
                                  <w:r w:rsidRPr="001A38AB">
                                    <w:rPr>
                                      <w:sz w:val="20"/>
                                      <w:szCs w:val="20"/>
                                    </w:rPr>
                                    <w:tab/>
                                    <w:t>the refinery pipeline between Marsden Point and Wiri</w:t>
                                  </w:r>
                                </w:p>
                                <w:p w14:paraId="6839E028" w14:textId="77777777" w:rsidR="009A1120" w:rsidRPr="001A38AB" w:rsidRDefault="009A1120" w:rsidP="009A1120">
                                  <w:pPr>
                                    <w:ind w:left="284" w:hanging="284"/>
                                    <w:contextualSpacing/>
                                    <w:rPr>
                                      <w:sz w:val="20"/>
                                      <w:szCs w:val="20"/>
                                    </w:rPr>
                                  </w:pPr>
                                  <w:r w:rsidRPr="001A38AB">
                                    <w:rPr>
                                      <w:sz w:val="20"/>
                                      <w:szCs w:val="20"/>
                                    </w:rPr>
                                    <w:t>(f)</w:t>
                                  </w:r>
                                  <w:r w:rsidRPr="001A38AB">
                                    <w:rPr>
                                      <w:sz w:val="20"/>
                                      <w:szCs w:val="20"/>
                                    </w:rPr>
                                    <w:tab/>
                                    <w:t>the New Zealand rail network (including light rail)</w:t>
                                  </w:r>
                                </w:p>
                                <w:p w14:paraId="0F5956B8" w14:textId="77777777" w:rsidR="009A1120" w:rsidRPr="001A38AB" w:rsidRDefault="009A1120" w:rsidP="009A1120">
                                  <w:pPr>
                                    <w:ind w:left="284" w:hanging="284"/>
                                    <w:contextualSpacing/>
                                    <w:rPr>
                                      <w:sz w:val="20"/>
                                      <w:szCs w:val="20"/>
                                    </w:rPr>
                                  </w:pPr>
                                  <w:r w:rsidRPr="001A38AB">
                                    <w:rPr>
                                      <w:sz w:val="20"/>
                                      <w:szCs w:val="20"/>
                                    </w:rPr>
                                    <w:t>(g)</w:t>
                                  </w:r>
                                  <w:r w:rsidRPr="001A38AB">
                                    <w:rPr>
                                      <w:sz w:val="20"/>
                                      <w:szCs w:val="20"/>
                                    </w:rPr>
                                    <w:tab/>
                                    <w:t>rapid transit services (as defined in this clause)</w:t>
                                  </w:r>
                                </w:p>
                                <w:p w14:paraId="716091CE" w14:textId="77777777" w:rsidR="009A1120" w:rsidRPr="001A38AB" w:rsidRDefault="009A1120" w:rsidP="009A1120">
                                  <w:pPr>
                                    <w:ind w:left="284" w:hanging="284"/>
                                    <w:contextualSpacing/>
                                    <w:rPr>
                                      <w:sz w:val="20"/>
                                      <w:szCs w:val="20"/>
                                    </w:rPr>
                                  </w:pPr>
                                  <w:r w:rsidRPr="001A38AB">
                                    <w:rPr>
                                      <w:sz w:val="20"/>
                                      <w:szCs w:val="20"/>
                                    </w:rPr>
                                    <w:t>(h)</w:t>
                                  </w:r>
                                  <w:r w:rsidRPr="001A38AB">
                                    <w:rPr>
                                      <w:sz w:val="20"/>
                                      <w:szCs w:val="20"/>
                                    </w:rPr>
                                    <w:tab/>
                                    <w:t>any airport (but not its ancillary commercial activities) used for regular air</w:t>
                                  </w:r>
                                  <w:r>
                                    <w:rPr>
                                      <w:sz w:val="20"/>
                                      <w:szCs w:val="20"/>
                                    </w:rPr>
                                    <w:t xml:space="preserve"> </w:t>
                                  </w:r>
                                  <w:r w:rsidRPr="001A38AB">
                                    <w:rPr>
                                      <w:sz w:val="20"/>
                                      <w:szCs w:val="20"/>
                                    </w:rPr>
                                    <w:t>transport services by aeroplanes capable of carrying more than 30 passengers</w:t>
                                  </w:r>
                                </w:p>
                                <w:p w14:paraId="20C6782F" w14:textId="77777777" w:rsidR="009A1120" w:rsidRPr="001A38AB" w:rsidRDefault="009A1120" w:rsidP="009A1120">
                                  <w:pPr>
                                    <w:ind w:left="284" w:hanging="284"/>
                                    <w:contextualSpacing/>
                                    <w:rPr>
                                      <w:sz w:val="20"/>
                                      <w:szCs w:val="20"/>
                                    </w:rPr>
                                  </w:pPr>
                                  <w:r w:rsidRPr="001A38AB">
                                    <w:rPr>
                                      <w:sz w:val="20"/>
                                      <w:szCs w:val="20"/>
                                    </w:rPr>
                                    <w:t>(j)</w:t>
                                  </w:r>
                                  <w:r w:rsidRPr="001A38AB">
                                    <w:rPr>
                                      <w:sz w:val="20"/>
                                      <w:szCs w:val="20"/>
                                    </w:rPr>
                                    <w:tab/>
                                    <w:t>the port facilities (but not the facilities of any ancillary commercial activities) of each port company referred to in item 6 of Part A of Schedule 1 of the Civil Defence Emergency Management Act 2002</w:t>
                                  </w:r>
                                </w:p>
                              </w:txbxContent>
                            </wps:txbx>
                            <wps:bodyPr rot="0" vert="horz" wrap="square" lIns="91440" tIns="45720" rIns="91440" bIns="45720" anchor="t" anchorCtr="0">
                              <a:noAutofit/>
                            </wps:bodyPr>
                          </wps:wsp>
                        </a:graphicData>
                      </a:graphic>
                    </wp:inline>
                  </w:drawing>
                </mc:Choice>
                <mc:Fallback>
                  <w:pict>
                    <v:shape w14:anchorId="545090FC" id="Text Box 223" o:spid="_x0000_s1091" type="#_x0000_t202" style="width:291.15pt;height:2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B3KAIAAFE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">
                      <v:textbox>
                        <w:txbxContent>
                          <w:p w14:paraId="123F7AA0" w14:textId="77777777" w:rsidR="009A1120" w:rsidRPr="001A38AB" w:rsidRDefault="009A1120" w:rsidP="009A1120">
                            <w:pPr>
                              <w:contextualSpacing/>
                              <w:rPr>
                                <w:sz w:val="20"/>
                                <w:szCs w:val="20"/>
                              </w:rPr>
                            </w:pPr>
                            <w:r w:rsidRPr="001A38AB">
                              <w:rPr>
                                <w:sz w:val="20"/>
                                <w:szCs w:val="20"/>
                              </w:rPr>
                              <w:t>means all of the following:</w:t>
                            </w:r>
                          </w:p>
                          <w:p w14:paraId="284FFBEE"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State highways</w:t>
                            </w:r>
                          </w:p>
                          <w:p w14:paraId="1F80AEF5" w14:textId="77777777" w:rsidR="009A1120" w:rsidRPr="001A38AB" w:rsidRDefault="009A1120" w:rsidP="009A1120">
                            <w:pPr>
                              <w:ind w:left="284" w:hanging="284"/>
                              <w:contextualSpacing/>
                              <w:rPr>
                                <w:sz w:val="20"/>
                                <w:szCs w:val="20"/>
                              </w:rPr>
                            </w:pPr>
                            <w:r w:rsidRPr="001A38AB">
                              <w:rPr>
                                <w:sz w:val="20"/>
                                <w:szCs w:val="20"/>
                              </w:rPr>
                              <w:t>(b)</w:t>
                            </w:r>
                            <w:r w:rsidRPr="001A38AB">
                              <w:rPr>
                                <w:sz w:val="20"/>
                                <w:szCs w:val="20"/>
                              </w:rPr>
                              <w:tab/>
                              <w:t>the national grid electricity transmission network</w:t>
                            </w:r>
                          </w:p>
                          <w:p w14:paraId="26C4AA26" w14:textId="77777777" w:rsidR="009A1120" w:rsidRPr="001A38AB" w:rsidRDefault="009A1120" w:rsidP="009A1120">
                            <w:pPr>
                              <w:ind w:left="284" w:hanging="284"/>
                              <w:contextualSpacing/>
                              <w:rPr>
                                <w:sz w:val="20"/>
                                <w:szCs w:val="20"/>
                              </w:rPr>
                            </w:pPr>
                            <w:r w:rsidRPr="001A38AB">
                              <w:rPr>
                                <w:sz w:val="20"/>
                                <w:szCs w:val="20"/>
                              </w:rPr>
                              <w:t>(c)</w:t>
                            </w:r>
                            <w:r w:rsidRPr="001A38AB">
                              <w:rPr>
                                <w:sz w:val="20"/>
                                <w:szCs w:val="20"/>
                              </w:rPr>
                              <w:tab/>
                              <w:t>renewable electricity generation facilities that connect with the national grid</w:t>
                            </w:r>
                          </w:p>
                          <w:p w14:paraId="61C02FAC" w14:textId="77777777" w:rsidR="009A1120" w:rsidRPr="001A38AB" w:rsidRDefault="009A1120" w:rsidP="009A1120">
                            <w:pPr>
                              <w:ind w:left="284" w:hanging="284"/>
                              <w:contextualSpacing/>
                              <w:rPr>
                                <w:sz w:val="20"/>
                                <w:szCs w:val="20"/>
                              </w:rPr>
                            </w:pPr>
                            <w:r w:rsidRPr="001A38AB">
                              <w:rPr>
                                <w:sz w:val="20"/>
                                <w:szCs w:val="20"/>
                              </w:rPr>
                              <w:t>(d)</w:t>
                            </w:r>
                            <w:r w:rsidRPr="001A38AB">
                              <w:rPr>
                                <w:sz w:val="20"/>
                                <w:szCs w:val="20"/>
                              </w:rPr>
                              <w:tab/>
                              <w:t>the high-pressure gas transmission pipeline network operating in the North Island</w:t>
                            </w:r>
                          </w:p>
                          <w:p w14:paraId="24F1B858" w14:textId="77777777" w:rsidR="009A1120" w:rsidRPr="001A38AB" w:rsidRDefault="009A1120" w:rsidP="009A1120">
                            <w:pPr>
                              <w:ind w:left="284" w:hanging="284"/>
                              <w:contextualSpacing/>
                              <w:rPr>
                                <w:sz w:val="20"/>
                                <w:szCs w:val="20"/>
                              </w:rPr>
                            </w:pPr>
                            <w:r w:rsidRPr="001A38AB">
                              <w:rPr>
                                <w:sz w:val="20"/>
                                <w:szCs w:val="20"/>
                              </w:rPr>
                              <w:t>(e)</w:t>
                            </w:r>
                            <w:r w:rsidRPr="001A38AB">
                              <w:rPr>
                                <w:sz w:val="20"/>
                                <w:szCs w:val="20"/>
                              </w:rPr>
                              <w:tab/>
                              <w:t>the refinery pipeline between Marsden Point and Wiri</w:t>
                            </w:r>
                          </w:p>
                          <w:p w14:paraId="6839E028" w14:textId="77777777" w:rsidR="009A1120" w:rsidRPr="001A38AB" w:rsidRDefault="009A1120" w:rsidP="009A1120">
                            <w:pPr>
                              <w:ind w:left="284" w:hanging="284"/>
                              <w:contextualSpacing/>
                              <w:rPr>
                                <w:sz w:val="20"/>
                                <w:szCs w:val="20"/>
                              </w:rPr>
                            </w:pPr>
                            <w:r w:rsidRPr="001A38AB">
                              <w:rPr>
                                <w:sz w:val="20"/>
                                <w:szCs w:val="20"/>
                              </w:rPr>
                              <w:t>(f)</w:t>
                            </w:r>
                            <w:r w:rsidRPr="001A38AB">
                              <w:rPr>
                                <w:sz w:val="20"/>
                                <w:szCs w:val="20"/>
                              </w:rPr>
                              <w:tab/>
                              <w:t>the New Zealand rail network (including light rail)</w:t>
                            </w:r>
                          </w:p>
                          <w:p w14:paraId="0F5956B8" w14:textId="77777777" w:rsidR="009A1120" w:rsidRPr="001A38AB" w:rsidRDefault="009A1120" w:rsidP="009A1120">
                            <w:pPr>
                              <w:ind w:left="284" w:hanging="284"/>
                              <w:contextualSpacing/>
                              <w:rPr>
                                <w:sz w:val="20"/>
                                <w:szCs w:val="20"/>
                              </w:rPr>
                            </w:pPr>
                            <w:r w:rsidRPr="001A38AB">
                              <w:rPr>
                                <w:sz w:val="20"/>
                                <w:szCs w:val="20"/>
                              </w:rPr>
                              <w:t>(g)</w:t>
                            </w:r>
                            <w:r w:rsidRPr="001A38AB">
                              <w:rPr>
                                <w:sz w:val="20"/>
                                <w:szCs w:val="20"/>
                              </w:rPr>
                              <w:tab/>
                              <w:t>rapid transit services (as defined in this clause)</w:t>
                            </w:r>
                          </w:p>
                          <w:p w14:paraId="716091CE" w14:textId="77777777" w:rsidR="009A1120" w:rsidRPr="001A38AB" w:rsidRDefault="009A1120" w:rsidP="009A1120">
                            <w:pPr>
                              <w:ind w:left="284" w:hanging="284"/>
                              <w:contextualSpacing/>
                              <w:rPr>
                                <w:sz w:val="20"/>
                                <w:szCs w:val="20"/>
                              </w:rPr>
                            </w:pPr>
                            <w:r w:rsidRPr="001A38AB">
                              <w:rPr>
                                <w:sz w:val="20"/>
                                <w:szCs w:val="20"/>
                              </w:rPr>
                              <w:t>(h)</w:t>
                            </w:r>
                            <w:r w:rsidRPr="001A38AB">
                              <w:rPr>
                                <w:sz w:val="20"/>
                                <w:szCs w:val="20"/>
                              </w:rPr>
                              <w:tab/>
                              <w:t>any airport (but not its ancillary commercial activities) used for regular air</w:t>
                            </w:r>
                            <w:r>
                              <w:rPr>
                                <w:sz w:val="20"/>
                                <w:szCs w:val="20"/>
                              </w:rPr>
                              <w:t xml:space="preserve"> </w:t>
                            </w:r>
                            <w:r w:rsidRPr="001A38AB">
                              <w:rPr>
                                <w:sz w:val="20"/>
                                <w:szCs w:val="20"/>
                              </w:rPr>
                              <w:t>transport services by aeroplanes capable of carrying more than 30 passengers</w:t>
                            </w:r>
                          </w:p>
                          <w:p w14:paraId="20C6782F" w14:textId="77777777" w:rsidR="009A1120" w:rsidRPr="001A38AB" w:rsidRDefault="009A1120" w:rsidP="009A1120">
                            <w:pPr>
                              <w:ind w:left="284" w:hanging="284"/>
                              <w:contextualSpacing/>
                              <w:rPr>
                                <w:sz w:val="20"/>
                                <w:szCs w:val="20"/>
                              </w:rPr>
                            </w:pPr>
                            <w:r w:rsidRPr="001A38AB">
                              <w:rPr>
                                <w:sz w:val="20"/>
                                <w:szCs w:val="20"/>
                              </w:rPr>
                              <w:t>(j)</w:t>
                            </w:r>
                            <w:r w:rsidRPr="001A38AB">
                              <w:rPr>
                                <w:sz w:val="20"/>
                                <w:szCs w:val="20"/>
                              </w:rPr>
                              <w:tab/>
                              <w:t>the port facilities (but not the facilities of any ancillary commercial activities) of each port company referred to in item 6 of Part A of Schedule 1 of the Civil Defence Emergency Management Act 2002</w:t>
                            </w:r>
                          </w:p>
                        </w:txbxContent>
                      </v:textbox>
                      <w10:anchorlock/>
                    </v:shape>
                  </w:pict>
                </mc:Fallback>
              </mc:AlternateContent>
            </w:r>
          </w:p>
        </w:tc>
      </w:tr>
      <w:tr w:rsidR="009A1120" w:rsidRPr="00472578" w14:paraId="052B55F8" w14:textId="77777777" w:rsidTr="007612BD">
        <w:tc>
          <w:tcPr>
            <w:tcW w:w="2104" w:type="dxa"/>
          </w:tcPr>
          <w:p w14:paraId="7CA0321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Natural and physical resources</w:t>
            </w:r>
          </w:p>
        </w:tc>
        <w:tc>
          <w:tcPr>
            <w:tcW w:w="7146" w:type="dxa"/>
          </w:tcPr>
          <w:p w14:paraId="28AE032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36BCD45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DA2BD89" wp14:editId="074DF3FC">
                      <wp:extent cx="3697356" cy="571500"/>
                      <wp:effectExtent l="0" t="0" r="17780" b="1905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71500"/>
                              </a:xfrm>
                              <a:prstGeom prst="rect">
                                <a:avLst/>
                              </a:prstGeom>
                              <a:solidFill>
                                <a:srgbClr val="FFFFFF"/>
                              </a:solidFill>
                              <a:ln w="9525">
                                <a:solidFill>
                                  <a:srgbClr val="000000"/>
                                </a:solidFill>
                                <a:miter lim="800000"/>
                                <a:headEnd/>
                                <a:tailEnd/>
                              </a:ln>
                            </wps:spPr>
                            <wps:txbx>
                              <w:txbxContent>
                                <w:p w14:paraId="78FD6FB9" w14:textId="77777777" w:rsidR="009A1120" w:rsidRPr="001A38AB" w:rsidRDefault="009A1120" w:rsidP="009A1120">
                                  <w:pPr>
                                    <w:contextualSpacing/>
                                    <w:rPr>
                                      <w:sz w:val="20"/>
                                      <w:szCs w:val="20"/>
                                    </w:rPr>
                                  </w:pPr>
                                  <w:r w:rsidRPr="001A38AB">
                                    <w:rPr>
                                      <w:sz w:val="20"/>
                                      <w:szCs w:val="20"/>
                                    </w:rPr>
                                    <w:t>includes land, water, air, soil, minerals, and energy, all forms of plants and animals (whether native to New Zealand or introduced), and all structures</w:t>
                                  </w:r>
                                </w:p>
                              </w:txbxContent>
                            </wps:txbx>
                            <wps:bodyPr rot="0" vert="horz" wrap="square" lIns="91440" tIns="45720" rIns="91440" bIns="45720" anchor="t" anchorCtr="0">
                              <a:noAutofit/>
                            </wps:bodyPr>
                          </wps:wsp>
                        </a:graphicData>
                      </a:graphic>
                    </wp:inline>
                  </w:drawing>
                </mc:Choice>
                <mc:Fallback>
                  <w:pict>
                    <v:shape w14:anchorId="1DA2BD89" id="Text Box 218" o:spid="_x0000_s1092" type="#_x0000_t202" style="width:291.1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">
                      <v:textbox>
                        <w:txbxContent>
                          <w:p w14:paraId="78FD6FB9" w14:textId="77777777" w:rsidR="009A1120" w:rsidRPr="001A38AB" w:rsidRDefault="009A1120" w:rsidP="009A1120">
                            <w:pPr>
                              <w:contextualSpacing/>
                              <w:rPr>
                                <w:sz w:val="20"/>
                                <w:szCs w:val="20"/>
                              </w:rPr>
                            </w:pPr>
                            <w:r w:rsidRPr="001A38AB">
                              <w:rPr>
                                <w:sz w:val="20"/>
                                <w:szCs w:val="20"/>
                              </w:rPr>
                              <w:t>includes land, water, air, soil, minerals, and energy, all forms of plants and animals (whether native to New Zealand or introduced), and all structures</w:t>
                            </w:r>
                          </w:p>
                        </w:txbxContent>
                      </v:textbox>
                      <w10:anchorlock/>
                    </v:shape>
                  </w:pict>
                </mc:Fallback>
              </mc:AlternateContent>
            </w:r>
          </w:p>
        </w:tc>
      </w:tr>
      <w:tr w:rsidR="009A1120" w:rsidRPr="00472578" w14:paraId="2373060A" w14:textId="77777777" w:rsidTr="007612BD">
        <w:tc>
          <w:tcPr>
            <w:tcW w:w="2104" w:type="dxa"/>
          </w:tcPr>
          <w:p w14:paraId="6A8DB354"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Natural hazard</w:t>
            </w:r>
          </w:p>
        </w:tc>
        <w:tc>
          <w:tcPr>
            <w:tcW w:w="7146" w:type="dxa"/>
          </w:tcPr>
          <w:p w14:paraId="59258C1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107CEBE9"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495BB66" wp14:editId="0F432262">
                      <wp:extent cx="3697356" cy="922351"/>
                      <wp:effectExtent l="0" t="0" r="17780"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22351"/>
                              </a:xfrm>
                              <a:prstGeom prst="rect">
                                <a:avLst/>
                              </a:prstGeom>
                              <a:solidFill>
                                <a:srgbClr val="FFFFFF"/>
                              </a:solidFill>
                              <a:ln w="9525">
                                <a:solidFill>
                                  <a:srgbClr val="000000"/>
                                </a:solidFill>
                                <a:miter lim="800000"/>
                                <a:headEnd/>
                                <a:tailEnd/>
                              </a:ln>
                            </wps:spPr>
                            <wps:txbx>
                              <w:txbxContent>
                                <w:p w14:paraId="2DB40571" w14:textId="77777777" w:rsidR="009A1120" w:rsidRPr="001A38AB" w:rsidRDefault="009A1120" w:rsidP="009A1120">
                                  <w:pPr>
                                    <w:contextualSpacing/>
                                    <w:rPr>
                                      <w:sz w:val="20"/>
                                      <w:szCs w:val="20"/>
                                    </w:rPr>
                                  </w:pPr>
                                  <w:r w:rsidRPr="001A38AB">
                                    <w:rPr>
                                      <w:sz w:val="20"/>
                                      <w:szCs w:val="20"/>
                                    </w:rPr>
                                    <w:t>means 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xbxContent>
                            </wps:txbx>
                            <wps:bodyPr rot="0" vert="horz" wrap="square" lIns="91440" tIns="45720" rIns="91440" bIns="45720" anchor="t" anchorCtr="0">
                              <a:noAutofit/>
                            </wps:bodyPr>
                          </wps:wsp>
                        </a:graphicData>
                      </a:graphic>
                    </wp:inline>
                  </w:drawing>
                </mc:Choice>
                <mc:Fallback>
                  <w:pict>
                    <v:shape w14:anchorId="5495BB66" id="Text Box 19" o:spid="_x0000_s1093" type="#_x0000_t202" style="width:291.15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">
                      <v:textbox>
                        <w:txbxContent>
                          <w:p w14:paraId="2DB40571" w14:textId="77777777" w:rsidR="009A1120" w:rsidRPr="001A38AB" w:rsidRDefault="009A1120" w:rsidP="009A1120">
                            <w:pPr>
                              <w:contextualSpacing/>
                              <w:rPr>
                                <w:sz w:val="20"/>
                                <w:szCs w:val="20"/>
                              </w:rPr>
                            </w:pPr>
                            <w:r w:rsidRPr="001A38AB">
                              <w:rPr>
                                <w:sz w:val="20"/>
                                <w:szCs w:val="20"/>
                              </w:rPr>
                              <w:t>means 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xbxContent>
                      </v:textbox>
                      <w10:anchorlock/>
                    </v:shape>
                  </w:pict>
                </mc:Fallback>
              </mc:AlternateContent>
            </w:r>
          </w:p>
        </w:tc>
      </w:tr>
      <w:tr w:rsidR="009A1120" w:rsidRPr="00472578" w14:paraId="05308AEC" w14:textId="77777777" w:rsidTr="007612BD">
        <w:tc>
          <w:tcPr>
            <w:tcW w:w="2104" w:type="dxa"/>
          </w:tcPr>
          <w:p w14:paraId="0EBB708C"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Natural hazard works</w:t>
            </w:r>
          </w:p>
        </w:tc>
        <w:tc>
          <w:tcPr>
            <w:tcW w:w="7146" w:type="dxa"/>
          </w:tcPr>
          <w:p w14:paraId="47D9663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51(1) of the National Environmental Standard for Freshwater 2020 (as set out in the box below)</w:t>
            </w:r>
          </w:p>
          <w:p w14:paraId="7A32AD5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D8AB36A" wp14:editId="6D11AA9E">
                      <wp:extent cx="3697356" cy="1009650"/>
                      <wp:effectExtent l="0" t="0" r="17780" b="1905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009650"/>
                              </a:xfrm>
                              <a:prstGeom prst="rect">
                                <a:avLst/>
                              </a:prstGeom>
                              <a:solidFill>
                                <a:srgbClr val="FFFFFF"/>
                              </a:solidFill>
                              <a:ln w="9525">
                                <a:solidFill>
                                  <a:srgbClr val="000000"/>
                                </a:solidFill>
                                <a:miter lim="800000"/>
                                <a:headEnd/>
                                <a:tailEnd/>
                              </a:ln>
                            </wps:spPr>
                            <wps:txbx>
                              <w:txbxContent>
                                <w:p w14:paraId="6E4195FE" w14:textId="77777777" w:rsidR="009A1120" w:rsidRPr="001A38AB" w:rsidRDefault="009A1120" w:rsidP="009A1120">
                                  <w:pPr>
                                    <w:spacing w:after="60"/>
                                    <w:rPr>
                                      <w:sz w:val="20"/>
                                      <w:szCs w:val="20"/>
                                    </w:rPr>
                                  </w:pPr>
                                  <w:r>
                                    <w:rPr>
                                      <w:sz w:val="20"/>
                                      <w:szCs w:val="20"/>
                                    </w:rPr>
                                    <w:t>means works for the purpose of removing material, such as trees, debris, and sediment, that</w:t>
                                  </w:r>
                                  <w:r w:rsidRPr="001A38AB">
                                    <w:rPr>
                                      <w:sz w:val="20"/>
                                      <w:szCs w:val="20"/>
                                    </w:rPr>
                                    <w:t>—</w:t>
                                  </w:r>
                                </w:p>
                                <w:p w14:paraId="65241839"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r>
                                  <w:r>
                                    <w:rPr>
                                      <w:sz w:val="20"/>
                                      <w:szCs w:val="20"/>
                                    </w:rPr>
                                    <w:t>is deposited as the result of a natural hazard, and</w:t>
                                  </w:r>
                                </w:p>
                                <w:p w14:paraId="34C232BA"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r>
                                  <w:r>
                                    <w:rPr>
                                      <w:sz w:val="20"/>
                                      <w:szCs w:val="20"/>
                                    </w:rPr>
                                    <w:t>is causing, or is likely to cause, an immediate hazard to people or property</w:t>
                                  </w:r>
                                </w:p>
                              </w:txbxContent>
                            </wps:txbx>
                            <wps:bodyPr rot="0" vert="horz" wrap="square" lIns="91440" tIns="45720" rIns="91440" bIns="45720" anchor="t" anchorCtr="0">
                              <a:noAutofit/>
                            </wps:bodyPr>
                          </wps:wsp>
                        </a:graphicData>
                      </a:graphic>
                    </wp:inline>
                  </w:drawing>
                </mc:Choice>
                <mc:Fallback>
                  <w:pict>
                    <v:shape w14:anchorId="1D8AB36A" id="Text Box 317" o:spid="_x0000_s1094" type="#_x0000_t202" style="width:291.1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7EKgIAAFE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">
                      <v:textbox>
                        <w:txbxContent>
                          <w:p w14:paraId="6E4195FE" w14:textId="77777777" w:rsidR="009A1120" w:rsidRPr="001A38AB" w:rsidRDefault="009A1120" w:rsidP="009A1120">
                            <w:pPr>
                              <w:spacing w:after="60"/>
                              <w:rPr>
                                <w:sz w:val="20"/>
                                <w:szCs w:val="20"/>
                              </w:rPr>
                            </w:pPr>
                            <w:r>
                              <w:rPr>
                                <w:sz w:val="20"/>
                                <w:szCs w:val="20"/>
                              </w:rPr>
                              <w:t>means works for the purpose of removing material, such as trees, debris, and sediment, that</w:t>
                            </w:r>
                            <w:r w:rsidRPr="001A38AB">
                              <w:rPr>
                                <w:sz w:val="20"/>
                                <w:szCs w:val="20"/>
                              </w:rPr>
                              <w:t>—</w:t>
                            </w:r>
                          </w:p>
                          <w:p w14:paraId="65241839"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r>
                            <w:r>
                              <w:rPr>
                                <w:sz w:val="20"/>
                                <w:szCs w:val="20"/>
                              </w:rPr>
                              <w:t>is deposited as the result of a natural hazard, and</w:t>
                            </w:r>
                          </w:p>
                          <w:p w14:paraId="34C232BA"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r>
                            <w:r>
                              <w:rPr>
                                <w:sz w:val="20"/>
                                <w:szCs w:val="20"/>
                              </w:rPr>
                              <w:t>is causing, or is likely to cause, an immediate hazard to people or property</w:t>
                            </w:r>
                          </w:p>
                        </w:txbxContent>
                      </v:textbox>
                      <w10:anchorlock/>
                    </v:shape>
                  </w:pict>
                </mc:Fallback>
              </mc:AlternateContent>
            </w:r>
          </w:p>
        </w:tc>
      </w:tr>
      <w:tr w:rsidR="009A1120" w:rsidRPr="00472578" w14:paraId="597C8F57" w14:textId="77777777" w:rsidTr="007612BD">
        <w:tc>
          <w:tcPr>
            <w:tcW w:w="2104" w:type="dxa"/>
          </w:tcPr>
          <w:p w14:paraId="324E28B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Naturally rare</w:t>
            </w:r>
          </w:p>
        </w:tc>
        <w:tc>
          <w:tcPr>
            <w:tcW w:w="7146" w:type="dxa"/>
          </w:tcPr>
          <w:p w14:paraId="7B7D026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Glossary of the New Zealand Coastal Policy Statement 2010 (as set out in the box below)</w:t>
            </w:r>
          </w:p>
          <w:p w14:paraId="05D1B79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9CB69AE" wp14:editId="6BA222D5">
                      <wp:extent cx="3697356" cy="249382"/>
                      <wp:effectExtent l="0" t="0" r="17780" b="1778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49382"/>
                              </a:xfrm>
                              <a:prstGeom prst="rect">
                                <a:avLst/>
                              </a:prstGeom>
                              <a:solidFill>
                                <a:srgbClr val="FFFFFF"/>
                              </a:solidFill>
                              <a:ln w="9525">
                                <a:solidFill>
                                  <a:srgbClr val="000000"/>
                                </a:solidFill>
                                <a:miter lim="800000"/>
                                <a:headEnd/>
                                <a:tailEnd/>
                              </a:ln>
                            </wps:spPr>
                            <wps:txbx>
                              <w:txbxContent>
                                <w:p w14:paraId="1920D241" w14:textId="77777777" w:rsidR="009A1120" w:rsidRPr="001A38AB" w:rsidRDefault="009A1120" w:rsidP="009A1120">
                                  <w:pPr>
                                    <w:contextualSpacing/>
                                    <w:rPr>
                                      <w:sz w:val="20"/>
                                      <w:szCs w:val="20"/>
                                    </w:rPr>
                                  </w:pPr>
                                  <w:r>
                                    <w:rPr>
                                      <w:sz w:val="20"/>
                                      <w:szCs w:val="20"/>
                                    </w:rPr>
                                    <w:t>originally rare: Rare before the arrival of humans in New Zealand</w:t>
                                  </w:r>
                                </w:p>
                              </w:txbxContent>
                            </wps:txbx>
                            <wps:bodyPr rot="0" vert="horz" wrap="square" lIns="91440" tIns="45720" rIns="91440" bIns="45720" anchor="t" anchorCtr="0">
                              <a:noAutofit/>
                            </wps:bodyPr>
                          </wps:wsp>
                        </a:graphicData>
                      </a:graphic>
                    </wp:inline>
                  </w:drawing>
                </mc:Choice>
                <mc:Fallback>
                  <w:pict>
                    <v:shape w14:anchorId="59CB69AE" id="Text Box 51" o:spid="_x0000_s1095" type="#_x0000_t202" style="width:291.1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">
                      <v:textbox>
                        <w:txbxContent>
                          <w:p w14:paraId="1920D241" w14:textId="77777777" w:rsidR="009A1120" w:rsidRPr="001A38AB" w:rsidRDefault="009A1120" w:rsidP="009A1120">
                            <w:pPr>
                              <w:contextualSpacing/>
                              <w:rPr>
                                <w:sz w:val="20"/>
                                <w:szCs w:val="20"/>
                              </w:rPr>
                            </w:pPr>
                            <w:r>
                              <w:rPr>
                                <w:sz w:val="20"/>
                                <w:szCs w:val="20"/>
                              </w:rPr>
                              <w:t>originally rare: Rare before the arrival of humans in New Zealand</w:t>
                            </w:r>
                          </w:p>
                        </w:txbxContent>
                      </v:textbox>
                      <w10:anchorlock/>
                    </v:shape>
                  </w:pict>
                </mc:Fallback>
              </mc:AlternateContent>
            </w:r>
          </w:p>
        </w:tc>
      </w:tr>
      <w:tr w:rsidR="009A1120" w:rsidRPr="00472578" w14:paraId="573650F8" w14:textId="77777777" w:rsidTr="007612BD">
        <w:tc>
          <w:tcPr>
            <w:tcW w:w="2104" w:type="dxa"/>
          </w:tcPr>
          <w:p w14:paraId="1A93EFF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Natural wetland</w:t>
            </w:r>
          </w:p>
        </w:tc>
        <w:tc>
          <w:tcPr>
            <w:tcW w:w="7146" w:type="dxa"/>
          </w:tcPr>
          <w:p w14:paraId="386AD8F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3.21 of the National Policy Statement for Freshwater Management 2020 (as set out in the box below)</w:t>
            </w:r>
          </w:p>
          <w:p w14:paraId="76132318"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61F316D" wp14:editId="35B7F9BD">
                      <wp:extent cx="3697356" cy="1447138"/>
                      <wp:effectExtent l="0" t="0" r="17780" b="20320"/>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447138"/>
                              </a:xfrm>
                              <a:prstGeom prst="rect">
                                <a:avLst/>
                              </a:prstGeom>
                              <a:solidFill>
                                <a:srgbClr val="FFFFFF"/>
                              </a:solidFill>
                              <a:ln w="9525">
                                <a:solidFill>
                                  <a:srgbClr val="000000"/>
                                </a:solidFill>
                                <a:miter lim="800000"/>
                                <a:headEnd/>
                                <a:tailEnd/>
                              </a:ln>
                            </wps:spPr>
                            <wps:txbx>
                              <w:txbxContent>
                                <w:p w14:paraId="1B2EC26F" w14:textId="77777777" w:rsidR="009A1120" w:rsidRPr="001A38AB" w:rsidRDefault="009A1120" w:rsidP="009A1120">
                                  <w:pPr>
                                    <w:contextualSpacing/>
                                    <w:rPr>
                                      <w:sz w:val="20"/>
                                      <w:szCs w:val="20"/>
                                    </w:rPr>
                                  </w:pPr>
                                  <w:r w:rsidRPr="001A38AB">
                                    <w:rPr>
                                      <w:sz w:val="20"/>
                                      <w:szCs w:val="20"/>
                                    </w:rPr>
                                    <w:t>means a wetland (as defined in the Act) that is not:</w:t>
                                  </w:r>
                                </w:p>
                                <w:p w14:paraId="6BE5E65A" w14:textId="77777777" w:rsidR="009A1120" w:rsidRPr="001A38AB" w:rsidRDefault="009A1120" w:rsidP="009A1120">
                                  <w:pPr>
                                    <w:ind w:left="284" w:hanging="284"/>
                                    <w:contextualSpacing/>
                                    <w:rPr>
                                      <w:sz w:val="20"/>
                                      <w:szCs w:val="20"/>
                                    </w:rPr>
                                  </w:pPr>
                                  <w:r w:rsidRPr="001A38AB">
                                    <w:rPr>
                                      <w:sz w:val="20"/>
                                      <w:szCs w:val="20"/>
                                    </w:rPr>
                                    <w:t xml:space="preserve">(a) </w:t>
                                  </w:r>
                                  <w:r>
                                    <w:rPr>
                                      <w:sz w:val="20"/>
                                      <w:szCs w:val="20"/>
                                    </w:rPr>
                                    <w:tab/>
                                  </w:r>
                                  <w:r w:rsidRPr="001A38AB">
                                    <w:rPr>
                                      <w:sz w:val="20"/>
                                      <w:szCs w:val="20"/>
                                    </w:rPr>
                                    <w:t>a wetland constructed by artificial means (unless it was constructed to offset impacts on, or restore, an existing or former natural wetland); or</w:t>
                                  </w:r>
                                </w:p>
                                <w:p w14:paraId="6DC2F637" w14:textId="77777777" w:rsidR="009A1120" w:rsidRPr="001A38AB" w:rsidRDefault="009A1120" w:rsidP="009A1120">
                                  <w:pPr>
                                    <w:ind w:left="284" w:hanging="284"/>
                                    <w:contextualSpacing/>
                                    <w:rPr>
                                      <w:sz w:val="20"/>
                                      <w:szCs w:val="20"/>
                                    </w:rPr>
                                  </w:pPr>
                                  <w:r w:rsidRPr="001A38AB">
                                    <w:rPr>
                                      <w:sz w:val="20"/>
                                      <w:szCs w:val="20"/>
                                    </w:rPr>
                                    <w:t xml:space="preserve">(b) </w:t>
                                  </w:r>
                                  <w:r>
                                    <w:rPr>
                                      <w:sz w:val="20"/>
                                      <w:szCs w:val="20"/>
                                    </w:rPr>
                                    <w:tab/>
                                  </w:r>
                                  <w:r w:rsidRPr="001A38AB">
                                    <w:rPr>
                                      <w:sz w:val="20"/>
                                      <w:szCs w:val="20"/>
                                    </w:rPr>
                                    <w:t>a geothermal wetland; or</w:t>
                                  </w:r>
                                </w:p>
                                <w:p w14:paraId="6B6C8EFE" w14:textId="77777777" w:rsidR="009A1120" w:rsidRPr="001A38AB" w:rsidRDefault="009A1120" w:rsidP="009A1120">
                                  <w:pPr>
                                    <w:ind w:left="284" w:hanging="284"/>
                                    <w:contextualSpacing/>
                                    <w:rPr>
                                      <w:sz w:val="20"/>
                                      <w:szCs w:val="20"/>
                                    </w:rPr>
                                  </w:pPr>
                                  <w:r w:rsidRPr="001A38AB">
                                    <w:rPr>
                                      <w:sz w:val="20"/>
                                      <w:szCs w:val="20"/>
                                    </w:rPr>
                                    <w:t xml:space="preserve">(c) </w:t>
                                  </w:r>
                                  <w:r>
                                    <w:rPr>
                                      <w:sz w:val="20"/>
                                      <w:szCs w:val="20"/>
                                    </w:rPr>
                                    <w:tab/>
                                  </w:r>
                                  <w:r w:rsidRPr="001A38AB">
                                    <w:rPr>
                                      <w:sz w:val="20"/>
                                      <w:szCs w:val="20"/>
                                    </w:rPr>
                                    <w:t>any area of improved pasture that, at the commencement date,</w:t>
                                  </w:r>
                                  <w:r>
                                    <w:rPr>
                                      <w:sz w:val="20"/>
                                      <w:szCs w:val="20"/>
                                    </w:rPr>
                                    <w:t xml:space="preserve"> </w:t>
                                  </w:r>
                                  <w:r w:rsidRPr="001A38AB">
                                    <w:rPr>
                                      <w:sz w:val="20"/>
                                      <w:szCs w:val="20"/>
                                    </w:rPr>
                                    <w:t>is dominated by (that is more than 50% of) exotic pasture species and is subject to temporary rain</w:t>
                                  </w:r>
                                  <w:r>
                                    <w:rPr>
                                      <w:sz w:val="20"/>
                                      <w:szCs w:val="20"/>
                                    </w:rPr>
                                    <w:t>-</w:t>
                                  </w:r>
                                  <w:r w:rsidRPr="001A38AB">
                                    <w:rPr>
                                      <w:sz w:val="20"/>
                                      <w:szCs w:val="20"/>
                                    </w:rPr>
                                    <w:t>derived water pooling</w:t>
                                  </w:r>
                                </w:p>
                              </w:txbxContent>
                            </wps:txbx>
                            <wps:bodyPr rot="0" vert="horz" wrap="square" lIns="91440" tIns="45720" rIns="91440" bIns="45720" anchor="t" anchorCtr="0">
                              <a:noAutofit/>
                            </wps:bodyPr>
                          </wps:wsp>
                        </a:graphicData>
                      </a:graphic>
                    </wp:inline>
                  </w:drawing>
                </mc:Choice>
                <mc:Fallback>
                  <w:pict>
                    <v:shape w14:anchorId="461F316D" id="Text Box 215" o:spid="_x0000_s1096" type="#_x0000_t202" style="width:291.15pt;height:1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">
                      <v:textbox>
                        <w:txbxContent>
                          <w:p w14:paraId="1B2EC26F" w14:textId="77777777" w:rsidR="009A1120" w:rsidRPr="001A38AB" w:rsidRDefault="009A1120" w:rsidP="009A1120">
                            <w:pPr>
                              <w:contextualSpacing/>
                              <w:rPr>
                                <w:sz w:val="20"/>
                                <w:szCs w:val="20"/>
                              </w:rPr>
                            </w:pPr>
                            <w:r w:rsidRPr="001A38AB">
                              <w:rPr>
                                <w:sz w:val="20"/>
                                <w:szCs w:val="20"/>
                              </w:rPr>
                              <w:t>means a wetland (as defined in the Act) that is not:</w:t>
                            </w:r>
                          </w:p>
                          <w:p w14:paraId="6BE5E65A" w14:textId="77777777" w:rsidR="009A1120" w:rsidRPr="001A38AB" w:rsidRDefault="009A1120" w:rsidP="009A1120">
                            <w:pPr>
                              <w:ind w:left="284" w:hanging="284"/>
                              <w:contextualSpacing/>
                              <w:rPr>
                                <w:sz w:val="20"/>
                                <w:szCs w:val="20"/>
                              </w:rPr>
                            </w:pPr>
                            <w:r w:rsidRPr="001A38AB">
                              <w:rPr>
                                <w:sz w:val="20"/>
                                <w:szCs w:val="20"/>
                              </w:rPr>
                              <w:t xml:space="preserve">(a) </w:t>
                            </w:r>
                            <w:r>
                              <w:rPr>
                                <w:sz w:val="20"/>
                                <w:szCs w:val="20"/>
                              </w:rPr>
                              <w:tab/>
                            </w:r>
                            <w:r w:rsidRPr="001A38AB">
                              <w:rPr>
                                <w:sz w:val="20"/>
                                <w:szCs w:val="20"/>
                              </w:rPr>
                              <w:t>a wetland constructed by artificial means (unless it was constructed to offset impacts on, or restore, an existing or former natural wetland); or</w:t>
                            </w:r>
                          </w:p>
                          <w:p w14:paraId="6DC2F637" w14:textId="77777777" w:rsidR="009A1120" w:rsidRPr="001A38AB" w:rsidRDefault="009A1120" w:rsidP="009A1120">
                            <w:pPr>
                              <w:ind w:left="284" w:hanging="284"/>
                              <w:contextualSpacing/>
                              <w:rPr>
                                <w:sz w:val="20"/>
                                <w:szCs w:val="20"/>
                              </w:rPr>
                            </w:pPr>
                            <w:r w:rsidRPr="001A38AB">
                              <w:rPr>
                                <w:sz w:val="20"/>
                                <w:szCs w:val="20"/>
                              </w:rPr>
                              <w:t xml:space="preserve">(b) </w:t>
                            </w:r>
                            <w:r>
                              <w:rPr>
                                <w:sz w:val="20"/>
                                <w:szCs w:val="20"/>
                              </w:rPr>
                              <w:tab/>
                            </w:r>
                            <w:r w:rsidRPr="001A38AB">
                              <w:rPr>
                                <w:sz w:val="20"/>
                                <w:szCs w:val="20"/>
                              </w:rPr>
                              <w:t>a geothermal wetland; or</w:t>
                            </w:r>
                          </w:p>
                          <w:p w14:paraId="6B6C8EFE" w14:textId="77777777" w:rsidR="009A1120" w:rsidRPr="001A38AB" w:rsidRDefault="009A1120" w:rsidP="009A1120">
                            <w:pPr>
                              <w:ind w:left="284" w:hanging="284"/>
                              <w:contextualSpacing/>
                              <w:rPr>
                                <w:sz w:val="20"/>
                                <w:szCs w:val="20"/>
                              </w:rPr>
                            </w:pPr>
                            <w:r w:rsidRPr="001A38AB">
                              <w:rPr>
                                <w:sz w:val="20"/>
                                <w:szCs w:val="20"/>
                              </w:rPr>
                              <w:t xml:space="preserve">(c) </w:t>
                            </w:r>
                            <w:r>
                              <w:rPr>
                                <w:sz w:val="20"/>
                                <w:szCs w:val="20"/>
                              </w:rPr>
                              <w:tab/>
                            </w:r>
                            <w:r w:rsidRPr="001A38AB">
                              <w:rPr>
                                <w:sz w:val="20"/>
                                <w:szCs w:val="20"/>
                              </w:rPr>
                              <w:t>any area of improved pasture that, at the commencement date,</w:t>
                            </w:r>
                            <w:r>
                              <w:rPr>
                                <w:sz w:val="20"/>
                                <w:szCs w:val="20"/>
                              </w:rPr>
                              <w:t xml:space="preserve"> </w:t>
                            </w:r>
                            <w:r w:rsidRPr="001A38AB">
                              <w:rPr>
                                <w:sz w:val="20"/>
                                <w:szCs w:val="20"/>
                              </w:rPr>
                              <w:t>is dominated by (that is more than 50% of) exotic pasture species and is subject to temporary rain</w:t>
                            </w:r>
                            <w:r>
                              <w:rPr>
                                <w:sz w:val="20"/>
                                <w:szCs w:val="20"/>
                              </w:rPr>
                              <w:t>-</w:t>
                            </w:r>
                            <w:r w:rsidRPr="001A38AB">
                              <w:rPr>
                                <w:sz w:val="20"/>
                                <w:szCs w:val="20"/>
                              </w:rPr>
                              <w:t>derived water pooling</w:t>
                            </w:r>
                          </w:p>
                        </w:txbxContent>
                      </v:textbox>
                      <w10:anchorlock/>
                    </v:shape>
                  </w:pict>
                </mc:Fallback>
              </mc:AlternateContent>
            </w:r>
          </w:p>
        </w:tc>
      </w:tr>
      <w:tr w:rsidR="009A1120" w:rsidRPr="00472578" w14:paraId="04A3F7F1" w14:textId="77777777" w:rsidTr="007612BD">
        <w:tc>
          <w:tcPr>
            <w:tcW w:w="2104" w:type="dxa"/>
          </w:tcPr>
          <w:p w14:paraId="59CD20AB"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Nohoaka or nohoanga</w:t>
            </w:r>
          </w:p>
        </w:tc>
        <w:tc>
          <w:tcPr>
            <w:tcW w:w="7146" w:type="dxa"/>
          </w:tcPr>
          <w:p w14:paraId="2D6B3383" w14:textId="4FAD9848" w:rsidR="009A1120" w:rsidRPr="00472578" w:rsidRDefault="009A1120" w:rsidP="00E92686">
            <w:pPr>
              <w:tabs>
                <w:tab w:val="center" w:pos="4513"/>
                <w:tab w:val="right" w:pos="9026"/>
              </w:tabs>
              <w:spacing w:before="60" w:after="60"/>
              <w:jc w:val="both"/>
              <w:rPr>
                <w:sz w:val="20"/>
                <w:szCs w:val="20"/>
              </w:rPr>
            </w:pPr>
            <w:r w:rsidRPr="00472578">
              <w:rPr>
                <w:sz w:val="20"/>
                <w:szCs w:val="20"/>
              </w:rPr>
              <w:t>means a site occupied by</w:t>
            </w:r>
            <w:r w:rsidRPr="00472578">
              <w:rPr>
                <w:sz w:val="18"/>
                <w:szCs w:val="18"/>
              </w:rPr>
              <w:t xml:space="preserve"> </w:t>
            </w:r>
            <w:r w:rsidRPr="00472578">
              <w:rPr>
                <w:sz w:val="20"/>
                <w:szCs w:val="20"/>
              </w:rPr>
              <w:t xml:space="preserve">Kāi Tahu on a seasonal and temporary basis for </w:t>
            </w:r>
            <w:r w:rsidR="00C15255" w:rsidRPr="00C15255">
              <w:rPr>
                <w:strike/>
                <w:sz w:val="20"/>
                <w:szCs w:val="20"/>
              </w:rPr>
              <w:t>mahika kai</w:t>
            </w:r>
            <w:r w:rsidR="00C15255" w:rsidRPr="00C15255">
              <w:rPr>
                <w:sz w:val="20"/>
                <w:szCs w:val="20"/>
              </w:rPr>
              <w:t xml:space="preserve"> </w:t>
            </w:r>
            <w:r w:rsidR="00C15255" w:rsidRPr="00F4290E">
              <w:rPr>
                <w:i/>
                <w:iCs/>
                <w:sz w:val="20"/>
                <w:szCs w:val="20"/>
                <w:u w:val="single"/>
              </w:rPr>
              <w:t>mahika kai</w:t>
            </w:r>
            <w:r w:rsidR="00C15255" w:rsidRPr="00C15255">
              <w:rPr>
                <w:rStyle w:val="FootnoteReference"/>
                <w:sz w:val="20"/>
                <w:szCs w:val="20"/>
              </w:rPr>
              <w:footnoteReference w:id="117"/>
            </w:r>
            <w:r w:rsidR="00C15255">
              <w:rPr>
                <w:i/>
                <w:iCs/>
                <w:sz w:val="20"/>
                <w:szCs w:val="20"/>
              </w:rPr>
              <w:t xml:space="preserve"> </w:t>
            </w:r>
            <w:r w:rsidRPr="00472578">
              <w:rPr>
                <w:sz w:val="20"/>
                <w:szCs w:val="20"/>
              </w:rPr>
              <w:t>or other customary purposes.</w:t>
            </w:r>
          </w:p>
        </w:tc>
      </w:tr>
      <w:tr w:rsidR="00190FC5" w:rsidRPr="00472578" w14:paraId="036E27E4" w14:textId="77777777" w:rsidTr="007612BD">
        <w:tc>
          <w:tcPr>
            <w:tcW w:w="2104" w:type="dxa"/>
          </w:tcPr>
          <w:p w14:paraId="18CE71DE" w14:textId="0F073243" w:rsidR="00190FC5" w:rsidRPr="00190FC5" w:rsidRDefault="00190FC5" w:rsidP="00DC6CD9">
            <w:pPr>
              <w:tabs>
                <w:tab w:val="center" w:pos="4513"/>
                <w:tab w:val="right" w:pos="9026"/>
              </w:tabs>
              <w:spacing w:before="60" w:after="60"/>
              <w:rPr>
                <w:b/>
                <w:bCs/>
                <w:sz w:val="20"/>
                <w:szCs w:val="20"/>
                <w:u w:val="single"/>
              </w:rPr>
            </w:pPr>
            <w:r w:rsidRPr="00190FC5">
              <w:rPr>
                <w:b/>
                <w:bCs/>
                <w:sz w:val="20"/>
                <w:szCs w:val="20"/>
                <w:u w:val="single"/>
              </w:rPr>
              <w:t>Occupancy</w:t>
            </w:r>
            <w:r w:rsidR="00587B18" w:rsidRPr="00A377FE">
              <w:rPr>
                <w:rStyle w:val="FootnoteReference"/>
              </w:rPr>
              <w:footnoteReference w:id="118"/>
            </w:r>
          </w:p>
        </w:tc>
        <w:tc>
          <w:tcPr>
            <w:tcW w:w="7146" w:type="dxa"/>
          </w:tcPr>
          <w:p w14:paraId="42F31B61" w14:textId="66DA9FD2" w:rsidR="00190FC5" w:rsidRPr="009218CE" w:rsidRDefault="009218CE" w:rsidP="00E92686">
            <w:pPr>
              <w:tabs>
                <w:tab w:val="center" w:pos="4513"/>
                <w:tab w:val="right" w:pos="9026"/>
              </w:tabs>
              <w:spacing w:before="60" w:after="60"/>
              <w:jc w:val="both"/>
              <w:rPr>
                <w:sz w:val="20"/>
                <w:szCs w:val="20"/>
                <w:u w:val="single"/>
              </w:rPr>
            </w:pPr>
            <w:r w:rsidRPr="009218CE">
              <w:rPr>
                <w:sz w:val="20"/>
                <w:szCs w:val="20"/>
                <w:u w:val="single"/>
              </w:rPr>
              <w:t>m</w:t>
            </w:r>
            <w:r w:rsidR="00587B18" w:rsidRPr="009218CE">
              <w:rPr>
                <w:sz w:val="20"/>
                <w:szCs w:val="20"/>
                <w:u w:val="single"/>
              </w:rPr>
              <w:t>eans the number of sites occupied in Otago.</w:t>
            </w:r>
          </w:p>
        </w:tc>
      </w:tr>
      <w:tr w:rsidR="009A1120" w:rsidRPr="00472578" w14:paraId="1BFEC4D8" w14:textId="77777777" w:rsidTr="007612BD">
        <w:tc>
          <w:tcPr>
            <w:tcW w:w="2104" w:type="dxa"/>
          </w:tcPr>
          <w:p w14:paraId="216B99B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Operational need</w:t>
            </w:r>
          </w:p>
        </w:tc>
        <w:tc>
          <w:tcPr>
            <w:tcW w:w="7146" w:type="dxa"/>
          </w:tcPr>
          <w:p w14:paraId="37F5C28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6A355B5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DF4AB03" wp14:editId="5E518CBF">
                      <wp:extent cx="3697356" cy="600075"/>
                      <wp:effectExtent l="0" t="0" r="17780" b="2857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00075"/>
                              </a:xfrm>
                              <a:prstGeom prst="rect">
                                <a:avLst/>
                              </a:prstGeom>
                              <a:solidFill>
                                <a:srgbClr val="FFFFFF"/>
                              </a:solidFill>
                              <a:ln w="9525">
                                <a:solidFill>
                                  <a:srgbClr val="000000"/>
                                </a:solidFill>
                                <a:miter lim="800000"/>
                                <a:headEnd/>
                                <a:tailEnd/>
                              </a:ln>
                            </wps:spPr>
                            <wps:txbx>
                              <w:txbxContent>
                                <w:p w14:paraId="3EB69F95" w14:textId="77777777" w:rsidR="009A1120" w:rsidRPr="001A38AB" w:rsidRDefault="009A1120" w:rsidP="009A1120">
                                  <w:pPr>
                                    <w:spacing w:after="60"/>
                                    <w:rPr>
                                      <w:sz w:val="20"/>
                                      <w:szCs w:val="20"/>
                                    </w:rPr>
                                  </w:pPr>
                                  <w:r w:rsidRPr="001A38AB">
                                    <w:rPr>
                                      <w:sz w:val="20"/>
                                      <w:szCs w:val="20"/>
                                    </w:rPr>
                                    <w:t>means the need for a proposal or activity to traverse, locate or operate in a particular environment because of technical, logistical or operational characteristics or constraints</w:t>
                                  </w:r>
                                </w:p>
                              </w:txbxContent>
                            </wps:txbx>
                            <wps:bodyPr rot="0" vert="horz" wrap="square" lIns="91440" tIns="45720" rIns="91440" bIns="45720" anchor="t" anchorCtr="0">
                              <a:noAutofit/>
                            </wps:bodyPr>
                          </wps:wsp>
                        </a:graphicData>
                      </a:graphic>
                    </wp:inline>
                  </w:drawing>
                </mc:Choice>
                <mc:Fallback>
                  <w:pict>
                    <v:shape w14:anchorId="6DF4AB03" id="Text Box 31" o:spid="_x0000_s1097" type="#_x0000_t202" style="width:291.1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">
                      <v:textbox>
                        <w:txbxContent>
                          <w:p w14:paraId="3EB69F95" w14:textId="77777777" w:rsidR="009A1120" w:rsidRPr="001A38AB" w:rsidRDefault="009A1120" w:rsidP="009A1120">
                            <w:pPr>
                              <w:spacing w:after="60"/>
                              <w:rPr>
                                <w:sz w:val="20"/>
                                <w:szCs w:val="20"/>
                              </w:rPr>
                            </w:pPr>
                            <w:r w:rsidRPr="001A38AB">
                              <w:rPr>
                                <w:sz w:val="20"/>
                                <w:szCs w:val="20"/>
                              </w:rPr>
                              <w:t>means the need for a proposal or activity to traverse, locate or operate in a particular environment because of technical, logistical or operational characteristics or constraints</w:t>
                            </w:r>
                          </w:p>
                        </w:txbxContent>
                      </v:textbox>
                      <w10:anchorlock/>
                    </v:shape>
                  </w:pict>
                </mc:Fallback>
              </mc:AlternateContent>
            </w:r>
          </w:p>
        </w:tc>
      </w:tr>
      <w:tr w:rsidR="009A1120" w:rsidRPr="00472578" w14:paraId="12AD6FE9" w14:textId="77777777" w:rsidTr="007612BD">
        <w:tc>
          <w:tcPr>
            <w:tcW w:w="2104" w:type="dxa"/>
          </w:tcPr>
          <w:p w14:paraId="17D265F1"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Other infrastructure</w:t>
            </w:r>
          </w:p>
        </w:tc>
        <w:tc>
          <w:tcPr>
            <w:tcW w:w="7146" w:type="dxa"/>
          </w:tcPr>
          <w:p w14:paraId="7D9D8F5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National Environmental Standard for Freshwater 2020 (as set out in the box below)</w:t>
            </w:r>
          </w:p>
          <w:p w14:paraId="2091C13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991628F" wp14:editId="597F0CB9">
                      <wp:extent cx="3697356" cy="600075"/>
                      <wp:effectExtent l="0" t="0" r="17780" b="28575"/>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00075"/>
                              </a:xfrm>
                              <a:prstGeom prst="rect">
                                <a:avLst/>
                              </a:prstGeom>
                              <a:solidFill>
                                <a:srgbClr val="FFFFFF"/>
                              </a:solidFill>
                              <a:ln w="9525">
                                <a:solidFill>
                                  <a:srgbClr val="000000"/>
                                </a:solidFill>
                                <a:miter lim="800000"/>
                                <a:headEnd/>
                                <a:tailEnd/>
                              </a:ln>
                            </wps:spPr>
                            <wps:txbx>
                              <w:txbxContent>
                                <w:p w14:paraId="7F14F3F6" w14:textId="77777777" w:rsidR="009A1120" w:rsidRPr="001A38AB" w:rsidRDefault="009A1120" w:rsidP="009A1120">
                                  <w:pPr>
                                    <w:spacing w:after="60"/>
                                    <w:rPr>
                                      <w:sz w:val="20"/>
                                      <w:szCs w:val="20"/>
                                    </w:rPr>
                                  </w:pPr>
                                  <w:r>
                                    <w:rPr>
                                      <w:sz w:val="20"/>
                                      <w:szCs w:val="20"/>
                                    </w:rPr>
                                    <w:t>means infrastructure, other than specified infrastructure, that was lawfully established before, and in place at, the close of 2 September 2020</w:t>
                                  </w:r>
                                </w:p>
                              </w:txbxContent>
                            </wps:txbx>
                            <wps:bodyPr rot="0" vert="horz" wrap="square" lIns="91440" tIns="45720" rIns="91440" bIns="45720" anchor="t" anchorCtr="0">
                              <a:noAutofit/>
                            </wps:bodyPr>
                          </wps:wsp>
                        </a:graphicData>
                      </a:graphic>
                    </wp:inline>
                  </w:drawing>
                </mc:Choice>
                <mc:Fallback>
                  <w:pict>
                    <v:shape w14:anchorId="7991628F" id="Text Box 318" o:spid="_x0000_s1098" type="#_x0000_t202" style="width:291.1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">
                      <v:textbox>
                        <w:txbxContent>
                          <w:p w14:paraId="7F14F3F6" w14:textId="77777777" w:rsidR="009A1120" w:rsidRPr="001A38AB" w:rsidRDefault="009A1120" w:rsidP="009A1120">
                            <w:pPr>
                              <w:spacing w:after="60"/>
                              <w:rPr>
                                <w:sz w:val="20"/>
                                <w:szCs w:val="20"/>
                              </w:rPr>
                            </w:pPr>
                            <w:r>
                              <w:rPr>
                                <w:sz w:val="20"/>
                                <w:szCs w:val="20"/>
                              </w:rPr>
                              <w:t>means infrastructure, other than specified infrastructure, that was lawfully established before, and in place at, the close of 2 September 2020</w:t>
                            </w:r>
                          </w:p>
                        </w:txbxContent>
                      </v:textbox>
                      <w10:anchorlock/>
                    </v:shape>
                  </w:pict>
                </mc:Fallback>
              </mc:AlternateContent>
            </w:r>
          </w:p>
        </w:tc>
      </w:tr>
      <w:tr w:rsidR="009A1120" w:rsidRPr="00472578" w14:paraId="1FEB066D" w14:textId="77777777" w:rsidTr="007612BD">
        <w:tc>
          <w:tcPr>
            <w:tcW w:w="2104" w:type="dxa"/>
          </w:tcPr>
          <w:p w14:paraId="22AB01D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Outstanding water body</w:t>
            </w:r>
          </w:p>
        </w:tc>
        <w:tc>
          <w:tcPr>
            <w:tcW w:w="7146" w:type="dxa"/>
          </w:tcPr>
          <w:p w14:paraId="1572071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5286FED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7A17E9F3" wp14:editId="0276F9D4">
                      <wp:extent cx="3697356" cy="600075"/>
                      <wp:effectExtent l="0" t="0" r="17780" b="2857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00075"/>
                              </a:xfrm>
                              <a:prstGeom prst="rect">
                                <a:avLst/>
                              </a:prstGeom>
                              <a:solidFill>
                                <a:srgbClr val="FFFFFF"/>
                              </a:solidFill>
                              <a:ln w="9525">
                                <a:solidFill>
                                  <a:srgbClr val="000000"/>
                                </a:solidFill>
                                <a:miter lim="800000"/>
                                <a:headEnd/>
                                <a:tailEnd/>
                              </a:ln>
                            </wps:spPr>
                            <wps:txbx>
                              <w:txbxContent>
                                <w:p w14:paraId="61E02697" w14:textId="77777777" w:rsidR="009A1120" w:rsidRPr="00121005" w:rsidRDefault="009A1120" w:rsidP="009A1120">
                                  <w:pPr>
                                    <w:spacing w:after="60"/>
                                    <w:rPr>
                                      <w:sz w:val="20"/>
                                      <w:szCs w:val="20"/>
                                      <w:lang w:val="en-GB"/>
                                    </w:rPr>
                                  </w:pPr>
                                  <w:r>
                                    <w:rPr>
                                      <w:sz w:val="20"/>
                                      <w:szCs w:val="20"/>
                                      <w:lang w:val="en-GB"/>
                                    </w:rPr>
                                    <w:t xml:space="preserve">means a water body, or part of a water body, identified in a regional policy statement, a </w:t>
                                  </w:r>
                                  <w:r w:rsidRPr="00072125">
                                    <w:rPr>
                                      <w:i/>
                                      <w:sz w:val="20"/>
                                      <w:szCs w:val="20"/>
                                      <w:lang w:val="en-GB"/>
                                    </w:rPr>
                                    <w:t>regional plan</w:t>
                                  </w:r>
                                  <w:r>
                                    <w:rPr>
                                      <w:sz w:val="20"/>
                                      <w:szCs w:val="20"/>
                                      <w:lang w:val="en-GB"/>
                                    </w:rPr>
                                    <w:t>, or a water conservation order as having one or more outstanding values</w:t>
                                  </w:r>
                                </w:p>
                              </w:txbxContent>
                            </wps:txbx>
                            <wps:bodyPr rot="0" vert="horz" wrap="square" lIns="91440" tIns="45720" rIns="91440" bIns="45720" anchor="t" anchorCtr="0">
                              <a:noAutofit/>
                            </wps:bodyPr>
                          </wps:wsp>
                        </a:graphicData>
                      </a:graphic>
                    </wp:inline>
                  </w:drawing>
                </mc:Choice>
                <mc:Fallback>
                  <w:pict>
                    <v:shape w14:anchorId="7A17E9F3" id="Text Box 35" o:spid="_x0000_s1099" type="#_x0000_t202" style="width:291.1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">
                      <v:textbox>
                        <w:txbxContent>
                          <w:p w14:paraId="61E02697" w14:textId="77777777" w:rsidR="009A1120" w:rsidRPr="00121005" w:rsidRDefault="009A1120" w:rsidP="009A1120">
                            <w:pPr>
                              <w:spacing w:after="60"/>
                              <w:rPr>
                                <w:sz w:val="20"/>
                                <w:szCs w:val="20"/>
                                <w:lang w:val="en-GB"/>
                              </w:rPr>
                            </w:pPr>
                            <w:r>
                              <w:rPr>
                                <w:sz w:val="20"/>
                                <w:szCs w:val="20"/>
                                <w:lang w:val="en-GB"/>
                              </w:rPr>
                              <w:t xml:space="preserve">means a water body, or part of a water body, identified in a regional policy statement, a </w:t>
                            </w:r>
                            <w:r w:rsidRPr="00072125">
                              <w:rPr>
                                <w:i/>
                                <w:sz w:val="20"/>
                                <w:szCs w:val="20"/>
                                <w:lang w:val="en-GB"/>
                              </w:rPr>
                              <w:t>regional plan</w:t>
                            </w:r>
                            <w:r>
                              <w:rPr>
                                <w:sz w:val="20"/>
                                <w:szCs w:val="20"/>
                                <w:lang w:val="en-GB"/>
                              </w:rPr>
                              <w:t>, or a water conservation order as having one or more outstanding values</w:t>
                            </w:r>
                          </w:p>
                        </w:txbxContent>
                      </v:textbox>
                      <w10:anchorlock/>
                    </v:shape>
                  </w:pict>
                </mc:Fallback>
              </mc:AlternateContent>
            </w:r>
          </w:p>
        </w:tc>
      </w:tr>
      <w:tr w:rsidR="009A1120" w:rsidRPr="00472578" w14:paraId="5B8627CD" w14:textId="77777777" w:rsidTr="007612BD">
        <w:tc>
          <w:tcPr>
            <w:tcW w:w="2104" w:type="dxa"/>
            <w:tcBorders>
              <w:bottom w:val="single" w:sz="4" w:space="0" w:color="auto"/>
            </w:tcBorders>
          </w:tcPr>
          <w:p w14:paraId="16623D4C"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Over-allocation</w:t>
            </w:r>
          </w:p>
        </w:tc>
        <w:tc>
          <w:tcPr>
            <w:tcW w:w="7146" w:type="dxa"/>
            <w:tcBorders>
              <w:bottom w:val="single" w:sz="4" w:space="0" w:color="auto"/>
            </w:tcBorders>
          </w:tcPr>
          <w:p w14:paraId="51D63AD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229C26B8"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95AF8E2" wp14:editId="220AB8CB">
                      <wp:extent cx="3697356" cy="933450"/>
                      <wp:effectExtent l="0" t="0" r="17780" b="19050"/>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33450"/>
                              </a:xfrm>
                              <a:prstGeom prst="rect">
                                <a:avLst/>
                              </a:prstGeom>
                              <a:solidFill>
                                <a:srgbClr val="FFFFFF"/>
                              </a:solidFill>
                              <a:ln w="9525">
                                <a:solidFill>
                                  <a:srgbClr val="000000"/>
                                </a:solidFill>
                                <a:miter lim="800000"/>
                                <a:headEnd/>
                                <a:tailEnd/>
                              </a:ln>
                            </wps:spPr>
                            <wps:txbx>
                              <w:txbxContent>
                                <w:p w14:paraId="6F35635E" w14:textId="77777777" w:rsidR="009A1120" w:rsidRPr="001A38AB" w:rsidRDefault="009A1120" w:rsidP="009A1120">
                                  <w:pPr>
                                    <w:contextualSpacing/>
                                    <w:rPr>
                                      <w:sz w:val="20"/>
                                      <w:szCs w:val="20"/>
                                    </w:rPr>
                                  </w:pPr>
                                  <w:r w:rsidRPr="001A38AB">
                                    <w:rPr>
                                      <w:sz w:val="20"/>
                                      <w:szCs w:val="20"/>
                                    </w:rPr>
                                    <w:t>in relation to both the quantity and quality of freshwater, is the situation where:</w:t>
                                  </w:r>
                                </w:p>
                                <w:p w14:paraId="6E31F84B"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resource use exceeds a limit; or</w:t>
                                  </w:r>
                                </w:p>
                                <w:p w14:paraId="0E0F4BDC" w14:textId="77777777" w:rsidR="009A1120" w:rsidRPr="001A38AB" w:rsidRDefault="009A1120" w:rsidP="009A1120">
                                  <w:pPr>
                                    <w:ind w:left="284" w:hanging="284"/>
                                    <w:contextualSpacing/>
                                    <w:rPr>
                                      <w:sz w:val="20"/>
                                      <w:szCs w:val="20"/>
                                    </w:rPr>
                                  </w:pPr>
                                  <w:r w:rsidRPr="001A38AB">
                                    <w:rPr>
                                      <w:sz w:val="20"/>
                                      <w:szCs w:val="20"/>
                                    </w:rPr>
                                    <w:t>(b) if limits have not been set, an FMU or part of an FMU is degraded or degrading</w:t>
                                  </w:r>
                                </w:p>
                              </w:txbxContent>
                            </wps:txbx>
                            <wps:bodyPr rot="0" vert="horz" wrap="square" lIns="91440" tIns="45720" rIns="91440" bIns="45720" anchor="t" anchorCtr="0">
                              <a:noAutofit/>
                            </wps:bodyPr>
                          </wps:wsp>
                        </a:graphicData>
                      </a:graphic>
                    </wp:inline>
                  </w:drawing>
                </mc:Choice>
                <mc:Fallback>
                  <w:pict>
                    <v:shape w14:anchorId="295AF8E2" id="Text Box 212" o:spid="_x0000_s1100" type="#_x0000_t202" style="width:291.1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KgIAAFA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">
                      <v:textbox>
                        <w:txbxContent>
                          <w:p w14:paraId="6F35635E" w14:textId="77777777" w:rsidR="009A1120" w:rsidRPr="001A38AB" w:rsidRDefault="009A1120" w:rsidP="009A1120">
                            <w:pPr>
                              <w:contextualSpacing/>
                              <w:rPr>
                                <w:sz w:val="20"/>
                                <w:szCs w:val="20"/>
                              </w:rPr>
                            </w:pPr>
                            <w:r w:rsidRPr="001A38AB">
                              <w:rPr>
                                <w:sz w:val="20"/>
                                <w:szCs w:val="20"/>
                              </w:rPr>
                              <w:t>in relation to both the quantity and quality of freshwater, is the situation where:</w:t>
                            </w:r>
                          </w:p>
                          <w:p w14:paraId="6E31F84B"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t>resource use exceeds a limit; or</w:t>
                            </w:r>
                          </w:p>
                          <w:p w14:paraId="0E0F4BDC" w14:textId="77777777" w:rsidR="009A1120" w:rsidRPr="001A38AB" w:rsidRDefault="009A1120" w:rsidP="009A1120">
                            <w:pPr>
                              <w:ind w:left="284" w:hanging="284"/>
                              <w:contextualSpacing/>
                              <w:rPr>
                                <w:sz w:val="20"/>
                                <w:szCs w:val="20"/>
                              </w:rPr>
                            </w:pPr>
                            <w:r w:rsidRPr="001A38AB">
                              <w:rPr>
                                <w:sz w:val="20"/>
                                <w:szCs w:val="20"/>
                              </w:rPr>
                              <w:t>(b) if limits have not been set, an FMU or part of an FMU is degraded or degrading</w:t>
                            </w:r>
                          </w:p>
                        </w:txbxContent>
                      </v:textbox>
                      <w10:anchorlock/>
                    </v:shape>
                  </w:pict>
                </mc:Fallback>
              </mc:AlternateContent>
            </w:r>
          </w:p>
        </w:tc>
      </w:tr>
      <w:tr w:rsidR="009A1120" w:rsidRPr="00472578" w14:paraId="50C325EC" w14:textId="77777777" w:rsidTr="007612BD">
        <w:tc>
          <w:tcPr>
            <w:tcW w:w="2104" w:type="dxa"/>
            <w:tcBorders>
              <w:top w:val="single" w:sz="4" w:space="0" w:color="auto"/>
              <w:bottom w:val="single" w:sz="4" w:space="0" w:color="auto"/>
            </w:tcBorders>
          </w:tcPr>
          <w:p w14:paraId="44B1BDD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Papakāika or papakāinga</w:t>
            </w:r>
          </w:p>
        </w:tc>
        <w:tc>
          <w:tcPr>
            <w:tcW w:w="7146" w:type="dxa"/>
            <w:tcBorders>
              <w:top w:val="single" w:sz="4" w:space="0" w:color="auto"/>
              <w:bottom w:val="single" w:sz="4" w:space="0" w:color="auto"/>
            </w:tcBorders>
          </w:tcPr>
          <w:p w14:paraId="71CC96D4" w14:textId="10373F5A"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means use and development by </w:t>
            </w:r>
            <w:r w:rsidRPr="00472578">
              <w:rPr>
                <w:i/>
                <w:sz w:val="20"/>
                <w:szCs w:val="20"/>
              </w:rPr>
              <w:t>mana whenua</w:t>
            </w:r>
            <w:r w:rsidRPr="00472578">
              <w:rPr>
                <w:sz w:val="20"/>
                <w:szCs w:val="20"/>
              </w:rPr>
              <w:t xml:space="preserve"> of ancestral or tribal lands to sustain themselves in accordance with tikanga Māori, which may include residential activities and non-residential activities for cultural, social, </w:t>
            </w:r>
            <w:r w:rsidR="0090496B" w:rsidRPr="00472578">
              <w:rPr>
                <w:sz w:val="20"/>
                <w:szCs w:val="20"/>
                <w:u w:val="single"/>
              </w:rPr>
              <w:t>educational,</w:t>
            </w:r>
            <w:r w:rsidR="0090496B" w:rsidRPr="00472578">
              <w:rPr>
                <w:rStyle w:val="FootnoteReference"/>
                <w:sz w:val="20"/>
                <w:szCs w:val="20"/>
              </w:rPr>
              <w:footnoteReference w:id="119"/>
            </w:r>
            <w:r w:rsidR="0090496B" w:rsidRPr="00472578">
              <w:rPr>
                <w:sz w:val="20"/>
                <w:szCs w:val="20"/>
              </w:rPr>
              <w:t xml:space="preserve"> </w:t>
            </w:r>
            <w:r w:rsidRPr="00472578">
              <w:rPr>
                <w:sz w:val="20"/>
                <w:szCs w:val="20"/>
              </w:rPr>
              <w:t xml:space="preserve">recreational, </w:t>
            </w:r>
            <w:proofErr w:type="gramStart"/>
            <w:r w:rsidRPr="00472578">
              <w:rPr>
                <w:sz w:val="20"/>
                <w:szCs w:val="20"/>
              </w:rPr>
              <w:t>environmental</w:t>
            </w:r>
            <w:proofErr w:type="gramEnd"/>
            <w:r w:rsidRPr="00472578">
              <w:rPr>
                <w:sz w:val="20"/>
                <w:szCs w:val="20"/>
              </w:rPr>
              <w:t xml:space="preserve"> or limited commercial purposes.</w:t>
            </w:r>
          </w:p>
        </w:tc>
      </w:tr>
      <w:tr w:rsidR="009A1120" w:rsidRPr="00472578" w14:paraId="4320C624" w14:textId="77777777" w:rsidTr="007612BD">
        <w:tc>
          <w:tcPr>
            <w:tcW w:w="2104" w:type="dxa"/>
            <w:tcBorders>
              <w:top w:val="single" w:sz="4" w:space="0" w:color="auto"/>
              <w:bottom w:val="single" w:sz="4" w:space="0" w:color="auto"/>
            </w:tcBorders>
          </w:tcPr>
          <w:p w14:paraId="69929F94" w14:textId="77777777"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Pest</w:t>
            </w:r>
            <w:r w:rsidRPr="00472578">
              <w:rPr>
                <w:rStyle w:val="FootnoteReference"/>
                <w:b/>
                <w:sz w:val="20"/>
                <w:szCs w:val="20"/>
              </w:rPr>
              <w:footnoteReference w:id="120"/>
            </w:r>
          </w:p>
        </w:tc>
        <w:tc>
          <w:tcPr>
            <w:tcW w:w="7146" w:type="dxa"/>
            <w:tcBorders>
              <w:top w:val="single" w:sz="4" w:space="0" w:color="auto"/>
              <w:bottom w:val="single" w:sz="4" w:space="0" w:color="auto"/>
            </w:tcBorders>
          </w:tcPr>
          <w:p w14:paraId="3900F098" w14:textId="77777777" w:rsidR="009A1120" w:rsidRPr="00472578" w:rsidRDefault="009A1120" w:rsidP="00E92686">
            <w:pPr>
              <w:tabs>
                <w:tab w:val="center" w:pos="4513"/>
                <w:tab w:val="right" w:pos="9026"/>
              </w:tabs>
              <w:spacing w:before="60" w:after="60"/>
              <w:jc w:val="both"/>
              <w:rPr>
                <w:sz w:val="20"/>
                <w:szCs w:val="20"/>
                <w:u w:val="single"/>
              </w:rPr>
            </w:pPr>
            <w:r w:rsidRPr="00472578">
              <w:rPr>
                <w:sz w:val="20"/>
                <w:szCs w:val="20"/>
                <w:u w:val="single"/>
              </w:rPr>
              <w:t>has the same meaning as in section 2 of the Biosecurity Act 1993 (as set out in the box below)</w:t>
            </w:r>
          </w:p>
          <w:p w14:paraId="741ACC69"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10600131" wp14:editId="4E1A662E">
                      <wp:extent cx="3697356" cy="295275"/>
                      <wp:effectExtent l="0" t="0" r="17780" b="28575"/>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95275"/>
                              </a:xfrm>
                              <a:prstGeom prst="rect">
                                <a:avLst/>
                              </a:prstGeom>
                              <a:solidFill>
                                <a:srgbClr val="FFFFFF"/>
                              </a:solidFill>
                              <a:ln w="9525">
                                <a:solidFill>
                                  <a:srgbClr val="000000"/>
                                </a:solidFill>
                                <a:miter lim="800000"/>
                                <a:headEnd/>
                                <a:tailEnd/>
                              </a:ln>
                            </wps:spPr>
                            <wps:txbx>
                              <w:txbxContent>
                                <w:p w14:paraId="7BDDFF13" w14:textId="77777777" w:rsidR="009A1120" w:rsidRPr="00FB2E53" w:rsidRDefault="009A1120" w:rsidP="009A1120">
                                  <w:pPr>
                                    <w:contextualSpacing/>
                                    <w:rPr>
                                      <w:sz w:val="20"/>
                                      <w:szCs w:val="20"/>
                                      <w:u w:val="single"/>
                                    </w:rPr>
                                  </w:pPr>
                                  <w:r w:rsidRPr="00FB2E53">
                                    <w:rPr>
                                      <w:sz w:val="20"/>
                                      <w:szCs w:val="20"/>
                                      <w:u w:val="single"/>
                                    </w:rPr>
                                    <w:t xml:space="preserve">means an organism specified as a pest in a pest management plan. </w:t>
                                  </w:r>
                                </w:p>
                                <w:p w14:paraId="0E8F7909" w14:textId="77777777" w:rsidR="009A1120" w:rsidRPr="001A38AB" w:rsidRDefault="009A1120" w:rsidP="009A1120">
                                  <w:pPr>
                                    <w:ind w:left="284" w:hanging="284"/>
                                    <w:contextualSpacing/>
                                    <w:rPr>
                                      <w:sz w:val="20"/>
                                      <w:szCs w:val="20"/>
                                    </w:rPr>
                                  </w:pPr>
                                </w:p>
                              </w:txbxContent>
                            </wps:txbx>
                            <wps:bodyPr rot="0" vert="horz" wrap="square" lIns="91440" tIns="45720" rIns="91440" bIns="45720" anchor="t" anchorCtr="0">
                              <a:noAutofit/>
                            </wps:bodyPr>
                          </wps:wsp>
                        </a:graphicData>
                      </a:graphic>
                    </wp:inline>
                  </w:drawing>
                </mc:Choice>
                <mc:Fallback>
                  <w:pict>
                    <v:shape w14:anchorId="10600131" id="Text Box 384" o:spid="_x0000_s1101" type="#_x0000_t202" style="width:291.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EJgIAAFA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">
                      <v:textbox>
                        <w:txbxContent>
                          <w:p w14:paraId="7BDDFF13" w14:textId="77777777" w:rsidR="009A1120" w:rsidRPr="00FB2E53" w:rsidRDefault="009A1120" w:rsidP="009A1120">
                            <w:pPr>
                              <w:contextualSpacing/>
                              <w:rPr>
                                <w:sz w:val="20"/>
                                <w:szCs w:val="20"/>
                                <w:u w:val="single"/>
                              </w:rPr>
                            </w:pPr>
                            <w:r w:rsidRPr="00FB2E53">
                              <w:rPr>
                                <w:sz w:val="20"/>
                                <w:szCs w:val="20"/>
                                <w:u w:val="single"/>
                              </w:rPr>
                              <w:t xml:space="preserve">means an organism specified as a pest in a pest management plan. </w:t>
                            </w:r>
                          </w:p>
                          <w:p w14:paraId="0E8F7909" w14:textId="77777777" w:rsidR="009A1120" w:rsidRPr="001A38AB" w:rsidRDefault="009A1120" w:rsidP="009A1120">
                            <w:pPr>
                              <w:ind w:left="284" w:hanging="284"/>
                              <w:contextualSpacing/>
                              <w:rPr>
                                <w:sz w:val="20"/>
                                <w:szCs w:val="20"/>
                              </w:rPr>
                            </w:pPr>
                          </w:p>
                        </w:txbxContent>
                      </v:textbox>
                      <w10:anchorlock/>
                    </v:shape>
                  </w:pict>
                </mc:Fallback>
              </mc:AlternateContent>
            </w:r>
          </w:p>
        </w:tc>
      </w:tr>
      <w:tr w:rsidR="009A1120" w:rsidRPr="00472578" w14:paraId="6A244FB1" w14:textId="77777777" w:rsidTr="007612BD">
        <w:tc>
          <w:tcPr>
            <w:tcW w:w="2104" w:type="dxa"/>
            <w:tcBorders>
              <w:top w:val="single" w:sz="4" w:space="0" w:color="auto"/>
              <w:left w:val="nil"/>
              <w:bottom w:val="single" w:sz="4" w:space="0" w:color="auto"/>
              <w:right w:val="single" w:sz="4" w:space="0" w:color="auto"/>
            </w:tcBorders>
          </w:tcPr>
          <w:p w14:paraId="5B5E1F6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Plantation forestry</w:t>
            </w:r>
          </w:p>
        </w:tc>
        <w:tc>
          <w:tcPr>
            <w:tcW w:w="7146" w:type="dxa"/>
            <w:tcBorders>
              <w:top w:val="single" w:sz="4" w:space="0" w:color="auto"/>
              <w:left w:val="single" w:sz="4" w:space="0" w:color="auto"/>
              <w:bottom w:val="single" w:sz="4" w:space="0" w:color="auto"/>
              <w:right w:val="nil"/>
            </w:tcBorders>
          </w:tcPr>
          <w:p w14:paraId="44E89C5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Plantation Forestry) Regulations 2017 (as set out in the box below)</w:t>
            </w:r>
          </w:p>
          <w:p w14:paraId="2AC1DC11"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5CEC115" wp14:editId="47D242AE">
                      <wp:extent cx="3697356" cy="3131820"/>
                      <wp:effectExtent l="0" t="0" r="17780" b="11430"/>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3131820"/>
                              </a:xfrm>
                              <a:prstGeom prst="rect">
                                <a:avLst/>
                              </a:prstGeom>
                              <a:solidFill>
                                <a:srgbClr val="FFFFFF"/>
                              </a:solidFill>
                              <a:ln w="9525">
                                <a:solidFill>
                                  <a:srgbClr val="000000"/>
                                </a:solidFill>
                                <a:miter lim="800000"/>
                                <a:headEnd/>
                                <a:tailEnd/>
                              </a:ln>
                            </wps:spPr>
                            <wps:txbx>
                              <w:txbxContent>
                                <w:p w14:paraId="31230EEF" w14:textId="77777777" w:rsidR="009A1120" w:rsidRPr="009A7DF1" w:rsidRDefault="009A1120" w:rsidP="009A1120">
                                  <w:pPr>
                                    <w:spacing w:after="60"/>
                                    <w:rPr>
                                      <w:sz w:val="20"/>
                                      <w:szCs w:val="20"/>
                                    </w:rPr>
                                  </w:pPr>
                                  <w:r w:rsidRPr="009A7DF1">
                                    <w:rPr>
                                      <w:sz w:val="20"/>
                                      <w:szCs w:val="20"/>
                                    </w:rPr>
                                    <w:t>means a forest deliberately established for commercial purposes, being—</w:t>
                                  </w:r>
                                </w:p>
                                <w:p w14:paraId="2900B74D" w14:textId="77777777" w:rsidR="009A1120" w:rsidRPr="009A7DF1" w:rsidRDefault="009A1120" w:rsidP="009A1120">
                                  <w:pPr>
                                    <w:spacing w:after="60"/>
                                    <w:ind w:left="284" w:hanging="284"/>
                                    <w:rPr>
                                      <w:sz w:val="20"/>
                                      <w:szCs w:val="20"/>
                                    </w:rPr>
                                  </w:pPr>
                                  <w:r w:rsidRPr="009A7DF1">
                                    <w:rPr>
                                      <w:sz w:val="20"/>
                                      <w:szCs w:val="20"/>
                                    </w:rPr>
                                    <w:t>(a)</w:t>
                                  </w:r>
                                  <w:r>
                                    <w:rPr>
                                      <w:sz w:val="20"/>
                                      <w:szCs w:val="20"/>
                                    </w:rPr>
                                    <w:tab/>
                                  </w:r>
                                  <w:r w:rsidRPr="009A7DF1">
                                    <w:rPr>
                                      <w:sz w:val="20"/>
                                      <w:szCs w:val="20"/>
                                    </w:rPr>
                                    <w:t>at least 1 ha of continuous forest cover of forest species that has been planted and has or will be harvested or replanted; and</w:t>
                                  </w:r>
                                </w:p>
                                <w:p w14:paraId="1B84BB99" w14:textId="77777777" w:rsidR="009A1120" w:rsidRPr="009A7DF1" w:rsidRDefault="009A1120" w:rsidP="009A1120">
                                  <w:pPr>
                                    <w:spacing w:after="60"/>
                                    <w:ind w:left="284" w:hanging="284"/>
                                    <w:rPr>
                                      <w:sz w:val="20"/>
                                      <w:szCs w:val="20"/>
                                    </w:rPr>
                                  </w:pPr>
                                  <w:r w:rsidRPr="009A7DF1">
                                    <w:rPr>
                                      <w:sz w:val="20"/>
                                      <w:szCs w:val="20"/>
                                    </w:rPr>
                                    <w:t>(b)</w:t>
                                  </w:r>
                                  <w:r>
                                    <w:rPr>
                                      <w:sz w:val="20"/>
                                      <w:szCs w:val="20"/>
                                    </w:rPr>
                                    <w:tab/>
                                  </w:r>
                                  <w:r w:rsidRPr="009A7DF1">
                                    <w:rPr>
                                      <w:sz w:val="20"/>
                                      <w:szCs w:val="20"/>
                                    </w:rPr>
                                    <w:t>includes all associated forestry infrastructure; but</w:t>
                                  </w:r>
                                </w:p>
                                <w:p w14:paraId="4E1DA004" w14:textId="77777777" w:rsidR="009A1120" w:rsidRPr="009A7DF1" w:rsidRDefault="009A1120" w:rsidP="009A1120">
                                  <w:pPr>
                                    <w:spacing w:after="60"/>
                                    <w:ind w:left="284" w:hanging="284"/>
                                    <w:rPr>
                                      <w:sz w:val="20"/>
                                      <w:szCs w:val="20"/>
                                    </w:rPr>
                                  </w:pPr>
                                  <w:r w:rsidRPr="009A7DF1">
                                    <w:rPr>
                                      <w:sz w:val="20"/>
                                      <w:szCs w:val="20"/>
                                    </w:rPr>
                                    <w:t>(c)</w:t>
                                  </w:r>
                                  <w:r>
                                    <w:rPr>
                                      <w:sz w:val="20"/>
                                      <w:szCs w:val="20"/>
                                    </w:rPr>
                                    <w:tab/>
                                  </w:r>
                                  <w:r w:rsidRPr="009A7DF1">
                                    <w:rPr>
                                      <w:sz w:val="20"/>
                                      <w:szCs w:val="20"/>
                                    </w:rPr>
                                    <w:t>does not include—</w:t>
                                  </w:r>
                                </w:p>
                                <w:p w14:paraId="6190A593" w14:textId="77777777" w:rsidR="009A1120" w:rsidRPr="009A7DF1" w:rsidRDefault="009A1120" w:rsidP="009A1120">
                                  <w:pPr>
                                    <w:spacing w:after="60"/>
                                    <w:ind w:left="567" w:hanging="284"/>
                                    <w:rPr>
                                      <w:sz w:val="20"/>
                                      <w:szCs w:val="20"/>
                                    </w:rPr>
                                  </w:pPr>
                                  <w:r w:rsidRPr="009A7DF1">
                                    <w:rPr>
                                      <w:sz w:val="20"/>
                                      <w:szCs w:val="20"/>
                                    </w:rPr>
                                    <w:t>(i)</w:t>
                                  </w:r>
                                  <w:r>
                                    <w:rPr>
                                      <w:sz w:val="20"/>
                                      <w:szCs w:val="20"/>
                                    </w:rPr>
                                    <w:tab/>
                                  </w:r>
                                  <w:r w:rsidRPr="009A7DF1">
                                    <w:rPr>
                                      <w:sz w:val="20"/>
                                      <w:szCs w:val="20"/>
                                    </w:rPr>
                                    <w:t>a shelter belt of forest species, where the tree crown cover has, or is likely to have, an average width of less than 30 m; or</w:t>
                                  </w:r>
                                </w:p>
                                <w:p w14:paraId="052CD65E" w14:textId="77777777" w:rsidR="009A1120" w:rsidRPr="009A7DF1" w:rsidRDefault="009A1120" w:rsidP="009A1120">
                                  <w:pPr>
                                    <w:spacing w:after="60"/>
                                    <w:ind w:left="567" w:hanging="284"/>
                                    <w:rPr>
                                      <w:sz w:val="20"/>
                                      <w:szCs w:val="20"/>
                                    </w:rPr>
                                  </w:pPr>
                                  <w:r w:rsidRPr="009A7DF1">
                                    <w:rPr>
                                      <w:sz w:val="20"/>
                                      <w:szCs w:val="20"/>
                                    </w:rPr>
                                    <w:t>(ii)</w:t>
                                  </w:r>
                                  <w:r>
                                    <w:rPr>
                                      <w:sz w:val="20"/>
                                      <w:szCs w:val="20"/>
                                    </w:rPr>
                                    <w:tab/>
                                  </w:r>
                                  <w:r w:rsidRPr="009A7DF1">
                                    <w:rPr>
                                      <w:sz w:val="20"/>
                                      <w:szCs w:val="20"/>
                                    </w:rPr>
                                    <w:t>forest species in urban areas; or</w:t>
                                  </w:r>
                                </w:p>
                                <w:p w14:paraId="24287F16" w14:textId="77777777" w:rsidR="009A1120" w:rsidRPr="009A7DF1" w:rsidRDefault="009A1120" w:rsidP="009A1120">
                                  <w:pPr>
                                    <w:spacing w:after="60"/>
                                    <w:ind w:left="567" w:hanging="284"/>
                                    <w:rPr>
                                      <w:sz w:val="20"/>
                                      <w:szCs w:val="20"/>
                                    </w:rPr>
                                  </w:pPr>
                                  <w:r w:rsidRPr="009A7DF1">
                                    <w:rPr>
                                      <w:sz w:val="20"/>
                                      <w:szCs w:val="20"/>
                                    </w:rPr>
                                    <w:t>(iii)</w:t>
                                  </w:r>
                                  <w:r>
                                    <w:rPr>
                                      <w:sz w:val="20"/>
                                      <w:szCs w:val="20"/>
                                    </w:rPr>
                                    <w:tab/>
                                  </w:r>
                                  <w:r w:rsidRPr="009A7DF1">
                                    <w:rPr>
                                      <w:sz w:val="20"/>
                                      <w:szCs w:val="20"/>
                                    </w:rPr>
                                    <w:t>nurseries and seed orchards; or</w:t>
                                  </w:r>
                                </w:p>
                                <w:p w14:paraId="40A0258A" w14:textId="77777777" w:rsidR="009A1120" w:rsidRPr="009A7DF1" w:rsidRDefault="009A1120" w:rsidP="009A1120">
                                  <w:pPr>
                                    <w:spacing w:after="60"/>
                                    <w:ind w:left="567" w:hanging="284"/>
                                    <w:rPr>
                                      <w:sz w:val="20"/>
                                      <w:szCs w:val="20"/>
                                    </w:rPr>
                                  </w:pPr>
                                  <w:r w:rsidRPr="009A7DF1">
                                    <w:rPr>
                                      <w:sz w:val="20"/>
                                      <w:szCs w:val="20"/>
                                    </w:rPr>
                                    <w:t>(iv)</w:t>
                                  </w:r>
                                  <w:r>
                                    <w:rPr>
                                      <w:sz w:val="20"/>
                                      <w:szCs w:val="20"/>
                                    </w:rPr>
                                    <w:tab/>
                                  </w:r>
                                  <w:r w:rsidRPr="009A7DF1">
                                    <w:rPr>
                                      <w:sz w:val="20"/>
                                      <w:szCs w:val="20"/>
                                    </w:rPr>
                                    <w:t>trees grown for fruit or nuts; or</w:t>
                                  </w:r>
                                </w:p>
                                <w:p w14:paraId="5ACD01F6" w14:textId="77777777" w:rsidR="009A1120" w:rsidRPr="009A7DF1" w:rsidRDefault="009A1120" w:rsidP="009A1120">
                                  <w:pPr>
                                    <w:spacing w:after="60"/>
                                    <w:ind w:left="567" w:hanging="284"/>
                                    <w:rPr>
                                      <w:sz w:val="20"/>
                                      <w:szCs w:val="20"/>
                                    </w:rPr>
                                  </w:pPr>
                                  <w:r w:rsidRPr="009A7DF1">
                                    <w:rPr>
                                      <w:sz w:val="20"/>
                                      <w:szCs w:val="20"/>
                                    </w:rPr>
                                    <w:t>(v)</w:t>
                                  </w:r>
                                  <w:r>
                                    <w:rPr>
                                      <w:sz w:val="20"/>
                                      <w:szCs w:val="20"/>
                                    </w:rPr>
                                    <w:tab/>
                                  </w:r>
                                  <w:r w:rsidRPr="009A7DF1">
                                    <w:rPr>
                                      <w:sz w:val="20"/>
                                      <w:szCs w:val="20"/>
                                    </w:rPr>
                                    <w:t>long-term ecological restoration planting of forest species; or</w:t>
                                  </w:r>
                                </w:p>
                                <w:p w14:paraId="05D12A9D" w14:textId="77777777" w:rsidR="009A1120" w:rsidRPr="001A38AB" w:rsidRDefault="009A1120" w:rsidP="009A1120">
                                  <w:pPr>
                                    <w:pBdr>
                                      <w:bottom w:val="single" w:sz="4" w:space="1" w:color="auto"/>
                                    </w:pBdr>
                                    <w:spacing w:after="60"/>
                                    <w:ind w:left="567" w:hanging="284"/>
                                    <w:rPr>
                                      <w:sz w:val="20"/>
                                      <w:szCs w:val="20"/>
                                    </w:rPr>
                                  </w:pPr>
                                  <w:r w:rsidRPr="009A7DF1">
                                    <w:rPr>
                                      <w:sz w:val="20"/>
                                      <w:szCs w:val="20"/>
                                    </w:rPr>
                                    <w:t>(vi)</w:t>
                                  </w:r>
                                  <w:r>
                                    <w:rPr>
                                      <w:sz w:val="20"/>
                                      <w:szCs w:val="20"/>
                                    </w:rPr>
                                    <w:tab/>
                                  </w:r>
                                  <w:r w:rsidRPr="009A7DF1">
                                    <w:rPr>
                                      <w:sz w:val="20"/>
                                      <w:szCs w:val="20"/>
                                    </w:rPr>
                                    <w:t>willows and poplars space planted for soil conservation purposes</w:t>
                                  </w:r>
                                </w:p>
                              </w:txbxContent>
                            </wps:txbx>
                            <wps:bodyPr rot="0" vert="horz" wrap="square" lIns="91440" tIns="45720" rIns="91440" bIns="45720" anchor="t" anchorCtr="0">
                              <a:noAutofit/>
                            </wps:bodyPr>
                          </wps:wsp>
                        </a:graphicData>
                      </a:graphic>
                    </wp:inline>
                  </w:drawing>
                </mc:Choice>
                <mc:Fallback>
                  <w:pict>
                    <v:shape w14:anchorId="65CEC115" id="Text Box 243" o:spid="_x0000_s1102" type="#_x0000_t202" style="width:291.15pt;height:2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aKgIAAFE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">
                      <v:textbox>
                        <w:txbxContent>
                          <w:p w14:paraId="31230EEF" w14:textId="77777777" w:rsidR="009A1120" w:rsidRPr="009A7DF1" w:rsidRDefault="009A1120" w:rsidP="009A1120">
                            <w:pPr>
                              <w:spacing w:after="60"/>
                              <w:rPr>
                                <w:sz w:val="20"/>
                                <w:szCs w:val="20"/>
                              </w:rPr>
                            </w:pPr>
                            <w:r w:rsidRPr="009A7DF1">
                              <w:rPr>
                                <w:sz w:val="20"/>
                                <w:szCs w:val="20"/>
                              </w:rPr>
                              <w:t>means a forest deliberately established for commercial purposes, being—</w:t>
                            </w:r>
                          </w:p>
                          <w:p w14:paraId="2900B74D" w14:textId="77777777" w:rsidR="009A1120" w:rsidRPr="009A7DF1" w:rsidRDefault="009A1120" w:rsidP="009A1120">
                            <w:pPr>
                              <w:spacing w:after="60"/>
                              <w:ind w:left="284" w:hanging="284"/>
                              <w:rPr>
                                <w:sz w:val="20"/>
                                <w:szCs w:val="20"/>
                              </w:rPr>
                            </w:pPr>
                            <w:r w:rsidRPr="009A7DF1">
                              <w:rPr>
                                <w:sz w:val="20"/>
                                <w:szCs w:val="20"/>
                              </w:rPr>
                              <w:t>(a)</w:t>
                            </w:r>
                            <w:r>
                              <w:rPr>
                                <w:sz w:val="20"/>
                                <w:szCs w:val="20"/>
                              </w:rPr>
                              <w:tab/>
                            </w:r>
                            <w:r w:rsidRPr="009A7DF1">
                              <w:rPr>
                                <w:sz w:val="20"/>
                                <w:szCs w:val="20"/>
                              </w:rPr>
                              <w:t>at least 1 ha of continuous forest cover of forest species that has been planted and has or will be harvested or replanted; and</w:t>
                            </w:r>
                          </w:p>
                          <w:p w14:paraId="1B84BB99" w14:textId="77777777" w:rsidR="009A1120" w:rsidRPr="009A7DF1" w:rsidRDefault="009A1120" w:rsidP="009A1120">
                            <w:pPr>
                              <w:spacing w:after="60"/>
                              <w:ind w:left="284" w:hanging="284"/>
                              <w:rPr>
                                <w:sz w:val="20"/>
                                <w:szCs w:val="20"/>
                              </w:rPr>
                            </w:pPr>
                            <w:r w:rsidRPr="009A7DF1">
                              <w:rPr>
                                <w:sz w:val="20"/>
                                <w:szCs w:val="20"/>
                              </w:rPr>
                              <w:t>(b)</w:t>
                            </w:r>
                            <w:r>
                              <w:rPr>
                                <w:sz w:val="20"/>
                                <w:szCs w:val="20"/>
                              </w:rPr>
                              <w:tab/>
                            </w:r>
                            <w:r w:rsidRPr="009A7DF1">
                              <w:rPr>
                                <w:sz w:val="20"/>
                                <w:szCs w:val="20"/>
                              </w:rPr>
                              <w:t>includes all associated forestry infrastructure; but</w:t>
                            </w:r>
                          </w:p>
                          <w:p w14:paraId="4E1DA004" w14:textId="77777777" w:rsidR="009A1120" w:rsidRPr="009A7DF1" w:rsidRDefault="009A1120" w:rsidP="009A1120">
                            <w:pPr>
                              <w:spacing w:after="60"/>
                              <w:ind w:left="284" w:hanging="284"/>
                              <w:rPr>
                                <w:sz w:val="20"/>
                                <w:szCs w:val="20"/>
                              </w:rPr>
                            </w:pPr>
                            <w:r w:rsidRPr="009A7DF1">
                              <w:rPr>
                                <w:sz w:val="20"/>
                                <w:szCs w:val="20"/>
                              </w:rPr>
                              <w:t>(c)</w:t>
                            </w:r>
                            <w:r>
                              <w:rPr>
                                <w:sz w:val="20"/>
                                <w:szCs w:val="20"/>
                              </w:rPr>
                              <w:tab/>
                            </w:r>
                            <w:r w:rsidRPr="009A7DF1">
                              <w:rPr>
                                <w:sz w:val="20"/>
                                <w:szCs w:val="20"/>
                              </w:rPr>
                              <w:t>does not include—</w:t>
                            </w:r>
                          </w:p>
                          <w:p w14:paraId="6190A593" w14:textId="77777777" w:rsidR="009A1120" w:rsidRPr="009A7DF1" w:rsidRDefault="009A1120" w:rsidP="009A1120">
                            <w:pPr>
                              <w:spacing w:after="60"/>
                              <w:ind w:left="567" w:hanging="284"/>
                              <w:rPr>
                                <w:sz w:val="20"/>
                                <w:szCs w:val="20"/>
                              </w:rPr>
                            </w:pPr>
                            <w:r w:rsidRPr="009A7DF1">
                              <w:rPr>
                                <w:sz w:val="20"/>
                                <w:szCs w:val="20"/>
                              </w:rPr>
                              <w:t>(i)</w:t>
                            </w:r>
                            <w:r>
                              <w:rPr>
                                <w:sz w:val="20"/>
                                <w:szCs w:val="20"/>
                              </w:rPr>
                              <w:tab/>
                            </w:r>
                            <w:r w:rsidRPr="009A7DF1">
                              <w:rPr>
                                <w:sz w:val="20"/>
                                <w:szCs w:val="20"/>
                              </w:rPr>
                              <w:t>a shelter belt of forest species, where the tree crown cover has, or is likely to have, an average width of less than 30 m; or</w:t>
                            </w:r>
                          </w:p>
                          <w:p w14:paraId="052CD65E" w14:textId="77777777" w:rsidR="009A1120" w:rsidRPr="009A7DF1" w:rsidRDefault="009A1120" w:rsidP="009A1120">
                            <w:pPr>
                              <w:spacing w:after="60"/>
                              <w:ind w:left="567" w:hanging="284"/>
                              <w:rPr>
                                <w:sz w:val="20"/>
                                <w:szCs w:val="20"/>
                              </w:rPr>
                            </w:pPr>
                            <w:r w:rsidRPr="009A7DF1">
                              <w:rPr>
                                <w:sz w:val="20"/>
                                <w:szCs w:val="20"/>
                              </w:rPr>
                              <w:t>(ii)</w:t>
                            </w:r>
                            <w:r>
                              <w:rPr>
                                <w:sz w:val="20"/>
                                <w:szCs w:val="20"/>
                              </w:rPr>
                              <w:tab/>
                            </w:r>
                            <w:r w:rsidRPr="009A7DF1">
                              <w:rPr>
                                <w:sz w:val="20"/>
                                <w:szCs w:val="20"/>
                              </w:rPr>
                              <w:t>forest species in urban areas; or</w:t>
                            </w:r>
                          </w:p>
                          <w:p w14:paraId="24287F16" w14:textId="77777777" w:rsidR="009A1120" w:rsidRPr="009A7DF1" w:rsidRDefault="009A1120" w:rsidP="009A1120">
                            <w:pPr>
                              <w:spacing w:after="60"/>
                              <w:ind w:left="567" w:hanging="284"/>
                              <w:rPr>
                                <w:sz w:val="20"/>
                                <w:szCs w:val="20"/>
                              </w:rPr>
                            </w:pPr>
                            <w:r w:rsidRPr="009A7DF1">
                              <w:rPr>
                                <w:sz w:val="20"/>
                                <w:szCs w:val="20"/>
                              </w:rPr>
                              <w:t>(iii)</w:t>
                            </w:r>
                            <w:r>
                              <w:rPr>
                                <w:sz w:val="20"/>
                                <w:szCs w:val="20"/>
                              </w:rPr>
                              <w:tab/>
                            </w:r>
                            <w:r w:rsidRPr="009A7DF1">
                              <w:rPr>
                                <w:sz w:val="20"/>
                                <w:szCs w:val="20"/>
                              </w:rPr>
                              <w:t>nurseries and seed orchards; or</w:t>
                            </w:r>
                          </w:p>
                          <w:p w14:paraId="40A0258A" w14:textId="77777777" w:rsidR="009A1120" w:rsidRPr="009A7DF1" w:rsidRDefault="009A1120" w:rsidP="009A1120">
                            <w:pPr>
                              <w:spacing w:after="60"/>
                              <w:ind w:left="567" w:hanging="284"/>
                              <w:rPr>
                                <w:sz w:val="20"/>
                                <w:szCs w:val="20"/>
                              </w:rPr>
                            </w:pPr>
                            <w:r w:rsidRPr="009A7DF1">
                              <w:rPr>
                                <w:sz w:val="20"/>
                                <w:szCs w:val="20"/>
                              </w:rPr>
                              <w:t>(iv)</w:t>
                            </w:r>
                            <w:r>
                              <w:rPr>
                                <w:sz w:val="20"/>
                                <w:szCs w:val="20"/>
                              </w:rPr>
                              <w:tab/>
                            </w:r>
                            <w:r w:rsidRPr="009A7DF1">
                              <w:rPr>
                                <w:sz w:val="20"/>
                                <w:szCs w:val="20"/>
                              </w:rPr>
                              <w:t>trees grown for fruit or nuts; or</w:t>
                            </w:r>
                          </w:p>
                          <w:p w14:paraId="5ACD01F6" w14:textId="77777777" w:rsidR="009A1120" w:rsidRPr="009A7DF1" w:rsidRDefault="009A1120" w:rsidP="009A1120">
                            <w:pPr>
                              <w:spacing w:after="60"/>
                              <w:ind w:left="567" w:hanging="284"/>
                              <w:rPr>
                                <w:sz w:val="20"/>
                                <w:szCs w:val="20"/>
                              </w:rPr>
                            </w:pPr>
                            <w:r w:rsidRPr="009A7DF1">
                              <w:rPr>
                                <w:sz w:val="20"/>
                                <w:szCs w:val="20"/>
                              </w:rPr>
                              <w:t>(v)</w:t>
                            </w:r>
                            <w:r>
                              <w:rPr>
                                <w:sz w:val="20"/>
                                <w:szCs w:val="20"/>
                              </w:rPr>
                              <w:tab/>
                            </w:r>
                            <w:r w:rsidRPr="009A7DF1">
                              <w:rPr>
                                <w:sz w:val="20"/>
                                <w:szCs w:val="20"/>
                              </w:rPr>
                              <w:t>long-term ecological restoration planting of forest species; or</w:t>
                            </w:r>
                          </w:p>
                          <w:p w14:paraId="05D12A9D" w14:textId="77777777" w:rsidR="009A1120" w:rsidRPr="001A38AB" w:rsidRDefault="009A1120" w:rsidP="009A1120">
                            <w:pPr>
                              <w:pBdr>
                                <w:bottom w:val="single" w:sz="4" w:space="1" w:color="auto"/>
                              </w:pBdr>
                              <w:spacing w:after="60"/>
                              <w:ind w:left="567" w:hanging="284"/>
                              <w:rPr>
                                <w:sz w:val="20"/>
                                <w:szCs w:val="20"/>
                              </w:rPr>
                            </w:pPr>
                            <w:r w:rsidRPr="009A7DF1">
                              <w:rPr>
                                <w:sz w:val="20"/>
                                <w:szCs w:val="20"/>
                              </w:rPr>
                              <w:t>(vi)</w:t>
                            </w:r>
                            <w:r>
                              <w:rPr>
                                <w:sz w:val="20"/>
                                <w:szCs w:val="20"/>
                              </w:rPr>
                              <w:tab/>
                            </w:r>
                            <w:r w:rsidRPr="009A7DF1">
                              <w:rPr>
                                <w:sz w:val="20"/>
                                <w:szCs w:val="20"/>
                              </w:rPr>
                              <w:t>willows and poplars space planted for soil conservation purposes</w:t>
                            </w:r>
                          </w:p>
                        </w:txbxContent>
                      </v:textbox>
                      <w10:anchorlock/>
                    </v:shape>
                  </w:pict>
                </mc:Fallback>
              </mc:AlternateContent>
            </w:r>
          </w:p>
        </w:tc>
      </w:tr>
      <w:tr w:rsidR="009A1120" w:rsidRPr="00472578" w14:paraId="3A00CB86" w14:textId="77777777" w:rsidTr="007612BD">
        <w:tc>
          <w:tcPr>
            <w:tcW w:w="2104" w:type="dxa"/>
            <w:tcBorders>
              <w:top w:val="single" w:sz="4" w:space="0" w:color="auto"/>
              <w:left w:val="nil"/>
              <w:bottom w:val="single" w:sz="4" w:space="0" w:color="auto"/>
              <w:right w:val="single" w:sz="4" w:space="0" w:color="auto"/>
            </w:tcBorders>
          </w:tcPr>
          <w:p w14:paraId="0E12192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PM</w:t>
            </w:r>
            <w:r w:rsidRPr="00472578">
              <w:rPr>
                <w:b/>
                <w:bCs/>
                <w:sz w:val="20"/>
                <w:szCs w:val="20"/>
                <w:vertAlign w:val="subscript"/>
              </w:rPr>
              <w:t>10</w:t>
            </w:r>
          </w:p>
        </w:tc>
        <w:tc>
          <w:tcPr>
            <w:tcW w:w="7146" w:type="dxa"/>
            <w:tcBorders>
              <w:top w:val="single" w:sz="4" w:space="0" w:color="auto"/>
              <w:left w:val="single" w:sz="4" w:space="0" w:color="auto"/>
              <w:bottom w:val="single" w:sz="4" w:space="0" w:color="auto"/>
              <w:right w:val="nil"/>
            </w:tcBorders>
          </w:tcPr>
          <w:p w14:paraId="675B136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Air Quality) Regulations 2004 (as set out in the box below)</w:t>
            </w:r>
          </w:p>
          <w:p w14:paraId="2C043F6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854F74F" wp14:editId="1EA07355">
                      <wp:extent cx="3697356" cy="1200647"/>
                      <wp:effectExtent l="0" t="0" r="1778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200647"/>
                              </a:xfrm>
                              <a:prstGeom prst="rect">
                                <a:avLst/>
                              </a:prstGeom>
                              <a:solidFill>
                                <a:srgbClr val="FFFFFF"/>
                              </a:solidFill>
                              <a:ln w="9525">
                                <a:solidFill>
                                  <a:srgbClr val="000000"/>
                                </a:solidFill>
                                <a:miter lim="800000"/>
                                <a:headEnd/>
                                <a:tailEnd/>
                              </a:ln>
                            </wps:spPr>
                            <wps:txbx>
                              <w:txbxContent>
                                <w:p w14:paraId="445C8042" w14:textId="77777777" w:rsidR="009A1120" w:rsidRPr="001A38AB" w:rsidRDefault="009A1120" w:rsidP="009A1120">
                                  <w:pPr>
                                    <w:spacing w:after="60"/>
                                    <w:rPr>
                                      <w:sz w:val="20"/>
                                      <w:szCs w:val="20"/>
                                    </w:rPr>
                                  </w:pPr>
                                  <w:r w:rsidRPr="001A38AB">
                                    <w:rPr>
                                      <w:sz w:val="20"/>
                                      <w:szCs w:val="20"/>
                                    </w:rPr>
                                    <w:t>means particulate matter that is—</w:t>
                                  </w:r>
                                </w:p>
                                <w:p w14:paraId="2BB138CC"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less than 10 micrometres in aerodynamic diameter; and</w:t>
                                  </w:r>
                                </w:p>
                                <w:p w14:paraId="48DCB543"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measured in accordance with the United States Code of Federal Regulations, Title 40—Protection of Environment, Volume 2, Part 50, Appendix J — Reference method for the determination of particulate matter as PM</w:t>
                                  </w:r>
                                  <w:r w:rsidRPr="001A38AB">
                                    <w:rPr>
                                      <w:sz w:val="20"/>
                                      <w:szCs w:val="20"/>
                                      <w:vertAlign w:val="subscript"/>
                                    </w:rPr>
                                    <w:t>10</w:t>
                                  </w:r>
                                  <w:r w:rsidRPr="001A38AB">
                                    <w:rPr>
                                      <w:sz w:val="20"/>
                                      <w:szCs w:val="20"/>
                                    </w:rPr>
                                    <w:t xml:space="preserve"> in the atmosphere</w:t>
                                  </w:r>
                                </w:p>
                              </w:txbxContent>
                            </wps:txbx>
                            <wps:bodyPr rot="0" vert="horz" wrap="square" lIns="91440" tIns="45720" rIns="91440" bIns="45720" anchor="t" anchorCtr="0">
                              <a:noAutofit/>
                            </wps:bodyPr>
                          </wps:wsp>
                        </a:graphicData>
                      </a:graphic>
                    </wp:inline>
                  </w:drawing>
                </mc:Choice>
                <mc:Fallback>
                  <w:pict>
                    <v:shape w14:anchorId="6854F74F" id="_x0000_s1103" type="#_x0000_t202" style="width:291.15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7OJgIAAE0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">
                      <v:textbox>
                        <w:txbxContent>
                          <w:p w14:paraId="445C8042" w14:textId="77777777" w:rsidR="009A1120" w:rsidRPr="001A38AB" w:rsidRDefault="009A1120" w:rsidP="009A1120">
                            <w:pPr>
                              <w:spacing w:after="60"/>
                              <w:rPr>
                                <w:sz w:val="20"/>
                                <w:szCs w:val="20"/>
                              </w:rPr>
                            </w:pPr>
                            <w:r w:rsidRPr="001A38AB">
                              <w:rPr>
                                <w:sz w:val="20"/>
                                <w:szCs w:val="20"/>
                              </w:rPr>
                              <w:t>means particulate matter that is—</w:t>
                            </w:r>
                          </w:p>
                          <w:p w14:paraId="2BB138CC"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less than 10 micrometres in aerodynamic diameter; and</w:t>
                            </w:r>
                          </w:p>
                          <w:p w14:paraId="48DCB543"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measured in accordance with the United States Code of Federal Regulations, Title 40—Protection of Environment, Volume 2, Part 50, Appendix J — Reference method for the determination of particulate matter as PM</w:t>
                            </w:r>
                            <w:r w:rsidRPr="001A38AB">
                              <w:rPr>
                                <w:sz w:val="20"/>
                                <w:szCs w:val="20"/>
                                <w:vertAlign w:val="subscript"/>
                              </w:rPr>
                              <w:t>10</w:t>
                            </w:r>
                            <w:r w:rsidRPr="001A38AB">
                              <w:rPr>
                                <w:sz w:val="20"/>
                                <w:szCs w:val="20"/>
                              </w:rPr>
                              <w:t xml:space="preserve"> in the atmosphere</w:t>
                            </w:r>
                          </w:p>
                        </w:txbxContent>
                      </v:textbox>
                      <w10:anchorlock/>
                    </v:shape>
                  </w:pict>
                </mc:Fallback>
              </mc:AlternateContent>
            </w:r>
          </w:p>
        </w:tc>
      </w:tr>
      <w:tr w:rsidR="009A1120" w:rsidRPr="00472578" w14:paraId="5354331E" w14:textId="77777777" w:rsidTr="007612BD">
        <w:tc>
          <w:tcPr>
            <w:tcW w:w="2104" w:type="dxa"/>
            <w:tcBorders>
              <w:top w:val="single" w:sz="4" w:space="0" w:color="auto"/>
              <w:left w:val="nil"/>
              <w:bottom w:val="single" w:sz="4" w:space="0" w:color="auto"/>
              <w:right w:val="single" w:sz="4" w:space="0" w:color="auto"/>
            </w:tcBorders>
          </w:tcPr>
          <w:p w14:paraId="4B8CB89C" w14:textId="77777777" w:rsidR="009A1120" w:rsidRPr="00472578" w:rsidRDefault="009A1120" w:rsidP="00DC6CD9">
            <w:pPr>
              <w:tabs>
                <w:tab w:val="center" w:pos="4513"/>
                <w:tab w:val="right" w:pos="9026"/>
              </w:tabs>
              <w:rPr>
                <w:b/>
                <w:bCs/>
                <w:sz w:val="20"/>
                <w:szCs w:val="20"/>
              </w:rPr>
            </w:pPr>
            <w:r w:rsidRPr="00472578">
              <w:rPr>
                <w:b/>
                <w:bCs/>
                <w:sz w:val="20"/>
                <w:szCs w:val="20"/>
              </w:rPr>
              <w:t>PM</w:t>
            </w:r>
            <w:r w:rsidRPr="00472578">
              <w:rPr>
                <w:b/>
                <w:bCs/>
                <w:sz w:val="20"/>
                <w:szCs w:val="20"/>
                <w:vertAlign w:val="subscript"/>
              </w:rPr>
              <w:t>2.5</w:t>
            </w:r>
          </w:p>
        </w:tc>
        <w:tc>
          <w:tcPr>
            <w:tcW w:w="7146" w:type="dxa"/>
            <w:tcBorders>
              <w:top w:val="single" w:sz="4" w:space="0" w:color="auto"/>
              <w:left w:val="single" w:sz="4" w:space="0" w:color="auto"/>
              <w:bottom w:val="single" w:sz="4" w:space="0" w:color="auto"/>
              <w:right w:val="nil"/>
            </w:tcBorders>
          </w:tcPr>
          <w:p w14:paraId="709305D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particulate matter that is less than 2.5 micrometres in aerodynamic diameter.</w:t>
            </w:r>
          </w:p>
        </w:tc>
      </w:tr>
      <w:tr w:rsidR="009A1120" w:rsidRPr="00472578" w14:paraId="26F0714C" w14:textId="77777777" w:rsidTr="007612BD">
        <w:tc>
          <w:tcPr>
            <w:tcW w:w="2104" w:type="dxa"/>
            <w:tcBorders>
              <w:top w:val="single" w:sz="4" w:space="0" w:color="auto"/>
              <w:left w:val="nil"/>
              <w:bottom w:val="single" w:sz="4" w:space="0" w:color="auto"/>
              <w:right w:val="single" w:sz="4" w:space="0" w:color="auto"/>
            </w:tcBorders>
          </w:tcPr>
          <w:p w14:paraId="6039E548" w14:textId="77777777" w:rsidR="009A1120" w:rsidRPr="00472578" w:rsidRDefault="009A1120" w:rsidP="00DC6CD9">
            <w:pPr>
              <w:tabs>
                <w:tab w:val="center" w:pos="4513"/>
                <w:tab w:val="right" w:pos="9026"/>
              </w:tabs>
              <w:rPr>
                <w:b/>
                <w:bCs/>
                <w:sz w:val="20"/>
                <w:szCs w:val="20"/>
              </w:rPr>
            </w:pPr>
            <w:r w:rsidRPr="00472578">
              <w:rPr>
                <w:b/>
                <w:bCs/>
                <w:sz w:val="20"/>
                <w:szCs w:val="20"/>
              </w:rPr>
              <w:t>Polluted airshed</w:t>
            </w:r>
          </w:p>
        </w:tc>
        <w:tc>
          <w:tcPr>
            <w:tcW w:w="7146" w:type="dxa"/>
            <w:tcBorders>
              <w:top w:val="single" w:sz="4" w:space="0" w:color="auto"/>
              <w:left w:val="single" w:sz="4" w:space="0" w:color="auto"/>
              <w:bottom w:val="single" w:sz="4" w:space="0" w:color="auto"/>
              <w:right w:val="nil"/>
            </w:tcBorders>
          </w:tcPr>
          <w:p w14:paraId="281DDDC3"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17(4) of the National Environmental Standards for Air Quality 2004 (as set out in the box below)</w:t>
            </w:r>
          </w:p>
          <w:p w14:paraId="1CD15D2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C75515C" wp14:editId="0BBEE2DC">
                      <wp:extent cx="3697356" cy="1751162"/>
                      <wp:effectExtent l="0" t="0" r="17780" b="2095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751162"/>
                              </a:xfrm>
                              <a:prstGeom prst="rect">
                                <a:avLst/>
                              </a:prstGeom>
                              <a:solidFill>
                                <a:srgbClr val="FFFFFF"/>
                              </a:solidFill>
                              <a:ln w="9525">
                                <a:solidFill>
                                  <a:srgbClr val="000000"/>
                                </a:solidFill>
                                <a:miter lim="800000"/>
                                <a:headEnd/>
                                <a:tailEnd/>
                              </a:ln>
                            </wps:spPr>
                            <wps:txbx>
                              <w:txbxContent>
                                <w:p w14:paraId="5622AC4C" w14:textId="77777777" w:rsidR="009A1120" w:rsidRPr="008C1273" w:rsidRDefault="009A1120" w:rsidP="009A1120">
                                  <w:pPr>
                                    <w:spacing w:before="60" w:after="60"/>
                                    <w:ind w:left="284" w:hanging="284"/>
                                    <w:jc w:val="both"/>
                                    <w:rPr>
                                      <w:sz w:val="20"/>
                                      <w:szCs w:val="20"/>
                                    </w:rPr>
                                  </w:pPr>
                                  <w:r w:rsidRPr="008C1273">
                                    <w:rPr>
                                      <w:sz w:val="20"/>
                                      <w:szCs w:val="20"/>
                                    </w:rPr>
                                    <w:t>(a)</w:t>
                                  </w:r>
                                  <w:r>
                                    <w:rPr>
                                      <w:sz w:val="20"/>
                                      <w:szCs w:val="20"/>
                                    </w:rPr>
                                    <w:tab/>
                                  </w:r>
                                  <w:r w:rsidRPr="008C1273">
                                    <w:rPr>
                                      <w:sz w:val="20"/>
                                      <w:szCs w:val="20"/>
                                    </w:rPr>
                                    <w:t>an airshed becomes a polluted airshed on and from 1 September 2012 or any later day if, for the immediately prior 5-year period—</w:t>
                                  </w:r>
                                </w:p>
                                <w:p w14:paraId="0B38BB1A" w14:textId="77777777" w:rsidR="009A1120" w:rsidRPr="008C1273" w:rsidRDefault="009A1120" w:rsidP="009A1120">
                                  <w:pPr>
                                    <w:spacing w:before="60" w:after="60"/>
                                    <w:ind w:left="567" w:hanging="283"/>
                                    <w:jc w:val="both"/>
                                    <w:rPr>
                                      <w:sz w:val="20"/>
                                      <w:szCs w:val="20"/>
                                    </w:rPr>
                                  </w:pPr>
                                  <w:r w:rsidRPr="008C1273">
                                    <w:rPr>
                                      <w:sz w:val="20"/>
                                      <w:szCs w:val="20"/>
                                    </w:rPr>
                                    <w:t>(i)</w:t>
                                  </w:r>
                                  <w:r>
                                    <w:rPr>
                                      <w:sz w:val="20"/>
                                      <w:szCs w:val="20"/>
                                    </w:rPr>
                                    <w:tab/>
                                  </w:r>
                                  <w:r w:rsidRPr="008C1273">
                                    <w:rPr>
                                      <w:sz w:val="20"/>
                                      <w:szCs w:val="20"/>
                                    </w:rPr>
                                    <w:t>the airshed has meaningful PM10 data for at least a 12-month period; and</w:t>
                                  </w:r>
                                </w:p>
                                <w:p w14:paraId="1A6E7F9B" w14:textId="77777777" w:rsidR="009A1120" w:rsidRPr="008C1273" w:rsidRDefault="009A1120" w:rsidP="009A1120">
                                  <w:pPr>
                                    <w:spacing w:before="60" w:after="60"/>
                                    <w:ind w:left="567" w:hanging="283"/>
                                    <w:jc w:val="both"/>
                                    <w:rPr>
                                      <w:sz w:val="20"/>
                                      <w:szCs w:val="20"/>
                                    </w:rPr>
                                  </w:pPr>
                                  <w:r w:rsidRPr="008C1273">
                                    <w:rPr>
                                      <w:sz w:val="20"/>
                                      <w:szCs w:val="20"/>
                                    </w:rPr>
                                    <w:t>(ii)</w:t>
                                  </w:r>
                                  <w:r>
                                    <w:rPr>
                                      <w:sz w:val="20"/>
                                      <w:szCs w:val="20"/>
                                    </w:rPr>
                                    <w:t xml:space="preserve"> </w:t>
                                  </w:r>
                                  <w:r w:rsidRPr="008C1273">
                                    <w:rPr>
                                      <w:sz w:val="20"/>
                                      <w:szCs w:val="20"/>
                                    </w:rPr>
                                    <w:t>the airshed’s average exceedances of PM10 (as calculated under regulation 16D) was more than 1 per year; and</w:t>
                                  </w:r>
                                </w:p>
                                <w:p w14:paraId="1C2228C4" w14:textId="77777777" w:rsidR="009A1120" w:rsidRPr="001A38AB" w:rsidRDefault="009A1120" w:rsidP="009A1120">
                                  <w:pPr>
                                    <w:spacing w:before="60" w:after="60"/>
                                    <w:ind w:left="284" w:hanging="284"/>
                                    <w:jc w:val="both"/>
                                    <w:rPr>
                                      <w:sz w:val="20"/>
                                      <w:szCs w:val="20"/>
                                    </w:rPr>
                                  </w:pPr>
                                  <w:r w:rsidRPr="008C1273">
                                    <w:rPr>
                                      <w:sz w:val="20"/>
                                      <w:szCs w:val="20"/>
                                    </w:rPr>
                                    <w:t>(b)</w:t>
                                  </w:r>
                                  <w:r>
                                    <w:rPr>
                                      <w:sz w:val="20"/>
                                      <w:szCs w:val="20"/>
                                    </w:rPr>
                                    <w:tab/>
                                  </w:r>
                                  <w:r w:rsidRPr="008C1273">
                                    <w:rPr>
                                      <w:sz w:val="20"/>
                                      <w:szCs w:val="20"/>
                                    </w:rPr>
                                    <w:t>an airshed stops being a polluted airshed on and from any day if the PM10 standard was not breached in the airshed in the immediately prior 5-year period</w:t>
                                  </w:r>
                                </w:p>
                              </w:txbxContent>
                            </wps:txbx>
                            <wps:bodyPr rot="0" vert="horz" wrap="square" lIns="91440" tIns="45720" rIns="91440" bIns="45720" anchor="t" anchorCtr="0">
                              <a:noAutofit/>
                            </wps:bodyPr>
                          </wps:wsp>
                        </a:graphicData>
                      </a:graphic>
                    </wp:inline>
                  </w:drawing>
                </mc:Choice>
                <mc:Fallback>
                  <w:pict>
                    <v:shape w14:anchorId="0C75515C" id="Text Box 54" o:spid="_x0000_s1104" type="#_x0000_t202" style="width:291.15pt;height:1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">
                      <v:textbox>
                        <w:txbxContent>
                          <w:p w14:paraId="5622AC4C" w14:textId="77777777" w:rsidR="009A1120" w:rsidRPr="008C1273" w:rsidRDefault="009A1120" w:rsidP="009A1120">
                            <w:pPr>
                              <w:spacing w:before="60" w:after="60"/>
                              <w:ind w:left="284" w:hanging="284"/>
                              <w:jc w:val="both"/>
                              <w:rPr>
                                <w:sz w:val="20"/>
                                <w:szCs w:val="20"/>
                              </w:rPr>
                            </w:pPr>
                            <w:r w:rsidRPr="008C1273">
                              <w:rPr>
                                <w:sz w:val="20"/>
                                <w:szCs w:val="20"/>
                              </w:rPr>
                              <w:t>(a)</w:t>
                            </w:r>
                            <w:r>
                              <w:rPr>
                                <w:sz w:val="20"/>
                                <w:szCs w:val="20"/>
                              </w:rPr>
                              <w:tab/>
                            </w:r>
                            <w:r w:rsidRPr="008C1273">
                              <w:rPr>
                                <w:sz w:val="20"/>
                                <w:szCs w:val="20"/>
                              </w:rPr>
                              <w:t>an airshed becomes a polluted airshed on and from 1 September 2012 or any later day if, for the immediately prior 5-year period—</w:t>
                            </w:r>
                          </w:p>
                          <w:p w14:paraId="0B38BB1A" w14:textId="77777777" w:rsidR="009A1120" w:rsidRPr="008C1273" w:rsidRDefault="009A1120" w:rsidP="009A1120">
                            <w:pPr>
                              <w:spacing w:before="60" w:after="60"/>
                              <w:ind w:left="567" w:hanging="283"/>
                              <w:jc w:val="both"/>
                              <w:rPr>
                                <w:sz w:val="20"/>
                                <w:szCs w:val="20"/>
                              </w:rPr>
                            </w:pPr>
                            <w:r w:rsidRPr="008C1273">
                              <w:rPr>
                                <w:sz w:val="20"/>
                                <w:szCs w:val="20"/>
                              </w:rPr>
                              <w:t>(i)</w:t>
                            </w:r>
                            <w:r>
                              <w:rPr>
                                <w:sz w:val="20"/>
                                <w:szCs w:val="20"/>
                              </w:rPr>
                              <w:tab/>
                            </w:r>
                            <w:r w:rsidRPr="008C1273">
                              <w:rPr>
                                <w:sz w:val="20"/>
                                <w:szCs w:val="20"/>
                              </w:rPr>
                              <w:t>the airshed has meaningful PM10 data for at least a 12-month period; and</w:t>
                            </w:r>
                          </w:p>
                          <w:p w14:paraId="1A6E7F9B" w14:textId="77777777" w:rsidR="009A1120" w:rsidRPr="008C1273" w:rsidRDefault="009A1120" w:rsidP="009A1120">
                            <w:pPr>
                              <w:spacing w:before="60" w:after="60"/>
                              <w:ind w:left="567" w:hanging="283"/>
                              <w:jc w:val="both"/>
                              <w:rPr>
                                <w:sz w:val="20"/>
                                <w:szCs w:val="20"/>
                              </w:rPr>
                            </w:pPr>
                            <w:r w:rsidRPr="008C1273">
                              <w:rPr>
                                <w:sz w:val="20"/>
                                <w:szCs w:val="20"/>
                              </w:rPr>
                              <w:t>(ii)</w:t>
                            </w:r>
                            <w:r>
                              <w:rPr>
                                <w:sz w:val="20"/>
                                <w:szCs w:val="20"/>
                              </w:rPr>
                              <w:t xml:space="preserve"> </w:t>
                            </w:r>
                            <w:r w:rsidRPr="008C1273">
                              <w:rPr>
                                <w:sz w:val="20"/>
                                <w:szCs w:val="20"/>
                              </w:rPr>
                              <w:t>the airshed’s average exceedances of PM10 (as calculated under regulation 16D) was more than 1 per year; and</w:t>
                            </w:r>
                          </w:p>
                          <w:p w14:paraId="1C2228C4" w14:textId="77777777" w:rsidR="009A1120" w:rsidRPr="001A38AB" w:rsidRDefault="009A1120" w:rsidP="009A1120">
                            <w:pPr>
                              <w:spacing w:before="60" w:after="60"/>
                              <w:ind w:left="284" w:hanging="284"/>
                              <w:jc w:val="both"/>
                              <w:rPr>
                                <w:sz w:val="20"/>
                                <w:szCs w:val="20"/>
                              </w:rPr>
                            </w:pPr>
                            <w:r w:rsidRPr="008C1273">
                              <w:rPr>
                                <w:sz w:val="20"/>
                                <w:szCs w:val="20"/>
                              </w:rPr>
                              <w:t>(b)</w:t>
                            </w:r>
                            <w:r>
                              <w:rPr>
                                <w:sz w:val="20"/>
                                <w:szCs w:val="20"/>
                              </w:rPr>
                              <w:tab/>
                            </w:r>
                            <w:r w:rsidRPr="008C1273">
                              <w:rPr>
                                <w:sz w:val="20"/>
                                <w:szCs w:val="20"/>
                              </w:rPr>
                              <w:t>an airshed stops being a polluted airshed on and from any day if the PM10 standard was not breached in the airshed in the immediately prior 5-year period</w:t>
                            </w:r>
                          </w:p>
                        </w:txbxContent>
                      </v:textbox>
                      <w10:anchorlock/>
                    </v:shape>
                  </w:pict>
                </mc:Fallback>
              </mc:AlternateContent>
            </w:r>
          </w:p>
        </w:tc>
      </w:tr>
      <w:tr w:rsidR="009A1120" w:rsidRPr="00472578" w14:paraId="70C2D74B" w14:textId="77777777" w:rsidTr="007612BD">
        <w:tc>
          <w:tcPr>
            <w:tcW w:w="2104" w:type="dxa"/>
            <w:tcBorders>
              <w:top w:val="single" w:sz="4" w:space="0" w:color="auto"/>
              <w:bottom w:val="single" w:sz="4" w:space="0" w:color="auto"/>
            </w:tcBorders>
          </w:tcPr>
          <w:p w14:paraId="7137444D"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Primary contact site</w:t>
            </w:r>
          </w:p>
        </w:tc>
        <w:tc>
          <w:tcPr>
            <w:tcW w:w="7146" w:type="dxa"/>
            <w:tcBorders>
              <w:top w:val="single" w:sz="4" w:space="0" w:color="auto"/>
              <w:bottom w:val="single" w:sz="4" w:space="0" w:color="auto"/>
            </w:tcBorders>
          </w:tcPr>
          <w:p w14:paraId="70443A0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Freshwater Management 2020 (as set out in the box below)</w:t>
            </w:r>
          </w:p>
          <w:p w14:paraId="0473FD2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511BA62" wp14:editId="04281EBE">
                      <wp:extent cx="3697356" cy="1264258"/>
                      <wp:effectExtent l="0" t="0" r="17780" b="12700"/>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264258"/>
                              </a:xfrm>
                              <a:prstGeom prst="rect">
                                <a:avLst/>
                              </a:prstGeom>
                              <a:solidFill>
                                <a:srgbClr val="FFFFFF"/>
                              </a:solidFill>
                              <a:ln w="9525">
                                <a:solidFill>
                                  <a:srgbClr val="000000"/>
                                </a:solidFill>
                                <a:miter lim="800000"/>
                                <a:headEnd/>
                                <a:tailEnd/>
                              </a:ln>
                            </wps:spPr>
                            <wps:txbx>
                              <w:txbxContent>
                                <w:p w14:paraId="6582974E" w14:textId="77777777" w:rsidR="009A1120" w:rsidRPr="00060F3F" w:rsidRDefault="009A1120" w:rsidP="009A1120">
                                  <w:pPr>
                                    <w:contextualSpacing/>
                                    <w:rPr>
                                      <w:sz w:val="20"/>
                                      <w:szCs w:val="20"/>
                                    </w:rPr>
                                  </w:pPr>
                                  <w:r w:rsidRPr="00060F3F">
                                    <w:rPr>
                                      <w:sz w:val="20"/>
                                      <w:szCs w:val="20"/>
                                    </w:rPr>
                                    <w:t xml:space="preserve">in relation to both the quantity and quality of freshwater, is the </w:t>
                                  </w:r>
                                  <w:r w:rsidRPr="00E61FEC">
                                    <w:rPr>
                                      <w:sz w:val="20"/>
                                      <w:szCs w:val="20"/>
                                    </w:rPr>
                                    <w:t>means a site identified by a regional council that it considers is regularly used, or would be regularly used but for existing freshwater quality, for recreational activities such as swimming, paddling, boating, or watersports, and particularly for activities where there is a high likelihood of water or water vapour being ingested or inhaled</w:t>
                                  </w:r>
                                </w:p>
                              </w:txbxContent>
                            </wps:txbx>
                            <wps:bodyPr rot="0" vert="horz" wrap="square" lIns="91440" tIns="45720" rIns="91440" bIns="45720" anchor="t" anchorCtr="0">
                              <a:noAutofit/>
                            </wps:bodyPr>
                          </wps:wsp>
                        </a:graphicData>
                      </a:graphic>
                    </wp:inline>
                  </w:drawing>
                </mc:Choice>
                <mc:Fallback>
                  <w:pict>
                    <v:shape w14:anchorId="3511BA62" id="Text Box 253" o:spid="_x0000_s1105" type="#_x0000_t202" style="width:291.15pt;height:9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">
                      <v:textbox>
                        <w:txbxContent>
                          <w:p w14:paraId="6582974E" w14:textId="77777777" w:rsidR="009A1120" w:rsidRPr="00060F3F" w:rsidRDefault="009A1120" w:rsidP="009A1120">
                            <w:pPr>
                              <w:contextualSpacing/>
                              <w:rPr>
                                <w:sz w:val="20"/>
                                <w:szCs w:val="20"/>
                              </w:rPr>
                            </w:pPr>
                            <w:r w:rsidRPr="00060F3F">
                              <w:rPr>
                                <w:sz w:val="20"/>
                                <w:szCs w:val="20"/>
                              </w:rPr>
                              <w:t xml:space="preserve">in relation to both the quantity and quality of freshwater, is the </w:t>
                            </w:r>
                            <w:r w:rsidRPr="00E61FEC">
                              <w:rPr>
                                <w:sz w:val="20"/>
                                <w:szCs w:val="20"/>
                              </w:rPr>
                              <w:t>means a site identified by a regional council that it considers is regularly used, or would be regularly used but for existing freshwater quality, for recreational activities such as swimming, paddling, boating, or watersports, and particularly for activities where there is a high likelihood of water or water vapour being ingested or inhaled</w:t>
                            </w:r>
                          </w:p>
                        </w:txbxContent>
                      </v:textbox>
                      <w10:anchorlock/>
                    </v:shape>
                  </w:pict>
                </mc:Fallback>
              </mc:AlternateContent>
            </w:r>
          </w:p>
        </w:tc>
      </w:tr>
      <w:tr w:rsidR="009A1120" w:rsidRPr="00472578" w14:paraId="301DED2B" w14:textId="77777777" w:rsidTr="007612BD">
        <w:tc>
          <w:tcPr>
            <w:tcW w:w="2104" w:type="dxa"/>
            <w:tcBorders>
              <w:top w:val="single" w:sz="4" w:space="0" w:color="auto"/>
              <w:bottom w:val="single" w:sz="4" w:space="0" w:color="auto"/>
            </w:tcBorders>
          </w:tcPr>
          <w:p w14:paraId="7DCA3F3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Primary production</w:t>
            </w:r>
          </w:p>
        </w:tc>
        <w:tc>
          <w:tcPr>
            <w:tcW w:w="7146" w:type="dxa"/>
            <w:tcBorders>
              <w:top w:val="single" w:sz="4" w:space="0" w:color="auto"/>
              <w:bottom w:val="single" w:sz="4" w:space="0" w:color="auto"/>
            </w:tcBorders>
          </w:tcPr>
          <w:p w14:paraId="52E7512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0F2240D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12300A09" wp14:editId="57FDB8C9">
                      <wp:extent cx="3697356" cy="1933575"/>
                      <wp:effectExtent l="0" t="0" r="17780" b="28575"/>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933575"/>
                              </a:xfrm>
                              <a:prstGeom prst="rect">
                                <a:avLst/>
                              </a:prstGeom>
                              <a:solidFill>
                                <a:srgbClr val="FFFFFF"/>
                              </a:solidFill>
                              <a:ln w="9525">
                                <a:solidFill>
                                  <a:srgbClr val="000000"/>
                                </a:solidFill>
                                <a:miter lim="800000"/>
                                <a:headEnd/>
                                <a:tailEnd/>
                              </a:ln>
                            </wps:spPr>
                            <wps:txbx>
                              <w:txbxContent>
                                <w:p w14:paraId="5DF37CB3" w14:textId="77777777" w:rsidR="009A1120" w:rsidRDefault="009A1120" w:rsidP="009A1120">
                                  <w:pPr>
                                    <w:spacing w:after="60"/>
                                    <w:rPr>
                                      <w:sz w:val="20"/>
                                      <w:szCs w:val="20"/>
                                    </w:rPr>
                                  </w:pPr>
                                  <w:r>
                                    <w:rPr>
                                      <w:sz w:val="20"/>
                                      <w:szCs w:val="20"/>
                                    </w:rPr>
                                    <w:t>means:</w:t>
                                  </w:r>
                                </w:p>
                                <w:p w14:paraId="6103D869" w14:textId="77777777" w:rsidR="009A1120" w:rsidRDefault="009A1120" w:rsidP="009A1120">
                                  <w:pPr>
                                    <w:spacing w:after="60"/>
                                    <w:ind w:left="284" w:hanging="284"/>
                                    <w:rPr>
                                      <w:sz w:val="20"/>
                                      <w:szCs w:val="20"/>
                                    </w:rPr>
                                  </w:pPr>
                                  <w:r>
                                    <w:rPr>
                                      <w:sz w:val="20"/>
                                      <w:szCs w:val="20"/>
                                    </w:rPr>
                                    <w:t>(a)</w:t>
                                  </w:r>
                                  <w:r>
                                    <w:rPr>
                                      <w:sz w:val="20"/>
                                      <w:szCs w:val="20"/>
                                    </w:rPr>
                                    <w:tab/>
                                    <w:t>an aquaculture, agricultural, pastoral, horticultural, mining, quarrying or forestry activities; and</w:t>
                                  </w:r>
                                </w:p>
                                <w:p w14:paraId="6B9217DF" w14:textId="77777777" w:rsidR="009A1120" w:rsidRDefault="009A1120" w:rsidP="009A1120">
                                  <w:pPr>
                                    <w:spacing w:after="60"/>
                                    <w:ind w:left="284" w:hanging="284"/>
                                    <w:rPr>
                                      <w:sz w:val="20"/>
                                      <w:szCs w:val="20"/>
                                    </w:rPr>
                                  </w:pPr>
                                  <w:r>
                                    <w:rPr>
                                      <w:sz w:val="20"/>
                                      <w:szCs w:val="20"/>
                                    </w:rPr>
                                    <w:t>(b)</w:t>
                                  </w:r>
                                  <w:r>
                                    <w:rPr>
                                      <w:sz w:val="20"/>
                                      <w:szCs w:val="20"/>
                                    </w:rPr>
                                    <w:tab/>
                                    <w:t xml:space="preserve">includes initial processing, as an ancillary activity, of commodities that result from the listed activities in a); </w:t>
                                  </w:r>
                                </w:p>
                                <w:p w14:paraId="5EAABD25" w14:textId="77777777" w:rsidR="009A1120" w:rsidRDefault="009A1120" w:rsidP="009A1120">
                                  <w:pPr>
                                    <w:spacing w:after="60"/>
                                    <w:ind w:left="284" w:hanging="284"/>
                                    <w:rPr>
                                      <w:sz w:val="20"/>
                                      <w:szCs w:val="20"/>
                                    </w:rPr>
                                  </w:pPr>
                                  <w:r>
                                    <w:rPr>
                                      <w:sz w:val="20"/>
                                      <w:szCs w:val="20"/>
                                    </w:rPr>
                                    <w:t>(c)</w:t>
                                  </w:r>
                                  <w:r>
                                    <w:rPr>
                                      <w:sz w:val="20"/>
                                      <w:szCs w:val="20"/>
                                    </w:rPr>
                                    <w:tab/>
                                    <w:t>includes any land and buildings used for the production of the commodities from a) and used for the initial processing of the commodities in b); but</w:t>
                                  </w:r>
                                </w:p>
                                <w:p w14:paraId="57272D73" w14:textId="77777777" w:rsidR="009A1120" w:rsidRPr="001A38AB" w:rsidRDefault="009A1120" w:rsidP="009A1120">
                                  <w:pPr>
                                    <w:spacing w:after="60"/>
                                    <w:ind w:left="284" w:hanging="284"/>
                                    <w:rPr>
                                      <w:sz w:val="20"/>
                                      <w:szCs w:val="20"/>
                                    </w:rPr>
                                  </w:pPr>
                                  <w:r>
                                    <w:rPr>
                                      <w:sz w:val="20"/>
                                      <w:szCs w:val="20"/>
                                    </w:rPr>
                                    <w:t>(d)</w:t>
                                  </w:r>
                                  <w:r>
                                    <w:rPr>
                                      <w:sz w:val="20"/>
                                      <w:szCs w:val="20"/>
                                    </w:rPr>
                                    <w:tab/>
                                    <w:t>excludes further processing of those commodities into a different product</w:t>
                                  </w:r>
                                </w:p>
                              </w:txbxContent>
                            </wps:txbx>
                            <wps:bodyPr rot="0" vert="horz" wrap="square" lIns="91440" tIns="45720" rIns="91440" bIns="45720" anchor="t" anchorCtr="0">
                              <a:noAutofit/>
                            </wps:bodyPr>
                          </wps:wsp>
                        </a:graphicData>
                      </a:graphic>
                    </wp:inline>
                  </w:drawing>
                </mc:Choice>
                <mc:Fallback>
                  <w:pict>
                    <v:shape w14:anchorId="12300A09" id="Text Box 240" o:spid="_x0000_s1106" type="#_x0000_t202" style="width:291.1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">
                      <v:textbox>
                        <w:txbxContent>
                          <w:p w14:paraId="5DF37CB3" w14:textId="77777777" w:rsidR="009A1120" w:rsidRDefault="009A1120" w:rsidP="009A1120">
                            <w:pPr>
                              <w:spacing w:after="60"/>
                              <w:rPr>
                                <w:sz w:val="20"/>
                                <w:szCs w:val="20"/>
                              </w:rPr>
                            </w:pPr>
                            <w:r>
                              <w:rPr>
                                <w:sz w:val="20"/>
                                <w:szCs w:val="20"/>
                              </w:rPr>
                              <w:t>means:</w:t>
                            </w:r>
                          </w:p>
                          <w:p w14:paraId="6103D869" w14:textId="77777777" w:rsidR="009A1120" w:rsidRDefault="009A1120" w:rsidP="009A1120">
                            <w:pPr>
                              <w:spacing w:after="60"/>
                              <w:ind w:left="284" w:hanging="284"/>
                              <w:rPr>
                                <w:sz w:val="20"/>
                                <w:szCs w:val="20"/>
                              </w:rPr>
                            </w:pPr>
                            <w:r>
                              <w:rPr>
                                <w:sz w:val="20"/>
                                <w:szCs w:val="20"/>
                              </w:rPr>
                              <w:t>(a)</w:t>
                            </w:r>
                            <w:r>
                              <w:rPr>
                                <w:sz w:val="20"/>
                                <w:szCs w:val="20"/>
                              </w:rPr>
                              <w:tab/>
                              <w:t>an aquaculture, agricultural, pastoral, horticultural, mining, quarrying or forestry activities; and</w:t>
                            </w:r>
                          </w:p>
                          <w:p w14:paraId="6B9217DF" w14:textId="77777777" w:rsidR="009A1120" w:rsidRDefault="009A1120" w:rsidP="009A1120">
                            <w:pPr>
                              <w:spacing w:after="60"/>
                              <w:ind w:left="284" w:hanging="284"/>
                              <w:rPr>
                                <w:sz w:val="20"/>
                                <w:szCs w:val="20"/>
                              </w:rPr>
                            </w:pPr>
                            <w:r>
                              <w:rPr>
                                <w:sz w:val="20"/>
                                <w:szCs w:val="20"/>
                              </w:rPr>
                              <w:t>(b)</w:t>
                            </w:r>
                            <w:r>
                              <w:rPr>
                                <w:sz w:val="20"/>
                                <w:szCs w:val="20"/>
                              </w:rPr>
                              <w:tab/>
                              <w:t xml:space="preserve">includes initial processing, as an ancillary activity, of commodities that result from the listed activities in a); </w:t>
                            </w:r>
                          </w:p>
                          <w:p w14:paraId="5EAABD25" w14:textId="77777777" w:rsidR="009A1120" w:rsidRDefault="009A1120" w:rsidP="009A1120">
                            <w:pPr>
                              <w:spacing w:after="60"/>
                              <w:ind w:left="284" w:hanging="284"/>
                              <w:rPr>
                                <w:sz w:val="20"/>
                                <w:szCs w:val="20"/>
                              </w:rPr>
                            </w:pPr>
                            <w:r>
                              <w:rPr>
                                <w:sz w:val="20"/>
                                <w:szCs w:val="20"/>
                              </w:rPr>
                              <w:t>(c)</w:t>
                            </w:r>
                            <w:r>
                              <w:rPr>
                                <w:sz w:val="20"/>
                                <w:szCs w:val="20"/>
                              </w:rPr>
                              <w:tab/>
                              <w:t>includes any land and buildings used for the production of the commodities from a) and used for the initial processing of the commodities in b); but</w:t>
                            </w:r>
                          </w:p>
                          <w:p w14:paraId="57272D73" w14:textId="77777777" w:rsidR="009A1120" w:rsidRPr="001A38AB" w:rsidRDefault="009A1120" w:rsidP="009A1120">
                            <w:pPr>
                              <w:spacing w:after="60"/>
                              <w:ind w:left="284" w:hanging="284"/>
                              <w:rPr>
                                <w:sz w:val="20"/>
                                <w:szCs w:val="20"/>
                              </w:rPr>
                            </w:pPr>
                            <w:r>
                              <w:rPr>
                                <w:sz w:val="20"/>
                                <w:szCs w:val="20"/>
                              </w:rPr>
                              <w:t>(d)</w:t>
                            </w:r>
                            <w:r>
                              <w:rPr>
                                <w:sz w:val="20"/>
                                <w:szCs w:val="20"/>
                              </w:rPr>
                              <w:tab/>
                              <w:t>excludes further processing of those commodities into a different product</w:t>
                            </w:r>
                          </w:p>
                        </w:txbxContent>
                      </v:textbox>
                      <w10:anchorlock/>
                    </v:shape>
                  </w:pict>
                </mc:Fallback>
              </mc:AlternateContent>
            </w:r>
          </w:p>
        </w:tc>
      </w:tr>
      <w:tr w:rsidR="009A1120" w:rsidRPr="00472578" w14:paraId="30420C0C" w14:textId="77777777" w:rsidTr="007612BD">
        <w:tc>
          <w:tcPr>
            <w:tcW w:w="2104" w:type="dxa"/>
            <w:tcBorders>
              <w:top w:val="single" w:sz="4" w:space="0" w:color="auto"/>
            </w:tcBorders>
          </w:tcPr>
          <w:p w14:paraId="0720508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Public transport</w:t>
            </w:r>
          </w:p>
        </w:tc>
        <w:tc>
          <w:tcPr>
            <w:tcW w:w="7146" w:type="dxa"/>
            <w:tcBorders>
              <w:top w:val="single" w:sz="4" w:space="0" w:color="auto"/>
            </w:tcBorders>
          </w:tcPr>
          <w:p w14:paraId="7DBE36F0"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for Urban Development 2020 (as set out in the box below)</w:t>
            </w:r>
          </w:p>
          <w:p w14:paraId="054E849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BA6D5BB" wp14:editId="0A623131">
                      <wp:extent cx="3697356" cy="1304925"/>
                      <wp:effectExtent l="0" t="0" r="17780" b="28575"/>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304925"/>
                              </a:xfrm>
                              <a:prstGeom prst="rect">
                                <a:avLst/>
                              </a:prstGeom>
                              <a:solidFill>
                                <a:srgbClr val="FFFFFF"/>
                              </a:solidFill>
                              <a:ln w="9525">
                                <a:solidFill>
                                  <a:srgbClr val="000000"/>
                                </a:solidFill>
                                <a:miter lim="800000"/>
                                <a:headEnd/>
                                <a:tailEnd/>
                              </a:ln>
                            </wps:spPr>
                            <wps:txbx>
                              <w:txbxContent>
                                <w:p w14:paraId="15077C08" w14:textId="77777777" w:rsidR="009A1120" w:rsidRPr="001A38AB" w:rsidRDefault="009A1120" w:rsidP="009A1120">
                                  <w:pPr>
                                    <w:contextualSpacing/>
                                    <w:rPr>
                                      <w:sz w:val="20"/>
                                      <w:szCs w:val="20"/>
                                    </w:rPr>
                                  </w:pPr>
                                  <w:r>
                                    <w:rPr>
                                      <w:sz w:val="20"/>
                                      <w:szCs w:val="20"/>
                                    </w:rPr>
                                    <w:t>means any existing or planned service for the carriage of passengers (other than an aeroplane) that is available to the public generally by means of</w:t>
                                  </w:r>
                                  <w:r w:rsidRPr="001A38AB">
                                    <w:rPr>
                                      <w:sz w:val="20"/>
                                      <w:szCs w:val="20"/>
                                    </w:rPr>
                                    <w:t>:</w:t>
                                  </w:r>
                                </w:p>
                                <w:p w14:paraId="5B2DFDEB"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r>
                                  <w:r>
                                    <w:rPr>
                                      <w:sz w:val="20"/>
                                      <w:szCs w:val="20"/>
                                    </w:rPr>
                                    <w:t>a vehicle designed or adapted to carry more than 12 persons (including the driver), or</w:t>
                                  </w:r>
                                </w:p>
                                <w:p w14:paraId="0E73175C" w14:textId="77777777" w:rsidR="009A1120" w:rsidRDefault="009A1120" w:rsidP="009A1120">
                                  <w:pPr>
                                    <w:ind w:left="284" w:hanging="284"/>
                                    <w:contextualSpacing/>
                                    <w:rPr>
                                      <w:sz w:val="20"/>
                                      <w:szCs w:val="20"/>
                                    </w:rPr>
                                  </w:pPr>
                                  <w:r w:rsidRPr="001A38AB">
                                    <w:rPr>
                                      <w:sz w:val="20"/>
                                      <w:szCs w:val="20"/>
                                    </w:rPr>
                                    <w:t xml:space="preserve">(b) </w:t>
                                  </w:r>
                                  <w:r>
                                    <w:rPr>
                                      <w:sz w:val="20"/>
                                      <w:szCs w:val="20"/>
                                    </w:rPr>
                                    <w:t>a rail vehicle, or</w:t>
                                  </w:r>
                                </w:p>
                                <w:p w14:paraId="7053E8FB" w14:textId="77777777" w:rsidR="009A1120" w:rsidRPr="001A38AB" w:rsidRDefault="009A1120" w:rsidP="009A1120">
                                  <w:pPr>
                                    <w:ind w:left="284" w:hanging="284"/>
                                    <w:contextualSpacing/>
                                    <w:rPr>
                                      <w:sz w:val="20"/>
                                      <w:szCs w:val="20"/>
                                    </w:rPr>
                                  </w:pPr>
                                  <w:r>
                                    <w:rPr>
                                      <w:sz w:val="20"/>
                                      <w:szCs w:val="20"/>
                                    </w:rPr>
                                    <w:t>(c)</w:t>
                                  </w:r>
                                  <w:r>
                                    <w:rPr>
                                      <w:sz w:val="20"/>
                                      <w:szCs w:val="20"/>
                                    </w:rPr>
                                    <w:tab/>
                                    <w:t>a ferry</w:t>
                                  </w:r>
                                </w:p>
                              </w:txbxContent>
                            </wps:txbx>
                            <wps:bodyPr rot="0" vert="horz" wrap="square" lIns="91440" tIns="45720" rIns="91440" bIns="45720" anchor="t" anchorCtr="0">
                              <a:noAutofit/>
                            </wps:bodyPr>
                          </wps:wsp>
                        </a:graphicData>
                      </a:graphic>
                    </wp:inline>
                  </w:drawing>
                </mc:Choice>
                <mc:Fallback>
                  <w:pict>
                    <v:shape w14:anchorId="3BA6D5BB" id="Text Box 237" o:spid="_x0000_s1107" type="#_x0000_t202" style="width:291.1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">
                      <v:textbox>
                        <w:txbxContent>
                          <w:p w14:paraId="15077C08" w14:textId="77777777" w:rsidR="009A1120" w:rsidRPr="001A38AB" w:rsidRDefault="009A1120" w:rsidP="009A1120">
                            <w:pPr>
                              <w:contextualSpacing/>
                              <w:rPr>
                                <w:sz w:val="20"/>
                                <w:szCs w:val="20"/>
                              </w:rPr>
                            </w:pPr>
                            <w:r>
                              <w:rPr>
                                <w:sz w:val="20"/>
                                <w:szCs w:val="20"/>
                              </w:rPr>
                              <w:t>means any existing or planned service for the carriage of passengers (other than an aeroplane) that is available to the public generally by means of</w:t>
                            </w:r>
                            <w:r w:rsidRPr="001A38AB">
                              <w:rPr>
                                <w:sz w:val="20"/>
                                <w:szCs w:val="20"/>
                              </w:rPr>
                              <w:t>:</w:t>
                            </w:r>
                          </w:p>
                          <w:p w14:paraId="5B2DFDEB" w14:textId="77777777" w:rsidR="009A1120" w:rsidRPr="001A38AB" w:rsidRDefault="009A1120" w:rsidP="009A1120">
                            <w:pPr>
                              <w:ind w:left="284" w:hanging="284"/>
                              <w:contextualSpacing/>
                              <w:rPr>
                                <w:sz w:val="20"/>
                                <w:szCs w:val="20"/>
                              </w:rPr>
                            </w:pPr>
                            <w:r w:rsidRPr="001A38AB">
                              <w:rPr>
                                <w:sz w:val="20"/>
                                <w:szCs w:val="20"/>
                              </w:rPr>
                              <w:t>(a)</w:t>
                            </w:r>
                            <w:r w:rsidRPr="001A38AB">
                              <w:rPr>
                                <w:sz w:val="20"/>
                                <w:szCs w:val="20"/>
                              </w:rPr>
                              <w:tab/>
                            </w:r>
                            <w:r>
                              <w:rPr>
                                <w:sz w:val="20"/>
                                <w:szCs w:val="20"/>
                              </w:rPr>
                              <w:t>a vehicle designed or adapted to carry more than 12 persons (including the driver), or</w:t>
                            </w:r>
                          </w:p>
                          <w:p w14:paraId="0E73175C" w14:textId="77777777" w:rsidR="009A1120" w:rsidRDefault="009A1120" w:rsidP="009A1120">
                            <w:pPr>
                              <w:ind w:left="284" w:hanging="284"/>
                              <w:contextualSpacing/>
                              <w:rPr>
                                <w:sz w:val="20"/>
                                <w:szCs w:val="20"/>
                              </w:rPr>
                            </w:pPr>
                            <w:r w:rsidRPr="001A38AB">
                              <w:rPr>
                                <w:sz w:val="20"/>
                                <w:szCs w:val="20"/>
                              </w:rPr>
                              <w:t xml:space="preserve">(b) </w:t>
                            </w:r>
                            <w:r>
                              <w:rPr>
                                <w:sz w:val="20"/>
                                <w:szCs w:val="20"/>
                              </w:rPr>
                              <w:t>a rail vehicle, or</w:t>
                            </w:r>
                          </w:p>
                          <w:p w14:paraId="7053E8FB" w14:textId="77777777" w:rsidR="009A1120" w:rsidRPr="001A38AB" w:rsidRDefault="009A1120" w:rsidP="009A1120">
                            <w:pPr>
                              <w:ind w:left="284" w:hanging="284"/>
                              <w:contextualSpacing/>
                              <w:rPr>
                                <w:sz w:val="20"/>
                                <w:szCs w:val="20"/>
                              </w:rPr>
                            </w:pPr>
                            <w:r>
                              <w:rPr>
                                <w:sz w:val="20"/>
                                <w:szCs w:val="20"/>
                              </w:rPr>
                              <w:t>(c)</w:t>
                            </w:r>
                            <w:r>
                              <w:rPr>
                                <w:sz w:val="20"/>
                                <w:szCs w:val="20"/>
                              </w:rPr>
                              <w:tab/>
                              <w:t>a ferry</w:t>
                            </w:r>
                          </w:p>
                        </w:txbxContent>
                      </v:textbox>
                      <w10:anchorlock/>
                    </v:shape>
                  </w:pict>
                </mc:Fallback>
              </mc:AlternateContent>
            </w:r>
          </w:p>
        </w:tc>
      </w:tr>
      <w:tr w:rsidR="009A1120" w:rsidRPr="00472578" w14:paraId="17F2DEC8" w14:textId="77777777" w:rsidTr="007612BD">
        <w:tc>
          <w:tcPr>
            <w:tcW w:w="2104" w:type="dxa"/>
          </w:tcPr>
          <w:p w14:paraId="70D4E4C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 xml:space="preserve">Receiving environment </w:t>
            </w:r>
          </w:p>
        </w:tc>
        <w:tc>
          <w:tcPr>
            <w:tcW w:w="7146" w:type="dxa"/>
          </w:tcPr>
          <w:p w14:paraId="3258830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in clause 1.4 of the National Policy Statement for Freshwater Management 2020 (as set out in the box below)</w:t>
            </w:r>
          </w:p>
          <w:p w14:paraId="08A75EF7"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405D880" wp14:editId="1F4F8D14">
                      <wp:extent cx="3697356" cy="617516"/>
                      <wp:effectExtent l="0" t="0" r="17780" b="1143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17516"/>
                              </a:xfrm>
                              <a:prstGeom prst="rect">
                                <a:avLst/>
                              </a:prstGeom>
                              <a:solidFill>
                                <a:srgbClr val="FFFFFF"/>
                              </a:solidFill>
                              <a:ln w="9525">
                                <a:solidFill>
                                  <a:srgbClr val="000000"/>
                                </a:solidFill>
                                <a:miter lim="800000"/>
                                <a:headEnd/>
                                <a:tailEnd/>
                              </a:ln>
                            </wps:spPr>
                            <wps:txbx>
                              <w:txbxContent>
                                <w:p w14:paraId="5E1DC6BD" w14:textId="77777777" w:rsidR="009A1120" w:rsidRPr="001A38AB" w:rsidRDefault="009A1120" w:rsidP="009A1120">
                                  <w:pPr>
                                    <w:spacing w:after="60"/>
                                    <w:rPr>
                                      <w:sz w:val="20"/>
                                      <w:szCs w:val="20"/>
                                    </w:rPr>
                                  </w:pPr>
                                  <w:r w:rsidRPr="00333138">
                                    <w:rPr>
                                      <w:sz w:val="20"/>
                                      <w:szCs w:val="20"/>
                                    </w:rPr>
                                    <w:t>includes, but is not limited to, any water body (such as a river, lake, wetland or aquifer) and the coastal marine area (including estuaries)</w:t>
                                  </w:r>
                                </w:p>
                              </w:txbxContent>
                            </wps:txbx>
                            <wps:bodyPr rot="0" vert="horz" wrap="square" lIns="91440" tIns="45720" rIns="91440" bIns="45720" anchor="t" anchorCtr="0">
                              <a:noAutofit/>
                            </wps:bodyPr>
                          </wps:wsp>
                        </a:graphicData>
                      </a:graphic>
                    </wp:inline>
                  </w:drawing>
                </mc:Choice>
                <mc:Fallback>
                  <w:pict>
                    <v:shape w14:anchorId="7405D880" id="Text Box 41" o:spid="_x0000_s1108" type="#_x0000_t202" style="width:291.1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">
                      <v:textbox>
                        <w:txbxContent>
                          <w:p w14:paraId="5E1DC6BD" w14:textId="77777777" w:rsidR="009A1120" w:rsidRPr="001A38AB" w:rsidRDefault="009A1120" w:rsidP="009A1120">
                            <w:pPr>
                              <w:spacing w:after="60"/>
                              <w:rPr>
                                <w:sz w:val="20"/>
                                <w:szCs w:val="20"/>
                              </w:rPr>
                            </w:pPr>
                            <w:r w:rsidRPr="00333138">
                              <w:rPr>
                                <w:sz w:val="20"/>
                                <w:szCs w:val="20"/>
                              </w:rPr>
                              <w:t>includes, but is not limited to, any water body (such as a river, lake, wetland or aquifer) and the coastal marine area (including estuaries)</w:t>
                            </w:r>
                          </w:p>
                        </w:txbxContent>
                      </v:textbox>
                      <w10:anchorlock/>
                    </v:shape>
                  </w:pict>
                </mc:Fallback>
              </mc:AlternateContent>
            </w:r>
          </w:p>
        </w:tc>
      </w:tr>
      <w:tr w:rsidR="009A1120" w:rsidRPr="00472578" w14:paraId="28ECE4B8" w14:textId="77777777" w:rsidTr="007612BD">
        <w:tc>
          <w:tcPr>
            <w:tcW w:w="2104" w:type="dxa"/>
          </w:tcPr>
          <w:p w14:paraId="5B59693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Reclamation</w:t>
            </w:r>
          </w:p>
        </w:tc>
        <w:tc>
          <w:tcPr>
            <w:tcW w:w="7146" w:type="dxa"/>
          </w:tcPr>
          <w:p w14:paraId="10260C3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1EAE89E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9E4055E" wp14:editId="4BAEBD77">
                      <wp:extent cx="3697356" cy="1389413"/>
                      <wp:effectExtent l="0" t="0" r="17780" b="20320"/>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389413"/>
                              </a:xfrm>
                              <a:prstGeom prst="rect">
                                <a:avLst/>
                              </a:prstGeom>
                              <a:solidFill>
                                <a:srgbClr val="FFFFFF"/>
                              </a:solidFill>
                              <a:ln w="9525">
                                <a:solidFill>
                                  <a:srgbClr val="000000"/>
                                </a:solidFill>
                                <a:miter lim="800000"/>
                                <a:headEnd/>
                                <a:tailEnd/>
                              </a:ln>
                            </wps:spPr>
                            <wps:txbx>
                              <w:txbxContent>
                                <w:p w14:paraId="375E2DAF" w14:textId="77777777" w:rsidR="009A1120" w:rsidRDefault="009A1120" w:rsidP="009A1120">
                                  <w:pPr>
                                    <w:spacing w:after="60"/>
                                    <w:rPr>
                                      <w:sz w:val="20"/>
                                      <w:szCs w:val="20"/>
                                    </w:rPr>
                                  </w:pPr>
                                  <w:r>
                                    <w:rPr>
                                      <w:sz w:val="20"/>
                                      <w:szCs w:val="20"/>
                                    </w:rPr>
                                    <w:t>means the manmade formation of permanent dry land by the positioning of material into or onto any part of a waterbody, bed of a lake or river or the coastal marine area, and:</w:t>
                                  </w:r>
                                </w:p>
                                <w:p w14:paraId="330B5111"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r>
                                  <w:r>
                                    <w:rPr>
                                      <w:sz w:val="20"/>
                                      <w:szCs w:val="20"/>
                                    </w:rPr>
                                    <w:t>includes the construction of any causeway; but</w:t>
                                  </w:r>
                                </w:p>
                                <w:p w14:paraId="5431BF62"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r>
                                  <w:r>
                                    <w:rPr>
                                      <w:sz w:val="20"/>
                                      <w:szCs w:val="20"/>
                                    </w:rPr>
                                    <w:t>excludes the construction of natural hazard protection structures such as seawalls, breakwaters or groynes except where the purpose of those structures is to form dry land</w:t>
                                  </w:r>
                                </w:p>
                              </w:txbxContent>
                            </wps:txbx>
                            <wps:bodyPr rot="0" vert="horz" wrap="square" lIns="91440" tIns="45720" rIns="91440" bIns="45720" anchor="t" anchorCtr="0">
                              <a:noAutofit/>
                            </wps:bodyPr>
                          </wps:wsp>
                        </a:graphicData>
                      </a:graphic>
                    </wp:inline>
                  </w:drawing>
                </mc:Choice>
                <mc:Fallback>
                  <w:pict>
                    <v:shape w14:anchorId="49E4055E" id="Text Box 48" o:spid="_x0000_s1109" type="#_x0000_t202" style="width:291.15pt;height:10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">
                      <v:textbox>
                        <w:txbxContent>
                          <w:p w14:paraId="375E2DAF" w14:textId="77777777" w:rsidR="009A1120" w:rsidRDefault="009A1120" w:rsidP="009A1120">
                            <w:pPr>
                              <w:spacing w:after="60"/>
                              <w:rPr>
                                <w:sz w:val="20"/>
                                <w:szCs w:val="20"/>
                              </w:rPr>
                            </w:pPr>
                            <w:r>
                              <w:rPr>
                                <w:sz w:val="20"/>
                                <w:szCs w:val="20"/>
                              </w:rPr>
                              <w:t>means the manmade formation of permanent dry land by the positioning of material into or onto any part of a waterbody, bed of a lake or river or the coastal marine area, and:</w:t>
                            </w:r>
                          </w:p>
                          <w:p w14:paraId="330B5111"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r>
                            <w:r>
                              <w:rPr>
                                <w:sz w:val="20"/>
                                <w:szCs w:val="20"/>
                              </w:rPr>
                              <w:t>includes the construction of any causeway; but</w:t>
                            </w:r>
                          </w:p>
                          <w:p w14:paraId="5431BF62"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r>
                            <w:r>
                              <w:rPr>
                                <w:sz w:val="20"/>
                                <w:szCs w:val="20"/>
                              </w:rPr>
                              <w:t>excludes the construction of natural hazard protection structures such as seawalls, breakwaters or groynes except where the purpose of those structures is to form dry land</w:t>
                            </w:r>
                          </w:p>
                        </w:txbxContent>
                      </v:textbox>
                      <w10:anchorlock/>
                    </v:shape>
                  </w:pict>
                </mc:Fallback>
              </mc:AlternateContent>
            </w:r>
          </w:p>
        </w:tc>
      </w:tr>
      <w:tr w:rsidR="009A1120" w:rsidRPr="00472578" w14:paraId="3A787483" w14:textId="77777777" w:rsidTr="007612BD">
        <w:tc>
          <w:tcPr>
            <w:tcW w:w="2104" w:type="dxa"/>
          </w:tcPr>
          <w:p w14:paraId="230F281C"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Regional plan</w:t>
            </w:r>
          </w:p>
        </w:tc>
        <w:tc>
          <w:tcPr>
            <w:tcW w:w="7146" w:type="dxa"/>
          </w:tcPr>
          <w:p w14:paraId="178275AB"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43AA of the Resource Management Act 1991 (as set out in the box below)</w:t>
            </w:r>
          </w:p>
          <w:p w14:paraId="02E8DD2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9A761AA" wp14:editId="755A6BA7">
                      <wp:extent cx="3697356" cy="866775"/>
                      <wp:effectExtent l="0" t="0" r="17780" b="2857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866775"/>
                              </a:xfrm>
                              <a:prstGeom prst="rect">
                                <a:avLst/>
                              </a:prstGeom>
                              <a:solidFill>
                                <a:srgbClr val="FFFFFF"/>
                              </a:solidFill>
                              <a:ln w="9525">
                                <a:solidFill>
                                  <a:srgbClr val="000000"/>
                                </a:solidFill>
                                <a:miter lim="800000"/>
                                <a:headEnd/>
                                <a:tailEnd/>
                              </a:ln>
                            </wps:spPr>
                            <wps:txbx>
                              <w:txbxContent>
                                <w:p w14:paraId="1387F403"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means an operative plan approved by a regional council under Schedule 1 (including all operative changes to the plan (whether arising from a review or otherwise)); and</w:t>
                                  </w:r>
                                </w:p>
                                <w:p w14:paraId="61A8CFA9"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 a regional coastal plan</w:t>
                                  </w:r>
                                </w:p>
                              </w:txbxContent>
                            </wps:txbx>
                            <wps:bodyPr rot="0" vert="horz" wrap="square" lIns="91440" tIns="45720" rIns="91440" bIns="45720" anchor="t" anchorCtr="0">
                              <a:noAutofit/>
                            </wps:bodyPr>
                          </wps:wsp>
                        </a:graphicData>
                      </a:graphic>
                    </wp:inline>
                  </w:drawing>
                </mc:Choice>
                <mc:Fallback>
                  <w:pict>
                    <v:shape w14:anchorId="09A761AA" id="Text Box 22" o:spid="_x0000_s1110" type="#_x0000_t202" style="width:291.1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">
                      <v:textbox>
                        <w:txbxContent>
                          <w:p w14:paraId="1387F403"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means an operative plan approved by a regional council under Schedule 1 (including all operative changes to the plan (whether arising from a review or otherwise)); and</w:t>
                            </w:r>
                          </w:p>
                          <w:p w14:paraId="61A8CFA9"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 a regional coastal plan</w:t>
                            </w:r>
                          </w:p>
                        </w:txbxContent>
                      </v:textbox>
                      <w10:anchorlock/>
                    </v:shape>
                  </w:pict>
                </mc:Fallback>
              </mc:AlternateContent>
            </w:r>
          </w:p>
        </w:tc>
      </w:tr>
      <w:tr w:rsidR="009A1120" w:rsidRPr="00472578" w14:paraId="7784E444" w14:textId="77777777" w:rsidTr="007612BD">
        <w:tc>
          <w:tcPr>
            <w:tcW w:w="2104" w:type="dxa"/>
          </w:tcPr>
          <w:p w14:paraId="3A1A958B"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Regionally significant infrastructure</w:t>
            </w:r>
          </w:p>
        </w:tc>
        <w:tc>
          <w:tcPr>
            <w:tcW w:w="7146" w:type="dxa"/>
          </w:tcPr>
          <w:p w14:paraId="28E7B8B5" w14:textId="77777777" w:rsidR="009A1120" w:rsidRPr="00472578" w:rsidRDefault="009A1120" w:rsidP="00E92686">
            <w:pPr>
              <w:tabs>
                <w:tab w:val="center" w:pos="4513"/>
                <w:tab w:val="right" w:pos="9026"/>
              </w:tabs>
              <w:ind w:left="567" w:hanging="567"/>
              <w:jc w:val="both"/>
              <w:rPr>
                <w:sz w:val="20"/>
                <w:szCs w:val="20"/>
              </w:rPr>
            </w:pPr>
            <w:r w:rsidRPr="00472578">
              <w:rPr>
                <w:sz w:val="20"/>
                <w:szCs w:val="20"/>
              </w:rPr>
              <w:t>means:</w:t>
            </w:r>
          </w:p>
          <w:p w14:paraId="5CA5CEF8" w14:textId="18DDA0B1"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(1)</w:t>
            </w:r>
            <w:r w:rsidRPr="00472578">
              <w:rPr>
                <w:sz w:val="20"/>
                <w:szCs w:val="20"/>
              </w:rPr>
              <w:tab/>
              <w:t xml:space="preserve">roads classified as being of regional importance in accordance with the </w:t>
            </w:r>
            <w:r w:rsidRPr="00970683">
              <w:rPr>
                <w:strike/>
                <w:sz w:val="20"/>
                <w:szCs w:val="20"/>
              </w:rPr>
              <w:t>One Network Road Classification</w:t>
            </w:r>
            <w:r w:rsidR="00970683">
              <w:rPr>
                <w:sz w:val="20"/>
                <w:szCs w:val="20"/>
              </w:rPr>
              <w:t xml:space="preserve"> </w:t>
            </w:r>
            <w:r w:rsidR="00970683">
              <w:rPr>
                <w:sz w:val="20"/>
                <w:szCs w:val="20"/>
                <w:u w:val="single"/>
              </w:rPr>
              <w:t>One Network Framework</w:t>
            </w:r>
            <w:r w:rsidRPr="00472578">
              <w:rPr>
                <w:sz w:val="20"/>
                <w:szCs w:val="20"/>
              </w:rPr>
              <w:t>,</w:t>
            </w:r>
            <w:r w:rsidRPr="00251D60">
              <w:rPr>
                <w:sz w:val="20"/>
                <w:szCs w:val="20"/>
                <w:shd w:val="clear" w:color="auto" w:fill="D9D9D9" w:themeFill="background1" w:themeFillShade="D9"/>
                <w:vertAlign w:val="superscript"/>
              </w:rPr>
              <w:footnoteReference w:id="121"/>
            </w:r>
            <w:r w:rsidR="003031D2">
              <w:rPr>
                <w:sz w:val="20"/>
                <w:szCs w:val="20"/>
              </w:rPr>
              <w:t xml:space="preserve"> </w:t>
            </w:r>
            <w:r w:rsidR="003031D2">
              <w:rPr>
                <w:rStyle w:val="FootnoteReference"/>
                <w:noProof/>
              </w:rPr>
              <w:footnoteReference w:id="122"/>
            </w:r>
          </w:p>
          <w:p w14:paraId="6001EA6A" w14:textId="77777777"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(2)</w:t>
            </w:r>
            <w:r w:rsidRPr="00472578">
              <w:rPr>
                <w:sz w:val="20"/>
                <w:szCs w:val="20"/>
              </w:rPr>
              <w:tab/>
              <w:t>electricity sub-transmission infrastructure,</w:t>
            </w:r>
          </w:p>
          <w:p w14:paraId="448ADB0B" w14:textId="77777777"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(3)</w:t>
            </w:r>
            <w:r w:rsidRPr="00472578">
              <w:rPr>
                <w:sz w:val="20"/>
                <w:szCs w:val="20"/>
              </w:rPr>
              <w:tab/>
              <w:t>renewable electricity generation facilities that connect with the local distribution network but not including renewable electricity generation facilities designed and operated principally for supplying a single premise or facility,</w:t>
            </w:r>
          </w:p>
          <w:p w14:paraId="1E021C79" w14:textId="78906525"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(4)</w:t>
            </w:r>
            <w:r w:rsidRPr="00472578">
              <w:rPr>
                <w:sz w:val="20"/>
                <w:szCs w:val="20"/>
              </w:rPr>
              <w:tab/>
              <w:t>telecommunication and radiocommunication facilities</w:t>
            </w:r>
            <w:r w:rsidR="00BB5D7B">
              <w:t xml:space="preserve"> </w:t>
            </w:r>
            <w:r w:rsidR="00BB5D7B" w:rsidRPr="00BB5D7B">
              <w:rPr>
                <w:sz w:val="20"/>
                <w:szCs w:val="20"/>
                <w:u w:val="single"/>
              </w:rPr>
              <w:t>as respectively defined in section 5 of the Telecommunications Act 2001 and in section 2 of the Radiocommunications Act 1989</w:t>
            </w:r>
            <w:r w:rsidR="00E2416E">
              <w:rPr>
                <w:sz w:val="20"/>
                <w:szCs w:val="20"/>
                <w:u w:val="single"/>
              </w:rPr>
              <w:t>,</w:t>
            </w:r>
            <w:r w:rsidR="00AD7F03">
              <w:rPr>
                <w:rStyle w:val="FootnoteReference"/>
                <w:sz w:val="20"/>
                <w:szCs w:val="20"/>
                <w:u w:val="single"/>
              </w:rPr>
              <w:footnoteReference w:id="123"/>
            </w:r>
          </w:p>
          <w:p w14:paraId="520B21E0" w14:textId="77777777"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(5)</w:t>
            </w:r>
            <w:r w:rsidRPr="00472578">
              <w:rPr>
                <w:sz w:val="20"/>
                <w:szCs w:val="20"/>
              </w:rPr>
              <w:tab/>
              <w:t>facilities for public transport, including terminals and stations,</w:t>
            </w:r>
          </w:p>
          <w:p w14:paraId="101F7900" w14:textId="41DFF38D"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(6)</w:t>
            </w:r>
            <w:r w:rsidRPr="00472578">
              <w:rPr>
                <w:sz w:val="20"/>
                <w:szCs w:val="20"/>
              </w:rPr>
              <w:tab/>
              <w:t xml:space="preserve">the following airports: Dunedin, Queenstown, </w:t>
            </w:r>
            <w:r w:rsidRPr="00472578">
              <w:rPr>
                <w:strike/>
                <w:sz w:val="20"/>
                <w:szCs w:val="20"/>
              </w:rPr>
              <w:t>Wanaka</w:t>
            </w:r>
            <w:r w:rsidRPr="00472578">
              <w:rPr>
                <w:sz w:val="20"/>
                <w:szCs w:val="20"/>
              </w:rPr>
              <w:t xml:space="preserve"> </w:t>
            </w:r>
            <w:r w:rsidRPr="00472578">
              <w:rPr>
                <w:sz w:val="20"/>
                <w:szCs w:val="20"/>
                <w:u w:val="single"/>
              </w:rPr>
              <w:t>Wānaka</w:t>
            </w:r>
            <w:r w:rsidRPr="00472578">
              <w:rPr>
                <w:sz w:val="20"/>
                <w:szCs w:val="20"/>
              </w:rPr>
              <w:t>,</w:t>
            </w:r>
            <w:r w:rsidRPr="00472578">
              <w:rPr>
                <w:rStyle w:val="FootnoteReference"/>
              </w:rPr>
              <w:footnoteReference w:id="124"/>
            </w:r>
            <w:r w:rsidRPr="00472578">
              <w:t xml:space="preserve"> </w:t>
            </w:r>
            <w:r w:rsidRPr="00472578">
              <w:rPr>
                <w:sz w:val="20"/>
                <w:szCs w:val="20"/>
              </w:rPr>
              <w:t xml:space="preserve">Alexandra, Balclutha, Cromwell, </w:t>
            </w:r>
            <w:r w:rsidRPr="00472578">
              <w:rPr>
                <w:strike/>
                <w:sz w:val="20"/>
                <w:szCs w:val="20"/>
              </w:rPr>
              <w:t>Oamaru</w:t>
            </w:r>
            <w:r w:rsidRPr="00472578">
              <w:rPr>
                <w:sz w:val="20"/>
                <w:szCs w:val="20"/>
              </w:rPr>
              <w:t xml:space="preserve"> </w:t>
            </w:r>
            <w:r w:rsidRPr="00472578">
              <w:rPr>
                <w:sz w:val="20"/>
                <w:szCs w:val="20"/>
                <w:u w:val="single"/>
              </w:rPr>
              <w:t>Ōamaru</w:t>
            </w:r>
            <w:r w:rsidRPr="00472578">
              <w:rPr>
                <w:sz w:val="20"/>
                <w:szCs w:val="20"/>
              </w:rPr>
              <w:t>,</w:t>
            </w:r>
            <w:r w:rsidRPr="00472578">
              <w:rPr>
                <w:rStyle w:val="FootnoteReference"/>
              </w:rPr>
              <w:footnoteReference w:id="125"/>
            </w:r>
            <w:r w:rsidRPr="00472578">
              <w:rPr>
                <w:sz w:val="20"/>
                <w:szCs w:val="20"/>
              </w:rPr>
              <w:t xml:space="preserve"> Taieri.</w:t>
            </w:r>
          </w:p>
          <w:p w14:paraId="2271BAAF" w14:textId="06F71C01"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(7)</w:t>
            </w:r>
            <w:r w:rsidRPr="00472578">
              <w:rPr>
                <w:sz w:val="20"/>
                <w:szCs w:val="20"/>
              </w:rPr>
              <w:tab/>
              <w:t xml:space="preserve">navigation infrastructure associated with airports and commercial ports which are </w:t>
            </w:r>
            <w:r w:rsidRPr="004517D9">
              <w:rPr>
                <w:sz w:val="20"/>
                <w:szCs w:val="20"/>
              </w:rPr>
              <w:t>nationally</w:t>
            </w:r>
            <w:r w:rsidRPr="00472578">
              <w:rPr>
                <w:sz w:val="20"/>
                <w:szCs w:val="20"/>
              </w:rPr>
              <w:t xml:space="preserve"> </w:t>
            </w:r>
            <w:r w:rsidRPr="004517D9">
              <w:rPr>
                <w:sz w:val="20"/>
                <w:szCs w:val="20"/>
              </w:rPr>
              <w:t>or</w:t>
            </w:r>
            <w:r w:rsidRPr="00472578">
              <w:rPr>
                <w:sz w:val="20"/>
                <w:szCs w:val="20"/>
              </w:rPr>
              <w:t xml:space="preserve"> regionally significant</w:t>
            </w:r>
            <w:r w:rsidR="009B6A51">
              <w:rPr>
                <w:sz w:val="20"/>
                <w:szCs w:val="20"/>
              </w:rPr>
              <w:t>,</w:t>
            </w:r>
          </w:p>
          <w:p w14:paraId="0013A292" w14:textId="15E252A3"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(8)</w:t>
            </w:r>
            <w:r w:rsidRPr="00472578">
              <w:rPr>
                <w:sz w:val="20"/>
                <w:szCs w:val="20"/>
              </w:rPr>
              <w:tab/>
              <w:t>defence facilities</w:t>
            </w:r>
            <w:r w:rsidR="009B6A51">
              <w:rPr>
                <w:sz w:val="20"/>
                <w:szCs w:val="20"/>
              </w:rPr>
              <w:t xml:space="preserve"> </w:t>
            </w:r>
            <w:r w:rsidR="009B6A51">
              <w:rPr>
                <w:sz w:val="20"/>
                <w:szCs w:val="20"/>
                <w:u w:val="single"/>
              </w:rPr>
              <w:t>for defence purposes in accordance with the Defence Act 1990</w:t>
            </w:r>
            <w:r w:rsidRPr="00472578">
              <w:rPr>
                <w:sz w:val="20"/>
                <w:szCs w:val="20"/>
              </w:rPr>
              <w:t>,</w:t>
            </w:r>
            <w:r w:rsidR="00DC4620">
              <w:rPr>
                <w:rStyle w:val="FootnoteReference"/>
                <w:sz w:val="20"/>
                <w:szCs w:val="20"/>
              </w:rPr>
              <w:footnoteReference w:id="126"/>
            </w:r>
          </w:p>
          <w:p w14:paraId="0C506A19" w14:textId="5DD7D221"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(9)</w:t>
            </w:r>
            <w:r w:rsidRPr="00472578">
              <w:rPr>
                <w:sz w:val="20"/>
                <w:szCs w:val="20"/>
              </w:rPr>
              <w:tab/>
              <w:t xml:space="preserve">community drinking water abstraction, supply treatment and distribution infrastructure that provides no fewer than 25 households with drinking water for not less than 90 days each calendar year, and community water supply </w:t>
            </w:r>
            <w:r w:rsidR="000A2C3A" w:rsidRPr="00472578">
              <w:rPr>
                <w:sz w:val="20"/>
                <w:szCs w:val="20"/>
              </w:rPr>
              <w:t xml:space="preserve">abstraction, </w:t>
            </w:r>
            <w:proofErr w:type="gramStart"/>
            <w:r w:rsidR="000A2C3A" w:rsidRPr="00472578">
              <w:rPr>
                <w:sz w:val="20"/>
                <w:szCs w:val="20"/>
              </w:rPr>
              <w:t>treatment</w:t>
            </w:r>
            <w:proofErr w:type="gramEnd"/>
            <w:r w:rsidRPr="00472578">
              <w:rPr>
                <w:sz w:val="20"/>
                <w:szCs w:val="20"/>
              </w:rPr>
              <w:t xml:space="preserve"> and distribution infrastructure (excluding delivery systems or infrastructure primarily deployed for the delivery of water for irrigation of land or rural agricultural drinking-water supplies)</w:t>
            </w:r>
          </w:p>
          <w:p w14:paraId="0402F743" w14:textId="77777777" w:rsidR="009A1120" w:rsidRPr="00472578" w:rsidRDefault="009A1120" w:rsidP="00E92686">
            <w:pPr>
              <w:tabs>
                <w:tab w:val="center" w:pos="4513"/>
                <w:tab w:val="right" w:pos="9026"/>
              </w:tabs>
              <w:ind w:left="473" w:hanging="473"/>
              <w:contextualSpacing/>
              <w:jc w:val="both"/>
              <w:rPr>
                <w:sz w:val="20"/>
                <w:szCs w:val="20"/>
              </w:rPr>
            </w:pPr>
            <w:r w:rsidRPr="00472578">
              <w:rPr>
                <w:sz w:val="20"/>
                <w:szCs w:val="20"/>
              </w:rPr>
              <w:t>(10)</w:t>
            </w:r>
            <w:r w:rsidRPr="00472578">
              <w:rPr>
                <w:sz w:val="20"/>
                <w:szCs w:val="20"/>
              </w:rPr>
              <w:tab/>
              <w:t>community stormwater infrastructure,</w:t>
            </w:r>
          </w:p>
          <w:p w14:paraId="00D46CA0" w14:textId="77777777" w:rsidR="009A1120" w:rsidRDefault="009A1120" w:rsidP="00E92686">
            <w:pPr>
              <w:tabs>
                <w:tab w:val="center" w:pos="4513"/>
                <w:tab w:val="right" w:pos="9026"/>
              </w:tabs>
              <w:ind w:left="473" w:hanging="473"/>
              <w:contextualSpacing/>
              <w:jc w:val="both"/>
              <w:rPr>
                <w:sz w:val="20"/>
                <w:szCs w:val="20"/>
              </w:rPr>
            </w:pPr>
            <w:r w:rsidRPr="00472578">
              <w:rPr>
                <w:sz w:val="20"/>
                <w:szCs w:val="20"/>
              </w:rPr>
              <w:t>(11)</w:t>
            </w:r>
            <w:r w:rsidRPr="00472578">
              <w:rPr>
                <w:sz w:val="20"/>
                <w:szCs w:val="20"/>
              </w:rPr>
              <w:tab/>
              <w:t xml:space="preserve">wastewater and sewage collection, treatment and disposal infrastructure serving no fewer than 25 households, </w:t>
            </w:r>
            <w:r w:rsidRPr="00DF1D06">
              <w:rPr>
                <w:strike/>
                <w:sz w:val="20"/>
                <w:szCs w:val="20"/>
              </w:rPr>
              <w:t>and</w:t>
            </w:r>
          </w:p>
          <w:p w14:paraId="450616C4" w14:textId="34CE56FF" w:rsidR="00DF1D06" w:rsidRPr="00DF1D06" w:rsidRDefault="00DF1D06" w:rsidP="00E92686">
            <w:pPr>
              <w:tabs>
                <w:tab w:val="center" w:pos="4513"/>
                <w:tab w:val="right" w:pos="9026"/>
              </w:tabs>
              <w:ind w:left="473" w:hanging="473"/>
              <w:contextualSpacing/>
              <w:jc w:val="both"/>
              <w:rPr>
                <w:sz w:val="20"/>
                <w:szCs w:val="20"/>
                <w:u w:val="single"/>
              </w:rPr>
            </w:pPr>
            <w:r>
              <w:rPr>
                <w:sz w:val="20"/>
                <w:szCs w:val="20"/>
                <w:u w:val="single"/>
              </w:rPr>
              <w:t>(11A)</w:t>
            </w:r>
            <w:r>
              <w:rPr>
                <w:sz w:val="20"/>
                <w:szCs w:val="20"/>
                <w:u w:val="single"/>
              </w:rPr>
              <w:tab/>
              <w:t>oil terminals, bulk fuel storage and supply infrastructure, and ancillary pipelines at Port Chalmers and Dunedin, and</w:t>
            </w:r>
            <w:r w:rsidR="00B45590" w:rsidRPr="00B45590">
              <w:rPr>
                <w:rStyle w:val="FootnoteReference"/>
                <w:sz w:val="20"/>
                <w:szCs w:val="20"/>
              </w:rPr>
              <w:footnoteReference w:id="127"/>
            </w:r>
          </w:p>
          <w:p w14:paraId="71AD5B79" w14:textId="77777777" w:rsidR="009A1120" w:rsidRDefault="009A1120" w:rsidP="00E92686">
            <w:pPr>
              <w:tabs>
                <w:tab w:val="center" w:pos="4513"/>
                <w:tab w:val="right" w:pos="9026"/>
              </w:tabs>
              <w:ind w:left="473" w:hanging="473"/>
              <w:contextualSpacing/>
              <w:jc w:val="both"/>
              <w:rPr>
                <w:sz w:val="20"/>
                <w:szCs w:val="20"/>
              </w:rPr>
            </w:pPr>
            <w:r w:rsidRPr="00472578">
              <w:rPr>
                <w:sz w:val="20"/>
                <w:szCs w:val="20"/>
              </w:rPr>
              <w:t>(12)</w:t>
            </w:r>
            <w:r w:rsidRPr="00472578">
              <w:rPr>
                <w:sz w:val="20"/>
                <w:szCs w:val="20"/>
              </w:rPr>
              <w:tab/>
              <w:t>Otago Regional Council’s hazard mitigation works including flood protection infrastructure and drainage schemes.</w:t>
            </w:r>
          </w:p>
          <w:p w14:paraId="34809D40" w14:textId="77777777" w:rsidR="00DF1D06" w:rsidRDefault="00DF1D06" w:rsidP="00E92686">
            <w:pPr>
              <w:tabs>
                <w:tab w:val="center" w:pos="4513"/>
                <w:tab w:val="right" w:pos="9026"/>
              </w:tabs>
              <w:ind w:left="473" w:hanging="473"/>
              <w:contextualSpacing/>
              <w:jc w:val="both"/>
              <w:rPr>
                <w:sz w:val="20"/>
                <w:szCs w:val="20"/>
              </w:rPr>
            </w:pPr>
          </w:p>
          <w:p w14:paraId="1E65A5C8" w14:textId="3C95AB38" w:rsidR="00DF1D06" w:rsidRDefault="00DF1D06" w:rsidP="00DF1D06">
            <w:pPr>
              <w:tabs>
                <w:tab w:val="center" w:pos="4513"/>
                <w:tab w:val="right" w:pos="9026"/>
              </w:tabs>
              <w:contextualSpacing/>
              <w:jc w:val="both"/>
              <w:rPr>
                <w:sz w:val="20"/>
                <w:szCs w:val="20"/>
                <w:u w:val="single"/>
              </w:rPr>
            </w:pPr>
            <w:r>
              <w:rPr>
                <w:sz w:val="20"/>
                <w:szCs w:val="20"/>
                <w:u w:val="single"/>
              </w:rPr>
              <w:t>For the avoidance of doubt, any infrastructure identified as nationally significant infrastructure is also regionally significant infrastructure.</w:t>
            </w:r>
            <w:r w:rsidR="009D249A">
              <w:rPr>
                <w:rStyle w:val="FootnoteReference"/>
                <w:sz w:val="20"/>
                <w:szCs w:val="20"/>
                <w:u w:val="single"/>
              </w:rPr>
              <w:footnoteReference w:id="128"/>
            </w:r>
          </w:p>
          <w:p w14:paraId="7057E8A5" w14:textId="6F4E0012" w:rsidR="009D249A" w:rsidRPr="00DF1D06" w:rsidRDefault="009D249A" w:rsidP="00DF1D06">
            <w:pPr>
              <w:tabs>
                <w:tab w:val="center" w:pos="4513"/>
                <w:tab w:val="right" w:pos="9026"/>
              </w:tabs>
              <w:contextualSpacing/>
              <w:jc w:val="both"/>
              <w:rPr>
                <w:sz w:val="20"/>
                <w:szCs w:val="20"/>
                <w:u w:val="single"/>
              </w:rPr>
            </w:pPr>
          </w:p>
        </w:tc>
      </w:tr>
      <w:tr w:rsidR="009A1120" w:rsidRPr="00472578" w14:paraId="408860C9" w14:textId="77777777" w:rsidTr="007612BD">
        <w:tc>
          <w:tcPr>
            <w:tcW w:w="2104" w:type="dxa"/>
          </w:tcPr>
          <w:p w14:paraId="4035EE47"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Renewable electricity generation</w:t>
            </w:r>
          </w:p>
        </w:tc>
        <w:tc>
          <w:tcPr>
            <w:tcW w:w="7146" w:type="dxa"/>
          </w:tcPr>
          <w:p w14:paraId="7002F115"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Interpretation section of the National Policy Statement for Renewable Electricity Generation 2011 (as set out in the box below)</w:t>
            </w:r>
          </w:p>
          <w:p w14:paraId="3BE7A3E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28E0EF03" wp14:editId="583E1DFB">
                      <wp:extent cx="3697356" cy="466725"/>
                      <wp:effectExtent l="0" t="0" r="17780" b="28575"/>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66725"/>
                              </a:xfrm>
                              <a:prstGeom prst="rect">
                                <a:avLst/>
                              </a:prstGeom>
                              <a:solidFill>
                                <a:srgbClr val="FFFFFF"/>
                              </a:solidFill>
                              <a:ln w="9525">
                                <a:solidFill>
                                  <a:srgbClr val="000000"/>
                                </a:solidFill>
                                <a:miter lim="800000"/>
                                <a:headEnd/>
                                <a:tailEnd/>
                              </a:ln>
                            </wps:spPr>
                            <wps:txbx>
                              <w:txbxContent>
                                <w:p w14:paraId="2433658E" w14:textId="77777777" w:rsidR="009A1120" w:rsidRPr="001A38AB" w:rsidRDefault="009A1120" w:rsidP="009A1120">
                                  <w:pPr>
                                    <w:contextualSpacing/>
                                    <w:rPr>
                                      <w:sz w:val="20"/>
                                      <w:szCs w:val="20"/>
                                    </w:rPr>
                                  </w:pPr>
                                  <w:r w:rsidRPr="001A38AB">
                                    <w:rPr>
                                      <w:sz w:val="20"/>
                                      <w:szCs w:val="20"/>
                                    </w:rPr>
                                    <w:t>means generation of electricity from solar, wind, hydroelectricity, geothermal, biomass, tidal, wave, or ocean current energy sources</w:t>
                                  </w:r>
                                </w:p>
                              </w:txbxContent>
                            </wps:txbx>
                            <wps:bodyPr rot="0" vert="horz" wrap="square" lIns="91440" tIns="45720" rIns="91440" bIns="45720" anchor="t" anchorCtr="0">
                              <a:noAutofit/>
                            </wps:bodyPr>
                          </wps:wsp>
                        </a:graphicData>
                      </a:graphic>
                    </wp:inline>
                  </w:drawing>
                </mc:Choice>
                <mc:Fallback>
                  <w:pict>
                    <v:shape w14:anchorId="28E0EF03" id="Text Box 220" o:spid="_x0000_s1111" type="#_x0000_t202" style="width:291.1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">
                      <v:textbox>
                        <w:txbxContent>
                          <w:p w14:paraId="2433658E" w14:textId="77777777" w:rsidR="009A1120" w:rsidRPr="001A38AB" w:rsidRDefault="009A1120" w:rsidP="009A1120">
                            <w:pPr>
                              <w:contextualSpacing/>
                              <w:rPr>
                                <w:sz w:val="20"/>
                                <w:szCs w:val="20"/>
                              </w:rPr>
                            </w:pPr>
                            <w:r w:rsidRPr="001A38AB">
                              <w:rPr>
                                <w:sz w:val="20"/>
                                <w:szCs w:val="20"/>
                              </w:rPr>
                              <w:t>means generation of electricity from solar, wind, hydroelectricity, geothermal, biomass, tidal, wave, or ocean current energy sources</w:t>
                            </w:r>
                          </w:p>
                        </w:txbxContent>
                      </v:textbox>
                      <w10:anchorlock/>
                    </v:shape>
                  </w:pict>
                </mc:Fallback>
              </mc:AlternateContent>
            </w:r>
          </w:p>
        </w:tc>
      </w:tr>
      <w:tr w:rsidR="009A1120" w:rsidRPr="00472578" w14:paraId="5478EDD0" w14:textId="77777777" w:rsidTr="007612BD">
        <w:tc>
          <w:tcPr>
            <w:tcW w:w="2104" w:type="dxa"/>
          </w:tcPr>
          <w:p w14:paraId="4AF5E6D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Renewable electricity generation activities</w:t>
            </w:r>
          </w:p>
        </w:tc>
        <w:tc>
          <w:tcPr>
            <w:tcW w:w="7146" w:type="dxa"/>
          </w:tcPr>
          <w:p w14:paraId="56A6C96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Interpretation section of the National Policy Statement for Renewable Electricity Generation 2011 (as set out in the box below)</w:t>
            </w:r>
          </w:p>
          <w:p w14:paraId="57899729"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211027E" wp14:editId="41999396">
                      <wp:extent cx="3697356" cy="1256306"/>
                      <wp:effectExtent l="0" t="0" r="17780" b="20320"/>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256306"/>
                              </a:xfrm>
                              <a:prstGeom prst="rect">
                                <a:avLst/>
                              </a:prstGeom>
                              <a:solidFill>
                                <a:srgbClr val="FFFFFF"/>
                              </a:solidFill>
                              <a:ln w="9525">
                                <a:solidFill>
                                  <a:srgbClr val="000000"/>
                                </a:solidFill>
                                <a:miter lim="800000"/>
                                <a:headEnd/>
                                <a:tailEnd/>
                              </a:ln>
                            </wps:spPr>
                            <wps:txbx>
                              <w:txbxContent>
                                <w:p w14:paraId="62CBC649" w14:textId="77777777" w:rsidR="009A1120" w:rsidRPr="001A38AB" w:rsidRDefault="009A1120" w:rsidP="009A1120">
                                  <w:pPr>
                                    <w:contextualSpacing/>
                                    <w:rPr>
                                      <w:sz w:val="20"/>
                                      <w:szCs w:val="20"/>
                                    </w:rPr>
                                  </w:pPr>
                                  <w:r w:rsidRPr="001A38AB">
                                    <w:rPr>
                                      <w:sz w:val="20"/>
                                      <w:szCs w:val="20"/>
                                    </w:rPr>
                                    <w:t>means the construction, operation and maintenance of structures associated with renewable electricity generation. This includes small and community-scale distributed renewable generation activities and the system of electricity</w:t>
                                  </w:r>
                                  <w:r>
                                    <w:rPr>
                                      <w:sz w:val="20"/>
                                      <w:szCs w:val="20"/>
                                    </w:rPr>
                                    <w:t xml:space="preserve"> </w:t>
                                  </w:r>
                                  <w:r w:rsidRPr="001A38AB">
                                    <w:rPr>
                                      <w:sz w:val="20"/>
                                      <w:szCs w:val="20"/>
                                    </w:rPr>
                                    <w:t>conveyance required to convey electricity to the distribution network and/or the national grid and electricity storage technologies associated with renewable electricity</w:t>
                                  </w:r>
                                </w:p>
                              </w:txbxContent>
                            </wps:txbx>
                            <wps:bodyPr rot="0" vert="horz" wrap="square" lIns="91440" tIns="45720" rIns="91440" bIns="45720" anchor="t" anchorCtr="0">
                              <a:noAutofit/>
                            </wps:bodyPr>
                          </wps:wsp>
                        </a:graphicData>
                      </a:graphic>
                    </wp:inline>
                  </w:drawing>
                </mc:Choice>
                <mc:Fallback>
                  <w:pict>
                    <v:shape w14:anchorId="6211027E" id="Text Box 221" o:spid="_x0000_s1112" type="#_x0000_t202" style="width:291.15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">
                      <v:textbox>
                        <w:txbxContent>
                          <w:p w14:paraId="62CBC649" w14:textId="77777777" w:rsidR="009A1120" w:rsidRPr="001A38AB" w:rsidRDefault="009A1120" w:rsidP="009A1120">
                            <w:pPr>
                              <w:contextualSpacing/>
                              <w:rPr>
                                <w:sz w:val="20"/>
                                <w:szCs w:val="20"/>
                              </w:rPr>
                            </w:pPr>
                            <w:r w:rsidRPr="001A38AB">
                              <w:rPr>
                                <w:sz w:val="20"/>
                                <w:szCs w:val="20"/>
                              </w:rPr>
                              <w:t>means the construction, operation and maintenance of structures associated with renewable electricity generation. This includes small and community-scale distributed renewable generation activities and the system of electricity</w:t>
                            </w:r>
                            <w:r>
                              <w:rPr>
                                <w:sz w:val="20"/>
                                <w:szCs w:val="20"/>
                              </w:rPr>
                              <w:t xml:space="preserve"> </w:t>
                            </w:r>
                            <w:r w:rsidRPr="001A38AB">
                              <w:rPr>
                                <w:sz w:val="20"/>
                                <w:szCs w:val="20"/>
                              </w:rPr>
                              <w:t>conveyance required to convey electricity to the distribution network and/or the national grid and electricity storage technologies associated with renewable electricity</w:t>
                            </w:r>
                          </w:p>
                        </w:txbxContent>
                      </v:textbox>
                      <w10:anchorlock/>
                    </v:shape>
                  </w:pict>
                </mc:Fallback>
              </mc:AlternateContent>
            </w:r>
          </w:p>
        </w:tc>
      </w:tr>
      <w:tr w:rsidR="009A1120" w:rsidRPr="00472578" w14:paraId="5C7A2C12" w14:textId="77777777" w:rsidTr="007612BD">
        <w:tc>
          <w:tcPr>
            <w:tcW w:w="2104" w:type="dxa"/>
          </w:tcPr>
          <w:p w14:paraId="3E48304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Replanting</w:t>
            </w:r>
          </w:p>
        </w:tc>
        <w:tc>
          <w:tcPr>
            <w:tcW w:w="7146" w:type="dxa"/>
          </w:tcPr>
          <w:p w14:paraId="7272282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Plantation Forestry) Regulations 2017 (as set out in the box below)</w:t>
            </w:r>
          </w:p>
          <w:p w14:paraId="207C529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BBFA5FA" wp14:editId="424F4269">
                      <wp:extent cx="3697356" cy="461176"/>
                      <wp:effectExtent l="0" t="0" r="17780" b="15240"/>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61176"/>
                              </a:xfrm>
                              <a:prstGeom prst="rect">
                                <a:avLst/>
                              </a:prstGeom>
                              <a:solidFill>
                                <a:srgbClr val="FFFFFF"/>
                              </a:solidFill>
                              <a:ln w="9525">
                                <a:solidFill>
                                  <a:srgbClr val="000000"/>
                                </a:solidFill>
                                <a:miter lim="800000"/>
                                <a:headEnd/>
                                <a:tailEnd/>
                              </a:ln>
                            </wps:spPr>
                            <wps:txbx>
                              <w:txbxContent>
                                <w:p w14:paraId="3E82C638" w14:textId="77777777" w:rsidR="009A1120" w:rsidRPr="001A38AB" w:rsidRDefault="009A1120" w:rsidP="009A1120">
                                  <w:pPr>
                                    <w:spacing w:after="60"/>
                                    <w:rPr>
                                      <w:sz w:val="20"/>
                                      <w:szCs w:val="20"/>
                                    </w:rPr>
                                  </w:pPr>
                                  <w:r w:rsidRPr="00C25F98">
                                    <w:rPr>
                                      <w:sz w:val="20"/>
                                      <w:szCs w:val="20"/>
                                    </w:rPr>
                                    <w:t>means the planting and growing of plantation forestry trees on land less than 5 years after plantation forestry harvesting has occurred</w:t>
                                  </w:r>
                                </w:p>
                              </w:txbxContent>
                            </wps:txbx>
                            <wps:bodyPr rot="0" vert="horz" wrap="square" lIns="91440" tIns="45720" rIns="91440" bIns="45720" anchor="t" anchorCtr="0">
                              <a:noAutofit/>
                            </wps:bodyPr>
                          </wps:wsp>
                        </a:graphicData>
                      </a:graphic>
                    </wp:inline>
                  </w:drawing>
                </mc:Choice>
                <mc:Fallback>
                  <w:pict>
                    <v:shape w14:anchorId="3BBFA5FA" id="Text Box 244" o:spid="_x0000_s1113" type="#_x0000_t202" style="width:291.1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">
                      <v:textbox>
                        <w:txbxContent>
                          <w:p w14:paraId="3E82C638" w14:textId="77777777" w:rsidR="009A1120" w:rsidRPr="001A38AB" w:rsidRDefault="009A1120" w:rsidP="009A1120">
                            <w:pPr>
                              <w:spacing w:after="60"/>
                              <w:rPr>
                                <w:sz w:val="20"/>
                                <w:szCs w:val="20"/>
                              </w:rPr>
                            </w:pPr>
                            <w:r w:rsidRPr="00C25F98">
                              <w:rPr>
                                <w:sz w:val="20"/>
                                <w:szCs w:val="20"/>
                              </w:rPr>
                              <w:t>means the planting and growing of plantation forestry trees on land less than 5 years after plantation forestry harvesting has occurred</w:t>
                            </w:r>
                          </w:p>
                        </w:txbxContent>
                      </v:textbox>
                      <w10:anchorlock/>
                    </v:shape>
                  </w:pict>
                </mc:Fallback>
              </mc:AlternateContent>
            </w:r>
          </w:p>
        </w:tc>
      </w:tr>
      <w:tr w:rsidR="009A1120" w:rsidRPr="00472578" w14:paraId="21741539" w14:textId="77777777" w:rsidTr="007612BD">
        <w:tc>
          <w:tcPr>
            <w:tcW w:w="2104" w:type="dxa"/>
          </w:tcPr>
          <w:p w14:paraId="55F9A2F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Residual risk</w:t>
            </w:r>
          </w:p>
        </w:tc>
        <w:tc>
          <w:tcPr>
            <w:tcW w:w="7146" w:type="dxa"/>
          </w:tcPr>
          <w:p w14:paraId="64EE34FF"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the risk remaining after the implementation or undertaking of all available and practicable risk management measures.</w:t>
            </w:r>
          </w:p>
        </w:tc>
      </w:tr>
      <w:tr w:rsidR="009A1120" w:rsidRPr="00472578" w14:paraId="6E433ABD" w14:textId="77777777" w:rsidTr="007612BD">
        <w:tc>
          <w:tcPr>
            <w:tcW w:w="2104" w:type="dxa"/>
            <w:tcBorders>
              <w:bottom w:val="single" w:sz="4" w:space="0" w:color="auto"/>
            </w:tcBorders>
          </w:tcPr>
          <w:p w14:paraId="7D5EE57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Resilient or resilience</w:t>
            </w:r>
          </w:p>
        </w:tc>
        <w:tc>
          <w:tcPr>
            <w:tcW w:w="7146" w:type="dxa"/>
            <w:tcBorders>
              <w:bottom w:val="single" w:sz="4" w:space="0" w:color="auto"/>
            </w:tcBorders>
          </w:tcPr>
          <w:p w14:paraId="3C9654E2"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the capacity and ability to withstand or recover quickly from adverse conditions.</w:t>
            </w:r>
          </w:p>
        </w:tc>
      </w:tr>
      <w:tr w:rsidR="009A1120" w:rsidRPr="00472578" w14:paraId="33759355" w14:textId="77777777" w:rsidTr="007612BD">
        <w:tc>
          <w:tcPr>
            <w:tcW w:w="2104" w:type="dxa"/>
            <w:tcBorders>
              <w:top w:val="single" w:sz="4" w:space="0" w:color="auto"/>
              <w:bottom w:val="single" w:sz="4" w:space="0" w:color="auto"/>
            </w:tcBorders>
          </w:tcPr>
          <w:p w14:paraId="2431604B"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Resource consent</w:t>
            </w:r>
          </w:p>
        </w:tc>
        <w:tc>
          <w:tcPr>
            <w:tcW w:w="7146" w:type="dxa"/>
            <w:tcBorders>
              <w:top w:val="single" w:sz="4" w:space="0" w:color="auto"/>
              <w:bottom w:val="single" w:sz="4" w:space="0" w:color="auto"/>
            </w:tcBorders>
          </w:tcPr>
          <w:p w14:paraId="1547EC00"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03356BC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5B380C5" wp14:editId="0260027A">
                      <wp:extent cx="3697356" cy="492981"/>
                      <wp:effectExtent l="0" t="0" r="17780" b="21590"/>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92981"/>
                              </a:xfrm>
                              <a:prstGeom prst="rect">
                                <a:avLst/>
                              </a:prstGeom>
                              <a:solidFill>
                                <a:srgbClr val="FFFFFF"/>
                              </a:solidFill>
                              <a:ln w="9525">
                                <a:solidFill>
                                  <a:srgbClr val="000000"/>
                                </a:solidFill>
                                <a:miter lim="800000"/>
                                <a:headEnd/>
                                <a:tailEnd/>
                              </a:ln>
                            </wps:spPr>
                            <wps:txbx>
                              <w:txbxContent>
                                <w:p w14:paraId="39FB3B2B" w14:textId="77777777" w:rsidR="009A1120" w:rsidRPr="001A38AB" w:rsidRDefault="009A1120" w:rsidP="009A1120">
                                  <w:pPr>
                                    <w:rPr>
                                      <w:sz w:val="20"/>
                                      <w:szCs w:val="20"/>
                                    </w:rPr>
                                  </w:pPr>
                                  <w:r w:rsidRPr="001A38AB">
                                    <w:rPr>
                                      <w:sz w:val="20"/>
                                      <w:szCs w:val="20"/>
                                    </w:rPr>
                                    <w:t>has the meaning set out in section 87; and includes all conditions to which the consent is subject</w:t>
                                  </w:r>
                                </w:p>
                              </w:txbxContent>
                            </wps:txbx>
                            <wps:bodyPr rot="0" vert="horz" wrap="square" lIns="91440" tIns="45720" rIns="91440" bIns="45720" anchor="t" anchorCtr="0">
                              <a:noAutofit/>
                            </wps:bodyPr>
                          </wps:wsp>
                        </a:graphicData>
                      </a:graphic>
                    </wp:inline>
                  </w:drawing>
                </mc:Choice>
                <mc:Fallback>
                  <w:pict>
                    <v:shape w14:anchorId="75B380C5" id="Text Box 227" o:spid="_x0000_s1114" type="#_x0000_t202" style="width:291.15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rSKgIAAFA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">
                      <v:textbox>
                        <w:txbxContent>
                          <w:p w14:paraId="39FB3B2B" w14:textId="77777777" w:rsidR="009A1120" w:rsidRPr="001A38AB" w:rsidRDefault="009A1120" w:rsidP="009A1120">
                            <w:pPr>
                              <w:rPr>
                                <w:sz w:val="20"/>
                                <w:szCs w:val="20"/>
                              </w:rPr>
                            </w:pPr>
                            <w:r w:rsidRPr="001A38AB">
                              <w:rPr>
                                <w:sz w:val="20"/>
                                <w:szCs w:val="20"/>
                              </w:rPr>
                              <w:t>has the meaning set out in section 87; and includes all conditions to which the consent is subject</w:t>
                            </w:r>
                          </w:p>
                        </w:txbxContent>
                      </v:textbox>
                      <w10:anchorlock/>
                    </v:shape>
                  </w:pict>
                </mc:Fallback>
              </mc:AlternateContent>
            </w:r>
          </w:p>
        </w:tc>
      </w:tr>
      <w:tr w:rsidR="009A1120" w:rsidRPr="00472578" w14:paraId="19B7A685" w14:textId="77777777" w:rsidTr="007612BD">
        <w:tc>
          <w:tcPr>
            <w:tcW w:w="2104" w:type="dxa"/>
            <w:tcBorders>
              <w:top w:val="single" w:sz="4" w:space="0" w:color="auto"/>
              <w:bottom w:val="single" w:sz="4" w:space="0" w:color="auto"/>
            </w:tcBorders>
          </w:tcPr>
          <w:p w14:paraId="40A1E106" w14:textId="77777777"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Reverse sensitivity</w:t>
            </w:r>
            <w:r w:rsidRPr="00472578">
              <w:rPr>
                <w:rStyle w:val="FootnoteReference"/>
                <w:b/>
                <w:sz w:val="20"/>
                <w:szCs w:val="20"/>
              </w:rPr>
              <w:footnoteReference w:id="129"/>
            </w:r>
          </w:p>
        </w:tc>
        <w:tc>
          <w:tcPr>
            <w:tcW w:w="7146" w:type="dxa"/>
            <w:tcBorders>
              <w:top w:val="single" w:sz="4" w:space="0" w:color="auto"/>
              <w:bottom w:val="single" w:sz="4" w:space="0" w:color="auto"/>
            </w:tcBorders>
          </w:tcPr>
          <w:p w14:paraId="1D42760E" w14:textId="3828489F" w:rsidR="009A1120" w:rsidRPr="00472578" w:rsidRDefault="00375EAE" w:rsidP="00E92686">
            <w:pPr>
              <w:tabs>
                <w:tab w:val="center" w:pos="4513"/>
                <w:tab w:val="right" w:pos="9026"/>
              </w:tabs>
              <w:spacing w:before="60" w:after="60"/>
              <w:jc w:val="both"/>
              <w:rPr>
                <w:sz w:val="20"/>
                <w:szCs w:val="20"/>
                <w:u w:val="single"/>
              </w:rPr>
            </w:pPr>
            <w:r w:rsidRPr="00472578">
              <w:rPr>
                <w:sz w:val="20"/>
                <w:szCs w:val="20"/>
                <w:u w:val="single"/>
              </w:rPr>
              <w:t>means t</w:t>
            </w:r>
            <w:r w:rsidR="009A1120" w:rsidRPr="00472578">
              <w:rPr>
                <w:sz w:val="20"/>
                <w:szCs w:val="20"/>
                <w:u w:val="single"/>
              </w:rPr>
              <w:t>he potential for the operation of an existing lawfully established activity to be constrained or curtailed by the more recent establishment or intensification of other activities which are sensitive to the effects of the established activity.</w:t>
            </w:r>
          </w:p>
        </w:tc>
      </w:tr>
      <w:tr w:rsidR="009A1120" w:rsidRPr="00472578" w14:paraId="38F9107C" w14:textId="77777777" w:rsidTr="007612BD">
        <w:tc>
          <w:tcPr>
            <w:tcW w:w="2104" w:type="dxa"/>
            <w:tcBorders>
              <w:top w:val="single" w:sz="4" w:space="0" w:color="auto"/>
            </w:tcBorders>
          </w:tcPr>
          <w:p w14:paraId="357BEEF8" w14:textId="6B1CBD13" w:rsidR="009A1120" w:rsidRPr="00181614" w:rsidRDefault="009A1120" w:rsidP="00DC6CD9">
            <w:pPr>
              <w:tabs>
                <w:tab w:val="center" w:pos="4513"/>
                <w:tab w:val="right" w:pos="9026"/>
              </w:tabs>
              <w:spacing w:before="60" w:after="60"/>
              <w:rPr>
                <w:b/>
                <w:bCs/>
                <w:sz w:val="20"/>
                <w:szCs w:val="20"/>
                <w:u w:val="single"/>
              </w:rPr>
            </w:pPr>
            <w:r w:rsidRPr="00472578">
              <w:rPr>
                <w:b/>
                <w:bCs/>
                <w:sz w:val="20"/>
                <w:szCs w:val="20"/>
              </w:rPr>
              <w:t>Risk</w:t>
            </w:r>
            <w:r w:rsidR="00181614">
              <w:rPr>
                <w:b/>
                <w:bCs/>
                <w:sz w:val="20"/>
                <w:szCs w:val="20"/>
              </w:rPr>
              <w:t xml:space="preserve"> </w:t>
            </w:r>
            <w:r w:rsidR="00181614">
              <w:rPr>
                <w:b/>
                <w:bCs/>
                <w:sz w:val="20"/>
                <w:szCs w:val="20"/>
                <w:u w:val="single"/>
              </w:rPr>
              <w:t>(in relation to natural hazards)</w:t>
            </w:r>
            <w:r w:rsidR="00181614" w:rsidRPr="00181614">
              <w:rPr>
                <w:sz w:val="20"/>
                <w:szCs w:val="20"/>
                <w:vertAlign w:val="superscript"/>
              </w:rPr>
              <w:footnoteReference w:id="130"/>
            </w:r>
          </w:p>
        </w:tc>
        <w:tc>
          <w:tcPr>
            <w:tcW w:w="7146" w:type="dxa"/>
            <w:tcBorders>
              <w:top w:val="single" w:sz="4" w:space="0" w:color="auto"/>
            </w:tcBorders>
          </w:tcPr>
          <w:p w14:paraId="6E8B71D7" w14:textId="0C1B5BF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Glossary in the New Zealand Coastal Policy Statement 2010 (as set out in the box below)</w:t>
            </w:r>
          </w:p>
          <w:p w14:paraId="769B2576"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84BAE01" wp14:editId="4A5F323C">
                      <wp:extent cx="3697356" cy="771277"/>
                      <wp:effectExtent l="0" t="0" r="17780" b="10160"/>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771277"/>
                              </a:xfrm>
                              <a:prstGeom prst="rect">
                                <a:avLst/>
                              </a:prstGeom>
                              <a:solidFill>
                                <a:srgbClr val="FFFFFF"/>
                              </a:solidFill>
                              <a:ln w="9525">
                                <a:solidFill>
                                  <a:srgbClr val="000000"/>
                                </a:solidFill>
                                <a:miter lim="800000"/>
                                <a:headEnd/>
                                <a:tailEnd/>
                              </a:ln>
                            </wps:spPr>
                            <wps:txbx>
                              <w:txbxContent>
                                <w:p w14:paraId="7619BEE1" w14:textId="77777777" w:rsidR="009A1120" w:rsidRPr="001A38AB" w:rsidRDefault="009A1120" w:rsidP="009A1120">
                                  <w:pPr>
                                    <w:rPr>
                                      <w:sz w:val="20"/>
                                      <w:szCs w:val="20"/>
                                    </w:rPr>
                                  </w:pPr>
                                  <w:r w:rsidRPr="001A38AB">
                                    <w:rPr>
                                      <w:sz w:val="20"/>
                                      <w:szCs w:val="20"/>
                                    </w:rPr>
                                    <w:t xml:space="preserve">Risk is often expressed in terms of a combination of the consequences of an event (including changes in circumstances) and the associated likelihood of occurrence (AS/NZS ISO 31000:2009 </w:t>
                                  </w:r>
                                  <w:r w:rsidRPr="001A38AB">
                                    <w:rPr>
                                      <w:i/>
                                      <w:iCs/>
                                      <w:sz w:val="20"/>
                                      <w:szCs w:val="20"/>
                                    </w:rPr>
                                    <w:t>Risk management – Principles and guidelines</w:t>
                                  </w:r>
                                  <w:r w:rsidRPr="001A38AB">
                                    <w:rPr>
                                      <w:sz w:val="20"/>
                                      <w:szCs w:val="20"/>
                                    </w:rPr>
                                    <w:t>, November 2009)</w:t>
                                  </w:r>
                                </w:p>
                              </w:txbxContent>
                            </wps:txbx>
                            <wps:bodyPr rot="0" vert="horz" wrap="square" lIns="91440" tIns="45720" rIns="91440" bIns="45720" anchor="t" anchorCtr="0">
                              <a:noAutofit/>
                            </wps:bodyPr>
                          </wps:wsp>
                        </a:graphicData>
                      </a:graphic>
                    </wp:inline>
                  </w:drawing>
                </mc:Choice>
                <mc:Fallback>
                  <w:pict>
                    <v:shape w14:anchorId="384BAE01" id="Text Box 195" o:spid="_x0000_s1115" type="#_x0000_t202" style="width:291.1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">
                      <v:textbox>
                        <w:txbxContent>
                          <w:p w14:paraId="7619BEE1" w14:textId="77777777" w:rsidR="009A1120" w:rsidRPr="001A38AB" w:rsidRDefault="009A1120" w:rsidP="009A1120">
                            <w:pPr>
                              <w:rPr>
                                <w:sz w:val="20"/>
                                <w:szCs w:val="20"/>
                              </w:rPr>
                            </w:pPr>
                            <w:r w:rsidRPr="001A38AB">
                              <w:rPr>
                                <w:sz w:val="20"/>
                                <w:szCs w:val="20"/>
                              </w:rPr>
                              <w:t xml:space="preserve">Risk is often expressed in terms of a combination of the consequences of an event (including changes in circumstances) and the associated likelihood of occurrence (AS/NZS ISO 31000:2009 </w:t>
                            </w:r>
                            <w:r w:rsidRPr="001A38AB">
                              <w:rPr>
                                <w:i/>
                                <w:iCs/>
                                <w:sz w:val="20"/>
                                <w:szCs w:val="20"/>
                              </w:rPr>
                              <w:t>Risk management – Principles and guidelines</w:t>
                            </w:r>
                            <w:r w:rsidRPr="001A38AB">
                              <w:rPr>
                                <w:sz w:val="20"/>
                                <w:szCs w:val="20"/>
                              </w:rPr>
                              <w:t>, November 2009)</w:t>
                            </w:r>
                          </w:p>
                        </w:txbxContent>
                      </v:textbox>
                      <w10:anchorlock/>
                    </v:shape>
                  </w:pict>
                </mc:Fallback>
              </mc:AlternateContent>
            </w:r>
          </w:p>
        </w:tc>
      </w:tr>
      <w:tr w:rsidR="009A1120" w:rsidRPr="00472578" w14:paraId="3B7C0ED8" w14:textId="77777777" w:rsidTr="007612BD">
        <w:tc>
          <w:tcPr>
            <w:tcW w:w="2104" w:type="dxa"/>
          </w:tcPr>
          <w:p w14:paraId="45FA3F3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River</w:t>
            </w:r>
          </w:p>
        </w:tc>
        <w:tc>
          <w:tcPr>
            <w:tcW w:w="7146" w:type="dxa"/>
          </w:tcPr>
          <w:p w14:paraId="2C56DB9F"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1B342BA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4116F86C" wp14:editId="29450BCC">
                      <wp:extent cx="3697356" cy="938254"/>
                      <wp:effectExtent l="0" t="0" r="17780" b="14605"/>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38254"/>
                              </a:xfrm>
                              <a:prstGeom prst="rect">
                                <a:avLst/>
                              </a:prstGeom>
                              <a:solidFill>
                                <a:srgbClr val="FFFFFF"/>
                              </a:solidFill>
                              <a:ln w="9525">
                                <a:solidFill>
                                  <a:srgbClr val="000000"/>
                                </a:solidFill>
                                <a:miter lim="800000"/>
                                <a:headEnd/>
                                <a:tailEnd/>
                              </a:ln>
                            </wps:spPr>
                            <wps:txbx>
                              <w:txbxContent>
                                <w:p w14:paraId="54BCAAE8" w14:textId="77777777" w:rsidR="009A1120" w:rsidRPr="001A38AB" w:rsidRDefault="009A1120" w:rsidP="009A1120">
                                  <w:pPr>
                                    <w:spacing w:after="60"/>
                                    <w:rPr>
                                      <w:sz w:val="20"/>
                                      <w:szCs w:val="20"/>
                                    </w:rPr>
                                  </w:pPr>
                                  <w:r w:rsidRPr="001A38AB">
                                    <w:rPr>
                                      <w:sz w:val="20"/>
                                      <w:szCs w:val="20"/>
                                    </w:rPr>
                                    <w:t>means 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p>
                              </w:txbxContent>
                            </wps:txbx>
                            <wps:bodyPr rot="0" vert="horz" wrap="square" lIns="91440" tIns="45720" rIns="91440" bIns="45720" anchor="t" anchorCtr="0">
                              <a:noAutofit/>
                            </wps:bodyPr>
                          </wps:wsp>
                        </a:graphicData>
                      </a:graphic>
                    </wp:inline>
                  </w:drawing>
                </mc:Choice>
                <mc:Fallback>
                  <w:pict>
                    <v:shape w14:anchorId="4116F86C" id="Text Box 203" o:spid="_x0000_s1116" type="#_x0000_t202" style="width:291.15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LtKQIAAFA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">
                      <v:textbox>
                        <w:txbxContent>
                          <w:p w14:paraId="54BCAAE8" w14:textId="77777777" w:rsidR="009A1120" w:rsidRPr="001A38AB" w:rsidRDefault="009A1120" w:rsidP="009A1120">
                            <w:pPr>
                              <w:spacing w:after="60"/>
                              <w:rPr>
                                <w:sz w:val="20"/>
                                <w:szCs w:val="20"/>
                              </w:rPr>
                            </w:pPr>
                            <w:r w:rsidRPr="001A38AB">
                              <w:rPr>
                                <w:sz w:val="20"/>
                                <w:szCs w:val="20"/>
                              </w:rPr>
                              <w:t>means 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p>
                        </w:txbxContent>
                      </v:textbox>
                      <w10:anchorlock/>
                    </v:shape>
                  </w:pict>
                </mc:Fallback>
              </mc:AlternateContent>
            </w:r>
          </w:p>
        </w:tc>
      </w:tr>
      <w:tr w:rsidR="009A1120" w:rsidRPr="00472578" w14:paraId="50DD503F" w14:textId="77777777" w:rsidTr="007612BD">
        <w:tc>
          <w:tcPr>
            <w:tcW w:w="2104" w:type="dxa"/>
          </w:tcPr>
          <w:p w14:paraId="2152588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Road</w:t>
            </w:r>
          </w:p>
        </w:tc>
        <w:tc>
          <w:tcPr>
            <w:tcW w:w="7146" w:type="dxa"/>
          </w:tcPr>
          <w:p w14:paraId="6F19ECC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315 of the Local Government Act 1974; and includes a motorway as defined in section 2(1) of the Government Roading Powers Act 1989 (as set out in the boxes below)</w:t>
            </w:r>
          </w:p>
          <w:p w14:paraId="509D9D08"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8E24C4D" wp14:editId="7C9612D7">
                      <wp:extent cx="3697356" cy="5120640"/>
                      <wp:effectExtent l="0" t="0" r="17780" b="2286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120640"/>
                              </a:xfrm>
                              <a:prstGeom prst="rect">
                                <a:avLst/>
                              </a:prstGeom>
                              <a:solidFill>
                                <a:srgbClr val="FFFFFF"/>
                              </a:solidFill>
                              <a:ln w="9525">
                                <a:solidFill>
                                  <a:srgbClr val="000000"/>
                                </a:solidFill>
                                <a:miter lim="800000"/>
                                <a:headEnd/>
                                <a:tailEnd/>
                              </a:ln>
                            </wps:spPr>
                            <wps:txbx>
                              <w:txbxContent>
                                <w:p w14:paraId="64F57925" w14:textId="77777777" w:rsidR="009A1120" w:rsidRPr="001A38AB" w:rsidRDefault="009A1120" w:rsidP="009A1120">
                                  <w:pPr>
                                    <w:spacing w:after="60"/>
                                    <w:rPr>
                                      <w:sz w:val="20"/>
                                      <w:szCs w:val="20"/>
                                    </w:rPr>
                                  </w:pPr>
                                  <w:r w:rsidRPr="001A38AB">
                                    <w:rPr>
                                      <w:sz w:val="20"/>
                                      <w:szCs w:val="20"/>
                                    </w:rPr>
                                    <w:t>road means the whole of any land which is within a district, and which—</w:t>
                                  </w:r>
                                </w:p>
                                <w:p w14:paraId="38356BBD"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immediately before the commencement of this Part was a road or street or public highway; or</w:t>
                                  </w:r>
                                </w:p>
                                <w:p w14:paraId="74730FB1"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immediately before the inclusion of any area in the district was a public highway within that area; or</w:t>
                                  </w:r>
                                </w:p>
                                <w:p w14:paraId="7D2DF7ED"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is laid out by the council as a road or street after the commencement of this Part; or</w:t>
                                  </w:r>
                                </w:p>
                                <w:p w14:paraId="678D3E66"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is vested in the council for the purpose of a road as shown on a deposited survey plan; or</w:t>
                                  </w:r>
                                </w:p>
                                <w:p w14:paraId="309FC046" w14:textId="77777777" w:rsidR="009A1120" w:rsidRPr="001A38AB" w:rsidRDefault="009A1120" w:rsidP="009A1120">
                                  <w:pPr>
                                    <w:spacing w:after="60"/>
                                    <w:ind w:left="284" w:hanging="284"/>
                                    <w:rPr>
                                      <w:sz w:val="20"/>
                                      <w:szCs w:val="20"/>
                                    </w:rPr>
                                  </w:pPr>
                                  <w:r w:rsidRPr="001A38AB">
                                    <w:rPr>
                                      <w:sz w:val="20"/>
                                      <w:szCs w:val="20"/>
                                    </w:rPr>
                                    <w:t>(e)</w:t>
                                  </w:r>
                                  <w:r w:rsidRPr="001A38AB">
                                    <w:rPr>
                                      <w:sz w:val="20"/>
                                      <w:szCs w:val="20"/>
                                    </w:rPr>
                                    <w:tab/>
                                    <w:t>is vested in the council as a road or street pursuant to any other enactment;—</w:t>
                                  </w:r>
                                </w:p>
                                <w:p w14:paraId="7BA00283" w14:textId="77777777" w:rsidR="009A1120" w:rsidRPr="001A38AB" w:rsidRDefault="009A1120" w:rsidP="009A1120">
                                  <w:pPr>
                                    <w:spacing w:after="60"/>
                                    <w:ind w:left="284" w:hanging="284"/>
                                    <w:rPr>
                                      <w:sz w:val="20"/>
                                      <w:szCs w:val="20"/>
                                    </w:rPr>
                                  </w:pPr>
                                  <w:r w:rsidRPr="001A38AB">
                                    <w:rPr>
                                      <w:sz w:val="20"/>
                                      <w:szCs w:val="20"/>
                                    </w:rPr>
                                    <w:t>and includes—</w:t>
                                  </w:r>
                                </w:p>
                                <w:p w14:paraId="448D4790" w14:textId="77777777" w:rsidR="009A1120" w:rsidRPr="001A38AB" w:rsidRDefault="009A1120" w:rsidP="009A1120">
                                  <w:pPr>
                                    <w:spacing w:after="60"/>
                                    <w:ind w:left="284" w:hanging="284"/>
                                    <w:rPr>
                                      <w:sz w:val="20"/>
                                      <w:szCs w:val="20"/>
                                    </w:rPr>
                                  </w:pPr>
                                  <w:r w:rsidRPr="001A38AB">
                                    <w:rPr>
                                      <w:sz w:val="20"/>
                                      <w:szCs w:val="20"/>
                                    </w:rPr>
                                    <w:t>(f)</w:t>
                                  </w:r>
                                  <w:r w:rsidRPr="001A38AB">
                                    <w:rPr>
                                      <w:sz w:val="20"/>
                                      <w:szCs w:val="20"/>
                                    </w:rPr>
                                    <w:tab/>
                                    <w:t>except where elsewhere provided in this Part, any access way or service lane which before the commencement of this Part was under the control of any council or is laid out or constructed by or vested in any council as an access way or service lane or is declared by the Minister of Works and Development as an access way or service lane after the commencement of this Part or is declared by the Minister of Lands as an access way or service lane on or after 1 April 1988:</w:t>
                                  </w:r>
                                </w:p>
                                <w:p w14:paraId="7AFF2F68" w14:textId="77777777" w:rsidR="009A1120" w:rsidRPr="001A38AB" w:rsidRDefault="009A1120" w:rsidP="009A1120">
                                  <w:pPr>
                                    <w:spacing w:after="60"/>
                                    <w:ind w:left="284" w:hanging="284"/>
                                    <w:rPr>
                                      <w:sz w:val="20"/>
                                      <w:szCs w:val="20"/>
                                    </w:rPr>
                                  </w:pPr>
                                  <w:r w:rsidRPr="001A38AB">
                                    <w:rPr>
                                      <w:sz w:val="20"/>
                                      <w:szCs w:val="20"/>
                                    </w:rPr>
                                    <w:t>(g)</w:t>
                                  </w:r>
                                  <w:r w:rsidRPr="001A38AB">
                                    <w:rPr>
                                      <w:sz w:val="20"/>
                                      <w:szCs w:val="20"/>
                                    </w:rPr>
                                    <w:tab/>
                                    <w:t>every square or place intended for use of the public generally, and every bridge, culvert, drain, ford, gate, building, or other thing belonging thereto or lying upon the line or within the limits thereof;—</w:t>
                                  </w:r>
                                </w:p>
                                <w:p w14:paraId="2ACAAFA7" w14:textId="77777777" w:rsidR="009A1120" w:rsidRPr="001A38AB" w:rsidRDefault="009A1120" w:rsidP="009A1120">
                                  <w:pPr>
                                    <w:spacing w:after="60"/>
                                    <w:rPr>
                                      <w:sz w:val="20"/>
                                      <w:szCs w:val="20"/>
                                    </w:rPr>
                                  </w:pPr>
                                  <w:r w:rsidRPr="001A38AB">
                                    <w:rPr>
                                      <w:sz w:val="20"/>
                                      <w:szCs w:val="20"/>
                                    </w:rPr>
                                    <w:t>but, except as provided in the Public Works Act 1981 or in any regulations under that Act, does not include a motorway within the meaning of that Act or the Government Roading Powers Act 1989</w:t>
                                  </w:r>
                                </w:p>
                              </w:txbxContent>
                            </wps:txbx>
                            <wps:bodyPr rot="0" vert="horz" wrap="square" lIns="91440" tIns="45720" rIns="91440" bIns="45720" anchor="t" anchorCtr="0">
                              <a:noAutofit/>
                            </wps:bodyPr>
                          </wps:wsp>
                        </a:graphicData>
                      </a:graphic>
                    </wp:inline>
                  </w:drawing>
                </mc:Choice>
                <mc:Fallback>
                  <w:pict>
                    <v:shape w14:anchorId="58E24C4D" id="Text Box 224" o:spid="_x0000_s1117" type="#_x0000_t202" style="width:291.15pt;height:40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hKgIAAFE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">
                      <v:textbox>
                        <w:txbxContent>
                          <w:p w14:paraId="64F57925" w14:textId="77777777" w:rsidR="009A1120" w:rsidRPr="001A38AB" w:rsidRDefault="009A1120" w:rsidP="009A1120">
                            <w:pPr>
                              <w:spacing w:after="60"/>
                              <w:rPr>
                                <w:sz w:val="20"/>
                                <w:szCs w:val="20"/>
                              </w:rPr>
                            </w:pPr>
                            <w:r w:rsidRPr="001A38AB">
                              <w:rPr>
                                <w:sz w:val="20"/>
                                <w:szCs w:val="20"/>
                              </w:rPr>
                              <w:t>road means the whole of any land which is within a district, and which—</w:t>
                            </w:r>
                          </w:p>
                          <w:p w14:paraId="38356BBD"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immediately before the commencement of this Part was a road or street or public highway; or</w:t>
                            </w:r>
                          </w:p>
                          <w:p w14:paraId="74730FB1"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immediately before the inclusion of any area in the district was a public highway within that area; or</w:t>
                            </w:r>
                          </w:p>
                          <w:p w14:paraId="7D2DF7ED"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is laid out by the council as a road or street after the commencement of this Part; or</w:t>
                            </w:r>
                          </w:p>
                          <w:p w14:paraId="678D3E66" w14:textId="77777777" w:rsidR="009A1120" w:rsidRPr="001A38AB" w:rsidRDefault="009A1120" w:rsidP="009A1120">
                            <w:pPr>
                              <w:spacing w:after="60"/>
                              <w:ind w:left="284" w:hanging="284"/>
                              <w:rPr>
                                <w:sz w:val="20"/>
                                <w:szCs w:val="20"/>
                              </w:rPr>
                            </w:pPr>
                            <w:r w:rsidRPr="001A38AB">
                              <w:rPr>
                                <w:sz w:val="20"/>
                                <w:szCs w:val="20"/>
                              </w:rPr>
                              <w:t>(d)</w:t>
                            </w:r>
                            <w:r w:rsidRPr="001A38AB">
                              <w:rPr>
                                <w:sz w:val="20"/>
                                <w:szCs w:val="20"/>
                              </w:rPr>
                              <w:tab/>
                              <w:t>is vested in the council for the purpose of a road as shown on a deposited survey plan; or</w:t>
                            </w:r>
                          </w:p>
                          <w:p w14:paraId="309FC046" w14:textId="77777777" w:rsidR="009A1120" w:rsidRPr="001A38AB" w:rsidRDefault="009A1120" w:rsidP="009A1120">
                            <w:pPr>
                              <w:spacing w:after="60"/>
                              <w:ind w:left="284" w:hanging="284"/>
                              <w:rPr>
                                <w:sz w:val="20"/>
                                <w:szCs w:val="20"/>
                              </w:rPr>
                            </w:pPr>
                            <w:r w:rsidRPr="001A38AB">
                              <w:rPr>
                                <w:sz w:val="20"/>
                                <w:szCs w:val="20"/>
                              </w:rPr>
                              <w:t>(e)</w:t>
                            </w:r>
                            <w:r w:rsidRPr="001A38AB">
                              <w:rPr>
                                <w:sz w:val="20"/>
                                <w:szCs w:val="20"/>
                              </w:rPr>
                              <w:tab/>
                              <w:t>is vested in the council as a road or street pursuant to any other enactment;—</w:t>
                            </w:r>
                          </w:p>
                          <w:p w14:paraId="7BA00283" w14:textId="77777777" w:rsidR="009A1120" w:rsidRPr="001A38AB" w:rsidRDefault="009A1120" w:rsidP="009A1120">
                            <w:pPr>
                              <w:spacing w:after="60"/>
                              <w:ind w:left="284" w:hanging="284"/>
                              <w:rPr>
                                <w:sz w:val="20"/>
                                <w:szCs w:val="20"/>
                              </w:rPr>
                            </w:pPr>
                            <w:r w:rsidRPr="001A38AB">
                              <w:rPr>
                                <w:sz w:val="20"/>
                                <w:szCs w:val="20"/>
                              </w:rPr>
                              <w:t>and includes—</w:t>
                            </w:r>
                          </w:p>
                          <w:p w14:paraId="448D4790" w14:textId="77777777" w:rsidR="009A1120" w:rsidRPr="001A38AB" w:rsidRDefault="009A1120" w:rsidP="009A1120">
                            <w:pPr>
                              <w:spacing w:after="60"/>
                              <w:ind w:left="284" w:hanging="284"/>
                              <w:rPr>
                                <w:sz w:val="20"/>
                                <w:szCs w:val="20"/>
                              </w:rPr>
                            </w:pPr>
                            <w:r w:rsidRPr="001A38AB">
                              <w:rPr>
                                <w:sz w:val="20"/>
                                <w:szCs w:val="20"/>
                              </w:rPr>
                              <w:t>(f)</w:t>
                            </w:r>
                            <w:r w:rsidRPr="001A38AB">
                              <w:rPr>
                                <w:sz w:val="20"/>
                                <w:szCs w:val="20"/>
                              </w:rPr>
                              <w:tab/>
                              <w:t>except where elsewhere provided in this Part, any access way or service lane which before the commencement of this Part was under the control of any council or is laid out or constructed by or vested in any council as an access way or service lane or is declared by the Minister of Works and Development as an access way or service lane after the commencement of this Part or is declared by the Minister of Lands as an access way or service lane on or after 1 April 1988:</w:t>
                            </w:r>
                          </w:p>
                          <w:p w14:paraId="7AFF2F68" w14:textId="77777777" w:rsidR="009A1120" w:rsidRPr="001A38AB" w:rsidRDefault="009A1120" w:rsidP="009A1120">
                            <w:pPr>
                              <w:spacing w:after="60"/>
                              <w:ind w:left="284" w:hanging="284"/>
                              <w:rPr>
                                <w:sz w:val="20"/>
                                <w:szCs w:val="20"/>
                              </w:rPr>
                            </w:pPr>
                            <w:r w:rsidRPr="001A38AB">
                              <w:rPr>
                                <w:sz w:val="20"/>
                                <w:szCs w:val="20"/>
                              </w:rPr>
                              <w:t>(g)</w:t>
                            </w:r>
                            <w:r w:rsidRPr="001A38AB">
                              <w:rPr>
                                <w:sz w:val="20"/>
                                <w:szCs w:val="20"/>
                              </w:rPr>
                              <w:tab/>
                              <w:t>every square or place intended for use of the public generally, and every bridge, culvert, drain, ford, gate, building, or other thing belonging thereto or lying upon the line or within the limits thereof;—</w:t>
                            </w:r>
                          </w:p>
                          <w:p w14:paraId="2ACAAFA7" w14:textId="77777777" w:rsidR="009A1120" w:rsidRPr="001A38AB" w:rsidRDefault="009A1120" w:rsidP="009A1120">
                            <w:pPr>
                              <w:spacing w:after="60"/>
                              <w:rPr>
                                <w:sz w:val="20"/>
                                <w:szCs w:val="20"/>
                              </w:rPr>
                            </w:pPr>
                            <w:r w:rsidRPr="001A38AB">
                              <w:rPr>
                                <w:sz w:val="20"/>
                                <w:szCs w:val="20"/>
                              </w:rPr>
                              <w:t>but, except as provided in the Public Works Act 1981 or in any regulations under that Act, does not include a motorway within the meaning of that Act or the Government Roading Powers Act 1989</w:t>
                            </w:r>
                          </w:p>
                        </w:txbxContent>
                      </v:textbox>
                      <w10:anchorlock/>
                    </v:shape>
                  </w:pict>
                </mc:Fallback>
              </mc:AlternateContent>
            </w:r>
          </w:p>
          <w:p w14:paraId="499E16CB"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245DBF63" wp14:editId="3B84076A">
                      <wp:extent cx="3697356" cy="1709531"/>
                      <wp:effectExtent l="0" t="0" r="17780" b="24130"/>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709531"/>
                              </a:xfrm>
                              <a:prstGeom prst="rect">
                                <a:avLst/>
                              </a:prstGeom>
                              <a:solidFill>
                                <a:srgbClr val="FFFFFF"/>
                              </a:solidFill>
                              <a:ln w="9525">
                                <a:solidFill>
                                  <a:srgbClr val="000000"/>
                                </a:solidFill>
                                <a:miter lim="800000"/>
                                <a:headEnd/>
                                <a:tailEnd/>
                              </a:ln>
                            </wps:spPr>
                            <wps:txbx>
                              <w:txbxContent>
                                <w:p w14:paraId="3CC171B6" w14:textId="77777777" w:rsidR="009A1120" w:rsidRPr="001A38AB" w:rsidRDefault="009A1120" w:rsidP="009A1120">
                                  <w:pPr>
                                    <w:spacing w:after="60"/>
                                    <w:rPr>
                                      <w:sz w:val="20"/>
                                      <w:szCs w:val="20"/>
                                    </w:rPr>
                                  </w:pPr>
                                  <w:r w:rsidRPr="001A38AB">
                                    <w:rPr>
                                      <w:sz w:val="20"/>
                                      <w:szCs w:val="20"/>
                                    </w:rPr>
                                    <w:t>motorway—</w:t>
                                  </w:r>
                                </w:p>
                                <w:p w14:paraId="64341700"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means a motorway declared as such by the Governor-General in Council under section 138 of the Public Works Act 1981 or under section 71 of this Act; and</w:t>
                                  </w:r>
                                </w:p>
                                <w:p w14:paraId="3D634A92"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 all bridges, drains, culverts, or other structures or works forming part of any motorway so declared; but</w:t>
                                  </w:r>
                                </w:p>
                                <w:p w14:paraId="25308846"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does not include any local road, access way, or service lane (or the supports of any such road, way, or lane) that crosses over or under a motorway on a different level</w:t>
                                  </w:r>
                                </w:p>
                              </w:txbxContent>
                            </wps:txbx>
                            <wps:bodyPr rot="0" vert="horz" wrap="square" lIns="91440" tIns="45720" rIns="91440" bIns="45720" anchor="t" anchorCtr="0">
                              <a:noAutofit/>
                            </wps:bodyPr>
                          </wps:wsp>
                        </a:graphicData>
                      </a:graphic>
                    </wp:inline>
                  </w:drawing>
                </mc:Choice>
                <mc:Fallback>
                  <w:pict>
                    <v:shape w14:anchorId="245DBF63" id="Text Box 225" o:spid="_x0000_s1118" type="#_x0000_t202" style="width:291.15pt;height:1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">
                      <v:textbox>
                        <w:txbxContent>
                          <w:p w14:paraId="3CC171B6" w14:textId="77777777" w:rsidR="009A1120" w:rsidRPr="001A38AB" w:rsidRDefault="009A1120" w:rsidP="009A1120">
                            <w:pPr>
                              <w:spacing w:after="60"/>
                              <w:rPr>
                                <w:sz w:val="20"/>
                                <w:szCs w:val="20"/>
                              </w:rPr>
                            </w:pPr>
                            <w:r w:rsidRPr="001A38AB">
                              <w:rPr>
                                <w:sz w:val="20"/>
                                <w:szCs w:val="20"/>
                              </w:rPr>
                              <w:t>motorway—</w:t>
                            </w:r>
                          </w:p>
                          <w:p w14:paraId="64341700" w14:textId="77777777" w:rsidR="009A1120" w:rsidRPr="001A38AB" w:rsidRDefault="009A1120" w:rsidP="009A1120">
                            <w:pPr>
                              <w:spacing w:after="60"/>
                              <w:ind w:left="284" w:hanging="284"/>
                              <w:rPr>
                                <w:sz w:val="20"/>
                                <w:szCs w:val="20"/>
                              </w:rPr>
                            </w:pPr>
                            <w:r w:rsidRPr="001A38AB">
                              <w:rPr>
                                <w:sz w:val="20"/>
                                <w:szCs w:val="20"/>
                              </w:rPr>
                              <w:t>(a)</w:t>
                            </w:r>
                            <w:r w:rsidRPr="001A38AB">
                              <w:rPr>
                                <w:sz w:val="20"/>
                                <w:szCs w:val="20"/>
                              </w:rPr>
                              <w:tab/>
                              <w:t>means a motorway declared as such by the Governor-General in Council under section 138 of the Public Works Act 1981 or under section 71 of this Act; and</w:t>
                            </w:r>
                          </w:p>
                          <w:p w14:paraId="3D634A92" w14:textId="77777777" w:rsidR="009A1120" w:rsidRPr="001A38AB" w:rsidRDefault="009A1120" w:rsidP="009A1120">
                            <w:pPr>
                              <w:spacing w:after="60"/>
                              <w:ind w:left="284" w:hanging="284"/>
                              <w:rPr>
                                <w:sz w:val="20"/>
                                <w:szCs w:val="20"/>
                              </w:rPr>
                            </w:pPr>
                            <w:r w:rsidRPr="001A38AB">
                              <w:rPr>
                                <w:sz w:val="20"/>
                                <w:szCs w:val="20"/>
                              </w:rPr>
                              <w:t>(b)</w:t>
                            </w:r>
                            <w:r w:rsidRPr="001A38AB">
                              <w:rPr>
                                <w:sz w:val="20"/>
                                <w:szCs w:val="20"/>
                              </w:rPr>
                              <w:tab/>
                              <w:t>includes all bridges, drains, culverts, or other structures or works forming part of any motorway so declared; but</w:t>
                            </w:r>
                          </w:p>
                          <w:p w14:paraId="25308846" w14:textId="77777777" w:rsidR="009A1120" w:rsidRPr="001A38AB" w:rsidRDefault="009A1120" w:rsidP="009A1120">
                            <w:pPr>
                              <w:spacing w:after="60"/>
                              <w:ind w:left="284" w:hanging="284"/>
                              <w:rPr>
                                <w:sz w:val="20"/>
                                <w:szCs w:val="20"/>
                              </w:rPr>
                            </w:pPr>
                            <w:r w:rsidRPr="001A38AB">
                              <w:rPr>
                                <w:sz w:val="20"/>
                                <w:szCs w:val="20"/>
                              </w:rPr>
                              <w:t>(c)</w:t>
                            </w:r>
                            <w:r w:rsidRPr="001A38AB">
                              <w:rPr>
                                <w:sz w:val="20"/>
                                <w:szCs w:val="20"/>
                              </w:rPr>
                              <w:tab/>
                              <w:t>does not include any local road, access way, or service lane (or the supports of any such road, way, or lane) that crosses over or under a motorway on a different level</w:t>
                            </w:r>
                          </w:p>
                        </w:txbxContent>
                      </v:textbox>
                      <w10:anchorlock/>
                    </v:shape>
                  </w:pict>
                </mc:Fallback>
              </mc:AlternateContent>
            </w:r>
          </w:p>
        </w:tc>
      </w:tr>
      <w:tr w:rsidR="009A1120" w:rsidRPr="00472578" w14:paraId="314FAFCC" w14:textId="77777777" w:rsidTr="007612BD">
        <w:tc>
          <w:tcPr>
            <w:tcW w:w="2104" w:type="dxa"/>
          </w:tcPr>
          <w:p w14:paraId="555C6D4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Rural area</w:t>
            </w:r>
          </w:p>
        </w:tc>
        <w:tc>
          <w:tcPr>
            <w:tcW w:w="7146" w:type="dxa"/>
          </w:tcPr>
          <w:p w14:paraId="55DA432B"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means any area of land that is not an </w:t>
            </w:r>
            <w:r w:rsidRPr="00472578">
              <w:rPr>
                <w:i/>
                <w:iCs/>
                <w:sz w:val="20"/>
                <w:szCs w:val="20"/>
              </w:rPr>
              <w:t>urban area</w:t>
            </w:r>
          </w:p>
        </w:tc>
      </w:tr>
      <w:tr w:rsidR="00542334" w:rsidRPr="00472578" w14:paraId="4CD6D356" w14:textId="77777777" w:rsidTr="007612BD">
        <w:tc>
          <w:tcPr>
            <w:tcW w:w="2104" w:type="dxa"/>
          </w:tcPr>
          <w:p w14:paraId="2010FC4E" w14:textId="635B487D" w:rsidR="00542334" w:rsidRPr="00542334" w:rsidRDefault="00542334" w:rsidP="00DC6CD9">
            <w:pPr>
              <w:tabs>
                <w:tab w:val="center" w:pos="4513"/>
                <w:tab w:val="right" w:pos="9026"/>
              </w:tabs>
              <w:spacing w:before="60" w:after="60"/>
              <w:rPr>
                <w:b/>
                <w:bCs/>
                <w:sz w:val="20"/>
                <w:szCs w:val="20"/>
                <w:u w:val="single"/>
              </w:rPr>
            </w:pPr>
            <w:r w:rsidRPr="00542334">
              <w:rPr>
                <w:b/>
                <w:bCs/>
                <w:sz w:val="20"/>
                <w:szCs w:val="20"/>
                <w:u w:val="single"/>
              </w:rPr>
              <w:t xml:space="preserve">Rural </w:t>
            </w:r>
            <w:r w:rsidR="00F257EC">
              <w:rPr>
                <w:b/>
                <w:bCs/>
                <w:sz w:val="20"/>
                <w:szCs w:val="20"/>
                <w:u w:val="single"/>
              </w:rPr>
              <w:t>i</w:t>
            </w:r>
            <w:r w:rsidRPr="00542334">
              <w:rPr>
                <w:b/>
                <w:bCs/>
                <w:sz w:val="20"/>
                <w:szCs w:val="20"/>
                <w:u w:val="single"/>
              </w:rPr>
              <w:t>ndustry</w:t>
            </w:r>
            <w:r w:rsidRPr="00F257EC">
              <w:rPr>
                <w:rStyle w:val="FootnoteReference"/>
                <w:b/>
                <w:bCs/>
                <w:sz w:val="20"/>
                <w:szCs w:val="20"/>
              </w:rPr>
              <w:footnoteReference w:id="131"/>
            </w:r>
          </w:p>
        </w:tc>
        <w:tc>
          <w:tcPr>
            <w:tcW w:w="7146" w:type="dxa"/>
          </w:tcPr>
          <w:p w14:paraId="1811C55A" w14:textId="77777777" w:rsidR="00BA2518" w:rsidRPr="00BA2518" w:rsidRDefault="00BA2518" w:rsidP="00BA2518">
            <w:pPr>
              <w:jc w:val="both"/>
              <w:rPr>
                <w:sz w:val="20"/>
                <w:szCs w:val="20"/>
                <w:u w:val="single"/>
              </w:rPr>
            </w:pPr>
            <w:r w:rsidRPr="00BA2518">
              <w:rPr>
                <w:sz w:val="20"/>
                <w:szCs w:val="20"/>
                <w:u w:val="single"/>
              </w:rPr>
              <w:t xml:space="preserve">has the same meaning as in Standard 14 of the National Planning Standards 2019 (as set out in the box below)  </w:t>
            </w:r>
          </w:p>
          <w:p w14:paraId="4D9059E8" w14:textId="48EA5122" w:rsidR="00BA2518" w:rsidRDefault="00BA2518" w:rsidP="00BA2518">
            <w:pPr>
              <w:jc w:val="both"/>
              <w:rPr>
                <w:sz w:val="20"/>
                <w:szCs w:val="20"/>
              </w:rPr>
            </w:pPr>
            <w:r w:rsidRPr="00472578">
              <w:rPr>
                <w:noProof/>
                <w:sz w:val="20"/>
                <w:szCs w:val="20"/>
              </w:rPr>
              <mc:AlternateContent>
                <mc:Choice Requires="wps">
                  <w:drawing>
                    <wp:inline distT="0" distB="0" distL="0" distR="0" wp14:anchorId="60377046" wp14:editId="386F156E">
                      <wp:extent cx="4335780" cy="464820"/>
                      <wp:effectExtent l="0" t="0" r="26670" b="11430"/>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464820"/>
                              </a:xfrm>
                              <a:prstGeom prst="rect">
                                <a:avLst/>
                              </a:prstGeom>
                              <a:solidFill>
                                <a:srgbClr val="FFFFFF"/>
                              </a:solidFill>
                              <a:ln w="9525">
                                <a:solidFill>
                                  <a:srgbClr val="000000"/>
                                </a:solidFill>
                                <a:miter lim="800000"/>
                                <a:headEnd/>
                                <a:tailEnd/>
                              </a:ln>
                            </wps:spPr>
                            <wps:txbx>
                              <w:txbxContent>
                                <w:p w14:paraId="2FDB3F17" w14:textId="17BA0746" w:rsidR="00BA2518" w:rsidRPr="00BA2518" w:rsidRDefault="00BA2518" w:rsidP="00BA2518">
                                  <w:pPr>
                                    <w:spacing w:after="60"/>
                                    <w:rPr>
                                      <w:sz w:val="20"/>
                                      <w:szCs w:val="20"/>
                                      <w:u w:val="single"/>
                                      <w:lang w:val="en-GB"/>
                                    </w:rPr>
                                  </w:pPr>
                                  <w:r w:rsidRPr="00BA2518">
                                    <w:rPr>
                                      <w:sz w:val="20"/>
                                      <w:szCs w:val="20"/>
                                      <w:u w:val="single"/>
                                    </w:rPr>
                                    <w:t xml:space="preserve">means an industry or business undertaken in a rural environment that directly supports, services, or is dependent on primary production. </w:t>
                                  </w:r>
                                </w:p>
                              </w:txbxContent>
                            </wps:txbx>
                            <wps:bodyPr rot="0" vert="horz" wrap="square" lIns="91440" tIns="45720" rIns="91440" bIns="45720" anchor="t" anchorCtr="0">
                              <a:noAutofit/>
                            </wps:bodyPr>
                          </wps:wsp>
                        </a:graphicData>
                      </a:graphic>
                    </wp:inline>
                  </w:drawing>
                </mc:Choice>
                <mc:Fallback>
                  <w:pict>
                    <v:shape w14:anchorId="60377046" id="Text Box 239" o:spid="_x0000_s1119" type="#_x0000_t202" style="width:341.4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">
                      <v:textbox>
                        <w:txbxContent>
                          <w:p w14:paraId="2FDB3F17" w14:textId="17BA0746" w:rsidR="00BA2518" w:rsidRPr="00BA2518" w:rsidRDefault="00BA2518" w:rsidP="00BA2518">
                            <w:pPr>
                              <w:spacing w:after="60"/>
                              <w:rPr>
                                <w:sz w:val="20"/>
                                <w:szCs w:val="20"/>
                                <w:u w:val="single"/>
                                <w:lang w:val="en-GB"/>
                              </w:rPr>
                            </w:pPr>
                            <w:r w:rsidRPr="00BA2518">
                              <w:rPr>
                                <w:sz w:val="20"/>
                                <w:szCs w:val="20"/>
                                <w:u w:val="single"/>
                              </w:rPr>
                              <w:t xml:space="preserve">means an industry or business undertaken in a rural environment that directly supports, services, or is dependent on primary production. </w:t>
                            </w:r>
                          </w:p>
                        </w:txbxContent>
                      </v:textbox>
                      <w10:anchorlock/>
                    </v:shape>
                  </w:pict>
                </mc:Fallback>
              </mc:AlternateContent>
            </w:r>
          </w:p>
          <w:p w14:paraId="46ABEE03" w14:textId="29F8A8C7" w:rsidR="00542334" w:rsidRPr="00472578" w:rsidRDefault="00542334" w:rsidP="00BA2518">
            <w:pPr>
              <w:tabs>
                <w:tab w:val="center" w:pos="4513"/>
                <w:tab w:val="right" w:pos="9026"/>
              </w:tabs>
              <w:spacing w:before="60" w:after="60"/>
              <w:jc w:val="both"/>
              <w:rPr>
                <w:sz w:val="20"/>
                <w:szCs w:val="20"/>
              </w:rPr>
            </w:pPr>
          </w:p>
        </w:tc>
      </w:tr>
      <w:tr w:rsidR="009A1120" w:rsidRPr="00472578" w14:paraId="38B28998" w14:textId="77777777" w:rsidTr="007612BD">
        <w:tc>
          <w:tcPr>
            <w:tcW w:w="2104" w:type="dxa"/>
          </w:tcPr>
          <w:p w14:paraId="5918038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 xml:space="preserve">Sensitive activities </w:t>
            </w:r>
            <w:r w:rsidRPr="00472578">
              <w:rPr>
                <w:b/>
                <w:sz w:val="20"/>
                <w:szCs w:val="20"/>
                <w:u w:val="single"/>
              </w:rPr>
              <w:t>(in relation to the EIT Chapter)</w:t>
            </w:r>
            <w:r w:rsidRPr="00472578">
              <w:rPr>
                <w:rStyle w:val="FootnoteReference"/>
                <w:b/>
                <w:bCs/>
                <w:sz w:val="20"/>
                <w:szCs w:val="20"/>
              </w:rPr>
              <w:footnoteReference w:id="132"/>
            </w:r>
          </w:p>
        </w:tc>
        <w:tc>
          <w:tcPr>
            <w:tcW w:w="7146" w:type="dxa"/>
          </w:tcPr>
          <w:p w14:paraId="094BDA10" w14:textId="3FF8C079" w:rsidR="009A1120" w:rsidRPr="00472578" w:rsidRDefault="00CC7899" w:rsidP="00E92686">
            <w:pPr>
              <w:tabs>
                <w:tab w:val="center" w:pos="4513"/>
                <w:tab w:val="right" w:pos="9026"/>
              </w:tabs>
              <w:spacing w:before="60" w:after="60"/>
              <w:jc w:val="both"/>
              <w:rPr>
                <w:sz w:val="20"/>
                <w:szCs w:val="20"/>
              </w:rPr>
            </w:pPr>
            <w:r w:rsidRPr="00472578">
              <w:rPr>
                <w:sz w:val="20"/>
                <w:szCs w:val="20"/>
                <w:u w:val="single"/>
              </w:rPr>
              <w:t>w</w:t>
            </w:r>
            <w:r w:rsidR="009A1120" w:rsidRPr="00472578">
              <w:rPr>
                <w:sz w:val="20"/>
                <w:szCs w:val="20"/>
                <w:u w:val="single"/>
              </w:rPr>
              <w:t>here used in the EIT chapter,</w:t>
            </w:r>
            <w:r w:rsidRPr="00472578">
              <w:rPr>
                <w:rStyle w:val="FootnoteReference"/>
                <w:sz w:val="20"/>
                <w:szCs w:val="20"/>
              </w:rPr>
              <w:footnoteReference w:id="133"/>
            </w:r>
            <w:r w:rsidR="009A1120" w:rsidRPr="00472578">
              <w:rPr>
                <w:sz w:val="20"/>
                <w:szCs w:val="20"/>
              </w:rPr>
              <w:t xml:space="preserve"> has the same meaning as in the Interpretation section of the National Policy Statement on Electricity Transmission 2008 (as set out in the box below)</w:t>
            </w:r>
          </w:p>
          <w:p w14:paraId="3DF95BFF"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31D4E2A" wp14:editId="264C873D">
                      <wp:extent cx="3697356" cy="270345"/>
                      <wp:effectExtent l="0" t="0" r="17780" b="15875"/>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70345"/>
                              </a:xfrm>
                              <a:prstGeom prst="rect">
                                <a:avLst/>
                              </a:prstGeom>
                              <a:solidFill>
                                <a:srgbClr val="FFFFFF"/>
                              </a:solidFill>
                              <a:ln w="9525">
                                <a:solidFill>
                                  <a:srgbClr val="000000"/>
                                </a:solidFill>
                                <a:miter lim="800000"/>
                                <a:headEnd/>
                                <a:tailEnd/>
                              </a:ln>
                            </wps:spPr>
                            <wps:txbx>
                              <w:txbxContent>
                                <w:p w14:paraId="51E8B8F9" w14:textId="77777777" w:rsidR="009A1120" w:rsidRPr="009B0453" w:rsidRDefault="009A1120" w:rsidP="009A1120">
                                  <w:pPr>
                                    <w:spacing w:after="60"/>
                                    <w:rPr>
                                      <w:sz w:val="20"/>
                                      <w:szCs w:val="20"/>
                                      <w:lang w:val="en-GB"/>
                                    </w:rPr>
                                  </w:pPr>
                                  <w:r>
                                    <w:rPr>
                                      <w:sz w:val="20"/>
                                      <w:szCs w:val="20"/>
                                      <w:lang w:val="en-GB"/>
                                    </w:rPr>
                                    <w:t>includes schools, residential buildings and hospitals</w:t>
                                  </w:r>
                                </w:p>
                              </w:txbxContent>
                            </wps:txbx>
                            <wps:bodyPr rot="0" vert="horz" wrap="square" lIns="91440" tIns="45720" rIns="91440" bIns="45720" anchor="t" anchorCtr="0">
                              <a:noAutofit/>
                            </wps:bodyPr>
                          </wps:wsp>
                        </a:graphicData>
                      </a:graphic>
                    </wp:inline>
                  </w:drawing>
                </mc:Choice>
                <mc:Fallback>
                  <w:pict>
                    <v:shape w14:anchorId="531D4E2A" id="Text Box 38" o:spid="_x0000_s1120" type="#_x0000_t202" style="width:291.1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">
                      <v:textbox>
                        <w:txbxContent>
                          <w:p w14:paraId="51E8B8F9" w14:textId="77777777" w:rsidR="009A1120" w:rsidRPr="009B0453" w:rsidRDefault="009A1120" w:rsidP="009A1120">
                            <w:pPr>
                              <w:spacing w:after="60"/>
                              <w:rPr>
                                <w:sz w:val="20"/>
                                <w:szCs w:val="20"/>
                                <w:lang w:val="en-GB"/>
                              </w:rPr>
                            </w:pPr>
                            <w:r>
                              <w:rPr>
                                <w:sz w:val="20"/>
                                <w:szCs w:val="20"/>
                                <w:lang w:val="en-GB"/>
                              </w:rPr>
                              <w:t>includes schools, residential buildings and hospitals</w:t>
                            </w:r>
                          </w:p>
                        </w:txbxContent>
                      </v:textbox>
                      <w10:anchorlock/>
                    </v:shape>
                  </w:pict>
                </mc:Fallback>
              </mc:AlternateContent>
            </w:r>
          </w:p>
          <w:p w14:paraId="224B2AB8" w14:textId="77777777" w:rsidR="009A1120" w:rsidRPr="00472578" w:rsidRDefault="009A1120" w:rsidP="00E92686">
            <w:pPr>
              <w:jc w:val="both"/>
            </w:pPr>
          </w:p>
        </w:tc>
      </w:tr>
      <w:tr w:rsidR="009A1120" w:rsidRPr="00472578" w14:paraId="57D148A6" w14:textId="77777777" w:rsidTr="007612BD">
        <w:tc>
          <w:tcPr>
            <w:tcW w:w="2104" w:type="dxa"/>
          </w:tcPr>
          <w:p w14:paraId="34556143" w14:textId="77777777" w:rsidR="009A1120" w:rsidRPr="00472578" w:rsidRDefault="009A1120" w:rsidP="00DC6CD9">
            <w:pPr>
              <w:tabs>
                <w:tab w:val="center" w:pos="4513"/>
                <w:tab w:val="right" w:pos="9026"/>
              </w:tabs>
              <w:spacing w:before="60" w:after="60"/>
              <w:rPr>
                <w:b/>
                <w:bCs/>
                <w:sz w:val="20"/>
                <w:szCs w:val="20"/>
                <w:u w:val="single"/>
              </w:rPr>
            </w:pPr>
            <w:r w:rsidRPr="00472578">
              <w:rPr>
                <w:b/>
                <w:bCs/>
                <w:sz w:val="20"/>
                <w:szCs w:val="20"/>
                <w:u w:val="single"/>
              </w:rPr>
              <w:t>Sensitive activities (in relation to the UFD Chapter)</w:t>
            </w:r>
            <w:r w:rsidRPr="00472578">
              <w:rPr>
                <w:rStyle w:val="FootnoteReference"/>
                <w:b/>
                <w:bCs/>
                <w:sz w:val="20"/>
                <w:szCs w:val="20"/>
              </w:rPr>
              <w:footnoteReference w:id="134"/>
            </w:r>
          </w:p>
        </w:tc>
        <w:tc>
          <w:tcPr>
            <w:tcW w:w="7146" w:type="dxa"/>
          </w:tcPr>
          <w:p w14:paraId="4A812766" w14:textId="4713D3F2" w:rsidR="009A1120" w:rsidRPr="00472578" w:rsidRDefault="00136FB4" w:rsidP="00E92686">
            <w:pPr>
              <w:tabs>
                <w:tab w:val="center" w:pos="4513"/>
                <w:tab w:val="right" w:pos="9026"/>
              </w:tabs>
              <w:spacing w:before="60" w:after="60"/>
              <w:jc w:val="both"/>
              <w:rPr>
                <w:sz w:val="20"/>
                <w:szCs w:val="20"/>
                <w:u w:val="single"/>
              </w:rPr>
            </w:pPr>
            <w:r w:rsidRPr="00472578">
              <w:rPr>
                <w:sz w:val="20"/>
                <w:szCs w:val="20"/>
                <w:u w:val="single"/>
              </w:rPr>
              <w:t>where used in the</w:t>
            </w:r>
            <w:r w:rsidR="009A1120" w:rsidRPr="00472578">
              <w:rPr>
                <w:sz w:val="20"/>
                <w:szCs w:val="20"/>
                <w:u w:val="single"/>
              </w:rPr>
              <w:t xml:space="preserve"> UFD chapter, means activities that are affected by the adverse effects </w:t>
            </w:r>
            <w:r w:rsidR="00BE327A">
              <w:rPr>
                <w:sz w:val="20"/>
                <w:szCs w:val="20"/>
                <w:u w:val="single"/>
              </w:rPr>
              <w:t>of</w:t>
            </w:r>
            <w:r w:rsidR="009A1120" w:rsidRPr="00472578">
              <w:rPr>
                <w:sz w:val="20"/>
                <w:szCs w:val="20"/>
                <w:u w:val="single"/>
              </w:rPr>
              <w:t xml:space="preserve"> a lawful activity</w:t>
            </w:r>
            <w:r w:rsidR="009A1120" w:rsidRPr="00472578">
              <w:rPr>
                <w:sz w:val="20"/>
                <w:szCs w:val="20"/>
              </w:rPr>
              <w:t>.</w:t>
            </w:r>
            <w:r w:rsidR="009A1120" w:rsidRPr="00472578">
              <w:rPr>
                <w:rStyle w:val="FootnoteReference"/>
              </w:rPr>
              <w:footnoteReference w:id="135"/>
            </w:r>
          </w:p>
        </w:tc>
      </w:tr>
      <w:tr w:rsidR="009A1120" w:rsidRPr="00472578" w14:paraId="689C2398"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2A04F28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Sewage</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1ADA28C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3E5BF39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DBCEBF1" wp14:editId="23B4270A">
                      <wp:extent cx="3697356" cy="270345"/>
                      <wp:effectExtent l="0" t="0" r="17780" b="15875"/>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70345"/>
                              </a:xfrm>
                              <a:prstGeom prst="rect">
                                <a:avLst/>
                              </a:prstGeom>
                              <a:solidFill>
                                <a:srgbClr val="FFFFFF"/>
                              </a:solidFill>
                              <a:ln w="9525">
                                <a:solidFill>
                                  <a:srgbClr val="000000"/>
                                </a:solidFill>
                                <a:miter lim="800000"/>
                                <a:headEnd/>
                                <a:tailEnd/>
                              </a:ln>
                            </wps:spPr>
                            <wps:txbx>
                              <w:txbxContent>
                                <w:p w14:paraId="736F2B44" w14:textId="77777777" w:rsidR="009A1120" w:rsidRPr="001A38AB" w:rsidRDefault="009A1120" w:rsidP="009A1120">
                                  <w:pPr>
                                    <w:spacing w:after="60"/>
                                    <w:rPr>
                                      <w:sz w:val="20"/>
                                      <w:szCs w:val="20"/>
                                    </w:rPr>
                                  </w:pPr>
                                  <w:r w:rsidRPr="001A38AB">
                                    <w:rPr>
                                      <w:sz w:val="20"/>
                                      <w:szCs w:val="20"/>
                                    </w:rPr>
                                    <w:t>means human excrement and urine</w:t>
                                  </w:r>
                                </w:p>
                              </w:txbxContent>
                            </wps:txbx>
                            <wps:bodyPr rot="0" vert="horz" wrap="square" lIns="91440" tIns="45720" rIns="91440" bIns="45720" anchor="t" anchorCtr="0">
                              <a:noAutofit/>
                            </wps:bodyPr>
                          </wps:wsp>
                        </a:graphicData>
                      </a:graphic>
                    </wp:inline>
                  </w:drawing>
                </mc:Choice>
                <mc:Fallback>
                  <w:pict>
                    <v:shape w14:anchorId="0DBCEBF1" id="Text Box 208" o:spid="_x0000_s1121" type="#_x0000_t202" style="width:291.1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">
                      <v:textbox>
                        <w:txbxContent>
                          <w:p w14:paraId="736F2B44" w14:textId="77777777" w:rsidR="009A1120" w:rsidRPr="001A38AB" w:rsidRDefault="009A1120" w:rsidP="009A1120">
                            <w:pPr>
                              <w:spacing w:after="60"/>
                              <w:rPr>
                                <w:sz w:val="20"/>
                                <w:szCs w:val="20"/>
                              </w:rPr>
                            </w:pPr>
                            <w:r w:rsidRPr="001A38AB">
                              <w:rPr>
                                <w:sz w:val="20"/>
                                <w:szCs w:val="20"/>
                              </w:rPr>
                              <w:t>means human excrement and urine</w:t>
                            </w:r>
                          </w:p>
                        </w:txbxContent>
                      </v:textbox>
                      <w10:anchorlock/>
                    </v:shape>
                  </w:pict>
                </mc:Fallback>
              </mc:AlternateContent>
            </w:r>
          </w:p>
        </w:tc>
      </w:tr>
      <w:tr w:rsidR="009A1120" w:rsidRPr="00472578" w14:paraId="37CDF270"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490E6C37"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Ship</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495A4655"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2749083E"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14A5DBC" wp14:editId="2CFACA7E">
                      <wp:extent cx="3697356" cy="404037"/>
                      <wp:effectExtent l="0" t="0" r="17780" b="15240"/>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04037"/>
                              </a:xfrm>
                              <a:prstGeom prst="rect">
                                <a:avLst/>
                              </a:prstGeom>
                              <a:solidFill>
                                <a:srgbClr val="FFFFFF"/>
                              </a:solidFill>
                              <a:ln w="9525">
                                <a:solidFill>
                                  <a:srgbClr val="000000"/>
                                </a:solidFill>
                                <a:miter lim="800000"/>
                                <a:headEnd/>
                                <a:tailEnd/>
                              </a:ln>
                            </wps:spPr>
                            <wps:txbx>
                              <w:txbxContent>
                                <w:p w14:paraId="0ADBB396" w14:textId="77777777" w:rsidR="009A1120" w:rsidRPr="001A38AB" w:rsidRDefault="009A1120" w:rsidP="009A1120">
                                  <w:pPr>
                                    <w:spacing w:after="60"/>
                                    <w:rPr>
                                      <w:sz w:val="20"/>
                                      <w:szCs w:val="20"/>
                                    </w:rPr>
                                  </w:pPr>
                                  <w:r w:rsidRPr="00035AAF">
                                    <w:rPr>
                                      <w:sz w:val="20"/>
                                      <w:szCs w:val="20"/>
                                    </w:rPr>
                                    <w:t>has the same meaning as in section 2(1) of the Maritime Transport Act 1994</w:t>
                                  </w:r>
                                </w:p>
                              </w:txbxContent>
                            </wps:txbx>
                            <wps:bodyPr rot="0" vert="horz" wrap="square" lIns="91440" tIns="45720" rIns="91440" bIns="45720" anchor="t" anchorCtr="0">
                              <a:noAutofit/>
                            </wps:bodyPr>
                          </wps:wsp>
                        </a:graphicData>
                      </a:graphic>
                    </wp:inline>
                  </w:drawing>
                </mc:Choice>
                <mc:Fallback>
                  <w:pict>
                    <v:shape w14:anchorId="514A5DBC" id="Text Box 247" o:spid="_x0000_s1122" type="#_x0000_t202" style="width:291.1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">
                      <v:textbox>
                        <w:txbxContent>
                          <w:p w14:paraId="0ADBB396" w14:textId="77777777" w:rsidR="009A1120" w:rsidRPr="001A38AB" w:rsidRDefault="009A1120" w:rsidP="009A1120">
                            <w:pPr>
                              <w:spacing w:after="60"/>
                              <w:rPr>
                                <w:sz w:val="20"/>
                                <w:szCs w:val="20"/>
                              </w:rPr>
                            </w:pPr>
                            <w:r w:rsidRPr="00035AAF">
                              <w:rPr>
                                <w:sz w:val="20"/>
                                <w:szCs w:val="20"/>
                              </w:rPr>
                              <w:t>has the same meaning as in section 2(1) of the Maritime Transport Act 1994</w:t>
                            </w:r>
                          </w:p>
                        </w:txbxContent>
                      </v:textbox>
                      <w10:anchorlock/>
                    </v:shape>
                  </w:pict>
                </mc:Fallback>
              </mc:AlternateContent>
            </w:r>
          </w:p>
        </w:tc>
      </w:tr>
      <w:tr w:rsidR="009A1120" w:rsidRPr="00472578" w14:paraId="7E5EBB55"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72DA8A3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Significant natural area</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44F4CCB9" w14:textId="14F52720"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means areas of significant indigenous vegetation and significant habitats of indigenous fauna </w:t>
            </w:r>
            <w:r w:rsidR="00881D2A" w:rsidRPr="00881D2A">
              <w:rPr>
                <w:strike/>
                <w:sz w:val="20"/>
                <w:szCs w:val="20"/>
              </w:rPr>
              <w:t>that are located outside the coastal environment</w:t>
            </w:r>
            <w:r w:rsidR="00881D2A" w:rsidRPr="00881D2A">
              <w:rPr>
                <w:sz w:val="20"/>
                <w:szCs w:val="20"/>
              </w:rPr>
              <w:t>.</w:t>
            </w:r>
            <w:r w:rsidR="00881D2A" w:rsidRPr="00881D2A">
              <w:rPr>
                <w:rStyle w:val="FootnoteReference"/>
                <w:sz w:val="20"/>
                <w:szCs w:val="20"/>
              </w:rPr>
              <w:footnoteReference w:id="136"/>
            </w:r>
          </w:p>
        </w:tc>
      </w:tr>
      <w:tr w:rsidR="009A1120" w:rsidRPr="00472578" w14:paraId="0725D7F2"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13459BD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Small and community scale distributed electricity generation</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7077AF83"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Interpretation section of the National Policy Statement for Renewable Electricity Generation 2011 (as set out in the box below)</w:t>
            </w:r>
          </w:p>
          <w:p w14:paraId="3A9527D5"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C370B68" wp14:editId="56BD6122">
                      <wp:extent cx="3697356" cy="596348"/>
                      <wp:effectExtent l="0" t="0" r="17780" b="13335"/>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96348"/>
                              </a:xfrm>
                              <a:prstGeom prst="rect">
                                <a:avLst/>
                              </a:prstGeom>
                              <a:solidFill>
                                <a:srgbClr val="FFFFFF"/>
                              </a:solidFill>
                              <a:ln w="9525">
                                <a:solidFill>
                                  <a:srgbClr val="000000"/>
                                </a:solidFill>
                                <a:miter lim="800000"/>
                                <a:headEnd/>
                                <a:tailEnd/>
                              </a:ln>
                            </wps:spPr>
                            <wps:txbx>
                              <w:txbxContent>
                                <w:p w14:paraId="298539EA" w14:textId="77777777" w:rsidR="009A1120" w:rsidRPr="000C7151" w:rsidRDefault="009A1120" w:rsidP="009A1120">
                                  <w:pPr>
                                    <w:contextualSpacing/>
                                    <w:rPr>
                                      <w:sz w:val="20"/>
                                      <w:szCs w:val="20"/>
                                    </w:rPr>
                                  </w:pPr>
                                  <w:r w:rsidRPr="000C7151">
                                    <w:rPr>
                                      <w:sz w:val="20"/>
                                      <w:szCs w:val="20"/>
                                    </w:rPr>
                                    <w:t>means renewable electricity generation for the purpose of using electricity on a particular site, or supplying an immediate community, or connecting into the distribution network</w:t>
                                  </w:r>
                                </w:p>
                              </w:txbxContent>
                            </wps:txbx>
                            <wps:bodyPr rot="0" vert="horz" wrap="square" lIns="91440" tIns="45720" rIns="91440" bIns="45720" anchor="t" anchorCtr="0">
                              <a:noAutofit/>
                            </wps:bodyPr>
                          </wps:wsp>
                        </a:graphicData>
                      </a:graphic>
                    </wp:inline>
                  </w:drawing>
                </mc:Choice>
                <mc:Fallback>
                  <w:pict>
                    <v:shape w14:anchorId="2C370B68" id="Text Box 222" o:spid="_x0000_s1123" type="#_x0000_t202" style="width:291.1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ziKQIAAFA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">
                      <v:textbox>
                        <w:txbxContent>
                          <w:p w14:paraId="298539EA" w14:textId="77777777" w:rsidR="009A1120" w:rsidRPr="000C7151" w:rsidRDefault="009A1120" w:rsidP="009A1120">
                            <w:pPr>
                              <w:contextualSpacing/>
                              <w:rPr>
                                <w:sz w:val="20"/>
                                <w:szCs w:val="20"/>
                              </w:rPr>
                            </w:pPr>
                            <w:r w:rsidRPr="000C7151">
                              <w:rPr>
                                <w:sz w:val="20"/>
                                <w:szCs w:val="20"/>
                              </w:rPr>
                              <w:t>means renewable electricity generation for the purpose of using electricity on a particular site, or supplying an immediate community, or connecting into the distribution network</w:t>
                            </w:r>
                          </w:p>
                        </w:txbxContent>
                      </v:textbox>
                      <w10:anchorlock/>
                    </v:shape>
                  </w:pict>
                </mc:Fallback>
              </mc:AlternateContent>
            </w:r>
          </w:p>
        </w:tc>
      </w:tr>
      <w:tr w:rsidR="009A1120" w:rsidRPr="00472578" w14:paraId="447F15FD"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51DA0FEB" w14:textId="77777777" w:rsidR="009A1120" w:rsidRPr="00472578" w:rsidRDefault="009A1120" w:rsidP="00DC6CD9">
            <w:pPr>
              <w:tabs>
                <w:tab w:val="center" w:pos="4513"/>
                <w:tab w:val="right" w:pos="9026"/>
              </w:tabs>
              <w:spacing w:before="60" w:after="60"/>
              <w:rPr>
                <w:sz w:val="20"/>
                <w:szCs w:val="20"/>
              </w:rPr>
            </w:pPr>
            <w:r w:rsidRPr="00472578">
              <w:rPr>
                <w:b/>
                <w:bCs/>
                <w:sz w:val="20"/>
                <w:szCs w:val="20"/>
              </w:rPr>
              <w:t>Social and cultural buildings</w:t>
            </w:r>
          </w:p>
          <w:p w14:paraId="35A17C45" w14:textId="77777777" w:rsidR="009A1120" w:rsidRPr="00472578" w:rsidRDefault="009A1120" w:rsidP="00DC6CD9">
            <w:pPr>
              <w:tabs>
                <w:tab w:val="center" w:pos="4513"/>
                <w:tab w:val="right" w:pos="9026"/>
              </w:tabs>
              <w:spacing w:before="60" w:after="60"/>
              <w:rPr>
                <w:b/>
                <w:bCs/>
                <w:sz w:val="20"/>
                <w:szCs w:val="20"/>
              </w:rPr>
            </w:pP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F292B00" w14:textId="77777777" w:rsidR="009A1120" w:rsidRPr="00472578" w:rsidRDefault="009A1120" w:rsidP="00E92686">
            <w:pPr>
              <w:tabs>
                <w:tab w:val="center" w:pos="4513"/>
                <w:tab w:val="right" w:pos="9026"/>
              </w:tabs>
              <w:jc w:val="both"/>
              <w:rPr>
                <w:sz w:val="20"/>
                <w:szCs w:val="20"/>
              </w:rPr>
            </w:pPr>
            <w:r w:rsidRPr="00472578">
              <w:rPr>
                <w:sz w:val="20"/>
                <w:szCs w:val="20"/>
              </w:rPr>
              <w:t>For the purposes of the consequence table within APP6, these are buildings that are of social and cultural importance. These include:</w:t>
            </w:r>
          </w:p>
          <w:p w14:paraId="396360DD" w14:textId="77777777" w:rsidR="009A1120" w:rsidRPr="00472578" w:rsidRDefault="009A1120" w:rsidP="00E92686">
            <w:pPr>
              <w:tabs>
                <w:tab w:val="center" w:pos="4513"/>
                <w:tab w:val="right" w:pos="9026"/>
              </w:tabs>
              <w:ind w:left="360" w:hanging="360"/>
              <w:contextualSpacing/>
              <w:jc w:val="both"/>
              <w:rPr>
                <w:sz w:val="20"/>
                <w:szCs w:val="20"/>
              </w:rPr>
            </w:pPr>
            <w:r w:rsidRPr="00472578">
              <w:rPr>
                <w:sz w:val="20"/>
                <w:szCs w:val="20"/>
              </w:rPr>
              <w:t>(a)</w:t>
            </w:r>
            <w:r w:rsidRPr="00472578">
              <w:rPr>
                <w:sz w:val="20"/>
                <w:szCs w:val="20"/>
              </w:rPr>
              <w:tab/>
              <w:t xml:space="preserve">Places of </w:t>
            </w:r>
            <w:proofErr w:type="gramStart"/>
            <w:r w:rsidRPr="00472578">
              <w:rPr>
                <w:sz w:val="20"/>
                <w:szCs w:val="20"/>
              </w:rPr>
              <w:t>worship;</w:t>
            </w:r>
            <w:proofErr w:type="gramEnd"/>
          </w:p>
          <w:p w14:paraId="3487CB2A" w14:textId="77777777" w:rsidR="009A1120" w:rsidRPr="00472578" w:rsidRDefault="009A1120" w:rsidP="00E92686">
            <w:pPr>
              <w:tabs>
                <w:tab w:val="center" w:pos="4513"/>
                <w:tab w:val="right" w:pos="9026"/>
              </w:tabs>
              <w:ind w:left="360" w:hanging="360"/>
              <w:contextualSpacing/>
              <w:jc w:val="both"/>
              <w:rPr>
                <w:sz w:val="20"/>
                <w:szCs w:val="20"/>
              </w:rPr>
            </w:pPr>
            <w:r w:rsidRPr="00472578">
              <w:rPr>
                <w:sz w:val="20"/>
                <w:szCs w:val="20"/>
              </w:rPr>
              <w:t>(b)</w:t>
            </w:r>
            <w:r w:rsidRPr="00472578">
              <w:rPr>
                <w:sz w:val="20"/>
                <w:szCs w:val="20"/>
              </w:rPr>
              <w:tab/>
            </w:r>
            <w:proofErr w:type="gramStart"/>
            <w:r w:rsidRPr="00472578">
              <w:rPr>
                <w:sz w:val="20"/>
                <w:szCs w:val="20"/>
              </w:rPr>
              <w:t>Museums;</w:t>
            </w:r>
            <w:proofErr w:type="gramEnd"/>
          </w:p>
          <w:p w14:paraId="5889CBAB" w14:textId="77777777" w:rsidR="009A1120" w:rsidRPr="00472578" w:rsidRDefault="009A1120" w:rsidP="00E92686">
            <w:pPr>
              <w:tabs>
                <w:tab w:val="center" w:pos="4513"/>
                <w:tab w:val="right" w:pos="9026"/>
              </w:tabs>
              <w:ind w:left="360" w:hanging="360"/>
              <w:contextualSpacing/>
              <w:jc w:val="both"/>
              <w:rPr>
                <w:sz w:val="20"/>
                <w:szCs w:val="20"/>
              </w:rPr>
            </w:pPr>
            <w:r w:rsidRPr="00472578">
              <w:rPr>
                <w:sz w:val="20"/>
                <w:szCs w:val="20"/>
              </w:rPr>
              <w:t>(c)</w:t>
            </w:r>
            <w:r w:rsidRPr="00472578">
              <w:rPr>
                <w:sz w:val="20"/>
                <w:szCs w:val="20"/>
              </w:rPr>
              <w:tab/>
              <w:t xml:space="preserve">Art </w:t>
            </w:r>
            <w:proofErr w:type="gramStart"/>
            <w:r w:rsidRPr="00472578">
              <w:rPr>
                <w:sz w:val="20"/>
                <w:szCs w:val="20"/>
              </w:rPr>
              <w:t>galleries;</w:t>
            </w:r>
            <w:proofErr w:type="gramEnd"/>
          </w:p>
          <w:p w14:paraId="39574EEA" w14:textId="77777777" w:rsidR="009A1120" w:rsidRPr="00472578" w:rsidRDefault="009A1120" w:rsidP="00E92686">
            <w:pPr>
              <w:tabs>
                <w:tab w:val="center" w:pos="4513"/>
                <w:tab w:val="right" w:pos="9026"/>
              </w:tabs>
              <w:ind w:left="360" w:hanging="360"/>
              <w:contextualSpacing/>
              <w:jc w:val="both"/>
              <w:rPr>
                <w:sz w:val="20"/>
                <w:szCs w:val="20"/>
              </w:rPr>
            </w:pPr>
            <w:r w:rsidRPr="00472578">
              <w:rPr>
                <w:sz w:val="20"/>
                <w:szCs w:val="20"/>
              </w:rPr>
              <w:t>(d)</w:t>
            </w:r>
            <w:r w:rsidRPr="00472578">
              <w:rPr>
                <w:sz w:val="20"/>
                <w:szCs w:val="20"/>
              </w:rPr>
              <w:tab/>
              <w:t>Marae; and</w:t>
            </w:r>
          </w:p>
          <w:p w14:paraId="657B4125" w14:textId="77777777" w:rsidR="009A1120" w:rsidRPr="00472578" w:rsidRDefault="009A1120" w:rsidP="00E92686">
            <w:pPr>
              <w:tabs>
                <w:tab w:val="center" w:pos="4513"/>
                <w:tab w:val="right" w:pos="9026"/>
              </w:tabs>
              <w:ind w:left="360" w:hanging="360"/>
              <w:contextualSpacing/>
              <w:jc w:val="both"/>
              <w:rPr>
                <w:sz w:val="20"/>
                <w:szCs w:val="20"/>
              </w:rPr>
            </w:pPr>
            <w:r w:rsidRPr="00472578">
              <w:rPr>
                <w:sz w:val="20"/>
                <w:szCs w:val="20"/>
              </w:rPr>
              <w:t>(e)</w:t>
            </w:r>
            <w:r w:rsidRPr="00472578">
              <w:rPr>
                <w:sz w:val="20"/>
                <w:szCs w:val="20"/>
              </w:rPr>
              <w:tab/>
              <w:t>Educational facilities</w:t>
            </w:r>
          </w:p>
        </w:tc>
      </w:tr>
      <w:tr w:rsidR="009A1120" w:rsidRPr="00472578" w14:paraId="222D6587"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5A7B53D0"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Solid fuel</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484B48A6"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Resource Management (National Environmental Standards for Air Quality) Regulations 2004 (as set out in the box below)</w:t>
            </w:r>
          </w:p>
          <w:p w14:paraId="0B2EEC56"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3A4432B6" wp14:editId="655A5664">
                      <wp:extent cx="3697356" cy="445273"/>
                      <wp:effectExtent l="0" t="0" r="17780" b="1206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45273"/>
                              </a:xfrm>
                              <a:prstGeom prst="rect">
                                <a:avLst/>
                              </a:prstGeom>
                              <a:solidFill>
                                <a:srgbClr val="FFFFFF"/>
                              </a:solidFill>
                              <a:ln w="9525">
                                <a:solidFill>
                                  <a:srgbClr val="000000"/>
                                </a:solidFill>
                                <a:miter lim="800000"/>
                                <a:headEnd/>
                                <a:tailEnd/>
                              </a:ln>
                            </wps:spPr>
                            <wps:txbx>
                              <w:txbxContent>
                                <w:p w14:paraId="770B973A" w14:textId="77777777" w:rsidR="009A1120" w:rsidRPr="000C7151" w:rsidRDefault="009A1120" w:rsidP="009A1120">
                                  <w:pPr>
                                    <w:rPr>
                                      <w:sz w:val="20"/>
                                      <w:szCs w:val="20"/>
                                    </w:rPr>
                                  </w:pPr>
                                  <w:r w:rsidRPr="000C7151">
                                    <w:rPr>
                                      <w:sz w:val="20"/>
                                      <w:szCs w:val="20"/>
                                    </w:rPr>
                                    <w:t>means a solid substance that releases useable energy when burnt (for example, wood and coal)</w:t>
                                  </w:r>
                                </w:p>
                              </w:txbxContent>
                            </wps:txbx>
                            <wps:bodyPr rot="0" vert="horz" wrap="square" lIns="91440" tIns="45720" rIns="91440" bIns="45720" anchor="t" anchorCtr="0">
                              <a:noAutofit/>
                            </wps:bodyPr>
                          </wps:wsp>
                        </a:graphicData>
                      </a:graphic>
                    </wp:inline>
                  </w:drawing>
                </mc:Choice>
                <mc:Fallback>
                  <w:pict>
                    <v:shape w14:anchorId="3A4432B6" id="Text Box 4" o:spid="_x0000_s1124" type="#_x0000_t202" style="width:291.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">
                      <v:textbox>
                        <w:txbxContent>
                          <w:p w14:paraId="770B973A" w14:textId="77777777" w:rsidR="009A1120" w:rsidRPr="000C7151" w:rsidRDefault="009A1120" w:rsidP="009A1120">
                            <w:pPr>
                              <w:rPr>
                                <w:sz w:val="20"/>
                                <w:szCs w:val="20"/>
                              </w:rPr>
                            </w:pPr>
                            <w:r w:rsidRPr="000C7151">
                              <w:rPr>
                                <w:sz w:val="20"/>
                                <w:szCs w:val="20"/>
                              </w:rPr>
                              <w:t>means a solid substance that releases useable energy when burnt (for example, wood and coal)</w:t>
                            </w:r>
                          </w:p>
                        </w:txbxContent>
                      </v:textbox>
                      <w10:anchorlock/>
                    </v:shape>
                  </w:pict>
                </mc:Fallback>
              </mc:AlternateContent>
            </w:r>
          </w:p>
        </w:tc>
      </w:tr>
      <w:tr w:rsidR="003D2AF4" w:rsidRPr="00FA0A22" w14:paraId="272DF1CB" w14:textId="77777777" w:rsidTr="00F94C51">
        <w:tc>
          <w:tcPr>
            <w:tcW w:w="2104" w:type="dxa"/>
          </w:tcPr>
          <w:p w14:paraId="0D37F8D6" w14:textId="0A51195E" w:rsidR="003D2AF4" w:rsidRPr="00FA0A22" w:rsidRDefault="003D2AF4" w:rsidP="00F94C51">
            <w:pPr>
              <w:tabs>
                <w:tab w:val="center" w:pos="4513"/>
                <w:tab w:val="right" w:pos="9026"/>
              </w:tabs>
              <w:spacing w:before="60" w:after="60"/>
              <w:rPr>
                <w:b/>
                <w:bCs/>
                <w:sz w:val="20"/>
                <w:szCs w:val="20"/>
                <w:u w:val="single"/>
              </w:rPr>
            </w:pPr>
            <w:r w:rsidRPr="00FA0A22">
              <w:rPr>
                <w:b/>
                <w:bCs/>
                <w:sz w:val="20"/>
                <w:szCs w:val="20"/>
                <w:u w:val="single"/>
              </w:rPr>
              <w:t>Specified infrastructure</w:t>
            </w:r>
            <w:r w:rsidRPr="00FA0A22">
              <w:rPr>
                <w:rStyle w:val="FootnoteReference"/>
                <w:b/>
                <w:bCs/>
                <w:sz w:val="20"/>
                <w:szCs w:val="20"/>
                <w:u w:val="single"/>
              </w:rPr>
              <w:footnoteReference w:id="137"/>
            </w:r>
          </w:p>
        </w:tc>
        <w:tc>
          <w:tcPr>
            <w:tcW w:w="7146" w:type="dxa"/>
          </w:tcPr>
          <w:p w14:paraId="3751D666" w14:textId="77777777" w:rsidR="003D2AF4" w:rsidRPr="00FA0A22" w:rsidRDefault="003D2AF4" w:rsidP="00F94C51">
            <w:pPr>
              <w:tabs>
                <w:tab w:val="center" w:pos="4513"/>
                <w:tab w:val="right" w:pos="9026"/>
              </w:tabs>
              <w:spacing w:before="60" w:after="60"/>
              <w:jc w:val="both"/>
              <w:rPr>
                <w:sz w:val="20"/>
                <w:szCs w:val="20"/>
                <w:u w:val="single"/>
              </w:rPr>
            </w:pPr>
            <w:r w:rsidRPr="00FA0A22">
              <w:rPr>
                <w:sz w:val="20"/>
                <w:szCs w:val="20"/>
                <w:u w:val="single"/>
              </w:rPr>
              <w:t>has the same meaning as in clause 3.21 of the National Policy Statement for Freshwater Management 2020 (as set out in the box below)</w:t>
            </w:r>
          </w:p>
          <w:p w14:paraId="599AEAC8" w14:textId="77777777" w:rsidR="003D2AF4" w:rsidRPr="00FA0A22" w:rsidRDefault="003D2AF4" w:rsidP="00F94C51">
            <w:pPr>
              <w:tabs>
                <w:tab w:val="center" w:pos="4513"/>
                <w:tab w:val="right" w:pos="9026"/>
              </w:tabs>
              <w:spacing w:before="60" w:after="60"/>
              <w:jc w:val="both"/>
              <w:rPr>
                <w:sz w:val="20"/>
                <w:szCs w:val="20"/>
                <w:u w:val="single"/>
              </w:rPr>
            </w:pPr>
            <w:r w:rsidRPr="00FA0A22">
              <w:rPr>
                <w:noProof/>
                <w:sz w:val="20"/>
                <w:szCs w:val="20"/>
                <w:u w:val="single"/>
              </w:rPr>
              <mc:AlternateContent>
                <mc:Choice Requires="wps">
                  <w:drawing>
                    <wp:inline distT="0" distB="0" distL="0" distR="0" wp14:anchorId="28A1CB3E" wp14:editId="61FEE2D6">
                      <wp:extent cx="3697356" cy="2476500"/>
                      <wp:effectExtent l="0" t="0" r="17780" b="19050"/>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476500"/>
                              </a:xfrm>
                              <a:prstGeom prst="rect">
                                <a:avLst/>
                              </a:prstGeom>
                              <a:solidFill>
                                <a:srgbClr val="FFFFFF"/>
                              </a:solidFill>
                              <a:ln w="9525">
                                <a:solidFill>
                                  <a:srgbClr val="000000"/>
                                </a:solidFill>
                                <a:miter lim="800000"/>
                                <a:headEnd/>
                                <a:tailEnd/>
                              </a:ln>
                            </wps:spPr>
                            <wps:txbx>
                              <w:txbxContent>
                                <w:p w14:paraId="0A9AA28D" w14:textId="77777777" w:rsidR="003D2AF4" w:rsidRPr="00FA0A22" w:rsidRDefault="003D2AF4" w:rsidP="003D2AF4">
                                  <w:pPr>
                                    <w:spacing w:after="60"/>
                                    <w:rPr>
                                      <w:sz w:val="20"/>
                                      <w:szCs w:val="20"/>
                                      <w:u w:val="single"/>
                                    </w:rPr>
                                  </w:pPr>
                                  <w:r w:rsidRPr="00FA0A22">
                                    <w:rPr>
                                      <w:sz w:val="20"/>
                                      <w:szCs w:val="20"/>
                                      <w:u w:val="single"/>
                                    </w:rPr>
                                    <w:t>means any of the following:</w:t>
                                  </w:r>
                                </w:p>
                                <w:p w14:paraId="695AB5D0" w14:textId="77777777" w:rsidR="003D2AF4" w:rsidRPr="00FA0A22" w:rsidRDefault="003D2AF4" w:rsidP="003D2AF4">
                                  <w:pPr>
                                    <w:spacing w:after="60"/>
                                    <w:ind w:left="284" w:hanging="284"/>
                                    <w:rPr>
                                      <w:sz w:val="20"/>
                                      <w:szCs w:val="20"/>
                                      <w:u w:val="single"/>
                                    </w:rPr>
                                  </w:pPr>
                                  <w:r w:rsidRPr="00FA0A22">
                                    <w:rPr>
                                      <w:sz w:val="20"/>
                                      <w:szCs w:val="20"/>
                                      <w:u w:val="single"/>
                                    </w:rPr>
                                    <w:t>(a)</w:t>
                                  </w:r>
                                  <w:r w:rsidRPr="00FA0A22">
                                    <w:rPr>
                                      <w:sz w:val="20"/>
                                      <w:szCs w:val="20"/>
                                      <w:u w:val="single"/>
                                    </w:rPr>
                                    <w:tab/>
                                    <w:t>infrastructure that delivers a service operated by a lifeline utility (as defined in the Civil Defence Emergency Management Act 2002),</w:t>
                                  </w:r>
                                </w:p>
                                <w:p w14:paraId="57FDEE69" w14:textId="77777777" w:rsidR="003D2AF4" w:rsidRPr="00FA0A22" w:rsidRDefault="003D2AF4" w:rsidP="003D2AF4">
                                  <w:pPr>
                                    <w:spacing w:after="60"/>
                                    <w:ind w:left="284" w:hanging="284"/>
                                    <w:rPr>
                                      <w:sz w:val="20"/>
                                      <w:szCs w:val="20"/>
                                      <w:u w:val="single"/>
                                    </w:rPr>
                                  </w:pPr>
                                  <w:r w:rsidRPr="00FA0A22">
                                    <w:rPr>
                                      <w:sz w:val="20"/>
                                      <w:szCs w:val="20"/>
                                      <w:u w:val="single"/>
                                    </w:rPr>
                                    <w:t>(b)</w:t>
                                  </w:r>
                                  <w:r w:rsidRPr="00FA0A22">
                                    <w:rPr>
                                      <w:sz w:val="20"/>
                                      <w:szCs w:val="20"/>
                                      <w:u w:val="single"/>
                                    </w:rPr>
                                    <w:tab/>
                                    <w:t xml:space="preserve">regionally significant infrastructure identified as such in a regional policy statement or </w:t>
                                  </w:r>
                                  <w:r w:rsidRPr="00FA0A22">
                                    <w:rPr>
                                      <w:i/>
                                      <w:sz w:val="20"/>
                                      <w:szCs w:val="20"/>
                                      <w:u w:val="single"/>
                                    </w:rPr>
                                    <w:t>regional plan</w:t>
                                  </w:r>
                                  <w:r w:rsidRPr="00FA0A22">
                                    <w:rPr>
                                      <w:sz w:val="20"/>
                                      <w:szCs w:val="20"/>
                                      <w:u w:val="single"/>
                                    </w:rPr>
                                    <w:t>,</w:t>
                                  </w:r>
                                </w:p>
                                <w:p w14:paraId="43B02A08" w14:textId="77777777" w:rsidR="003D2AF4" w:rsidRPr="00FA0A22" w:rsidRDefault="003D2AF4" w:rsidP="003D2AF4">
                                  <w:pPr>
                                    <w:spacing w:after="60"/>
                                    <w:ind w:left="284" w:hanging="284"/>
                                    <w:rPr>
                                      <w:sz w:val="20"/>
                                      <w:szCs w:val="20"/>
                                      <w:u w:val="single"/>
                                    </w:rPr>
                                  </w:pPr>
                                  <w:r w:rsidRPr="00FA0A22">
                                    <w:rPr>
                                      <w:sz w:val="20"/>
                                      <w:szCs w:val="20"/>
                                      <w:u w:val="single"/>
                                    </w:rPr>
                                    <w:t>(c)</w:t>
                                  </w:r>
                                  <w:r w:rsidRPr="00FA0A22">
                                    <w:rPr>
                                      <w:sz w:val="20"/>
                                      <w:szCs w:val="20"/>
                                      <w:u w:val="single"/>
                                    </w:rPr>
                                    <w:tab/>
                                    <w:t>any public flood control, flood protection, or drainage works carried out:</w:t>
                                  </w:r>
                                </w:p>
                                <w:p w14:paraId="5849405C" w14:textId="77777777" w:rsidR="003D2AF4" w:rsidRPr="00FA0A22" w:rsidRDefault="003D2AF4" w:rsidP="003D2AF4">
                                  <w:pPr>
                                    <w:spacing w:after="60"/>
                                    <w:ind w:left="567" w:hanging="284"/>
                                    <w:rPr>
                                      <w:sz w:val="20"/>
                                      <w:szCs w:val="20"/>
                                      <w:u w:val="single"/>
                                    </w:rPr>
                                  </w:pPr>
                                  <w:r w:rsidRPr="00FA0A22">
                                    <w:rPr>
                                      <w:sz w:val="20"/>
                                      <w:szCs w:val="20"/>
                                      <w:u w:val="single"/>
                                    </w:rPr>
                                    <w:t>(i)</w:t>
                                  </w:r>
                                  <w:r w:rsidRPr="00FA0A22">
                                    <w:rPr>
                                      <w:sz w:val="20"/>
                                      <w:szCs w:val="20"/>
                                      <w:u w:val="single"/>
                                    </w:rPr>
                                    <w:tab/>
                                    <w:t>by or on behalf of a local authority, including works carried out for the purposes set out in section 133 of the Soil Conservation and Rivers Control Act 1951, or</w:t>
                                  </w:r>
                                </w:p>
                                <w:p w14:paraId="0D36DFE4" w14:textId="77777777" w:rsidR="003D2AF4" w:rsidRPr="00FA0A22" w:rsidRDefault="003D2AF4" w:rsidP="003D2AF4">
                                  <w:pPr>
                                    <w:spacing w:after="60"/>
                                    <w:ind w:left="567" w:hanging="284"/>
                                    <w:rPr>
                                      <w:sz w:val="20"/>
                                      <w:szCs w:val="20"/>
                                      <w:u w:val="single"/>
                                    </w:rPr>
                                  </w:pPr>
                                  <w:r w:rsidRPr="00FA0A22">
                                    <w:rPr>
                                      <w:sz w:val="20"/>
                                      <w:szCs w:val="20"/>
                                      <w:u w:val="single"/>
                                    </w:rPr>
                                    <w:t>(ii)</w:t>
                                  </w:r>
                                  <w:r w:rsidRPr="00FA0A22">
                                    <w:rPr>
                                      <w:sz w:val="20"/>
                                      <w:szCs w:val="20"/>
                                      <w:u w:val="single"/>
                                    </w:rPr>
                                    <w:tab/>
                                    <w:t>for the purpose of drainage by drainage districts under the Land Drainage Act 1908</w:t>
                                  </w:r>
                                </w:p>
                              </w:txbxContent>
                            </wps:txbx>
                            <wps:bodyPr rot="0" vert="horz" wrap="square" lIns="91440" tIns="45720" rIns="91440" bIns="45720" anchor="t" anchorCtr="0">
                              <a:noAutofit/>
                            </wps:bodyPr>
                          </wps:wsp>
                        </a:graphicData>
                      </a:graphic>
                    </wp:inline>
                  </w:drawing>
                </mc:Choice>
                <mc:Fallback>
                  <w:pict>
                    <v:shape w14:anchorId="28A1CB3E" id="Text Box 319" o:spid="_x0000_s1125" type="#_x0000_t202" style="width:291.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">
                      <v:textbox>
                        <w:txbxContent>
                          <w:p w14:paraId="0A9AA28D" w14:textId="77777777" w:rsidR="003D2AF4" w:rsidRPr="00FA0A22" w:rsidRDefault="003D2AF4" w:rsidP="003D2AF4">
                            <w:pPr>
                              <w:spacing w:after="60"/>
                              <w:rPr>
                                <w:sz w:val="20"/>
                                <w:szCs w:val="20"/>
                                <w:u w:val="single"/>
                              </w:rPr>
                            </w:pPr>
                            <w:r w:rsidRPr="00FA0A22">
                              <w:rPr>
                                <w:sz w:val="20"/>
                                <w:szCs w:val="20"/>
                                <w:u w:val="single"/>
                              </w:rPr>
                              <w:t>means any of the following:</w:t>
                            </w:r>
                          </w:p>
                          <w:p w14:paraId="695AB5D0" w14:textId="77777777" w:rsidR="003D2AF4" w:rsidRPr="00FA0A22" w:rsidRDefault="003D2AF4" w:rsidP="003D2AF4">
                            <w:pPr>
                              <w:spacing w:after="60"/>
                              <w:ind w:left="284" w:hanging="284"/>
                              <w:rPr>
                                <w:sz w:val="20"/>
                                <w:szCs w:val="20"/>
                                <w:u w:val="single"/>
                              </w:rPr>
                            </w:pPr>
                            <w:r w:rsidRPr="00FA0A22">
                              <w:rPr>
                                <w:sz w:val="20"/>
                                <w:szCs w:val="20"/>
                                <w:u w:val="single"/>
                              </w:rPr>
                              <w:t>(a)</w:t>
                            </w:r>
                            <w:r w:rsidRPr="00FA0A22">
                              <w:rPr>
                                <w:sz w:val="20"/>
                                <w:szCs w:val="20"/>
                                <w:u w:val="single"/>
                              </w:rPr>
                              <w:tab/>
                              <w:t>infrastructure that delivers a service operated by a lifeline utility (as defined in the Civil Defence Emergency Management Act 2002),</w:t>
                            </w:r>
                          </w:p>
                          <w:p w14:paraId="57FDEE69" w14:textId="77777777" w:rsidR="003D2AF4" w:rsidRPr="00FA0A22" w:rsidRDefault="003D2AF4" w:rsidP="003D2AF4">
                            <w:pPr>
                              <w:spacing w:after="60"/>
                              <w:ind w:left="284" w:hanging="284"/>
                              <w:rPr>
                                <w:sz w:val="20"/>
                                <w:szCs w:val="20"/>
                                <w:u w:val="single"/>
                              </w:rPr>
                            </w:pPr>
                            <w:r w:rsidRPr="00FA0A22">
                              <w:rPr>
                                <w:sz w:val="20"/>
                                <w:szCs w:val="20"/>
                                <w:u w:val="single"/>
                              </w:rPr>
                              <w:t>(b)</w:t>
                            </w:r>
                            <w:r w:rsidRPr="00FA0A22">
                              <w:rPr>
                                <w:sz w:val="20"/>
                                <w:szCs w:val="20"/>
                                <w:u w:val="single"/>
                              </w:rPr>
                              <w:tab/>
                              <w:t xml:space="preserve">regionally significant infrastructure identified as such in a regional policy statement or </w:t>
                            </w:r>
                            <w:r w:rsidRPr="00FA0A22">
                              <w:rPr>
                                <w:i/>
                                <w:sz w:val="20"/>
                                <w:szCs w:val="20"/>
                                <w:u w:val="single"/>
                              </w:rPr>
                              <w:t>regional plan</w:t>
                            </w:r>
                            <w:r w:rsidRPr="00FA0A22">
                              <w:rPr>
                                <w:sz w:val="20"/>
                                <w:szCs w:val="20"/>
                                <w:u w:val="single"/>
                              </w:rPr>
                              <w:t>,</w:t>
                            </w:r>
                          </w:p>
                          <w:p w14:paraId="43B02A08" w14:textId="77777777" w:rsidR="003D2AF4" w:rsidRPr="00FA0A22" w:rsidRDefault="003D2AF4" w:rsidP="003D2AF4">
                            <w:pPr>
                              <w:spacing w:after="60"/>
                              <w:ind w:left="284" w:hanging="284"/>
                              <w:rPr>
                                <w:sz w:val="20"/>
                                <w:szCs w:val="20"/>
                                <w:u w:val="single"/>
                              </w:rPr>
                            </w:pPr>
                            <w:r w:rsidRPr="00FA0A22">
                              <w:rPr>
                                <w:sz w:val="20"/>
                                <w:szCs w:val="20"/>
                                <w:u w:val="single"/>
                              </w:rPr>
                              <w:t>(c)</w:t>
                            </w:r>
                            <w:r w:rsidRPr="00FA0A22">
                              <w:rPr>
                                <w:sz w:val="20"/>
                                <w:szCs w:val="20"/>
                                <w:u w:val="single"/>
                              </w:rPr>
                              <w:tab/>
                              <w:t>any public flood control, flood protection, or drainage works carried out:</w:t>
                            </w:r>
                          </w:p>
                          <w:p w14:paraId="5849405C" w14:textId="77777777" w:rsidR="003D2AF4" w:rsidRPr="00FA0A22" w:rsidRDefault="003D2AF4" w:rsidP="003D2AF4">
                            <w:pPr>
                              <w:spacing w:after="60"/>
                              <w:ind w:left="567" w:hanging="284"/>
                              <w:rPr>
                                <w:sz w:val="20"/>
                                <w:szCs w:val="20"/>
                                <w:u w:val="single"/>
                              </w:rPr>
                            </w:pPr>
                            <w:r w:rsidRPr="00FA0A22">
                              <w:rPr>
                                <w:sz w:val="20"/>
                                <w:szCs w:val="20"/>
                                <w:u w:val="single"/>
                              </w:rPr>
                              <w:t>(i)</w:t>
                            </w:r>
                            <w:r w:rsidRPr="00FA0A22">
                              <w:rPr>
                                <w:sz w:val="20"/>
                                <w:szCs w:val="20"/>
                                <w:u w:val="single"/>
                              </w:rPr>
                              <w:tab/>
                              <w:t>by or on behalf of a local authority, including works carried out for the purposes set out in section 133 of the Soil Conservation and Rivers Control Act 1951, or</w:t>
                            </w:r>
                          </w:p>
                          <w:p w14:paraId="0D36DFE4" w14:textId="77777777" w:rsidR="003D2AF4" w:rsidRPr="00FA0A22" w:rsidRDefault="003D2AF4" w:rsidP="003D2AF4">
                            <w:pPr>
                              <w:spacing w:after="60"/>
                              <w:ind w:left="567" w:hanging="284"/>
                              <w:rPr>
                                <w:sz w:val="20"/>
                                <w:szCs w:val="20"/>
                                <w:u w:val="single"/>
                              </w:rPr>
                            </w:pPr>
                            <w:r w:rsidRPr="00FA0A22">
                              <w:rPr>
                                <w:sz w:val="20"/>
                                <w:szCs w:val="20"/>
                                <w:u w:val="single"/>
                              </w:rPr>
                              <w:t>(ii)</w:t>
                            </w:r>
                            <w:r w:rsidRPr="00FA0A22">
                              <w:rPr>
                                <w:sz w:val="20"/>
                                <w:szCs w:val="20"/>
                                <w:u w:val="single"/>
                              </w:rPr>
                              <w:tab/>
                              <w:t>for the purpose of drainage by drainage districts under the Land Drainage Act 1908</w:t>
                            </w:r>
                          </w:p>
                        </w:txbxContent>
                      </v:textbox>
                      <w10:anchorlock/>
                    </v:shape>
                  </w:pict>
                </mc:Fallback>
              </mc:AlternateContent>
            </w:r>
          </w:p>
        </w:tc>
      </w:tr>
      <w:tr w:rsidR="009A1120" w:rsidRPr="00472578" w14:paraId="36500889"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429CAE0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Specified rivers and lakes</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FCE29E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Appendix 3 of the National Policy Statement for Freshwater Management 2020 (as set out in the box below)</w:t>
            </w:r>
          </w:p>
          <w:p w14:paraId="732A3C16"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5B13835" wp14:editId="0AC62917">
                      <wp:extent cx="3697356" cy="1123950"/>
                      <wp:effectExtent l="0" t="0" r="17780" b="19050"/>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123950"/>
                              </a:xfrm>
                              <a:prstGeom prst="rect">
                                <a:avLst/>
                              </a:prstGeom>
                              <a:solidFill>
                                <a:srgbClr val="FFFFFF"/>
                              </a:solidFill>
                              <a:ln w="9525">
                                <a:solidFill>
                                  <a:srgbClr val="000000"/>
                                </a:solidFill>
                                <a:miter lim="800000"/>
                                <a:headEnd/>
                                <a:tailEnd/>
                              </a:ln>
                            </wps:spPr>
                            <wps:txbx>
                              <w:txbxContent>
                                <w:p w14:paraId="12B58861" w14:textId="77777777" w:rsidR="009A1120" w:rsidRDefault="009A1120" w:rsidP="009A1120">
                                  <w:pPr>
                                    <w:contextualSpacing/>
                                    <w:rPr>
                                      <w:sz w:val="20"/>
                                      <w:szCs w:val="20"/>
                                    </w:rPr>
                                  </w:pPr>
                                  <w:r>
                                    <w:rPr>
                                      <w:sz w:val="20"/>
                                      <w:szCs w:val="20"/>
                                    </w:rPr>
                                    <w:t>means:</w:t>
                                  </w:r>
                                </w:p>
                                <w:p w14:paraId="593DB1E6" w14:textId="77777777" w:rsidR="009A1120" w:rsidRDefault="009A1120" w:rsidP="009A1120">
                                  <w:pPr>
                                    <w:spacing w:after="60"/>
                                    <w:ind w:left="284" w:hanging="284"/>
                                    <w:rPr>
                                      <w:sz w:val="20"/>
                                      <w:szCs w:val="20"/>
                                    </w:rPr>
                                  </w:pPr>
                                  <w:r>
                                    <w:rPr>
                                      <w:sz w:val="20"/>
                                      <w:szCs w:val="20"/>
                                    </w:rPr>
                                    <w:t>(a)</w:t>
                                  </w:r>
                                  <w:r>
                                    <w:rPr>
                                      <w:sz w:val="20"/>
                                      <w:szCs w:val="20"/>
                                    </w:rPr>
                                    <w:tab/>
                                    <w:t>rivers that are fourth order or greater, using the methods outlined in the River Environment Classification System, National Institute of Water and Atmospheric Research, Version 1, and</w:t>
                                  </w:r>
                                </w:p>
                                <w:p w14:paraId="2EDEBB64" w14:textId="77777777" w:rsidR="009A1120" w:rsidRPr="002F3812" w:rsidRDefault="009A1120" w:rsidP="009A1120">
                                  <w:pPr>
                                    <w:spacing w:after="60"/>
                                    <w:ind w:left="284" w:hanging="284"/>
                                    <w:rPr>
                                      <w:sz w:val="20"/>
                                      <w:szCs w:val="20"/>
                                    </w:rPr>
                                  </w:pPr>
                                  <w:r>
                                    <w:rPr>
                                      <w:sz w:val="20"/>
                                      <w:szCs w:val="20"/>
                                    </w:rPr>
                                    <w:t>(b)</w:t>
                                  </w:r>
                                  <w:r>
                                    <w:rPr>
                                      <w:sz w:val="20"/>
                                      <w:szCs w:val="20"/>
                                    </w:rPr>
                                    <w:tab/>
                                    <w:t>lakes with a perimeter of 1.5km or more</w:t>
                                  </w:r>
                                </w:p>
                              </w:txbxContent>
                            </wps:txbx>
                            <wps:bodyPr rot="0" vert="horz" wrap="square" lIns="91440" tIns="45720" rIns="91440" bIns="45720" anchor="t" anchorCtr="0">
                              <a:noAutofit/>
                            </wps:bodyPr>
                          </wps:wsp>
                        </a:graphicData>
                      </a:graphic>
                    </wp:inline>
                  </w:drawing>
                </mc:Choice>
                <mc:Fallback>
                  <w:pict>
                    <v:shape w14:anchorId="55B13835" id="Text Box 254" o:spid="_x0000_s1126" type="#_x0000_t202" style="width:291.1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">
                      <v:textbox>
                        <w:txbxContent>
                          <w:p w14:paraId="12B58861" w14:textId="77777777" w:rsidR="009A1120" w:rsidRDefault="009A1120" w:rsidP="009A1120">
                            <w:pPr>
                              <w:contextualSpacing/>
                              <w:rPr>
                                <w:sz w:val="20"/>
                                <w:szCs w:val="20"/>
                              </w:rPr>
                            </w:pPr>
                            <w:r>
                              <w:rPr>
                                <w:sz w:val="20"/>
                                <w:szCs w:val="20"/>
                              </w:rPr>
                              <w:t>means:</w:t>
                            </w:r>
                          </w:p>
                          <w:p w14:paraId="593DB1E6" w14:textId="77777777" w:rsidR="009A1120" w:rsidRDefault="009A1120" w:rsidP="009A1120">
                            <w:pPr>
                              <w:spacing w:after="60"/>
                              <w:ind w:left="284" w:hanging="284"/>
                              <w:rPr>
                                <w:sz w:val="20"/>
                                <w:szCs w:val="20"/>
                              </w:rPr>
                            </w:pPr>
                            <w:r>
                              <w:rPr>
                                <w:sz w:val="20"/>
                                <w:szCs w:val="20"/>
                              </w:rPr>
                              <w:t>(a)</w:t>
                            </w:r>
                            <w:r>
                              <w:rPr>
                                <w:sz w:val="20"/>
                                <w:szCs w:val="20"/>
                              </w:rPr>
                              <w:tab/>
                              <w:t>rivers that are fourth order or greater, using the methods outlined in the River Environment Classification System, National Institute of Water and Atmospheric Research, Version 1, and</w:t>
                            </w:r>
                          </w:p>
                          <w:p w14:paraId="2EDEBB64" w14:textId="77777777" w:rsidR="009A1120" w:rsidRPr="002F3812" w:rsidRDefault="009A1120" w:rsidP="009A1120">
                            <w:pPr>
                              <w:spacing w:after="60"/>
                              <w:ind w:left="284" w:hanging="284"/>
                              <w:rPr>
                                <w:sz w:val="20"/>
                                <w:szCs w:val="20"/>
                              </w:rPr>
                            </w:pPr>
                            <w:r>
                              <w:rPr>
                                <w:sz w:val="20"/>
                                <w:szCs w:val="20"/>
                              </w:rPr>
                              <w:t>(b)</w:t>
                            </w:r>
                            <w:r>
                              <w:rPr>
                                <w:sz w:val="20"/>
                                <w:szCs w:val="20"/>
                              </w:rPr>
                              <w:tab/>
                              <w:t>lakes with a perimeter of 1.5km or more</w:t>
                            </w:r>
                          </w:p>
                        </w:txbxContent>
                      </v:textbox>
                      <w10:anchorlock/>
                    </v:shape>
                  </w:pict>
                </mc:Fallback>
              </mc:AlternateContent>
            </w:r>
          </w:p>
        </w:tc>
      </w:tr>
      <w:tr w:rsidR="009A1120" w:rsidRPr="00472578" w14:paraId="1DFCF9CE"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37644304"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Stormwater</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1C6BC2B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6D1A1DFA"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F23170B" wp14:editId="3037E9F9">
                      <wp:extent cx="3697356" cy="779228"/>
                      <wp:effectExtent l="0" t="0" r="17780" b="20955"/>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779228"/>
                              </a:xfrm>
                              <a:prstGeom prst="rect">
                                <a:avLst/>
                              </a:prstGeom>
                              <a:solidFill>
                                <a:srgbClr val="FFFFFF"/>
                              </a:solidFill>
                              <a:ln w="9525">
                                <a:solidFill>
                                  <a:srgbClr val="000000"/>
                                </a:solidFill>
                                <a:miter lim="800000"/>
                                <a:headEnd/>
                                <a:tailEnd/>
                              </a:ln>
                            </wps:spPr>
                            <wps:txbx>
                              <w:txbxContent>
                                <w:p w14:paraId="31C7C851" w14:textId="77777777" w:rsidR="009A1120" w:rsidRPr="000C7151" w:rsidRDefault="009A1120" w:rsidP="009A1120">
                                  <w:pPr>
                                    <w:spacing w:after="60"/>
                                    <w:rPr>
                                      <w:sz w:val="20"/>
                                      <w:szCs w:val="20"/>
                                    </w:rPr>
                                  </w:pPr>
                                  <w:r w:rsidRPr="000C7151">
                                    <w:rPr>
                                      <w:sz w:val="20"/>
                                      <w:szCs w:val="20"/>
                                    </w:rPr>
                                    <w:t>means run-off that has been intercepted, channelled, diverted, intensified or accelerated by human modification of a land surface, or run-off from the surface of any structure, as a result of precipitation and includes any contaminants contained within</w:t>
                                  </w:r>
                                </w:p>
                              </w:txbxContent>
                            </wps:txbx>
                            <wps:bodyPr rot="0" vert="horz" wrap="square" lIns="91440" tIns="45720" rIns="91440" bIns="45720" anchor="t" anchorCtr="0">
                              <a:noAutofit/>
                            </wps:bodyPr>
                          </wps:wsp>
                        </a:graphicData>
                      </a:graphic>
                    </wp:inline>
                  </w:drawing>
                </mc:Choice>
                <mc:Fallback>
                  <w:pict>
                    <v:shape w14:anchorId="6F23170B" id="Text Box 209" o:spid="_x0000_s1127" type="#_x0000_t202" style="width:291.15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">
                      <v:textbox>
                        <w:txbxContent>
                          <w:p w14:paraId="31C7C851" w14:textId="77777777" w:rsidR="009A1120" w:rsidRPr="000C7151" w:rsidRDefault="009A1120" w:rsidP="009A1120">
                            <w:pPr>
                              <w:spacing w:after="60"/>
                              <w:rPr>
                                <w:sz w:val="20"/>
                                <w:szCs w:val="20"/>
                              </w:rPr>
                            </w:pPr>
                            <w:r w:rsidRPr="000C7151">
                              <w:rPr>
                                <w:sz w:val="20"/>
                                <w:szCs w:val="20"/>
                              </w:rPr>
                              <w:t>means run-off that has been intercepted, channelled, diverted, intensified or accelerated by human modification of a land surface, or run-off from the surface of any structure, as a result of precipitation and includes any contaminants contained within</w:t>
                            </w:r>
                          </w:p>
                        </w:txbxContent>
                      </v:textbox>
                      <w10:anchorlock/>
                    </v:shape>
                  </w:pict>
                </mc:Fallback>
              </mc:AlternateContent>
            </w:r>
          </w:p>
        </w:tc>
      </w:tr>
      <w:tr w:rsidR="009A1120" w:rsidRPr="00472578" w14:paraId="547DE9F8"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0D082297"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Structure</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C23AAA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F56EAE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C17BB5D" wp14:editId="657BCAAE">
                      <wp:extent cx="3697356" cy="437322"/>
                      <wp:effectExtent l="0" t="0" r="17780" b="203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37322"/>
                              </a:xfrm>
                              <a:prstGeom prst="rect">
                                <a:avLst/>
                              </a:prstGeom>
                              <a:solidFill>
                                <a:srgbClr val="FFFFFF"/>
                              </a:solidFill>
                              <a:ln w="9525">
                                <a:solidFill>
                                  <a:srgbClr val="000000"/>
                                </a:solidFill>
                                <a:miter lim="800000"/>
                                <a:headEnd/>
                                <a:tailEnd/>
                              </a:ln>
                            </wps:spPr>
                            <wps:txbx>
                              <w:txbxContent>
                                <w:p w14:paraId="585C8EDC" w14:textId="77777777" w:rsidR="009A1120" w:rsidRPr="000C7151" w:rsidRDefault="009A1120" w:rsidP="009A1120">
                                  <w:pPr>
                                    <w:spacing w:after="60"/>
                                    <w:rPr>
                                      <w:sz w:val="20"/>
                                      <w:szCs w:val="20"/>
                                    </w:rPr>
                                  </w:pPr>
                                  <w:r w:rsidRPr="000C7151">
                                    <w:rPr>
                                      <w:sz w:val="20"/>
                                      <w:szCs w:val="20"/>
                                    </w:rPr>
                                    <w:t>means any building, equipment, device, or other facility made by people and which is fixed to land; and includes any raft</w:t>
                                  </w:r>
                                </w:p>
                              </w:txbxContent>
                            </wps:txbx>
                            <wps:bodyPr rot="0" vert="horz" wrap="square" lIns="91440" tIns="45720" rIns="91440" bIns="45720" anchor="t" anchorCtr="0">
                              <a:noAutofit/>
                            </wps:bodyPr>
                          </wps:wsp>
                        </a:graphicData>
                      </a:graphic>
                    </wp:inline>
                  </w:drawing>
                </mc:Choice>
                <mc:Fallback>
                  <w:pict>
                    <v:shape w14:anchorId="6C17BB5D" id="Text Box 23" o:spid="_x0000_s1128" type="#_x0000_t202" style="width:291.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">
                      <v:textbox>
                        <w:txbxContent>
                          <w:p w14:paraId="585C8EDC" w14:textId="77777777" w:rsidR="009A1120" w:rsidRPr="000C7151" w:rsidRDefault="009A1120" w:rsidP="009A1120">
                            <w:pPr>
                              <w:spacing w:after="60"/>
                              <w:rPr>
                                <w:sz w:val="20"/>
                                <w:szCs w:val="20"/>
                              </w:rPr>
                            </w:pPr>
                            <w:r w:rsidRPr="000C7151">
                              <w:rPr>
                                <w:sz w:val="20"/>
                                <w:szCs w:val="20"/>
                              </w:rPr>
                              <w:t>means any building, equipment, device, or other facility made by people and which is fixed to land; and includes any raft</w:t>
                            </w:r>
                          </w:p>
                        </w:txbxContent>
                      </v:textbox>
                      <w10:anchorlock/>
                    </v:shape>
                  </w:pict>
                </mc:Fallback>
              </mc:AlternateContent>
            </w:r>
          </w:p>
        </w:tc>
      </w:tr>
      <w:tr w:rsidR="009A1120" w:rsidRPr="00472578" w14:paraId="059DF76F"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7D85B15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Structure plan</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0CF09C0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means a framework to prescribe development of an area, including land use patterns, infrastructure, linkages and other key features and constraints that affect the development. </w:t>
            </w:r>
          </w:p>
        </w:tc>
      </w:tr>
      <w:tr w:rsidR="009A1120" w:rsidRPr="00472578" w14:paraId="25A377A0"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182A16B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Subdivision</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21B66FEE"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“subdivision of land” in section 218 of the Resource Management Act 1991 (as set out in the box below)</w:t>
            </w:r>
          </w:p>
          <w:p w14:paraId="6EF0C431"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91B64A1" wp14:editId="0AF05227">
                      <wp:extent cx="3697356" cy="3562184"/>
                      <wp:effectExtent l="0" t="0" r="17780" b="19685"/>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3562184"/>
                              </a:xfrm>
                              <a:prstGeom prst="rect">
                                <a:avLst/>
                              </a:prstGeom>
                              <a:solidFill>
                                <a:srgbClr val="FFFFFF"/>
                              </a:solidFill>
                              <a:ln w="9525">
                                <a:solidFill>
                                  <a:srgbClr val="000000"/>
                                </a:solidFill>
                                <a:miter lim="800000"/>
                                <a:headEnd/>
                                <a:tailEnd/>
                              </a:ln>
                            </wps:spPr>
                            <wps:txbx>
                              <w:txbxContent>
                                <w:p w14:paraId="71E17A0A" w14:textId="77777777" w:rsidR="009A1120" w:rsidRPr="000C7151" w:rsidRDefault="009A1120" w:rsidP="009A1120">
                                  <w:pPr>
                                    <w:spacing w:after="60"/>
                                    <w:ind w:left="284" w:hanging="284"/>
                                    <w:rPr>
                                      <w:sz w:val="20"/>
                                      <w:szCs w:val="20"/>
                                    </w:rPr>
                                  </w:pPr>
                                  <w:r w:rsidRPr="000C7151">
                                    <w:rPr>
                                      <w:sz w:val="20"/>
                                      <w:szCs w:val="20"/>
                                    </w:rPr>
                                    <w:t>(1)</w:t>
                                  </w:r>
                                  <w:r w:rsidRPr="000C7151">
                                    <w:rPr>
                                      <w:sz w:val="20"/>
                                      <w:szCs w:val="20"/>
                                    </w:rPr>
                                    <w:tab/>
                                    <w:t>In this Act, the term subdivision of land means—</w:t>
                                  </w:r>
                                </w:p>
                                <w:p w14:paraId="7213D5F4" w14:textId="77777777" w:rsidR="009A1120" w:rsidRPr="000C7151" w:rsidRDefault="009A1120" w:rsidP="009A1120">
                                  <w:pPr>
                                    <w:spacing w:after="60"/>
                                    <w:ind w:left="567" w:hanging="283"/>
                                    <w:rPr>
                                      <w:sz w:val="20"/>
                                      <w:szCs w:val="20"/>
                                    </w:rPr>
                                  </w:pPr>
                                  <w:r w:rsidRPr="000C7151">
                                    <w:rPr>
                                      <w:sz w:val="20"/>
                                      <w:szCs w:val="20"/>
                                    </w:rPr>
                                    <w:t>(a)</w:t>
                                  </w:r>
                                  <w:r w:rsidRPr="000C7151">
                                    <w:rPr>
                                      <w:sz w:val="20"/>
                                      <w:szCs w:val="20"/>
                                    </w:rPr>
                                    <w:tab/>
                                    <w:t>the division of an allotment—</w:t>
                                  </w:r>
                                </w:p>
                                <w:p w14:paraId="7E03E973" w14:textId="77777777" w:rsidR="009A1120" w:rsidRPr="000C7151" w:rsidRDefault="009A1120" w:rsidP="009A1120">
                                  <w:pPr>
                                    <w:spacing w:after="60"/>
                                    <w:ind w:left="993" w:hanging="426"/>
                                    <w:rPr>
                                      <w:sz w:val="20"/>
                                      <w:szCs w:val="20"/>
                                    </w:rPr>
                                  </w:pPr>
                                  <w:r w:rsidRPr="000C7151">
                                    <w:rPr>
                                      <w:sz w:val="20"/>
                                      <w:szCs w:val="20"/>
                                    </w:rPr>
                                    <w:t>(i)</w:t>
                                  </w:r>
                                  <w:r w:rsidRPr="000C7151">
                                    <w:rPr>
                                      <w:sz w:val="20"/>
                                      <w:szCs w:val="20"/>
                                    </w:rPr>
                                    <w:tab/>
                                    <w:t>by an application to the Registrar-General of Land for the issue of a separate record of title for any part of the allotment; or</w:t>
                                  </w:r>
                                </w:p>
                                <w:p w14:paraId="771FCBB2" w14:textId="77777777" w:rsidR="009A1120" w:rsidRPr="000C7151" w:rsidRDefault="009A1120" w:rsidP="009A1120">
                                  <w:pPr>
                                    <w:spacing w:after="60"/>
                                    <w:ind w:left="993" w:hanging="426"/>
                                    <w:rPr>
                                      <w:sz w:val="20"/>
                                      <w:szCs w:val="20"/>
                                    </w:rPr>
                                  </w:pPr>
                                  <w:r w:rsidRPr="000C7151">
                                    <w:rPr>
                                      <w:sz w:val="20"/>
                                      <w:szCs w:val="20"/>
                                    </w:rPr>
                                    <w:t>(ii)</w:t>
                                  </w:r>
                                  <w:r w:rsidRPr="000C7151">
                                    <w:rPr>
                                      <w:sz w:val="20"/>
                                      <w:szCs w:val="20"/>
                                    </w:rPr>
                                    <w:tab/>
                                    <w:t>by the disposition by way of sale or offer for sale of the fee simple to part of the allotment; or</w:t>
                                  </w:r>
                                </w:p>
                                <w:p w14:paraId="19D673A9" w14:textId="77777777" w:rsidR="009A1120" w:rsidRPr="000C7151" w:rsidRDefault="009A1120" w:rsidP="009A1120">
                                  <w:pPr>
                                    <w:spacing w:after="60"/>
                                    <w:ind w:left="993" w:hanging="426"/>
                                    <w:rPr>
                                      <w:sz w:val="20"/>
                                      <w:szCs w:val="20"/>
                                    </w:rPr>
                                  </w:pPr>
                                  <w:r w:rsidRPr="000C7151">
                                    <w:rPr>
                                      <w:sz w:val="20"/>
                                      <w:szCs w:val="20"/>
                                    </w:rPr>
                                    <w:t>(iii)</w:t>
                                  </w:r>
                                  <w:r w:rsidRPr="000C7151">
                                    <w:rPr>
                                      <w:sz w:val="20"/>
                                      <w:szCs w:val="20"/>
                                    </w:rPr>
                                    <w:tab/>
                                    <w:t>by a lease of part of the allotment which, including renewals, is or could be for a term of more than 35 years; or</w:t>
                                  </w:r>
                                </w:p>
                                <w:p w14:paraId="531FE7F2" w14:textId="77777777" w:rsidR="009A1120" w:rsidRPr="000C7151" w:rsidRDefault="009A1120" w:rsidP="009A1120">
                                  <w:pPr>
                                    <w:spacing w:after="60"/>
                                    <w:ind w:left="993" w:hanging="426"/>
                                    <w:rPr>
                                      <w:sz w:val="20"/>
                                      <w:szCs w:val="20"/>
                                    </w:rPr>
                                  </w:pPr>
                                  <w:r w:rsidRPr="000C7151">
                                    <w:rPr>
                                      <w:sz w:val="20"/>
                                      <w:szCs w:val="20"/>
                                    </w:rPr>
                                    <w:t>(iv)</w:t>
                                  </w:r>
                                  <w:r w:rsidRPr="000C7151">
                                    <w:rPr>
                                      <w:sz w:val="20"/>
                                      <w:szCs w:val="20"/>
                                    </w:rPr>
                                    <w:tab/>
                                    <w:t>by the grant of a company lease or cross lease in respect of any part of the allotment; or</w:t>
                                  </w:r>
                                </w:p>
                                <w:p w14:paraId="0A1208AF" w14:textId="77777777" w:rsidR="009A1120" w:rsidRPr="000C7151" w:rsidRDefault="009A1120" w:rsidP="009A1120">
                                  <w:pPr>
                                    <w:spacing w:after="60"/>
                                    <w:ind w:left="993" w:hanging="426"/>
                                    <w:rPr>
                                      <w:sz w:val="20"/>
                                      <w:szCs w:val="20"/>
                                    </w:rPr>
                                  </w:pPr>
                                  <w:r w:rsidRPr="000C7151">
                                    <w:rPr>
                                      <w:sz w:val="20"/>
                                      <w:szCs w:val="20"/>
                                    </w:rPr>
                                    <w:t>(v)</w:t>
                                  </w:r>
                                  <w:r w:rsidRPr="000C7151">
                                    <w:rPr>
                                      <w:sz w:val="20"/>
                                      <w:szCs w:val="20"/>
                                    </w:rPr>
                                    <w:tab/>
                                    <w:t>by the deposit of a unit plan, or an application to the Registrar-General of Land for the issue of a separate record of title for any part of a unit on a unit plan; or</w:t>
                                  </w:r>
                                </w:p>
                                <w:p w14:paraId="70E3C5E9" w14:textId="77777777" w:rsidR="009A1120" w:rsidRPr="000C7151" w:rsidRDefault="009A1120" w:rsidP="009A1120">
                                  <w:pPr>
                                    <w:spacing w:after="60"/>
                                    <w:ind w:left="567" w:hanging="283"/>
                                    <w:rPr>
                                      <w:sz w:val="20"/>
                                      <w:szCs w:val="20"/>
                                    </w:rPr>
                                  </w:pPr>
                                  <w:r w:rsidRPr="000C7151">
                                    <w:rPr>
                                      <w:sz w:val="20"/>
                                      <w:szCs w:val="20"/>
                                    </w:rPr>
                                    <w:t>(b)</w:t>
                                  </w:r>
                                  <w:r w:rsidRPr="000C7151">
                                    <w:rPr>
                                      <w:sz w:val="20"/>
                                      <w:szCs w:val="20"/>
                                    </w:rPr>
                                    <w:tab/>
                                    <w:t>an application to the Registrar-General of Land for the issue of a separate record of title in circumstances where the issue of that record of title is prohibited by section 226,—</w:t>
                                  </w:r>
                                </w:p>
                                <w:p w14:paraId="6D2C7F84" w14:textId="77777777" w:rsidR="009A1120" w:rsidRPr="000C7151" w:rsidRDefault="009A1120" w:rsidP="009A1120">
                                  <w:pPr>
                                    <w:spacing w:after="60"/>
                                    <w:rPr>
                                      <w:sz w:val="20"/>
                                      <w:szCs w:val="20"/>
                                    </w:rPr>
                                  </w:pPr>
                                  <w:r w:rsidRPr="000C7151">
                                    <w:rPr>
                                      <w:sz w:val="20"/>
                                      <w:szCs w:val="20"/>
                                    </w:rPr>
                                    <w:t>and the term subdivide land has a corresponding meaning</w:t>
                                  </w:r>
                                </w:p>
                              </w:txbxContent>
                            </wps:txbx>
                            <wps:bodyPr rot="0" vert="horz" wrap="square" lIns="91440" tIns="45720" rIns="91440" bIns="45720" anchor="t" anchorCtr="0">
                              <a:noAutofit/>
                            </wps:bodyPr>
                          </wps:wsp>
                        </a:graphicData>
                      </a:graphic>
                    </wp:inline>
                  </w:drawing>
                </mc:Choice>
                <mc:Fallback>
                  <w:pict>
                    <v:shape w14:anchorId="591B64A1" id="Text Box 192" o:spid="_x0000_s1129" type="#_x0000_t202" style="width:291.15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v/KQIAAFI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">
                      <v:textbox>
                        <w:txbxContent>
                          <w:p w14:paraId="71E17A0A" w14:textId="77777777" w:rsidR="009A1120" w:rsidRPr="000C7151" w:rsidRDefault="009A1120" w:rsidP="009A1120">
                            <w:pPr>
                              <w:spacing w:after="60"/>
                              <w:ind w:left="284" w:hanging="284"/>
                              <w:rPr>
                                <w:sz w:val="20"/>
                                <w:szCs w:val="20"/>
                              </w:rPr>
                            </w:pPr>
                            <w:r w:rsidRPr="000C7151">
                              <w:rPr>
                                <w:sz w:val="20"/>
                                <w:szCs w:val="20"/>
                              </w:rPr>
                              <w:t>(1)</w:t>
                            </w:r>
                            <w:r w:rsidRPr="000C7151">
                              <w:rPr>
                                <w:sz w:val="20"/>
                                <w:szCs w:val="20"/>
                              </w:rPr>
                              <w:tab/>
                              <w:t>In this Act, the term subdivision of land means—</w:t>
                            </w:r>
                          </w:p>
                          <w:p w14:paraId="7213D5F4" w14:textId="77777777" w:rsidR="009A1120" w:rsidRPr="000C7151" w:rsidRDefault="009A1120" w:rsidP="009A1120">
                            <w:pPr>
                              <w:spacing w:after="60"/>
                              <w:ind w:left="567" w:hanging="283"/>
                              <w:rPr>
                                <w:sz w:val="20"/>
                                <w:szCs w:val="20"/>
                              </w:rPr>
                            </w:pPr>
                            <w:r w:rsidRPr="000C7151">
                              <w:rPr>
                                <w:sz w:val="20"/>
                                <w:szCs w:val="20"/>
                              </w:rPr>
                              <w:t>(a)</w:t>
                            </w:r>
                            <w:r w:rsidRPr="000C7151">
                              <w:rPr>
                                <w:sz w:val="20"/>
                                <w:szCs w:val="20"/>
                              </w:rPr>
                              <w:tab/>
                              <w:t>the division of an allotment—</w:t>
                            </w:r>
                          </w:p>
                          <w:p w14:paraId="7E03E973" w14:textId="77777777" w:rsidR="009A1120" w:rsidRPr="000C7151" w:rsidRDefault="009A1120" w:rsidP="009A1120">
                            <w:pPr>
                              <w:spacing w:after="60"/>
                              <w:ind w:left="993" w:hanging="426"/>
                              <w:rPr>
                                <w:sz w:val="20"/>
                                <w:szCs w:val="20"/>
                              </w:rPr>
                            </w:pPr>
                            <w:r w:rsidRPr="000C7151">
                              <w:rPr>
                                <w:sz w:val="20"/>
                                <w:szCs w:val="20"/>
                              </w:rPr>
                              <w:t>(i)</w:t>
                            </w:r>
                            <w:r w:rsidRPr="000C7151">
                              <w:rPr>
                                <w:sz w:val="20"/>
                                <w:szCs w:val="20"/>
                              </w:rPr>
                              <w:tab/>
                              <w:t>by an application to the Registrar-General of Land for the issue of a separate record of title for any part of the allotment; or</w:t>
                            </w:r>
                          </w:p>
                          <w:p w14:paraId="771FCBB2" w14:textId="77777777" w:rsidR="009A1120" w:rsidRPr="000C7151" w:rsidRDefault="009A1120" w:rsidP="009A1120">
                            <w:pPr>
                              <w:spacing w:after="60"/>
                              <w:ind w:left="993" w:hanging="426"/>
                              <w:rPr>
                                <w:sz w:val="20"/>
                                <w:szCs w:val="20"/>
                              </w:rPr>
                            </w:pPr>
                            <w:r w:rsidRPr="000C7151">
                              <w:rPr>
                                <w:sz w:val="20"/>
                                <w:szCs w:val="20"/>
                              </w:rPr>
                              <w:t>(ii)</w:t>
                            </w:r>
                            <w:r w:rsidRPr="000C7151">
                              <w:rPr>
                                <w:sz w:val="20"/>
                                <w:szCs w:val="20"/>
                              </w:rPr>
                              <w:tab/>
                              <w:t>by the disposition by way of sale or offer for sale of the fee simple to part of the allotment; or</w:t>
                            </w:r>
                          </w:p>
                          <w:p w14:paraId="19D673A9" w14:textId="77777777" w:rsidR="009A1120" w:rsidRPr="000C7151" w:rsidRDefault="009A1120" w:rsidP="009A1120">
                            <w:pPr>
                              <w:spacing w:after="60"/>
                              <w:ind w:left="993" w:hanging="426"/>
                              <w:rPr>
                                <w:sz w:val="20"/>
                                <w:szCs w:val="20"/>
                              </w:rPr>
                            </w:pPr>
                            <w:r w:rsidRPr="000C7151">
                              <w:rPr>
                                <w:sz w:val="20"/>
                                <w:szCs w:val="20"/>
                              </w:rPr>
                              <w:t>(iii)</w:t>
                            </w:r>
                            <w:r w:rsidRPr="000C7151">
                              <w:rPr>
                                <w:sz w:val="20"/>
                                <w:szCs w:val="20"/>
                              </w:rPr>
                              <w:tab/>
                              <w:t>by a lease of part of the allotment which, including renewals, is or could be for a term of more than 35 years; or</w:t>
                            </w:r>
                          </w:p>
                          <w:p w14:paraId="531FE7F2" w14:textId="77777777" w:rsidR="009A1120" w:rsidRPr="000C7151" w:rsidRDefault="009A1120" w:rsidP="009A1120">
                            <w:pPr>
                              <w:spacing w:after="60"/>
                              <w:ind w:left="993" w:hanging="426"/>
                              <w:rPr>
                                <w:sz w:val="20"/>
                                <w:szCs w:val="20"/>
                              </w:rPr>
                            </w:pPr>
                            <w:r w:rsidRPr="000C7151">
                              <w:rPr>
                                <w:sz w:val="20"/>
                                <w:szCs w:val="20"/>
                              </w:rPr>
                              <w:t>(iv)</w:t>
                            </w:r>
                            <w:r w:rsidRPr="000C7151">
                              <w:rPr>
                                <w:sz w:val="20"/>
                                <w:szCs w:val="20"/>
                              </w:rPr>
                              <w:tab/>
                              <w:t>by the grant of a company lease or cross lease in respect of any part of the allotment; or</w:t>
                            </w:r>
                          </w:p>
                          <w:p w14:paraId="0A1208AF" w14:textId="77777777" w:rsidR="009A1120" w:rsidRPr="000C7151" w:rsidRDefault="009A1120" w:rsidP="009A1120">
                            <w:pPr>
                              <w:spacing w:after="60"/>
                              <w:ind w:left="993" w:hanging="426"/>
                              <w:rPr>
                                <w:sz w:val="20"/>
                                <w:szCs w:val="20"/>
                              </w:rPr>
                            </w:pPr>
                            <w:r w:rsidRPr="000C7151">
                              <w:rPr>
                                <w:sz w:val="20"/>
                                <w:szCs w:val="20"/>
                              </w:rPr>
                              <w:t>(v)</w:t>
                            </w:r>
                            <w:r w:rsidRPr="000C7151">
                              <w:rPr>
                                <w:sz w:val="20"/>
                                <w:szCs w:val="20"/>
                              </w:rPr>
                              <w:tab/>
                              <w:t>by the deposit of a unit plan, or an application to the Registrar-General of Land for the issue of a separate record of title for any part of a unit on a unit plan; or</w:t>
                            </w:r>
                          </w:p>
                          <w:p w14:paraId="70E3C5E9" w14:textId="77777777" w:rsidR="009A1120" w:rsidRPr="000C7151" w:rsidRDefault="009A1120" w:rsidP="009A1120">
                            <w:pPr>
                              <w:spacing w:after="60"/>
                              <w:ind w:left="567" w:hanging="283"/>
                              <w:rPr>
                                <w:sz w:val="20"/>
                                <w:szCs w:val="20"/>
                              </w:rPr>
                            </w:pPr>
                            <w:r w:rsidRPr="000C7151">
                              <w:rPr>
                                <w:sz w:val="20"/>
                                <w:szCs w:val="20"/>
                              </w:rPr>
                              <w:t>(b)</w:t>
                            </w:r>
                            <w:r w:rsidRPr="000C7151">
                              <w:rPr>
                                <w:sz w:val="20"/>
                                <w:szCs w:val="20"/>
                              </w:rPr>
                              <w:tab/>
                              <w:t>an application to the Registrar-General of Land for the issue of a separate record of title in circumstances where the issue of that record of title is prohibited by section 226,—</w:t>
                            </w:r>
                          </w:p>
                          <w:p w14:paraId="6D2C7F84" w14:textId="77777777" w:rsidR="009A1120" w:rsidRPr="000C7151" w:rsidRDefault="009A1120" w:rsidP="009A1120">
                            <w:pPr>
                              <w:spacing w:after="60"/>
                              <w:rPr>
                                <w:sz w:val="20"/>
                                <w:szCs w:val="20"/>
                              </w:rPr>
                            </w:pPr>
                            <w:r w:rsidRPr="000C7151">
                              <w:rPr>
                                <w:sz w:val="20"/>
                                <w:szCs w:val="20"/>
                              </w:rPr>
                              <w:t>and the term subdivide land has a corresponding meaning</w:t>
                            </w:r>
                          </w:p>
                        </w:txbxContent>
                      </v:textbox>
                      <w10:anchorlock/>
                    </v:shape>
                  </w:pict>
                </mc:Fallback>
              </mc:AlternateContent>
            </w:r>
          </w:p>
        </w:tc>
      </w:tr>
      <w:tr w:rsidR="009A1120" w:rsidRPr="00472578" w14:paraId="39357E6D"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0B30F74A"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Surf break</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708B944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the Glossary in the New Zealand Coastal Policy Statement 2010 (as set out in the box below)</w:t>
            </w:r>
          </w:p>
          <w:p w14:paraId="35C3F25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408C5798" wp14:editId="63092940">
                      <wp:extent cx="3697356" cy="2250219"/>
                      <wp:effectExtent l="0" t="0" r="17780" b="17145"/>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2250219"/>
                              </a:xfrm>
                              <a:prstGeom prst="rect">
                                <a:avLst/>
                              </a:prstGeom>
                              <a:solidFill>
                                <a:srgbClr val="FFFFFF"/>
                              </a:solidFill>
                              <a:ln w="9525">
                                <a:solidFill>
                                  <a:srgbClr val="000000"/>
                                </a:solidFill>
                                <a:miter lim="800000"/>
                                <a:headEnd/>
                                <a:tailEnd/>
                              </a:ln>
                            </wps:spPr>
                            <wps:txbx>
                              <w:txbxContent>
                                <w:p w14:paraId="5F24DF2A" w14:textId="77777777" w:rsidR="009A1120" w:rsidRPr="000C7151" w:rsidRDefault="009A1120" w:rsidP="009A1120">
                                  <w:pPr>
                                    <w:spacing w:after="60"/>
                                    <w:rPr>
                                      <w:sz w:val="20"/>
                                      <w:szCs w:val="20"/>
                                    </w:rPr>
                                  </w:pPr>
                                  <w:r w:rsidRPr="000C7151">
                                    <w:rPr>
                                      <w:sz w:val="20"/>
                                      <w:szCs w:val="20"/>
                                    </w:rPr>
                                    <w:t>A natural feature that is comprised of swell, currents, water levels, seabed morphology, and wind. The hydrodynamic character of the ocean (swell, currents and water levels) combines with seabed morphology and winds to give rise to a ‘surfable wave’. A surf break includes the ‘swell corridor’ through which the swell travels, and the morphology of the seabed of that wave corridor, through to the point where waves created by the swell dissipate and become non-surfable. ‘Swell corridor’ means the region offshore of a surf break where ocean swell travels and transforms to a ‘surfable wave’. ‘Surfable wave’ means a wave that can be caught and ridden by a surfer. Surfable waves have a wave breaking point that peels along the unbroken wave crest so that the surfer is propelled laterally along the wave crest</w:t>
                                  </w:r>
                                </w:p>
                              </w:txbxContent>
                            </wps:txbx>
                            <wps:bodyPr rot="0" vert="horz" wrap="square" lIns="91440" tIns="45720" rIns="91440" bIns="45720" anchor="t" anchorCtr="0">
                              <a:noAutofit/>
                            </wps:bodyPr>
                          </wps:wsp>
                        </a:graphicData>
                      </a:graphic>
                    </wp:inline>
                  </w:drawing>
                </mc:Choice>
                <mc:Fallback>
                  <w:pict>
                    <v:shape w14:anchorId="408C5798" id="Text Box 196" o:spid="_x0000_s1130" type="#_x0000_t202" style="width:291.15pt;height:1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">
                      <v:textbox>
                        <w:txbxContent>
                          <w:p w14:paraId="5F24DF2A" w14:textId="77777777" w:rsidR="009A1120" w:rsidRPr="000C7151" w:rsidRDefault="009A1120" w:rsidP="009A1120">
                            <w:pPr>
                              <w:spacing w:after="60"/>
                              <w:rPr>
                                <w:sz w:val="20"/>
                                <w:szCs w:val="20"/>
                              </w:rPr>
                            </w:pPr>
                            <w:r w:rsidRPr="000C7151">
                              <w:rPr>
                                <w:sz w:val="20"/>
                                <w:szCs w:val="20"/>
                              </w:rPr>
                              <w:t>A natural feature that is comprised of swell, currents, water levels, seabed morphology, and wind. The hydrodynamic character of the ocean (swell, currents and water levels) combines with seabed morphology and winds to give rise to a ‘surfable wave’. A surf break includes the ‘swell corridor’ through which the swell travels, and the morphology of the seabed of that wave corridor, through to the point where waves created by the swell dissipate and become non-surfable. ‘Swell corridor’ means the region offshore of a surf break where ocean swell travels and transforms to a ‘surfable wave’. ‘Surfable wave’ means a wave that can be caught and ridden by a surfer. Surfable waves have a wave breaking point that peels along the unbroken wave crest so that the surfer is propelled laterally along the wave crest</w:t>
                            </w:r>
                          </w:p>
                        </w:txbxContent>
                      </v:textbox>
                      <w10:anchorlock/>
                    </v:shape>
                  </w:pict>
                </mc:Fallback>
              </mc:AlternateContent>
            </w:r>
          </w:p>
        </w:tc>
      </w:tr>
      <w:tr w:rsidR="009A1120" w:rsidRPr="00472578" w14:paraId="525C0456"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543FEE9E"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Takata whenua or tangata whenua</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33B20721"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FC84DC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1805D94" wp14:editId="6492F518">
                      <wp:extent cx="3697356" cy="421419"/>
                      <wp:effectExtent l="0" t="0" r="17780" b="17145"/>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21419"/>
                              </a:xfrm>
                              <a:prstGeom prst="rect">
                                <a:avLst/>
                              </a:prstGeom>
                              <a:solidFill>
                                <a:srgbClr val="FFFFFF"/>
                              </a:solidFill>
                              <a:ln w="9525">
                                <a:solidFill>
                                  <a:srgbClr val="000000"/>
                                </a:solidFill>
                                <a:miter lim="800000"/>
                                <a:headEnd/>
                                <a:tailEnd/>
                              </a:ln>
                            </wps:spPr>
                            <wps:txbx>
                              <w:txbxContent>
                                <w:p w14:paraId="249243F9" w14:textId="77777777" w:rsidR="009A1120" w:rsidRPr="000C7151" w:rsidRDefault="009A1120" w:rsidP="009A1120">
                                  <w:pPr>
                                    <w:spacing w:after="60"/>
                                    <w:rPr>
                                      <w:sz w:val="20"/>
                                      <w:szCs w:val="20"/>
                                    </w:rPr>
                                  </w:pPr>
                                  <w:r w:rsidRPr="000C7151">
                                    <w:rPr>
                                      <w:sz w:val="20"/>
                                      <w:szCs w:val="20"/>
                                    </w:rPr>
                                    <w:t>in relation to a particular area, means the iwi, or hapu, that holds mana whenua over that area</w:t>
                                  </w:r>
                                </w:p>
                              </w:txbxContent>
                            </wps:txbx>
                            <wps:bodyPr rot="0" vert="horz" wrap="square" lIns="91440" tIns="45720" rIns="91440" bIns="45720" anchor="t" anchorCtr="0">
                              <a:noAutofit/>
                            </wps:bodyPr>
                          </wps:wsp>
                        </a:graphicData>
                      </a:graphic>
                    </wp:inline>
                  </w:drawing>
                </mc:Choice>
                <mc:Fallback>
                  <w:pict>
                    <v:shape w14:anchorId="71805D94" id="Text Box 204" o:spid="_x0000_s1131" type="#_x0000_t202" style="width:291.1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">
                      <v:textbox>
                        <w:txbxContent>
                          <w:p w14:paraId="249243F9" w14:textId="77777777" w:rsidR="009A1120" w:rsidRPr="000C7151" w:rsidRDefault="009A1120" w:rsidP="009A1120">
                            <w:pPr>
                              <w:spacing w:after="60"/>
                              <w:rPr>
                                <w:sz w:val="20"/>
                                <w:szCs w:val="20"/>
                              </w:rPr>
                            </w:pPr>
                            <w:r w:rsidRPr="000C7151">
                              <w:rPr>
                                <w:sz w:val="20"/>
                                <w:szCs w:val="20"/>
                              </w:rPr>
                              <w:t>in relation to a particular area, means the iwi, or hapu, that holds mana whenua over that area</w:t>
                            </w:r>
                          </w:p>
                        </w:txbxContent>
                      </v:textbox>
                      <w10:anchorlock/>
                    </v:shape>
                  </w:pict>
                </mc:Fallback>
              </mc:AlternateContent>
            </w:r>
          </w:p>
        </w:tc>
      </w:tr>
      <w:tr w:rsidR="009A1120" w:rsidRPr="00472578" w14:paraId="795A6796"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2F1F308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Taxa</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5A96A53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has the same meaning as in the Glossary of the New Zealand Coastal Policy Statement 2010 (as set out in the box below), </w:t>
            </w:r>
            <w:r w:rsidRPr="00472578">
              <w:rPr>
                <w:sz w:val="20"/>
                <w:szCs w:val="20"/>
                <w:u w:val="single"/>
              </w:rPr>
              <w:t>and in this RPS applies to the whole region</w:t>
            </w:r>
            <w:r w:rsidRPr="00472578">
              <w:rPr>
                <w:rStyle w:val="FootnoteReference"/>
                <w:sz w:val="20"/>
                <w:szCs w:val="20"/>
              </w:rPr>
              <w:footnoteReference w:id="138"/>
            </w:r>
          </w:p>
          <w:p w14:paraId="604CB220"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74D17D25" wp14:editId="23BAF612">
                      <wp:extent cx="3697356" cy="421419"/>
                      <wp:effectExtent l="0" t="0" r="17780" b="1714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21419"/>
                              </a:xfrm>
                              <a:prstGeom prst="rect">
                                <a:avLst/>
                              </a:prstGeom>
                              <a:solidFill>
                                <a:srgbClr val="FFFFFF"/>
                              </a:solidFill>
                              <a:ln w="9525">
                                <a:solidFill>
                                  <a:srgbClr val="000000"/>
                                </a:solidFill>
                                <a:miter lim="800000"/>
                                <a:headEnd/>
                                <a:tailEnd/>
                              </a:ln>
                            </wps:spPr>
                            <wps:txbx>
                              <w:txbxContent>
                                <w:p w14:paraId="1A4668A6" w14:textId="77777777" w:rsidR="009A1120" w:rsidRPr="000C7151" w:rsidRDefault="009A1120" w:rsidP="009A1120">
                                  <w:pPr>
                                    <w:spacing w:after="60"/>
                                    <w:rPr>
                                      <w:sz w:val="20"/>
                                      <w:szCs w:val="20"/>
                                    </w:rPr>
                                  </w:pPr>
                                  <w:r w:rsidRPr="005E0463">
                                    <w:rPr>
                                      <w:sz w:val="20"/>
                                      <w:szCs w:val="20"/>
                                    </w:rPr>
                                    <w:t>Named biological classification units assigned to individuals or sets of species (eg species, subspecies, genus, order, variety)</w:t>
                                  </w:r>
                                </w:p>
                              </w:txbxContent>
                            </wps:txbx>
                            <wps:bodyPr rot="0" vert="horz" wrap="square" lIns="91440" tIns="45720" rIns="91440" bIns="45720" anchor="t" anchorCtr="0">
                              <a:noAutofit/>
                            </wps:bodyPr>
                          </wps:wsp>
                        </a:graphicData>
                      </a:graphic>
                    </wp:inline>
                  </w:drawing>
                </mc:Choice>
                <mc:Fallback>
                  <w:pict>
                    <v:shape w14:anchorId="74D17D25" id="Text Box 50" o:spid="_x0000_s1132" type="#_x0000_t202" style="width:291.1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">
                      <v:textbox>
                        <w:txbxContent>
                          <w:p w14:paraId="1A4668A6" w14:textId="77777777" w:rsidR="009A1120" w:rsidRPr="000C7151" w:rsidRDefault="009A1120" w:rsidP="009A1120">
                            <w:pPr>
                              <w:spacing w:after="60"/>
                              <w:rPr>
                                <w:sz w:val="20"/>
                                <w:szCs w:val="20"/>
                              </w:rPr>
                            </w:pPr>
                            <w:r w:rsidRPr="005E0463">
                              <w:rPr>
                                <w:sz w:val="20"/>
                                <w:szCs w:val="20"/>
                              </w:rPr>
                              <w:t>Named biological classification units assigned to individuals or sets of species (eg species, subspecies, genus, order, variety)</w:t>
                            </w:r>
                          </w:p>
                        </w:txbxContent>
                      </v:textbox>
                      <w10:anchorlock/>
                    </v:shape>
                  </w:pict>
                </mc:Fallback>
              </mc:AlternateContent>
            </w:r>
          </w:p>
        </w:tc>
      </w:tr>
      <w:tr w:rsidR="009A1120" w:rsidRPr="00472578" w14:paraId="31B6F4AB"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1C44F043"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Te Mana o te Wai</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1BC1FD1A"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1.3 of the National Policy Statement for Freshwater Management 2020 (as set out in the box below)</w:t>
            </w:r>
          </w:p>
          <w:p w14:paraId="7C17A236"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567ECD4E" wp14:editId="59970F16">
                      <wp:extent cx="3705307" cy="7665057"/>
                      <wp:effectExtent l="0" t="0" r="28575" b="12700"/>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307" cy="7665057"/>
                              </a:xfrm>
                              <a:prstGeom prst="rect">
                                <a:avLst/>
                              </a:prstGeom>
                              <a:solidFill>
                                <a:srgbClr val="FFFFFF"/>
                              </a:solidFill>
                              <a:ln w="9525">
                                <a:solidFill>
                                  <a:srgbClr val="000000"/>
                                </a:solidFill>
                                <a:miter lim="800000"/>
                                <a:headEnd/>
                                <a:tailEnd/>
                              </a:ln>
                            </wps:spPr>
                            <wps:txbx>
                              <w:txbxContent>
                                <w:p w14:paraId="1A295CD5" w14:textId="77777777" w:rsidR="009A1120" w:rsidRPr="000C7151" w:rsidRDefault="009A1120" w:rsidP="009A1120">
                                  <w:pPr>
                                    <w:spacing w:after="60"/>
                                    <w:rPr>
                                      <w:i/>
                                      <w:iCs/>
                                      <w:sz w:val="20"/>
                                      <w:szCs w:val="20"/>
                                    </w:rPr>
                                  </w:pPr>
                                  <w:r w:rsidRPr="000C7151">
                                    <w:rPr>
                                      <w:i/>
                                      <w:iCs/>
                                      <w:sz w:val="20"/>
                                      <w:szCs w:val="20"/>
                                    </w:rPr>
                                    <w:t>Concept</w:t>
                                  </w:r>
                                </w:p>
                                <w:p w14:paraId="3FDB1785" w14:textId="77777777" w:rsidR="009A1120" w:rsidRPr="000C7151" w:rsidRDefault="009A1120" w:rsidP="009A1120">
                                  <w:pPr>
                                    <w:spacing w:after="60"/>
                                    <w:ind w:left="284" w:hanging="284"/>
                                    <w:rPr>
                                      <w:sz w:val="20"/>
                                      <w:szCs w:val="20"/>
                                    </w:rPr>
                                  </w:pPr>
                                  <w:r w:rsidRPr="000C7151">
                                    <w:rPr>
                                      <w:sz w:val="20"/>
                                      <w:szCs w:val="20"/>
                                    </w:rPr>
                                    <w:t>(1)</w:t>
                                  </w:r>
                                  <w:r w:rsidRPr="000C7151">
                                    <w:rPr>
                                      <w:sz w:val="20"/>
                                      <w:szCs w:val="20"/>
                                    </w:rPr>
                                    <w:tab/>
                                    <w:t>Te Mana o te Wai is a concept that refers to the fundamental importance of water and recognises that protecting the health of freshwater protects the health and well-being of the wider environment. It protects the mauri of the wai. Te Mana o te Wai is about restoring and preserving the balance between the water, the wider environment, and the community.</w:t>
                                  </w:r>
                                </w:p>
                                <w:p w14:paraId="53220F60" w14:textId="77777777" w:rsidR="009A1120" w:rsidRPr="000C7151" w:rsidRDefault="009A1120" w:rsidP="009A1120">
                                  <w:pPr>
                                    <w:spacing w:after="60"/>
                                    <w:ind w:left="284" w:hanging="284"/>
                                    <w:rPr>
                                      <w:sz w:val="20"/>
                                      <w:szCs w:val="20"/>
                                    </w:rPr>
                                  </w:pPr>
                                  <w:r w:rsidRPr="000C7151">
                                    <w:rPr>
                                      <w:sz w:val="20"/>
                                      <w:szCs w:val="20"/>
                                    </w:rPr>
                                    <w:t>(2) Te Mana o te Wai is relevant to all freshwater management and not just to the specific aspects of freshwater management referred to in this National Policy Statement.</w:t>
                                  </w:r>
                                </w:p>
                                <w:p w14:paraId="5CB4A958" w14:textId="77777777" w:rsidR="009A1120" w:rsidRPr="000C7151" w:rsidRDefault="009A1120" w:rsidP="009A1120">
                                  <w:pPr>
                                    <w:spacing w:after="60"/>
                                    <w:rPr>
                                      <w:i/>
                                      <w:iCs/>
                                      <w:sz w:val="20"/>
                                      <w:szCs w:val="20"/>
                                    </w:rPr>
                                  </w:pPr>
                                  <w:r w:rsidRPr="000C7151">
                                    <w:rPr>
                                      <w:i/>
                                      <w:iCs/>
                                      <w:sz w:val="20"/>
                                      <w:szCs w:val="20"/>
                                    </w:rPr>
                                    <w:t>Framework</w:t>
                                  </w:r>
                                </w:p>
                                <w:p w14:paraId="19D17C26" w14:textId="77777777" w:rsidR="009A1120" w:rsidRPr="000C7151" w:rsidRDefault="009A1120" w:rsidP="009A1120">
                                  <w:pPr>
                                    <w:spacing w:after="60"/>
                                    <w:ind w:left="284" w:hanging="284"/>
                                    <w:rPr>
                                      <w:sz w:val="20"/>
                                      <w:szCs w:val="20"/>
                                    </w:rPr>
                                  </w:pPr>
                                  <w:r w:rsidRPr="000C7151">
                                    <w:rPr>
                                      <w:sz w:val="20"/>
                                      <w:szCs w:val="20"/>
                                    </w:rPr>
                                    <w:t>(3) Te Mana o te Wai encompasses 6 principles relating to the roles of tangata whenua and other New Zealanders in the management of freshwater, and these principles inform this National Policy Statement and its implementation.</w:t>
                                  </w:r>
                                </w:p>
                                <w:p w14:paraId="149475DB" w14:textId="77777777" w:rsidR="009A1120" w:rsidRPr="000C7151" w:rsidRDefault="009A1120" w:rsidP="009A1120">
                                  <w:pPr>
                                    <w:spacing w:after="60"/>
                                    <w:ind w:left="284" w:hanging="284"/>
                                    <w:rPr>
                                      <w:sz w:val="20"/>
                                      <w:szCs w:val="20"/>
                                    </w:rPr>
                                  </w:pPr>
                                  <w:r w:rsidRPr="000C7151">
                                    <w:rPr>
                                      <w:sz w:val="20"/>
                                      <w:szCs w:val="20"/>
                                    </w:rPr>
                                    <w:t>(4) The 6 principles are:</w:t>
                                  </w:r>
                                </w:p>
                                <w:p w14:paraId="1E7A00F1" w14:textId="77777777" w:rsidR="009A1120" w:rsidRPr="000C7151" w:rsidRDefault="009A1120" w:rsidP="009A1120">
                                  <w:pPr>
                                    <w:spacing w:after="60"/>
                                    <w:ind w:left="567" w:hanging="283"/>
                                    <w:rPr>
                                      <w:sz w:val="20"/>
                                      <w:szCs w:val="20"/>
                                    </w:rPr>
                                  </w:pPr>
                                  <w:r w:rsidRPr="000C7151">
                                    <w:rPr>
                                      <w:sz w:val="20"/>
                                      <w:szCs w:val="20"/>
                                    </w:rPr>
                                    <w:t xml:space="preserve">(a) </w:t>
                                  </w:r>
                                  <w:r w:rsidRPr="000C7151">
                                    <w:rPr>
                                      <w:i/>
                                      <w:iCs/>
                                      <w:sz w:val="20"/>
                                      <w:szCs w:val="20"/>
                                    </w:rPr>
                                    <w:t>Mana whakahaere</w:t>
                                  </w:r>
                                  <w:r w:rsidRPr="000C7151">
                                    <w:rPr>
                                      <w:sz w:val="20"/>
                                      <w:szCs w:val="20"/>
                                    </w:rPr>
                                    <w:t>: the power, authority, and obligations of tangata whenua to make decisions that maintain, protect, and sustain the health and well-being of, and their relationship with, freshwater</w:t>
                                  </w:r>
                                </w:p>
                                <w:p w14:paraId="4982E1BC" w14:textId="77777777" w:rsidR="009A1120" w:rsidRPr="000C7151" w:rsidRDefault="009A1120" w:rsidP="009A1120">
                                  <w:pPr>
                                    <w:spacing w:after="60"/>
                                    <w:ind w:left="567" w:hanging="283"/>
                                    <w:rPr>
                                      <w:sz w:val="20"/>
                                      <w:szCs w:val="20"/>
                                    </w:rPr>
                                  </w:pPr>
                                  <w:r w:rsidRPr="000C7151">
                                    <w:rPr>
                                      <w:sz w:val="20"/>
                                      <w:szCs w:val="20"/>
                                    </w:rPr>
                                    <w:t xml:space="preserve">(b) </w:t>
                                  </w:r>
                                  <w:r w:rsidRPr="000C7151">
                                    <w:rPr>
                                      <w:i/>
                                      <w:iCs/>
                                      <w:sz w:val="20"/>
                                      <w:szCs w:val="20"/>
                                    </w:rPr>
                                    <w:t>Kaitiakitanga</w:t>
                                  </w:r>
                                  <w:r w:rsidRPr="000C7151">
                                    <w:rPr>
                                      <w:sz w:val="20"/>
                                      <w:szCs w:val="20"/>
                                    </w:rPr>
                                    <w:t>: the obligation of tangata whenua to preserve, restore, enhance, and sustainably use freshwater for the benefit of present and future generations</w:t>
                                  </w:r>
                                </w:p>
                                <w:p w14:paraId="3D1ACE60" w14:textId="77777777" w:rsidR="009A1120" w:rsidRPr="000C7151" w:rsidRDefault="009A1120" w:rsidP="009A1120">
                                  <w:pPr>
                                    <w:spacing w:after="60"/>
                                    <w:ind w:left="567" w:hanging="283"/>
                                    <w:rPr>
                                      <w:sz w:val="20"/>
                                      <w:szCs w:val="20"/>
                                    </w:rPr>
                                  </w:pPr>
                                  <w:r w:rsidRPr="000C7151">
                                    <w:rPr>
                                      <w:sz w:val="20"/>
                                      <w:szCs w:val="20"/>
                                    </w:rPr>
                                    <w:t xml:space="preserve">(c) </w:t>
                                  </w:r>
                                  <w:r w:rsidRPr="000C7151">
                                    <w:rPr>
                                      <w:i/>
                                      <w:iCs/>
                                      <w:sz w:val="20"/>
                                      <w:szCs w:val="20"/>
                                    </w:rPr>
                                    <w:t>Manaakitanga</w:t>
                                  </w:r>
                                  <w:r w:rsidRPr="000C7151">
                                    <w:rPr>
                                      <w:sz w:val="20"/>
                                      <w:szCs w:val="20"/>
                                    </w:rPr>
                                    <w:t>: the process by which tangata whenua show respect, generosity, and care for freshwater and for others</w:t>
                                  </w:r>
                                </w:p>
                                <w:p w14:paraId="486C13FD" w14:textId="77777777" w:rsidR="009A1120" w:rsidRPr="000C7151" w:rsidRDefault="009A1120" w:rsidP="009A1120">
                                  <w:pPr>
                                    <w:spacing w:after="60"/>
                                    <w:ind w:left="567" w:hanging="283"/>
                                    <w:rPr>
                                      <w:sz w:val="20"/>
                                      <w:szCs w:val="20"/>
                                    </w:rPr>
                                  </w:pPr>
                                  <w:r w:rsidRPr="000C7151">
                                    <w:rPr>
                                      <w:sz w:val="20"/>
                                      <w:szCs w:val="20"/>
                                    </w:rPr>
                                    <w:t xml:space="preserve">(d) </w:t>
                                  </w:r>
                                  <w:r w:rsidRPr="000C7151">
                                    <w:rPr>
                                      <w:i/>
                                      <w:iCs/>
                                      <w:sz w:val="20"/>
                                      <w:szCs w:val="20"/>
                                    </w:rPr>
                                    <w:t>Governance</w:t>
                                  </w:r>
                                  <w:r w:rsidRPr="000C7151">
                                    <w:rPr>
                                      <w:sz w:val="20"/>
                                      <w:szCs w:val="20"/>
                                    </w:rPr>
                                    <w:t>: the responsibility of those with authority for making decisions about freshwater to do so in a way that prioritises the health and well-being of freshwater now and into the future</w:t>
                                  </w:r>
                                </w:p>
                                <w:p w14:paraId="7547A5F3" w14:textId="77777777" w:rsidR="009A1120" w:rsidRPr="000C7151" w:rsidRDefault="009A1120" w:rsidP="009A1120">
                                  <w:pPr>
                                    <w:spacing w:after="60"/>
                                    <w:ind w:left="567" w:hanging="283"/>
                                    <w:rPr>
                                      <w:sz w:val="20"/>
                                      <w:szCs w:val="20"/>
                                    </w:rPr>
                                  </w:pPr>
                                  <w:r w:rsidRPr="000C7151">
                                    <w:rPr>
                                      <w:sz w:val="20"/>
                                      <w:szCs w:val="20"/>
                                    </w:rPr>
                                    <w:t xml:space="preserve">(e) </w:t>
                                  </w:r>
                                  <w:r w:rsidRPr="000C7151">
                                    <w:rPr>
                                      <w:i/>
                                      <w:iCs/>
                                      <w:sz w:val="20"/>
                                      <w:szCs w:val="20"/>
                                    </w:rPr>
                                    <w:t>Stewardship:</w:t>
                                  </w:r>
                                  <w:r w:rsidRPr="000C7151">
                                    <w:rPr>
                                      <w:sz w:val="20"/>
                                      <w:szCs w:val="20"/>
                                    </w:rPr>
                                    <w:t xml:space="preserve"> the obligation of all New Zealanders to manage freshwater in a way that ensures it sustains present and future generations</w:t>
                                  </w:r>
                                </w:p>
                                <w:p w14:paraId="58B661B3" w14:textId="77777777" w:rsidR="009A1120" w:rsidRPr="000C7151" w:rsidRDefault="009A1120" w:rsidP="009A1120">
                                  <w:pPr>
                                    <w:spacing w:after="60"/>
                                    <w:ind w:left="567" w:hanging="283"/>
                                    <w:rPr>
                                      <w:sz w:val="20"/>
                                      <w:szCs w:val="20"/>
                                    </w:rPr>
                                  </w:pPr>
                                  <w:r w:rsidRPr="000C7151">
                                    <w:rPr>
                                      <w:sz w:val="20"/>
                                      <w:szCs w:val="20"/>
                                    </w:rPr>
                                    <w:t xml:space="preserve">(f) </w:t>
                                  </w:r>
                                  <w:r w:rsidRPr="000C7151">
                                    <w:rPr>
                                      <w:i/>
                                      <w:iCs/>
                                      <w:sz w:val="20"/>
                                      <w:szCs w:val="20"/>
                                    </w:rPr>
                                    <w:t>Care and respect</w:t>
                                  </w:r>
                                  <w:r w:rsidRPr="000C7151">
                                    <w:rPr>
                                      <w:sz w:val="20"/>
                                      <w:szCs w:val="20"/>
                                    </w:rPr>
                                    <w:t>: the responsibility of all New Zealanders to care for freshwater in providing for the health of the nation.</w:t>
                                  </w:r>
                                </w:p>
                                <w:p w14:paraId="67CEE4C5" w14:textId="77777777" w:rsidR="009A1120" w:rsidRPr="000C7151" w:rsidRDefault="009A1120" w:rsidP="009A1120">
                                  <w:pPr>
                                    <w:spacing w:after="60"/>
                                    <w:ind w:left="284" w:hanging="284"/>
                                    <w:rPr>
                                      <w:sz w:val="20"/>
                                      <w:szCs w:val="20"/>
                                    </w:rPr>
                                  </w:pPr>
                                  <w:r w:rsidRPr="000C7151">
                                    <w:rPr>
                                      <w:sz w:val="20"/>
                                      <w:szCs w:val="20"/>
                                    </w:rPr>
                                    <w:t xml:space="preserve">(5) There is a hierarchy of obligations in Te Mana o te Wai that prioritises: </w:t>
                                  </w:r>
                                </w:p>
                                <w:p w14:paraId="072B441E" w14:textId="77777777" w:rsidR="009A1120" w:rsidRPr="000C7151" w:rsidRDefault="009A1120" w:rsidP="009A1120">
                                  <w:pPr>
                                    <w:spacing w:after="60"/>
                                    <w:ind w:left="567" w:hanging="283"/>
                                    <w:rPr>
                                      <w:sz w:val="20"/>
                                      <w:szCs w:val="20"/>
                                    </w:rPr>
                                  </w:pPr>
                                  <w:r w:rsidRPr="000C7151">
                                    <w:rPr>
                                      <w:sz w:val="20"/>
                                      <w:szCs w:val="20"/>
                                    </w:rPr>
                                    <w:t xml:space="preserve">(a) first, the health and well-being of water bodies and freshwater ecosystems </w:t>
                                  </w:r>
                                </w:p>
                                <w:p w14:paraId="21E0F19E" w14:textId="77777777" w:rsidR="009A1120" w:rsidRPr="000C7151" w:rsidRDefault="009A1120" w:rsidP="009A1120">
                                  <w:pPr>
                                    <w:spacing w:after="60"/>
                                    <w:ind w:left="567" w:hanging="283"/>
                                    <w:rPr>
                                      <w:sz w:val="20"/>
                                      <w:szCs w:val="20"/>
                                    </w:rPr>
                                  </w:pPr>
                                  <w:r w:rsidRPr="000C7151">
                                    <w:rPr>
                                      <w:sz w:val="20"/>
                                      <w:szCs w:val="20"/>
                                    </w:rPr>
                                    <w:t xml:space="preserve">(b) second, the health needs of people (such as drinking water) </w:t>
                                  </w:r>
                                </w:p>
                                <w:p w14:paraId="4DA1EF26" w14:textId="77777777" w:rsidR="009A1120" w:rsidRPr="000C7151" w:rsidRDefault="009A1120" w:rsidP="009A1120">
                                  <w:pPr>
                                    <w:spacing w:after="60"/>
                                    <w:ind w:left="567" w:hanging="283"/>
                                    <w:rPr>
                                      <w:sz w:val="20"/>
                                      <w:szCs w:val="20"/>
                                    </w:rPr>
                                  </w:pPr>
                                  <w:r w:rsidRPr="000C7151">
                                    <w:rPr>
                                      <w:sz w:val="20"/>
                                      <w:szCs w:val="20"/>
                                    </w:rPr>
                                    <w:t>(c) third, the ability of people and communities to provide for their social, economic, and cultural well-being, now and in the future</w:t>
                                  </w:r>
                                </w:p>
                              </w:txbxContent>
                            </wps:txbx>
                            <wps:bodyPr rot="0" vert="horz" wrap="square" lIns="91440" tIns="45720" rIns="91440" bIns="45720" anchor="t" anchorCtr="0">
                              <a:noAutofit/>
                            </wps:bodyPr>
                          </wps:wsp>
                        </a:graphicData>
                      </a:graphic>
                    </wp:inline>
                  </w:drawing>
                </mc:Choice>
                <mc:Fallback>
                  <w:pict>
                    <v:shape w14:anchorId="567ECD4E" id="Text Box 213" o:spid="_x0000_s1133" type="#_x0000_t202" style="width:291.75pt;height:6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">
                      <v:textbox>
                        <w:txbxContent>
                          <w:p w14:paraId="1A295CD5" w14:textId="77777777" w:rsidR="009A1120" w:rsidRPr="000C7151" w:rsidRDefault="009A1120" w:rsidP="009A1120">
                            <w:pPr>
                              <w:spacing w:after="60"/>
                              <w:rPr>
                                <w:i/>
                                <w:iCs/>
                                <w:sz w:val="20"/>
                                <w:szCs w:val="20"/>
                              </w:rPr>
                            </w:pPr>
                            <w:r w:rsidRPr="000C7151">
                              <w:rPr>
                                <w:i/>
                                <w:iCs/>
                                <w:sz w:val="20"/>
                                <w:szCs w:val="20"/>
                              </w:rPr>
                              <w:t>Concept</w:t>
                            </w:r>
                          </w:p>
                          <w:p w14:paraId="3FDB1785" w14:textId="77777777" w:rsidR="009A1120" w:rsidRPr="000C7151" w:rsidRDefault="009A1120" w:rsidP="009A1120">
                            <w:pPr>
                              <w:spacing w:after="60"/>
                              <w:ind w:left="284" w:hanging="284"/>
                              <w:rPr>
                                <w:sz w:val="20"/>
                                <w:szCs w:val="20"/>
                              </w:rPr>
                            </w:pPr>
                            <w:r w:rsidRPr="000C7151">
                              <w:rPr>
                                <w:sz w:val="20"/>
                                <w:szCs w:val="20"/>
                              </w:rPr>
                              <w:t>(1)</w:t>
                            </w:r>
                            <w:r w:rsidRPr="000C7151">
                              <w:rPr>
                                <w:sz w:val="20"/>
                                <w:szCs w:val="20"/>
                              </w:rPr>
                              <w:tab/>
                              <w:t>Te Mana o te Wai is a concept that refers to the fundamental importance of water and recognises that protecting the health of freshwater protects the health and well-being of the wider environment. It protects the mauri of the wai. Te Mana o te Wai is about restoring and preserving the balance between the water, the wider environment, and the community.</w:t>
                            </w:r>
                          </w:p>
                          <w:p w14:paraId="53220F60" w14:textId="77777777" w:rsidR="009A1120" w:rsidRPr="000C7151" w:rsidRDefault="009A1120" w:rsidP="009A1120">
                            <w:pPr>
                              <w:spacing w:after="60"/>
                              <w:ind w:left="284" w:hanging="284"/>
                              <w:rPr>
                                <w:sz w:val="20"/>
                                <w:szCs w:val="20"/>
                              </w:rPr>
                            </w:pPr>
                            <w:r w:rsidRPr="000C7151">
                              <w:rPr>
                                <w:sz w:val="20"/>
                                <w:szCs w:val="20"/>
                              </w:rPr>
                              <w:t>(2) Te Mana o te Wai is relevant to all freshwater management and not just to the specific aspects of freshwater management referred to in this National Policy Statement.</w:t>
                            </w:r>
                          </w:p>
                          <w:p w14:paraId="5CB4A958" w14:textId="77777777" w:rsidR="009A1120" w:rsidRPr="000C7151" w:rsidRDefault="009A1120" w:rsidP="009A1120">
                            <w:pPr>
                              <w:spacing w:after="60"/>
                              <w:rPr>
                                <w:i/>
                                <w:iCs/>
                                <w:sz w:val="20"/>
                                <w:szCs w:val="20"/>
                              </w:rPr>
                            </w:pPr>
                            <w:r w:rsidRPr="000C7151">
                              <w:rPr>
                                <w:i/>
                                <w:iCs/>
                                <w:sz w:val="20"/>
                                <w:szCs w:val="20"/>
                              </w:rPr>
                              <w:t>Framework</w:t>
                            </w:r>
                          </w:p>
                          <w:p w14:paraId="19D17C26" w14:textId="77777777" w:rsidR="009A1120" w:rsidRPr="000C7151" w:rsidRDefault="009A1120" w:rsidP="009A1120">
                            <w:pPr>
                              <w:spacing w:after="60"/>
                              <w:ind w:left="284" w:hanging="284"/>
                              <w:rPr>
                                <w:sz w:val="20"/>
                                <w:szCs w:val="20"/>
                              </w:rPr>
                            </w:pPr>
                            <w:r w:rsidRPr="000C7151">
                              <w:rPr>
                                <w:sz w:val="20"/>
                                <w:szCs w:val="20"/>
                              </w:rPr>
                              <w:t>(3) Te Mana o te Wai encompasses 6 principles relating to the roles of tangata whenua and other New Zealanders in the management of freshwater, and these principles inform this National Policy Statement and its implementation.</w:t>
                            </w:r>
                          </w:p>
                          <w:p w14:paraId="149475DB" w14:textId="77777777" w:rsidR="009A1120" w:rsidRPr="000C7151" w:rsidRDefault="009A1120" w:rsidP="009A1120">
                            <w:pPr>
                              <w:spacing w:after="60"/>
                              <w:ind w:left="284" w:hanging="284"/>
                              <w:rPr>
                                <w:sz w:val="20"/>
                                <w:szCs w:val="20"/>
                              </w:rPr>
                            </w:pPr>
                            <w:r w:rsidRPr="000C7151">
                              <w:rPr>
                                <w:sz w:val="20"/>
                                <w:szCs w:val="20"/>
                              </w:rPr>
                              <w:t>(4) The 6 principles are:</w:t>
                            </w:r>
                          </w:p>
                          <w:p w14:paraId="1E7A00F1" w14:textId="77777777" w:rsidR="009A1120" w:rsidRPr="000C7151" w:rsidRDefault="009A1120" w:rsidP="009A1120">
                            <w:pPr>
                              <w:spacing w:after="60"/>
                              <w:ind w:left="567" w:hanging="283"/>
                              <w:rPr>
                                <w:sz w:val="20"/>
                                <w:szCs w:val="20"/>
                              </w:rPr>
                            </w:pPr>
                            <w:r w:rsidRPr="000C7151">
                              <w:rPr>
                                <w:sz w:val="20"/>
                                <w:szCs w:val="20"/>
                              </w:rPr>
                              <w:t xml:space="preserve">(a) </w:t>
                            </w:r>
                            <w:r w:rsidRPr="000C7151">
                              <w:rPr>
                                <w:i/>
                                <w:iCs/>
                                <w:sz w:val="20"/>
                                <w:szCs w:val="20"/>
                              </w:rPr>
                              <w:t>Mana whakahaere</w:t>
                            </w:r>
                            <w:r w:rsidRPr="000C7151">
                              <w:rPr>
                                <w:sz w:val="20"/>
                                <w:szCs w:val="20"/>
                              </w:rPr>
                              <w:t>: the power, authority, and obligations of tangata whenua to make decisions that maintain, protect, and sustain the health and well-being of, and their relationship with, freshwater</w:t>
                            </w:r>
                          </w:p>
                          <w:p w14:paraId="4982E1BC" w14:textId="77777777" w:rsidR="009A1120" w:rsidRPr="000C7151" w:rsidRDefault="009A1120" w:rsidP="009A1120">
                            <w:pPr>
                              <w:spacing w:after="60"/>
                              <w:ind w:left="567" w:hanging="283"/>
                              <w:rPr>
                                <w:sz w:val="20"/>
                                <w:szCs w:val="20"/>
                              </w:rPr>
                            </w:pPr>
                            <w:r w:rsidRPr="000C7151">
                              <w:rPr>
                                <w:sz w:val="20"/>
                                <w:szCs w:val="20"/>
                              </w:rPr>
                              <w:t xml:space="preserve">(b) </w:t>
                            </w:r>
                            <w:r w:rsidRPr="000C7151">
                              <w:rPr>
                                <w:i/>
                                <w:iCs/>
                                <w:sz w:val="20"/>
                                <w:szCs w:val="20"/>
                              </w:rPr>
                              <w:t>Kaitiakitanga</w:t>
                            </w:r>
                            <w:r w:rsidRPr="000C7151">
                              <w:rPr>
                                <w:sz w:val="20"/>
                                <w:szCs w:val="20"/>
                              </w:rPr>
                              <w:t>: the obligation of tangata whenua to preserve, restore, enhance, and sustainably use freshwater for the benefit of present and future generations</w:t>
                            </w:r>
                          </w:p>
                          <w:p w14:paraId="3D1ACE60" w14:textId="77777777" w:rsidR="009A1120" w:rsidRPr="000C7151" w:rsidRDefault="009A1120" w:rsidP="009A1120">
                            <w:pPr>
                              <w:spacing w:after="60"/>
                              <w:ind w:left="567" w:hanging="283"/>
                              <w:rPr>
                                <w:sz w:val="20"/>
                                <w:szCs w:val="20"/>
                              </w:rPr>
                            </w:pPr>
                            <w:r w:rsidRPr="000C7151">
                              <w:rPr>
                                <w:sz w:val="20"/>
                                <w:szCs w:val="20"/>
                              </w:rPr>
                              <w:t xml:space="preserve">(c) </w:t>
                            </w:r>
                            <w:r w:rsidRPr="000C7151">
                              <w:rPr>
                                <w:i/>
                                <w:iCs/>
                                <w:sz w:val="20"/>
                                <w:szCs w:val="20"/>
                              </w:rPr>
                              <w:t>Manaakitanga</w:t>
                            </w:r>
                            <w:r w:rsidRPr="000C7151">
                              <w:rPr>
                                <w:sz w:val="20"/>
                                <w:szCs w:val="20"/>
                              </w:rPr>
                              <w:t>: the process by which tangata whenua show respect, generosity, and care for freshwater and for others</w:t>
                            </w:r>
                          </w:p>
                          <w:p w14:paraId="486C13FD" w14:textId="77777777" w:rsidR="009A1120" w:rsidRPr="000C7151" w:rsidRDefault="009A1120" w:rsidP="009A1120">
                            <w:pPr>
                              <w:spacing w:after="60"/>
                              <w:ind w:left="567" w:hanging="283"/>
                              <w:rPr>
                                <w:sz w:val="20"/>
                                <w:szCs w:val="20"/>
                              </w:rPr>
                            </w:pPr>
                            <w:r w:rsidRPr="000C7151">
                              <w:rPr>
                                <w:sz w:val="20"/>
                                <w:szCs w:val="20"/>
                              </w:rPr>
                              <w:t xml:space="preserve">(d) </w:t>
                            </w:r>
                            <w:r w:rsidRPr="000C7151">
                              <w:rPr>
                                <w:i/>
                                <w:iCs/>
                                <w:sz w:val="20"/>
                                <w:szCs w:val="20"/>
                              </w:rPr>
                              <w:t>Governance</w:t>
                            </w:r>
                            <w:r w:rsidRPr="000C7151">
                              <w:rPr>
                                <w:sz w:val="20"/>
                                <w:szCs w:val="20"/>
                              </w:rPr>
                              <w:t>: the responsibility of those with authority for making decisions about freshwater to do so in a way that prioritises the health and well-being of freshwater now and into the future</w:t>
                            </w:r>
                          </w:p>
                          <w:p w14:paraId="7547A5F3" w14:textId="77777777" w:rsidR="009A1120" w:rsidRPr="000C7151" w:rsidRDefault="009A1120" w:rsidP="009A1120">
                            <w:pPr>
                              <w:spacing w:after="60"/>
                              <w:ind w:left="567" w:hanging="283"/>
                              <w:rPr>
                                <w:sz w:val="20"/>
                                <w:szCs w:val="20"/>
                              </w:rPr>
                            </w:pPr>
                            <w:r w:rsidRPr="000C7151">
                              <w:rPr>
                                <w:sz w:val="20"/>
                                <w:szCs w:val="20"/>
                              </w:rPr>
                              <w:t xml:space="preserve">(e) </w:t>
                            </w:r>
                            <w:r w:rsidRPr="000C7151">
                              <w:rPr>
                                <w:i/>
                                <w:iCs/>
                                <w:sz w:val="20"/>
                                <w:szCs w:val="20"/>
                              </w:rPr>
                              <w:t>Stewardship:</w:t>
                            </w:r>
                            <w:r w:rsidRPr="000C7151">
                              <w:rPr>
                                <w:sz w:val="20"/>
                                <w:szCs w:val="20"/>
                              </w:rPr>
                              <w:t xml:space="preserve"> the obligation of all New Zealanders to manage freshwater in a way that ensures it sustains present and future generations</w:t>
                            </w:r>
                          </w:p>
                          <w:p w14:paraId="58B661B3" w14:textId="77777777" w:rsidR="009A1120" w:rsidRPr="000C7151" w:rsidRDefault="009A1120" w:rsidP="009A1120">
                            <w:pPr>
                              <w:spacing w:after="60"/>
                              <w:ind w:left="567" w:hanging="283"/>
                              <w:rPr>
                                <w:sz w:val="20"/>
                                <w:szCs w:val="20"/>
                              </w:rPr>
                            </w:pPr>
                            <w:r w:rsidRPr="000C7151">
                              <w:rPr>
                                <w:sz w:val="20"/>
                                <w:szCs w:val="20"/>
                              </w:rPr>
                              <w:t xml:space="preserve">(f) </w:t>
                            </w:r>
                            <w:r w:rsidRPr="000C7151">
                              <w:rPr>
                                <w:i/>
                                <w:iCs/>
                                <w:sz w:val="20"/>
                                <w:szCs w:val="20"/>
                              </w:rPr>
                              <w:t>Care and respect</w:t>
                            </w:r>
                            <w:r w:rsidRPr="000C7151">
                              <w:rPr>
                                <w:sz w:val="20"/>
                                <w:szCs w:val="20"/>
                              </w:rPr>
                              <w:t>: the responsibility of all New Zealanders to care for freshwater in providing for the health of the nation.</w:t>
                            </w:r>
                          </w:p>
                          <w:p w14:paraId="67CEE4C5" w14:textId="77777777" w:rsidR="009A1120" w:rsidRPr="000C7151" w:rsidRDefault="009A1120" w:rsidP="009A1120">
                            <w:pPr>
                              <w:spacing w:after="60"/>
                              <w:ind w:left="284" w:hanging="284"/>
                              <w:rPr>
                                <w:sz w:val="20"/>
                                <w:szCs w:val="20"/>
                              </w:rPr>
                            </w:pPr>
                            <w:r w:rsidRPr="000C7151">
                              <w:rPr>
                                <w:sz w:val="20"/>
                                <w:szCs w:val="20"/>
                              </w:rPr>
                              <w:t xml:space="preserve">(5) There is a hierarchy of obligations in Te Mana o te Wai that prioritises: </w:t>
                            </w:r>
                          </w:p>
                          <w:p w14:paraId="072B441E" w14:textId="77777777" w:rsidR="009A1120" w:rsidRPr="000C7151" w:rsidRDefault="009A1120" w:rsidP="009A1120">
                            <w:pPr>
                              <w:spacing w:after="60"/>
                              <w:ind w:left="567" w:hanging="283"/>
                              <w:rPr>
                                <w:sz w:val="20"/>
                                <w:szCs w:val="20"/>
                              </w:rPr>
                            </w:pPr>
                            <w:r w:rsidRPr="000C7151">
                              <w:rPr>
                                <w:sz w:val="20"/>
                                <w:szCs w:val="20"/>
                              </w:rPr>
                              <w:t xml:space="preserve">(a) first, the health and well-being of water bodies and freshwater ecosystems </w:t>
                            </w:r>
                          </w:p>
                          <w:p w14:paraId="21E0F19E" w14:textId="77777777" w:rsidR="009A1120" w:rsidRPr="000C7151" w:rsidRDefault="009A1120" w:rsidP="009A1120">
                            <w:pPr>
                              <w:spacing w:after="60"/>
                              <w:ind w:left="567" w:hanging="283"/>
                              <w:rPr>
                                <w:sz w:val="20"/>
                                <w:szCs w:val="20"/>
                              </w:rPr>
                            </w:pPr>
                            <w:r w:rsidRPr="000C7151">
                              <w:rPr>
                                <w:sz w:val="20"/>
                                <w:szCs w:val="20"/>
                              </w:rPr>
                              <w:t xml:space="preserve">(b) second, the health needs of people (such as drinking water) </w:t>
                            </w:r>
                          </w:p>
                          <w:p w14:paraId="4DA1EF26" w14:textId="77777777" w:rsidR="009A1120" w:rsidRPr="000C7151" w:rsidRDefault="009A1120" w:rsidP="009A1120">
                            <w:pPr>
                              <w:spacing w:after="60"/>
                              <w:ind w:left="567" w:hanging="283"/>
                              <w:rPr>
                                <w:sz w:val="20"/>
                                <w:szCs w:val="20"/>
                              </w:rPr>
                            </w:pPr>
                            <w:r w:rsidRPr="000C7151">
                              <w:rPr>
                                <w:sz w:val="20"/>
                                <w:szCs w:val="20"/>
                              </w:rPr>
                              <w:t>(c) third, the ability of people and communities to provide for their social, economic, and cultural well-being, now and in the future</w:t>
                            </w:r>
                          </w:p>
                        </w:txbxContent>
                      </v:textbox>
                      <w10:anchorlock/>
                    </v:shape>
                  </w:pict>
                </mc:Fallback>
              </mc:AlternateContent>
            </w:r>
          </w:p>
        </w:tc>
      </w:tr>
      <w:tr w:rsidR="009A1120" w:rsidRPr="00472578" w14:paraId="2467815F"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52D5121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Territorial authority</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53250C7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5 of the Local Government Act 2002 (as set out in the box below)</w:t>
            </w:r>
          </w:p>
          <w:p w14:paraId="4F5C564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w:lastRenderedPageBreak/>
              <mc:AlternateContent>
                <mc:Choice Requires="wps">
                  <w:drawing>
                    <wp:inline distT="0" distB="0" distL="0" distR="0" wp14:anchorId="132AB276" wp14:editId="680D08D2">
                      <wp:extent cx="3697356" cy="400050"/>
                      <wp:effectExtent l="0" t="0" r="17780" b="1905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00050"/>
                              </a:xfrm>
                              <a:prstGeom prst="rect">
                                <a:avLst/>
                              </a:prstGeom>
                              <a:solidFill>
                                <a:srgbClr val="FFFFFF"/>
                              </a:solidFill>
                              <a:ln w="9525">
                                <a:solidFill>
                                  <a:srgbClr val="000000"/>
                                </a:solidFill>
                                <a:miter lim="800000"/>
                                <a:headEnd/>
                                <a:tailEnd/>
                              </a:ln>
                            </wps:spPr>
                            <wps:txbx>
                              <w:txbxContent>
                                <w:p w14:paraId="586059D9" w14:textId="77777777" w:rsidR="009A1120" w:rsidRPr="000C7151" w:rsidRDefault="009A1120" w:rsidP="009A1120">
                                  <w:pPr>
                                    <w:spacing w:after="60"/>
                                    <w:rPr>
                                      <w:sz w:val="20"/>
                                      <w:szCs w:val="20"/>
                                    </w:rPr>
                                  </w:pPr>
                                  <w:r w:rsidRPr="000C7151">
                                    <w:rPr>
                                      <w:sz w:val="20"/>
                                      <w:szCs w:val="20"/>
                                    </w:rPr>
                                    <w:t>means a city council or a district council named in Part 2 of Schedule 2</w:t>
                                  </w:r>
                                </w:p>
                              </w:txbxContent>
                            </wps:txbx>
                            <wps:bodyPr rot="0" vert="horz" wrap="square" lIns="91440" tIns="45720" rIns="91440" bIns="45720" anchor="t" anchorCtr="0">
                              <a:noAutofit/>
                            </wps:bodyPr>
                          </wps:wsp>
                        </a:graphicData>
                      </a:graphic>
                    </wp:inline>
                  </w:drawing>
                </mc:Choice>
                <mc:Fallback>
                  <w:pict>
                    <v:shape w14:anchorId="132AB276" id="Text Box 24" o:spid="_x0000_s1134" type="#_x0000_t202" style="width:291.1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hzKw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">
                      <v:textbox>
                        <w:txbxContent>
                          <w:p w14:paraId="586059D9" w14:textId="77777777" w:rsidR="009A1120" w:rsidRPr="000C7151" w:rsidRDefault="009A1120" w:rsidP="009A1120">
                            <w:pPr>
                              <w:spacing w:after="60"/>
                              <w:rPr>
                                <w:sz w:val="20"/>
                                <w:szCs w:val="20"/>
                              </w:rPr>
                            </w:pPr>
                            <w:r w:rsidRPr="000C7151">
                              <w:rPr>
                                <w:sz w:val="20"/>
                                <w:szCs w:val="20"/>
                              </w:rPr>
                              <w:t>means a city council or a district council named in Part 2 of Schedule 2</w:t>
                            </w:r>
                          </w:p>
                        </w:txbxContent>
                      </v:textbox>
                      <w10:anchorlock/>
                    </v:shape>
                  </w:pict>
                </mc:Fallback>
              </mc:AlternateContent>
            </w:r>
          </w:p>
        </w:tc>
      </w:tr>
      <w:tr w:rsidR="009A1120" w:rsidRPr="00472578" w14:paraId="028A5815"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31DAD23C"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Te Ture Whenua Maori land</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32C00E88"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land with the following status:</w:t>
            </w:r>
          </w:p>
          <w:p w14:paraId="0CFA3CDE" w14:textId="77777777" w:rsidR="009A1120" w:rsidRPr="00472578" w:rsidRDefault="009A1120" w:rsidP="00E92686">
            <w:pPr>
              <w:numPr>
                <w:ilvl w:val="0"/>
                <w:numId w:val="9"/>
              </w:numPr>
              <w:tabs>
                <w:tab w:val="center" w:pos="4513"/>
                <w:tab w:val="right" w:pos="9026"/>
              </w:tabs>
              <w:spacing w:before="60" w:after="60"/>
              <w:ind w:left="463"/>
              <w:contextualSpacing/>
              <w:jc w:val="both"/>
              <w:rPr>
                <w:sz w:val="20"/>
                <w:szCs w:val="20"/>
              </w:rPr>
            </w:pPr>
            <w:r w:rsidRPr="00472578">
              <w:rPr>
                <w:sz w:val="20"/>
                <w:szCs w:val="20"/>
              </w:rPr>
              <w:t>Māori communal land gazetted as Māori reservation under s338 Te Ture Whenua Maori Act 1993; and</w:t>
            </w:r>
          </w:p>
          <w:p w14:paraId="76FDD2BB" w14:textId="77777777" w:rsidR="009A1120" w:rsidRPr="00472578" w:rsidRDefault="009A1120" w:rsidP="00E92686">
            <w:pPr>
              <w:numPr>
                <w:ilvl w:val="0"/>
                <w:numId w:val="9"/>
              </w:numPr>
              <w:tabs>
                <w:tab w:val="center" w:pos="4513"/>
                <w:tab w:val="right" w:pos="9026"/>
              </w:tabs>
              <w:spacing w:before="60" w:after="60"/>
              <w:ind w:left="463"/>
              <w:contextualSpacing/>
              <w:jc w:val="both"/>
              <w:rPr>
                <w:sz w:val="20"/>
                <w:szCs w:val="20"/>
              </w:rPr>
            </w:pPr>
            <w:r w:rsidRPr="00472578">
              <w:rPr>
                <w:sz w:val="20"/>
                <w:szCs w:val="20"/>
              </w:rPr>
              <w:t>Māori customary land and Māori freehold land as defined in s4 and s129 Te Ture Whenua Maori Act 1993.</w:t>
            </w:r>
          </w:p>
        </w:tc>
      </w:tr>
      <w:tr w:rsidR="009A1120" w:rsidRPr="00472578" w14:paraId="6E34DAAB"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1061D2C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Threatened species</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13DF07A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means any indigenous species of flora or fauna that meets the criteria for nationally critical, nationally endangered, or nationally vulnerable species in the New Zealand Threat Classification System Manual (Townsend et al, 2008).</w:t>
            </w:r>
          </w:p>
        </w:tc>
      </w:tr>
      <w:tr w:rsidR="009A1120" w:rsidRPr="00472578" w14:paraId="06252D24"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7CB5C5E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Urban area</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6475615E" w14:textId="77777777" w:rsidR="009A1120" w:rsidRPr="00472578" w:rsidRDefault="009A1120" w:rsidP="00E92686">
            <w:pPr>
              <w:tabs>
                <w:tab w:val="center" w:pos="4513"/>
                <w:tab w:val="right" w:pos="9026"/>
              </w:tabs>
              <w:spacing w:after="60"/>
              <w:jc w:val="both"/>
              <w:rPr>
                <w:sz w:val="20"/>
                <w:szCs w:val="20"/>
                <w:lang w:val="en-GB"/>
              </w:rPr>
            </w:pPr>
            <w:r w:rsidRPr="00472578">
              <w:rPr>
                <w:sz w:val="20"/>
                <w:szCs w:val="20"/>
                <w:lang w:val="en-GB"/>
              </w:rPr>
              <w:t xml:space="preserve">means any area of land (regardless of size, and irrespective of local authority or statistical boundaries) that is, or is intended to be, predominantly urban in character. This includes but is not limited to any land identified in </w:t>
            </w:r>
            <w:r w:rsidRPr="00472578">
              <w:rPr>
                <w:i/>
                <w:sz w:val="20"/>
                <w:szCs w:val="20"/>
                <w:lang w:val="en-GB"/>
              </w:rPr>
              <w:t>District Plans</w:t>
            </w:r>
            <w:r w:rsidRPr="00472578">
              <w:rPr>
                <w:sz w:val="20"/>
                <w:szCs w:val="20"/>
                <w:lang w:val="en-GB"/>
              </w:rPr>
              <w:t xml:space="preserve"> as being within any urban growth boundary or equivalent however described, any residential zone, commercial and </w:t>
            </w:r>
            <w:proofErr w:type="gramStart"/>
            <w:r w:rsidRPr="00472578">
              <w:rPr>
                <w:sz w:val="20"/>
                <w:szCs w:val="20"/>
                <w:lang w:val="en-GB"/>
              </w:rPr>
              <w:t>mixed use</w:t>
            </w:r>
            <w:proofErr w:type="gramEnd"/>
            <w:r w:rsidRPr="00472578">
              <w:rPr>
                <w:sz w:val="20"/>
                <w:szCs w:val="20"/>
                <w:lang w:val="en-GB"/>
              </w:rPr>
              <w:t xml:space="preserve"> zone, industrial zone and future urban zone as listed in the National Planning Standards or its present District Plan zone equivalent. </w:t>
            </w:r>
            <w:r w:rsidRPr="00472578">
              <w:rPr>
                <w:i/>
                <w:sz w:val="20"/>
                <w:szCs w:val="20"/>
                <w:lang w:val="en-GB"/>
              </w:rPr>
              <w:t xml:space="preserve">Urban </w:t>
            </w:r>
            <w:r w:rsidRPr="00472578">
              <w:rPr>
                <w:i/>
                <w:iCs/>
                <w:sz w:val="20"/>
                <w:szCs w:val="20"/>
                <w:lang w:val="en-GB"/>
              </w:rPr>
              <w:t>e</w:t>
            </w:r>
            <w:r w:rsidRPr="00472578">
              <w:rPr>
                <w:i/>
                <w:sz w:val="20"/>
                <w:szCs w:val="20"/>
                <w:lang w:val="en-GB"/>
              </w:rPr>
              <w:t>nvironment</w:t>
            </w:r>
            <w:r w:rsidRPr="00472578">
              <w:rPr>
                <w:i/>
                <w:iCs/>
                <w:sz w:val="20"/>
                <w:szCs w:val="20"/>
                <w:lang w:val="en-GB"/>
              </w:rPr>
              <w:t>s</w:t>
            </w:r>
            <w:r w:rsidRPr="00472578">
              <w:rPr>
                <w:sz w:val="20"/>
                <w:szCs w:val="20"/>
                <w:lang w:val="en-GB"/>
              </w:rPr>
              <w:t xml:space="preserve"> are a subset of </w:t>
            </w:r>
            <w:r w:rsidRPr="00472578">
              <w:rPr>
                <w:i/>
                <w:iCs/>
                <w:sz w:val="20"/>
                <w:szCs w:val="20"/>
                <w:lang w:val="en-GB"/>
              </w:rPr>
              <w:t>urban areas.</w:t>
            </w:r>
          </w:p>
        </w:tc>
      </w:tr>
      <w:tr w:rsidR="009A1120" w:rsidRPr="00472578" w14:paraId="7D298322"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5B417752"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Urban environment</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798B7C4C"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clause 1.4 of the National Policy Statement on Urban Development 2020 (as set out in the box below)</w:t>
            </w:r>
          </w:p>
          <w:p w14:paraId="772C64F2"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71843B8" wp14:editId="58EAC51B">
                      <wp:extent cx="3697356" cy="1052624"/>
                      <wp:effectExtent l="0" t="0" r="17780" b="1460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1052624"/>
                              </a:xfrm>
                              <a:prstGeom prst="rect">
                                <a:avLst/>
                              </a:prstGeom>
                              <a:solidFill>
                                <a:srgbClr val="FFFFFF"/>
                              </a:solidFill>
                              <a:ln w="9525">
                                <a:solidFill>
                                  <a:srgbClr val="000000"/>
                                </a:solidFill>
                                <a:miter lim="800000"/>
                                <a:headEnd/>
                                <a:tailEnd/>
                              </a:ln>
                            </wps:spPr>
                            <wps:txbx>
                              <w:txbxContent>
                                <w:p w14:paraId="0363B9E5" w14:textId="77777777" w:rsidR="009A1120" w:rsidRDefault="009A1120" w:rsidP="009A1120">
                                  <w:pPr>
                                    <w:spacing w:after="60"/>
                                    <w:rPr>
                                      <w:sz w:val="20"/>
                                      <w:szCs w:val="20"/>
                                      <w:lang w:val="en-GB"/>
                                    </w:rPr>
                                  </w:pPr>
                                  <w:r>
                                    <w:rPr>
                                      <w:sz w:val="20"/>
                                      <w:szCs w:val="20"/>
                                      <w:lang w:val="en-GB"/>
                                    </w:rPr>
                                    <w:t>means any area of land (regardless of size, and irrespective of local authority or statistical boundaries) that:</w:t>
                                  </w:r>
                                </w:p>
                                <w:p w14:paraId="23DF346D" w14:textId="77777777" w:rsidR="009A1120" w:rsidRDefault="009A1120" w:rsidP="009A1120">
                                  <w:pPr>
                                    <w:spacing w:after="60"/>
                                    <w:rPr>
                                      <w:sz w:val="20"/>
                                      <w:szCs w:val="20"/>
                                      <w:lang w:val="en-GB"/>
                                    </w:rPr>
                                  </w:pPr>
                                  <w:r>
                                    <w:rPr>
                                      <w:sz w:val="20"/>
                                      <w:szCs w:val="20"/>
                                      <w:lang w:val="en-GB"/>
                                    </w:rPr>
                                    <w:t>(a) is, or is intended to be, predominantly urban in character; and</w:t>
                                  </w:r>
                                </w:p>
                                <w:p w14:paraId="44EAEFD9" w14:textId="77777777" w:rsidR="009A1120" w:rsidRDefault="009A1120" w:rsidP="009A1120">
                                  <w:pPr>
                                    <w:spacing w:after="60"/>
                                    <w:rPr>
                                      <w:sz w:val="20"/>
                                      <w:szCs w:val="20"/>
                                      <w:lang w:val="en-GB"/>
                                    </w:rPr>
                                  </w:pPr>
                                  <w:r>
                                    <w:rPr>
                                      <w:sz w:val="20"/>
                                      <w:szCs w:val="20"/>
                                      <w:lang w:val="en-GB"/>
                                    </w:rPr>
                                    <w:t>(b) is, or is intended to be, part of a housing and labour market of at least 10,000 people</w:t>
                                  </w:r>
                                </w:p>
                                <w:p w14:paraId="04001ECB" w14:textId="77777777" w:rsidR="009A1120" w:rsidRPr="00392625" w:rsidRDefault="009A1120" w:rsidP="009A1120">
                                  <w:pPr>
                                    <w:spacing w:after="60"/>
                                    <w:rPr>
                                      <w:sz w:val="20"/>
                                      <w:szCs w:val="20"/>
                                      <w:lang w:val="en-GB"/>
                                    </w:rPr>
                                  </w:pPr>
                                </w:p>
                              </w:txbxContent>
                            </wps:txbx>
                            <wps:bodyPr rot="0" vert="horz" wrap="square" lIns="91440" tIns="45720" rIns="91440" bIns="45720" anchor="t" anchorCtr="0">
                              <a:noAutofit/>
                            </wps:bodyPr>
                          </wps:wsp>
                        </a:graphicData>
                      </a:graphic>
                    </wp:inline>
                  </w:drawing>
                </mc:Choice>
                <mc:Fallback>
                  <w:pict>
                    <v:shape w14:anchorId="571843B8" id="Text Box 37" o:spid="_x0000_s1135" type="#_x0000_t202" style="width:291.15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">
                      <v:textbox>
                        <w:txbxContent>
                          <w:p w14:paraId="0363B9E5" w14:textId="77777777" w:rsidR="009A1120" w:rsidRDefault="009A1120" w:rsidP="009A1120">
                            <w:pPr>
                              <w:spacing w:after="60"/>
                              <w:rPr>
                                <w:sz w:val="20"/>
                                <w:szCs w:val="20"/>
                                <w:lang w:val="en-GB"/>
                              </w:rPr>
                            </w:pPr>
                            <w:r>
                              <w:rPr>
                                <w:sz w:val="20"/>
                                <w:szCs w:val="20"/>
                                <w:lang w:val="en-GB"/>
                              </w:rPr>
                              <w:t>means any area of land (regardless of size, and irrespective of local authority or statistical boundaries) that:</w:t>
                            </w:r>
                          </w:p>
                          <w:p w14:paraId="23DF346D" w14:textId="77777777" w:rsidR="009A1120" w:rsidRDefault="009A1120" w:rsidP="009A1120">
                            <w:pPr>
                              <w:spacing w:after="60"/>
                              <w:rPr>
                                <w:sz w:val="20"/>
                                <w:szCs w:val="20"/>
                                <w:lang w:val="en-GB"/>
                              </w:rPr>
                            </w:pPr>
                            <w:r>
                              <w:rPr>
                                <w:sz w:val="20"/>
                                <w:szCs w:val="20"/>
                                <w:lang w:val="en-GB"/>
                              </w:rPr>
                              <w:t>(a) is, or is intended to be, predominantly urban in character; and</w:t>
                            </w:r>
                          </w:p>
                          <w:p w14:paraId="44EAEFD9" w14:textId="77777777" w:rsidR="009A1120" w:rsidRDefault="009A1120" w:rsidP="009A1120">
                            <w:pPr>
                              <w:spacing w:after="60"/>
                              <w:rPr>
                                <w:sz w:val="20"/>
                                <w:szCs w:val="20"/>
                                <w:lang w:val="en-GB"/>
                              </w:rPr>
                            </w:pPr>
                            <w:r>
                              <w:rPr>
                                <w:sz w:val="20"/>
                                <w:szCs w:val="20"/>
                                <w:lang w:val="en-GB"/>
                              </w:rPr>
                              <w:t>(b) is, or is intended to be, part of a housing and labour market of at least 10,000 people</w:t>
                            </w:r>
                          </w:p>
                          <w:p w14:paraId="04001ECB" w14:textId="77777777" w:rsidR="009A1120" w:rsidRPr="00392625" w:rsidRDefault="009A1120" w:rsidP="009A1120">
                            <w:pPr>
                              <w:spacing w:after="60"/>
                              <w:rPr>
                                <w:sz w:val="20"/>
                                <w:szCs w:val="20"/>
                                <w:lang w:val="en-GB"/>
                              </w:rPr>
                            </w:pPr>
                          </w:p>
                        </w:txbxContent>
                      </v:textbox>
                      <w10:anchorlock/>
                    </v:shape>
                  </w:pict>
                </mc:Fallback>
              </mc:AlternateContent>
            </w:r>
          </w:p>
        </w:tc>
      </w:tr>
      <w:tr w:rsidR="009A1120" w:rsidRPr="00472578" w14:paraId="6260352C" w14:textId="77777777" w:rsidTr="007612BD">
        <w:trPr>
          <w:trHeight w:val="1054"/>
        </w:trPr>
        <w:tc>
          <w:tcPr>
            <w:tcW w:w="2104" w:type="dxa"/>
            <w:tcBorders>
              <w:top w:val="single" w:sz="2" w:space="0" w:color="000000" w:themeColor="text1"/>
              <w:left w:val="nil"/>
              <w:bottom w:val="single" w:sz="2" w:space="0" w:color="000000" w:themeColor="text1"/>
              <w:right w:val="single" w:sz="2" w:space="0" w:color="000000" w:themeColor="text1"/>
            </w:tcBorders>
          </w:tcPr>
          <w:p w14:paraId="3C98ACDB"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Vulnerability</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482C30FD"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 xml:space="preserve">means the conditions determined by physical, social, </w:t>
            </w:r>
            <w:proofErr w:type="gramStart"/>
            <w:r w:rsidRPr="00472578">
              <w:rPr>
                <w:sz w:val="20"/>
                <w:szCs w:val="20"/>
              </w:rPr>
              <w:t>economic</w:t>
            </w:r>
            <w:proofErr w:type="gramEnd"/>
            <w:r w:rsidRPr="00472578">
              <w:rPr>
                <w:sz w:val="20"/>
                <w:szCs w:val="20"/>
              </w:rPr>
              <w:t xml:space="preserve"> and environmental factors or processes which increase the susceptibility of an individual, a community, assets or systems to the impacts of hazards.</w:t>
            </w:r>
          </w:p>
        </w:tc>
      </w:tr>
      <w:tr w:rsidR="009A1120" w:rsidRPr="00472578" w14:paraId="50663234"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1FE4BBF8"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Wāhi</w:t>
            </w:r>
            <w:r w:rsidRPr="00472578">
              <w:rPr>
                <w:b/>
                <w:sz w:val="20"/>
                <w:szCs w:val="20"/>
              </w:rPr>
              <w:t xml:space="preserve"> tūpuna</w:t>
            </w:r>
            <w:r w:rsidRPr="00472578">
              <w:rPr>
                <w:b/>
                <w:color w:val="000000"/>
                <w:sz w:val="25"/>
                <w:szCs w:val="25"/>
                <w:shd w:val="clear" w:color="auto" w:fill="FFFFFF"/>
              </w:rPr>
              <w:t> </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250BCA8C" w14:textId="669903DD" w:rsidR="009A1120" w:rsidRPr="00472578" w:rsidRDefault="009A1120" w:rsidP="00E92686">
            <w:pPr>
              <w:tabs>
                <w:tab w:val="center" w:pos="4513"/>
                <w:tab w:val="right" w:pos="9026"/>
              </w:tabs>
              <w:spacing w:after="60" w:line="259" w:lineRule="auto"/>
              <w:jc w:val="both"/>
              <w:rPr>
                <w:sz w:val="20"/>
                <w:szCs w:val="20"/>
                <w:lang w:val="en-GB"/>
              </w:rPr>
            </w:pPr>
            <w:r w:rsidRPr="00472578">
              <w:rPr>
                <w:sz w:val="20"/>
                <w:szCs w:val="20"/>
                <w:lang w:val="en-GB"/>
              </w:rPr>
              <w:t>means landscapes and places that embody the relationship of manawhenua and their culture and traditions with their ancestral lands, water, sites</w:t>
            </w:r>
            <w:r w:rsidR="004056DA" w:rsidRPr="004056DA">
              <w:rPr>
                <w:strike/>
                <w:sz w:val="20"/>
                <w:szCs w:val="20"/>
                <w:lang w:val="en-GB"/>
              </w:rPr>
              <w:t>.</w:t>
            </w:r>
            <w:r w:rsidR="00110AF8">
              <w:rPr>
                <w:sz w:val="20"/>
                <w:szCs w:val="20"/>
                <w:u w:val="single"/>
                <w:lang w:val="en-GB"/>
              </w:rPr>
              <w:t>,</w:t>
            </w:r>
            <w:r w:rsidRPr="00472578">
              <w:rPr>
                <w:sz w:val="20"/>
                <w:szCs w:val="20"/>
                <w:lang w:val="en-GB"/>
              </w:rPr>
              <w:t xml:space="preserve"> wāhi tapu and other taoka.</w:t>
            </w:r>
            <w:r w:rsidR="004056DA">
              <w:rPr>
                <w:rStyle w:val="FootnoteReference"/>
                <w:sz w:val="20"/>
                <w:szCs w:val="20"/>
                <w:lang w:val="en-GB"/>
              </w:rPr>
              <w:footnoteReference w:id="139"/>
            </w:r>
          </w:p>
        </w:tc>
      </w:tr>
      <w:tr w:rsidR="009A1120" w:rsidRPr="00472578" w14:paraId="005B59C8"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7BA0CA7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Waste</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6283D4FA" w14:textId="77777777" w:rsidR="009A1120" w:rsidRPr="00472578" w:rsidRDefault="009A1120" w:rsidP="00E92686">
            <w:pPr>
              <w:tabs>
                <w:tab w:val="center" w:pos="4513"/>
                <w:tab w:val="right" w:pos="9026"/>
              </w:tabs>
              <w:spacing w:before="60" w:after="60"/>
              <w:jc w:val="both"/>
              <w:rPr>
                <w:strike/>
                <w:sz w:val="20"/>
                <w:szCs w:val="20"/>
              </w:rPr>
            </w:pPr>
            <w:r w:rsidRPr="00472578">
              <w:rPr>
                <w:strike/>
                <w:sz w:val="20"/>
                <w:szCs w:val="20"/>
              </w:rPr>
              <w:t>has the same meaning as in regulation 3 of the Resource Management (National Environmental Standards for Air Quality) Regulations 2004 (as set out in the box below)</w:t>
            </w:r>
          </w:p>
          <w:p w14:paraId="768E5901"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1987FCA" wp14:editId="126B4034">
                      <wp:extent cx="3697356" cy="414670"/>
                      <wp:effectExtent l="0" t="0" r="17780" b="2349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14670"/>
                              </a:xfrm>
                              <a:prstGeom prst="rect">
                                <a:avLst/>
                              </a:prstGeom>
                              <a:solidFill>
                                <a:srgbClr val="FFFFFF"/>
                              </a:solidFill>
                              <a:ln w="9525">
                                <a:solidFill>
                                  <a:srgbClr val="000000"/>
                                </a:solidFill>
                                <a:miter lim="800000"/>
                                <a:headEnd/>
                                <a:tailEnd/>
                              </a:ln>
                            </wps:spPr>
                            <wps:txbx>
                              <w:txbxContent>
                                <w:p w14:paraId="13AA05C0" w14:textId="77777777" w:rsidR="009A1120" w:rsidRPr="00EF7D0D" w:rsidRDefault="009A1120" w:rsidP="009A1120">
                                  <w:pPr>
                                    <w:contextualSpacing/>
                                    <w:rPr>
                                      <w:strike/>
                                      <w:sz w:val="20"/>
                                      <w:szCs w:val="20"/>
                                      <w:lang w:val="en-GB"/>
                                    </w:rPr>
                                  </w:pPr>
                                  <w:r w:rsidRPr="00EF7D0D">
                                    <w:rPr>
                                      <w:strike/>
                                      <w:sz w:val="20"/>
                                      <w:szCs w:val="20"/>
                                      <w:lang w:val="en-GB"/>
                                    </w:rPr>
                                    <w:t>means substances or objects that are disposed of or intended to be disposed of</w:t>
                                  </w:r>
                                </w:p>
                              </w:txbxContent>
                            </wps:txbx>
                            <wps:bodyPr rot="0" vert="horz" wrap="square" lIns="91440" tIns="45720" rIns="91440" bIns="45720" anchor="t" anchorCtr="0">
                              <a:noAutofit/>
                            </wps:bodyPr>
                          </wps:wsp>
                        </a:graphicData>
                      </a:graphic>
                    </wp:inline>
                  </w:drawing>
                </mc:Choice>
                <mc:Fallback>
                  <w:pict>
                    <v:shape w14:anchorId="41987FCA" id="Text Box 44" o:spid="_x0000_s1136" type="#_x0000_t202" style="width:291.15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">
                      <v:textbox>
                        <w:txbxContent>
                          <w:p w14:paraId="13AA05C0" w14:textId="77777777" w:rsidR="009A1120" w:rsidRPr="00EF7D0D" w:rsidRDefault="009A1120" w:rsidP="009A1120">
                            <w:pPr>
                              <w:contextualSpacing/>
                              <w:rPr>
                                <w:strike/>
                                <w:sz w:val="20"/>
                                <w:szCs w:val="20"/>
                                <w:lang w:val="en-GB"/>
                              </w:rPr>
                            </w:pPr>
                            <w:r w:rsidRPr="00EF7D0D">
                              <w:rPr>
                                <w:strike/>
                                <w:sz w:val="20"/>
                                <w:szCs w:val="20"/>
                                <w:lang w:val="en-GB"/>
                              </w:rPr>
                              <w:t>means substances or objects that are disposed of or intended to be disposed of</w:t>
                            </w:r>
                          </w:p>
                        </w:txbxContent>
                      </v:textbox>
                      <w10:anchorlock/>
                    </v:shape>
                  </w:pict>
                </mc:Fallback>
              </mc:AlternateContent>
            </w:r>
          </w:p>
          <w:p w14:paraId="4DF96191" w14:textId="77777777" w:rsidR="009A1120" w:rsidRPr="00472578" w:rsidRDefault="009A1120" w:rsidP="00E92686">
            <w:pPr>
              <w:tabs>
                <w:tab w:val="center" w:pos="4513"/>
                <w:tab w:val="right" w:pos="9026"/>
              </w:tabs>
              <w:spacing w:before="60" w:after="60"/>
              <w:jc w:val="both"/>
              <w:rPr>
                <w:sz w:val="20"/>
                <w:szCs w:val="20"/>
              </w:rPr>
            </w:pPr>
          </w:p>
          <w:p w14:paraId="70A83738" w14:textId="44861619" w:rsidR="009A1120" w:rsidRPr="00472578" w:rsidRDefault="009A1120" w:rsidP="00E92686">
            <w:pPr>
              <w:jc w:val="both"/>
              <w:rPr>
                <w:sz w:val="20"/>
                <w:szCs w:val="20"/>
              </w:rPr>
            </w:pPr>
            <w:r w:rsidRPr="00472578">
              <w:rPr>
                <w:noProof/>
                <w:sz w:val="20"/>
                <w:szCs w:val="20"/>
              </w:rPr>
              <w:lastRenderedPageBreak/>
              <mc:AlternateContent>
                <mc:Choice Requires="wps">
                  <w:drawing>
                    <wp:anchor distT="45720" distB="45720" distL="114300" distR="114300" simplePos="0" relativeHeight="251658240" behindDoc="0" locked="0" layoutInCell="1" allowOverlap="1" wp14:anchorId="378AB9DF" wp14:editId="13ECA157">
                      <wp:simplePos x="0" y="0"/>
                      <wp:positionH relativeFrom="column">
                        <wp:posOffset>171450</wp:posOffset>
                      </wp:positionH>
                      <wp:positionV relativeFrom="paragraph">
                        <wp:posOffset>499745</wp:posOffset>
                      </wp:positionV>
                      <wp:extent cx="4381500" cy="138112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381125"/>
                              </a:xfrm>
                              <a:prstGeom prst="rect">
                                <a:avLst/>
                              </a:prstGeom>
                              <a:solidFill>
                                <a:srgbClr val="FFFFFF"/>
                              </a:solidFill>
                              <a:ln w="9525">
                                <a:solidFill>
                                  <a:srgbClr val="000000"/>
                                </a:solidFill>
                                <a:miter lim="800000"/>
                                <a:headEnd/>
                                <a:tailEnd/>
                              </a:ln>
                            </wps:spPr>
                            <wps:txbx>
                              <w:txbxContent>
                                <w:p w14:paraId="7CAB4C78" w14:textId="77777777" w:rsidR="009A1120" w:rsidRPr="001E5351" w:rsidRDefault="009A1120" w:rsidP="009A1120">
                                  <w:pPr>
                                    <w:shd w:val="clear" w:color="auto" w:fill="FFFFFF"/>
                                    <w:spacing w:line="288" w:lineRule="atLeast"/>
                                    <w:jc w:val="both"/>
                                    <w:textAlignment w:val="baseline"/>
                                    <w:outlineLvl w:val="4"/>
                                    <w:rPr>
                                      <w:sz w:val="20"/>
                                      <w:szCs w:val="20"/>
                                      <w:u w:val="single"/>
                                    </w:rPr>
                                  </w:pPr>
                                  <w:r w:rsidRPr="001E5351">
                                    <w:rPr>
                                      <w:sz w:val="20"/>
                                      <w:szCs w:val="20"/>
                                      <w:u w:val="single"/>
                                    </w:rPr>
                                    <w:t>(a) means any thing disposed of or discarded; and</w:t>
                                  </w:r>
                                </w:p>
                                <w:p w14:paraId="52A1A0DD" w14:textId="77777777" w:rsidR="009A1120" w:rsidRPr="001E5351" w:rsidRDefault="009A1120" w:rsidP="009A1120">
                                  <w:pPr>
                                    <w:shd w:val="clear" w:color="auto" w:fill="FFFFFF"/>
                                    <w:spacing w:line="288" w:lineRule="atLeast"/>
                                    <w:jc w:val="both"/>
                                    <w:textAlignment w:val="baseline"/>
                                    <w:outlineLvl w:val="4"/>
                                    <w:rPr>
                                      <w:sz w:val="20"/>
                                      <w:szCs w:val="20"/>
                                      <w:u w:val="single"/>
                                    </w:rPr>
                                  </w:pPr>
                                  <w:r w:rsidRPr="001E5351">
                                    <w:rPr>
                                      <w:sz w:val="20"/>
                                      <w:szCs w:val="20"/>
                                      <w:u w:val="single"/>
                                    </w:rPr>
                                    <w:t>(b) includes a type of waste that is defined by its composition or source (for example, organic waste, electronic waste, or construction and demolition waste); and</w:t>
                                  </w:r>
                                </w:p>
                                <w:p w14:paraId="1DA50F23" w14:textId="77777777" w:rsidR="009A1120" w:rsidRPr="001E5351" w:rsidRDefault="009A1120" w:rsidP="009A1120">
                                  <w:pPr>
                                    <w:rPr>
                                      <w:sz w:val="20"/>
                                      <w:szCs w:val="20"/>
                                    </w:rPr>
                                  </w:pPr>
                                  <w:r w:rsidRPr="001E5351">
                                    <w:rPr>
                                      <w:sz w:val="20"/>
                                      <w:szCs w:val="20"/>
                                      <w:u w:val="single"/>
                                    </w:rPr>
                                    <w:t>(c) to avoid doubt, includes any component or element of diverted material, if the component or element is disposed of or discarded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AB9DF" id="Text Box 20" o:spid="_x0000_s1137" type="#_x0000_t202" style="position:absolute;left:0;text-align:left;margin-left:13.5pt;margin-top:39.35pt;width:345pt;height:10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">
                      <v:textbox>
                        <w:txbxContent>
                          <w:p w14:paraId="7CAB4C78" w14:textId="77777777" w:rsidR="009A1120" w:rsidRPr="001E5351" w:rsidRDefault="009A1120" w:rsidP="009A1120">
                            <w:pPr>
                              <w:shd w:val="clear" w:color="auto" w:fill="FFFFFF"/>
                              <w:spacing w:line="288" w:lineRule="atLeast"/>
                              <w:jc w:val="both"/>
                              <w:textAlignment w:val="baseline"/>
                              <w:outlineLvl w:val="4"/>
                              <w:rPr>
                                <w:sz w:val="20"/>
                                <w:szCs w:val="20"/>
                                <w:u w:val="single"/>
                              </w:rPr>
                            </w:pPr>
                            <w:r w:rsidRPr="001E5351">
                              <w:rPr>
                                <w:sz w:val="20"/>
                                <w:szCs w:val="20"/>
                                <w:u w:val="single"/>
                              </w:rPr>
                              <w:t>(a) means any thing disposed of or discarded; and</w:t>
                            </w:r>
                          </w:p>
                          <w:p w14:paraId="52A1A0DD" w14:textId="77777777" w:rsidR="009A1120" w:rsidRPr="001E5351" w:rsidRDefault="009A1120" w:rsidP="009A1120">
                            <w:pPr>
                              <w:shd w:val="clear" w:color="auto" w:fill="FFFFFF"/>
                              <w:spacing w:line="288" w:lineRule="atLeast"/>
                              <w:jc w:val="both"/>
                              <w:textAlignment w:val="baseline"/>
                              <w:outlineLvl w:val="4"/>
                              <w:rPr>
                                <w:sz w:val="20"/>
                                <w:szCs w:val="20"/>
                                <w:u w:val="single"/>
                              </w:rPr>
                            </w:pPr>
                            <w:r w:rsidRPr="001E5351">
                              <w:rPr>
                                <w:sz w:val="20"/>
                                <w:szCs w:val="20"/>
                                <w:u w:val="single"/>
                              </w:rPr>
                              <w:t>(b) includes a type of waste that is defined by its composition or source (for example, organic waste, electronic waste, or construction and demolition waste); and</w:t>
                            </w:r>
                          </w:p>
                          <w:p w14:paraId="1DA50F23" w14:textId="77777777" w:rsidR="009A1120" w:rsidRPr="001E5351" w:rsidRDefault="009A1120" w:rsidP="009A1120">
                            <w:pPr>
                              <w:rPr>
                                <w:sz w:val="20"/>
                                <w:szCs w:val="20"/>
                              </w:rPr>
                            </w:pPr>
                            <w:r w:rsidRPr="001E5351">
                              <w:rPr>
                                <w:sz w:val="20"/>
                                <w:szCs w:val="20"/>
                                <w:u w:val="single"/>
                              </w:rPr>
                              <w:t>(c) to avoid doubt, includes any component or element of diverted material, if the component or element is disposed of or discarded</w:t>
                            </w:r>
                          </w:p>
                        </w:txbxContent>
                      </v:textbox>
                      <w10:wrap type="square"/>
                    </v:shape>
                  </w:pict>
                </mc:Fallback>
              </mc:AlternateContent>
            </w:r>
            <w:r w:rsidRPr="00472578">
              <w:rPr>
                <w:sz w:val="20"/>
                <w:szCs w:val="20"/>
                <w:u w:val="single"/>
              </w:rPr>
              <w:t>has the same meaning as in the Waste Minimisation Act 2008 (as set out in the box below</w:t>
            </w:r>
            <w:r w:rsidRPr="00472578">
              <w:rPr>
                <w:sz w:val="20"/>
                <w:szCs w:val="20"/>
              </w:rPr>
              <w:t>) </w:t>
            </w:r>
            <w:r w:rsidRPr="00472578">
              <w:rPr>
                <w:rStyle w:val="FootnoteReference"/>
                <w:sz w:val="20"/>
                <w:szCs w:val="20"/>
              </w:rPr>
              <w:footnoteReference w:id="140"/>
            </w:r>
          </w:p>
        </w:tc>
      </w:tr>
      <w:tr w:rsidR="009A1120" w:rsidRPr="00472578" w14:paraId="103E643C"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4B8FF9A4"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Wastewater</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6D68D3F4"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Standard 14 of the National Planning Standards 2019 (as set out in the box below)</w:t>
            </w:r>
          </w:p>
          <w:p w14:paraId="69983BE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5F0993D" wp14:editId="77F649D0">
                      <wp:extent cx="3697356" cy="409575"/>
                      <wp:effectExtent l="0" t="0" r="17780" b="28575"/>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409575"/>
                              </a:xfrm>
                              <a:prstGeom prst="rect">
                                <a:avLst/>
                              </a:prstGeom>
                              <a:solidFill>
                                <a:srgbClr val="FFFFFF"/>
                              </a:solidFill>
                              <a:ln w="9525">
                                <a:solidFill>
                                  <a:srgbClr val="000000"/>
                                </a:solidFill>
                                <a:miter lim="800000"/>
                                <a:headEnd/>
                                <a:tailEnd/>
                              </a:ln>
                            </wps:spPr>
                            <wps:txbx>
                              <w:txbxContent>
                                <w:p w14:paraId="604264D0" w14:textId="77777777" w:rsidR="009A1120" w:rsidRPr="000C7151" w:rsidRDefault="009A1120" w:rsidP="009A1120">
                                  <w:pPr>
                                    <w:spacing w:after="60"/>
                                    <w:rPr>
                                      <w:sz w:val="20"/>
                                      <w:szCs w:val="20"/>
                                    </w:rPr>
                                  </w:pPr>
                                  <w:r w:rsidRPr="000C7151">
                                    <w:rPr>
                                      <w:sz w:val="20"/>
                                      <w:szCs w:val="20"/>
                                    </w:rPr>
                                    <w:t>means any combination of two or more the following wastes: sewage, greywater or industrial and trade waste</w:t>
                                  </w:r>
                                </w:p>
                              </w:txbxContent>
                            </wps:txbx>
                            <wps:bodyPr rot="0" vert="horz" wrap="square" lIns="91440" tIns="45720" rIns="91440" bIns="45720" anchor="t" anchorCtr="0">
                              <a:noAutofit/>
                            </wps:bodyPr>
                          </wps:wsp>
                        </a:graphicData>
                      </a:graphic>
                    </wp:inline>
                  </w:drawing>
                </mc:Choice>
                <mc:Fallback>
                  <w:pict>
                    <v:shape w14:anchorId="65F0993D" id="Text Box 226" o:spid="_x0000_s1138" type="#_x0000_t202" style="width:291.1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">
                      <v:textbox>
                        <w:txbxContent>
                          <w:p w14:paraId="604264D0" w14:textId="77777777" w:rsidR="009A1120" w:rsidRPr="000C7151" w:rsidRDefault="009A1120" w:rsidP="009A1120">
                            <w:pPr>
                              <w:spacing w:after="60"/>
                              <w:rPr>
                                <w:sz w:val="20"/>
                                <w:szCs w:val="20"/>
                              </w:rPr>
                            </w:pPr>
                            <w:r w:rsidRPr="000C7151">
                              <w:rPr>
                                <w:sz w:val="20"/>
                                <w:szCs w:val="20"/>
                              </w:rPr>
                              <w:t>means any combination of two or more the following wastes: sewage, greywater or industrial and trade waste</w:t>
                            </w:r>
                          </w:p>
                        </w:txbxContent>
                      </v:textbox>
                      <w10:anchorlock/>
                    </v:shape>
                  </w:pict>
                </mc:Fallback>
              </mc:AlternateContent>
            </w:r>
          </w:p>
        </w:tc>
      </w:tr>
      <w:tr w:rsidR="009A1120" w:rsidRPr="00472578" w14:paraId="014D3C4B"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4498136F"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Water</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192E67A9"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244B8C2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083F114E" wp14:editId="3E7AAE25">
                      <wp:extent cx="3697356" cy="990600"/>
                      <wp:effectExtent l="0" t="0" r="17780" b="1905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990600"/>
                              </a:xfrm>
                              <a:prstGeom prst="rect">
                                <a:avLst/>
                              </a:prstGeom>
                              <a:solidFill>
                                <a:srgbClr val="FFFFFF"/>
                              </a:solidFill>
                              <a:ln w="9525">
                                <a:solidFill>
                                  <a:srgbClr val="000000"/>
                                </a:solidFill>
                                <a:miter lim="800000"/>
                                <a:headEnd/>
                                <a:tailEnd/>
                              </a:ln>
                            </wps:spPr>
                            <wps:txbx>
                              <w:txbxContent>
                                <w:p w14:paraId="6E227B1E" w14:textId="77777777" w:rsidR="009A1120" w:rsidRPr="000C7151" w:rsidRDefault="009A1120" w:rsidP="009A1120">
                                  <w:pPr>
                                    <w:spacing w:after="60"/>
                                    <w:ind w:left="284" w:hanging="284"/>
                                    <w:rPr>
                                      <w:sz w:val="20"/>
                                      <w:szCs w:val="20"/>
                                    </w:rPr>
                                  </w:pPr>
                                  <w:r w:rsidRPr="000C7151">
                                    <w:rPr>
                                      <w:sz w:val="20"/>
                                      <w:szCs w:val="20"/>
                                    </w:rPr>
                                    <w:t>(a)</w:t>
                                  </w:r>
                                  <w:r w:rsidRPr="000C7151">
                                    <w:rPr>
                                      <w:sz w:val="20"/>
                                      <w:szCs w:val="20"/>
                                    </w:rPr>
                                    <w:tab/>
                                    <w:t>means water in all its physical forms whether flowing or not and whether over or under the ground:</w:t>
                                  </w:r>
                                </w:p>
                                <w:p w14:paraId="3BDA1BE5" w14:textId="77777777" w:rsidR="009A1120" w:rsidRPr="000C7151" w:rsidRDefault="009A1120" w:rsidP="009A1120">
                                  <w:pPr>
                                    <w:spacing w:after="60"/>
                                    <w:ind w:left="284" w:hanging="284"/>
                                    <w:rPr>
                                      <w:sz w:val="20"/>
                                      <w:szCs w:val="20"/>
                                    </w:rPr>
                                  </w:pPr>
                                  <w:r w:rsidRPr="000C7151">
                                    <w:rPr>
                                      <w:sz w:val="20"/>
                                      <w:szCs w:val="20"/>
                                    </w:rPr>
                                    <w:t>(b)</w:t>
                                  </w:r>
                                  <w:r w:rsidRPr="000C7151">
                                    <w:rPr>
                                      <w:sz w:val="20"/>
                                      <w:szCs w:val="20"/>
                                    </w:rPr>
                                    <w:tab/>
                                    <w:t>includes fresh water, coastal water, and geothermal water:</w:t>
                                  </w:r>
                                </w:p>
                                <w:p w14:paraId="396CEC8B" w14:textId="77777777" w:rsidR="009A1120" w:rsidRPr="000C7151" w:rsidRDefault="009A1120" w:rsidP="009A1120">
                                  <w:pPr>
                                    <w:spacing w:after="60"/>
                                    <w:ind w:left="284" w:hanging="284"/>
                                    <w:rPr>
                                      <w:sz w:val="20"/>
                                      <w:szCs w:val="20"/>
                                    </w:rPr>
                                  </w:pPr>
                                  <w:r w:rsidRPr="000C7151">
                                    <w:rPr>
                                      <w:sz w:val="20"/>
                                      <w:szCs w:val="20"/>
                                    </w:rPr>
                                    <w:t>(c)</w:t>
                                  </w:r>
                                  <w:r w:rsidRPr="000C7151">
                                    <w:rPr>
                                      <w:sz w:val="20"/>
                                      <w:szCs w:val="20"/>
                                    </w:rPr>
                                    <w:tab/>
                                    <w:t>does not include water in any form while in any pipe, tank, or cistern</w:t>
                                  </w:r>
                                </w:p>
                              </w:txbxContent>
                            </wps:txbx>
                            <wps:bodyPr rot="0" vert="horz" wrap="square" lIns="91440" tIns="45720" rIns="91440" bIns="45720" anchor="t" anchorCtr="0">
                              <a:noAutofit/>
                            </wps:bodyPr>
                          </wps:wsp>
                        </a:graphicData>
                      </a:graphic>
                    </wp:inline>
                  </w:drawing>
                </mc:Choice>
                <mc:Fallback>
                  <w:pict>
                    <v:shape w14:anchorId="083F114E" id="Text Box 26" o:spid="_x0000_s1139" type="#_x0000_t202" style="width:291.1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q7KAIAAE8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">
                      <v:textbox>
                        <w:txbxContent>
                          <w:p w14:paraId="6E227B1E" w14:textId="77777777" w:rsidR="009A1120" w:rsidRPr="000C7151" w:rsidRDefault="009A1120" w:rsidP="009A1120">
                            <w:pPr>
                              <w:spacing w:after="60"/>
                              <w:ind w:left="284" w:hanging="284"/>
                              <w:rPr>
                                <w:sz w:val="20"/>
                                <w:szCs w:val="20"/>
                              </w:rPr>
                            </w:pPr>
                            <w:r w:rsidRPr="000C7151">
                              <w:rPr>
                                <w:sz w:val="20"/>
                                <w:szCs w:val="20"/>
                              </w:rPr>
                              <w:t>(a)</w:t>
                            </w:r>
                            <w:r w:rsidRPr="000C7151">
                              <w:rPr>
                                <w:sz w:val="20"/>
                                <w:szCs w:val="20"/>
                              </w:rPr>
                              <w:tab/>
                              <w:t>means water in all its physical forms whether flowing or not and whether over or under the ground:</w:t>
                            </w:r>
                          </w:p>
                          <w:p w14:paraId="3BDA1BE5" w14:textId="77777777" w:rsidR="009A1120" w:rsidRPr="000C7151" w:rsidRDefault="009A1120" w:rsidP="009A1120">
                            <w:pPr>
                              <w:spacing w:after="60"/>
                              <w:ind w:left="284" w:hanging="284"/>
                              <w:rPr>
                                <w:sz w:val="20"/>
                                <w:szCs w:val="20"/>
                              </w:rPr>
                            </w:pPr>
                            <w:r w:rsidRPr="000C7151">
                              <w:rPr>
                                <w:sz w:val="20"/>
                                <w:szCs w:val="20"/>
                              </w:rPr>
                              <w:t>(b)</w:t>
                            </w:r>
                            <w:r w:rsidRPr="000C7151">
                              <w:rPr>
                                <w:sz w:val="20"/>
                                <w:szCs w:val="20"/>
                              </w:rPr>
                              <w:tab/>
                              <w:t>includes fresh water, coastal water, and geothermal water:</w:t>
                            </w:r>
                          </w:p>
                          <w:p w14:paraId="396CEC8B" w14:textId="77777777" w:rsidR="009A1120" w:rsidRPr="000C7151" w:rsidRDefault="009A1120" w:rsidP="009A1120">
                            <w:pPr>
                              <w:spacing w:after="60"/>
                              <w:ind w:left="284" w:hanging="284"/>
                              <w:rPr>
                                <w:sz w:val="20"/>
                                <w:szCs w:val="20"/>
                              </w:rPr>
                            </w:pPr>
                            <w:r w:rsidRPr="000C7151">
                              <w:rPr>
                                <w:sz w:val="20"/>
                                <w:szCs w:val="20"/>
                              </w:rPr>
                              <w:t>(c)</w:t>
                            </w:r>
                            <w:r w:rsidRPr="000C7151">
                              <w:rPr>
                                <w:sz w:val="20"/>
                                <w:szCs w:val="20"/>
                              </w:rPr>
                              <w:tab/>
                              <w:t>does not include water in any form while in any pipe, tank, or cistern</w:t>
                            </w:r>
                          </w:p>
                        </w:txbxContent>
                      </v:textbox>
                      <w10:anchorlock/>
                    </v:shape>
                  </w:pict>
                </mc:Fallback>
              </mc:AlternateContent>
            </w:r>
          </w:p>
        </w:tc>
      </w:tr>
      <w:tr w:rsidR="009A1120" w:rsidRPr="00472578" w14:paraId="29551CBA" w14:textId="77777777" w:rsidTr="007612BD">
        <w:tc>
          <w:tcPr>
            <w:tcW w:w="2104" w:type="dxa"/>
            <w:tcBorders>
              <w:top w:val="single" w:sz="2" w:space="0" w:color="000000" w:themeColor="text1"/>
              <w:left w:val="nil"/>
              <w:bottom w:val="single" w:sz="2" w:space="0" w:color="000000" w:themeColor="text1"/>
              <w:right w:val="single" w:sz="2" w:space="0" w:color="000000" w:themeColor="text1"/>
            </w:tcBorders>
          </w:tcPr>
          <w:p w14:paraId="0B0EC797"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Water body</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510BA421"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46A454C6"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904F628" wp14:editId="03778568">
                      <wp:extent cx="3697356" cy="561975"/>
                      <wp:effectExtent l="0" t="0" r="17780" b="28575"/>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61975"/>
                              </a:xfrm>
                              <a:prstGeom prst="rect">
                                <a:avLst/>
                              </a:prstGeom>
                              <a:solidFill>
                                <a:srgbClr val="FFFFFF"/>
                              </a:solidFill>
                              <a:ln w="9525">
                                <a:solidFill>
                                  <a:srgbClr val="000000"/>
                                </a:solidFill>
                                <a:miter lim="800000"/>
                                <a:headEnd/>
                                <a:tailEnd/>
                              </a:ln>
                            </wps:spPr>
                            <wps:txbx>
                              <w:txbxContent>
                                <w:p w14:paraId="22BB6DDC" w14:textId="77777777" w:rsidR="009A1120" w:rsidRPr="000C7151" w:rsidRDefault="009A1120" w:rsidP="009A1120">
                                  <w:pPr>
                                    <w:spacing w:after="60"/>
                                    <w:rPr>
                                      <w:sz w:val="20"/>
                                      <w:szCs w:val="20"/>
                                    </w:rPr>
                                  </w:pPr>
                                  <w:r w:rsidRPr="000C7151">
                                    <w:rPr>
                                      <w:sz w:val="20"/>
                                      <w:szCs w:val="20"/>
                                    </w:rPr>
                                    <w:t>means fresh water or geothermal water in a river, lake, stream, pond, wetland, or aquifer, or any part thereof, that is not located within the coastal marine area</w:t>
                                  </w:r>
                                </w:p>
                              </w:txbxContent>
                            </wps:txbx>
                            <wps:bodyPr rot="0" vert="horz" wrap="square" lIns="91440" tIns="45720" rIns="91440" bIns="45720" anchor="t" anchorCtr="0">
                              <a:noAutofit/>
                            </wps:bodyPr>
                          </wps:wsp>
                        </a:graphicData>
                      </a:graphic>
                    </wp:inline>
                  </w:drawing>
                </mc:Choice>
                <mc:Fallback>
                  <w:pict>
                    <v:shape w14:anchorId="4904F628" id="Text Box 205" o:spid="_x0000_s1140" type="#_x0000_t202" style="width:291.1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">
                      <v:textbox>
                        <w:txbxContent>
                          <w:p w14:paraId="22BB6DDC" w14:textId="77777777" w:rsidR="009A1120" w:rsidRPr="000C7151" w:rsidRDefault="009A1120" w:rsidP="009A1120">
                            <w:pPr>
                              <w:spacing w:after="60"/>
                              <w:rPr>
                                <w:sz w:val="20"/>
                                <w:szCs w:val="20"/>
                              </w:rPr>
                            </w:pPr>
                            <w:r w:rsidRPr="000C7151">
                              <w:rPr>
                                <w:sz w:val="20"/>
                                <w:szCs w:val="20"/>
                              </w:rPr>
                              <w:t>means fresh water or geothermal water in a river, lake, stream, pond, wetland, or aquifer, or any part thereof, that is not located within the coastal marine area</w:t>
                            </w:r>
                          </w:p>
                        </w:txbxContent>
                      </v:textbox>
                      <w10:anchorlock/>
                    </v:shape>
                  </w:pict>
                </mc:Fallback>
              </mc:AlternateContent>
            </w:r>
          </w:p>
        </w:tc>
      </w:tr>
      <w:tr w:rsidR="009A1120" w:rsidRPr="00472578" w14:paraId="35C463E3" w14:textId="77777777" w:rsidTr="007612BD">
        <w:trPr>
          <w:trHeight w:val="6388"/>
        </w:trPr>
        <w:tc>
          <w:tcPr>
            <w:tcW w:w="2104" w:type="dxa"/>
            <w:tcBorders>
              <w:top w:val="single" w:sz="2" w:space="0" w:color="000000" w:themeColor="text1"/>
              <w:left w:val="nil"/>
              <w:bottom w:val="single" w:sz="4" w:space="0" w:color="auto"/>
              <w:right w:val="single" w:sz="2" w:space="0" w:color="000000" w:themeColor="text1"/>
            </w:tcBorders>
          </w:tcPr>
          <w:p w14:paraId="413BDB85"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Well-functioning urban environments</w:t>
            </w:r>
          </w:p>
        </w:tc>
        <w:tc>
          <w:tcPr>
            <w:tcW w:w="7146" w:type="dxa"/>
            <w:tcBorders>
              <w:top w:val="single" w:sz="0" w:space="0" w:color="000000" w:themeColor="text1"/>
              <w:left w:val="single" w:sz="2" w:space="0" w:color="000000" w:themeColor="text1"/>
              <w:bottom w:val="single" w:sz="0" w:space="0" w:color="000000" w:themeColor="text1"/>
              <w:right w:val="single" w:sz="0" w:space="0" w:color="000000" w:themeColor="text1"/>
            </w:tcBorders>
          </w:tcPr>
          <w:p w14:paraId="30614FE3"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Policy 1 of the National Policy Statement on Urban Development 2020 (as set out in the box below)</w:t>
            </w:r>
          </w:p>
          <w:p w14:paraId="204297C0"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47D6D18B" wp14:editId="1B459098">
                      <wp:extent cx="3733800" cy="3236180"/>
                      <wp:effectExtent l="0" t="0" r="19050" b="2159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236180"/>
                              </a:xfrm>
                              <a:prstGeom prst="rect">
                                <a:avLst/>
                              </a:prstGeom>
                              <a:solidFill>
                                <a:srgbClr val="FFFFFF"/>
                              </a:solidFill>
                              <a:ln w="9525">
                                <a:solidFill>
                                  <a:srgbClr val="000000"/>
                                </a:solidFill>
                                <a:miter lim="800000"/>
                                <a:headEnd/>
                                <a:tailEnd/>
                              </a:ln>
                            </wps:spPr>
                            <wps:txbx>
                              <w:txbxContent>
                                <w:p w14:paraId="0B7250D7" w14:textId="77777777" w:rsidR="009A1120" w:rsidRDefault="009A1120" w:rsidP="009A1120">
                                  <w:pPr>
                                    <w:spacing w:after="60"/>
                                    <w:rPr>
                                      <w:sz w:val="20"/>
                                      <w:szCs w:val="20"/>
                                    </w:rPr>
                                  </w:pPr>
                                  <w:r w:rsidRPr="002D2C0F">
                                    <w:rPr>
                                      <w:sz w:val="20"/>
                                      <w:szCs w:val="20"/>
                                    </w:rPr>
                                    <w:t>well-functioning urban environments are</w:t>
                                  </w:r>
                                  <w:r>
                                    <w:rPr>
                                      <w:sz w:val="20"/>
                                      <w:szCs w:val="20"/>
                                    </w:rPr>
                                    <w:t xml:space="preserve"> </w:t>
                                  </w:r>
                                  <w:r w:rsidRPr="002D2C0F">
                                    <w:rPr>
                                      <w:sz w:val="20"/>
                                      <w:szCs w:val="20"/>
                                    </w:rPr>
                                    <w:t>urban environments that, as a minimum:</w:t>
                                  </w:r>
                                </w:p>
                                <w:p w14:paraId="3B93F942" w14:textId="77777777" w:rsidR="009A1120" w:rsidRPr="00B92B05" w:rsidRDefault="009A1120" w:rsidP="009A1120">
                                  <w:pPr>
                                    <w:spacing w:after="60"/>
                                    <w:ind w:left="426" w:hanging="426"/>
                                    <w:rPr>
                                      <w:sz w:val="20"/>
                                      <w:szCs w:val="20"/>
                                    </w:rPr>
                                  </w:pPr>
                                  <w:r>
                                    <w:rPr>
                                      <w:sz w:val="20"/>
                                      <w:szCs w:val="20"/>
                                    </w:rPr>
                                    <w:t>(a)</w:t>
                                  </w:r>
                                  <w:r>
                                    <w:rPr>
                                      <w:sz w:val="20"/>
                                      <w:szCs w:val="20"/>
                                    </w:rPr>
                                    <w:tab/>
                                    <w:t xml:space="preserve">Have or enable </w:t>
                                  </w:r>
                                  <w:r w:rsidRPr="00550FF0">
                                    <w:rPr>
                                      <w:sz w:val="20"/>
                                      <w:szCs w:val="20"/>
                                    </w:rPr>
                                    <w:t xml:space="preserve">a variety of homes that: </w:t>
                                  </w:r>
                                </w:p>
                                <w:p w14:paraId="36CE38D0" w14:textId="77777777" w:rsidR="009A1120" w:rsidRPr="00B92B05" w:rsidRDefault="009A1120" w:rsidP="009A1120">
                                  <w:pPr>
                                    <w:spacing w:after="60"/>
                                    <w:ind w:left="709" w:hanging="283"/>
                                    <w:rPr>
                                      <w:sz w:val="20"/>
                                      <w:szCs w:val="20"/>
                                    </w:rPr>
                                  </w:pPr>
                                  <w:r>
                                    <w:rPr>
                                      <w:sz w:val="20"/>
                                      <w:szCs w:val="20"/>
                                    </w:rPr>
                                    <w:t>(i)</w:t>
                                  </w:r>
                                  <w:r>
                                    <w:rPr>
                                      <w:sz w:val="20"/>
                                      <w:szCs w:val="20"/>
                                    </w:rPr>
                                    <w:tab/>
                                  </w:r>
                                  <w:r w:rsidRPr="00550FF0">
                                    <w:rPr>
                                      <w:sz w:val="20"/>
                                      <w:szCs w:val="20"/>
                                    </w:rPr>
                                    <w:t xml:space="preserve">meet the needs, in terms of type, price, and location, of different households; and </w:t>
                                  </w:r>
                                </w:p>
                                <w:p w14:paraId="20664341" w14:textId="77777777" w:rsidR="009A1120" w:rsidRPr="002D2C0F" w:rsidRDefault="009A1120" w:rsidP="009A1120">
                                  <w:pPr>
                                    <w:spacing w:after="60"/>
                                    <w:ind w:left="709" w:hanging="283"/>
                                    <w:rPr>
                                      <w:sz w:val="20"/>
                                      <w:szCs w:val="20"/>
                                    </w:rPr>
                                  </w:pPr>
                                  <w:r>
                                    <w:rPr>
                                      <w:sz w:val="20"/>
                                      <w:szCs w:val="20"/>
                                    </w:rPr>
                                    <w:t>(ii)</w:t>
                                  </w:r>
                                  <w:r>
                                    <w:rPr>
                                      <w:sz w:val="20"/>
                                      <w:szCs w:val="20"/>
                                    </w:rPr>
                                    <w:tab/>
                                  </w:r>
                                  <w:r w:rsidRPr="00550FF0">
                                    <w:rPr>
                                      <w:sz w:val="20"/>
                                      <w:szCs w:val="20"/>
                                    </w:rPr>
                                    <w:t>enable Māori to express their cultural traditions and norms; and</w:t>
                                  </w:r>
                                </w:p>
                                <w:p w14:paraId="0E2ED73A" w14:textId="77777777" w:rsidR="009A1120" w:rsidRDefault="009A1120" w:rsidP="009A1120">
                                  <w:pPr>
                                    <w:spacing w:after="60"/>
                                    <w:ind w:left="426" w:hanging="426"/>
                                    <w:rPr>
                                      <w:sz w:val="20"/>
                                      <w:szCs w:val="20"/>
                                    </w:rPr>
                                  </w:pPr>
                                  <w:r>
                                    <w:rPr>
                                      <w:sz w:val="20"/>
                                      <w:szCs w:val="20"/>
                                    </w:rPr>
                                    <w:t>(b)</w:t>
                                  </w:r>
                                  <w:r>
                                    <w:rPr>
                                      <w:sz w:val="20"/>
                                      <w:szCs w:val="20"/>
                                    </w:rPr>
                                    <w:tab/>
                                  </w:r>
                                  <w:r w:rsidRPr="00550FF0">
                                    <w:rPr>
                                      <w:sz w:val="20"/>
                                      <w:szCs w:val="20"/>
                                    </w:rPr>
                                    <w:t xml:space="preserve">have or enable a variety of sites that are suitable for different business sectors in terms of location and site size; and </w:t>
                                  </w:r>
                                </w:p>
                                <w:p w14:paraId="360391E8" w14:textId="77777777" w:rsidR="009A1120" w:rsidRDefault="009A1120" w:rsidP="009A1120">
                                  <w:pPr>
                                    <w:spacing w:after="60"/>
                                    <w:ind w:left="426" w:hanging="426"/>
                                    <w:rPr>
                                      <w:sz w:val="20"/>
                                      <w:szCs w:val="20"/>
                                    </w:rPr>
                                  </w:pPr>
                                  <w:r>
                                    <w:rPr>
                                      <w:sz w:val="20"/>
                                      <w:szCs w:val="20"/>
                                    </w:rPr>
                                    <w:t>(c)</w:t>
                                  </w:r>
                                  <w:r>
                                    <w:rPr>
                                      <w:sz w:val="20"/>
                                      <w:szCs w:val="20"/>
                                    </w:rPr>
                                    <w:tab/>
                                  </w:r>
                                  <w:r w:rsidRPr="00550FF0">
                                    <w:rPr>
                                      <w:sz w:val="20"/>
                                      <w:szCs w:val="20"/>
                                    </w:rPr>
                                    <w:t xml:space="preserve">have good accessibility for all people between housing, jobs, community services, natural spaces, and open spaces, including by way of public or active transport; and </w:t>
                                  </w:r>
                                </w:p>
                                <w:p w14:paraId="42012FD9" w14:textId="77777777" w:rsidR="009A1120" w:rsidRDefault="009A1120" w:rsidP="009A1120">
                                  <w:pPr>
                                    <w:spacing w:after="60"/>
                                    <w:ind w:left="426" w:hanging="426"/>
                                    <w:rPr>
                                      <w:sz w:val="20"/>
                                      <w:szCs w:val="20"/>
                                    </w:rPr>
                                  </w:pPr>
                                  <w:r>
                                    <w:rPr>
                                      <w:sz w:val="20"/>
                                      <w:szCs w:val="20"/>
                                    </w:rPr>
                                    <w:t>(d)</w:t>
                                  </w:r>
                                  <w:r>
                                    <w:rPr>
                                      <w:sz w:val="20"/>
                                      <w:szCs w:val="20"/>
                                    </w:rPr>
                                    <w:tab/>
                                  </w:r>
                                  <w:r w:rsidRPr="00550FF0">
                                    <w:rPr>
                                      <w:sz w:val="20"/>
                                      <w:szCs w:val="20"/>
                                    </w:rPr>
                                    <w:t xml:space="preserve">support, and limit as much as possible adverse impacts on, the competitive operation of land and development markets; and </w:t>
                                  </w:r>
                                </w:p>
                                <w:p w14:paraId="42956502" w14:textId="77777777" w:rsidR="009A1120" w:rsidRDefault="009A1120" w:rsidP="009A1120">
                                  <w:pPr>
                                    <w:spacing w:after="60"/>
                                    <w:ind w:left="426" w:hanging="426"/>
                                    <w:rPr>
                                      <w:sz w:val="20"/>
                                      <w:szCs w:val="20"/>
                                    </w:rPr>
                                  </w:pPr>
                                  <w:r>
                                    <w:rPr>
                                      <w:sz w:val="20"/>
                                      <w:szCs w:val="20"/>
                                    </w:rPr>
                                    <w:t>(e)</w:t>
                                  </w:r>
                                  <w:r>
                                    <w:rPr>
                                      <w:sz w:val="20"/>
                                      <w:szCs w:val="20"/>
                                    </w:rPr>
                                    <w:tab/>
                                  </w:r>
                                  <w:r w:rsidRPr="00550FF0">
                                    <w:rPr>
                                      <w:sz w:val="20"/>
                                      <w:szCs w:val="20"/>
                                    </w:rPr>
                                    <w:t xml:space="preserve">support reductions in greenhouse gas emissions; and </w:t>
                                  </w:r>
                                </w:p>
                                <w:p w14:paraId="7850DB02" w14:textId="77777777" w:rsidR="009A1120" w:rsidRPr="002D2C0F" w:rsidRDefault="009A1120" w:rsidP="009A1120">
                                  <w:pPr>
                                    <w:spacing w:after="60"/>
                                    <w:ind w:left="426" w:hanging="426"/>
                                    <w:rPr>
                                      <w:sz w:val="20"/>
                                      <w:szCs w:val="20"/>
                                    </w:rPr>
                                  </w:pPr>
                                  <w:r>
                                    <w:rPr>
                                      <w:sz w:val="20"/>
                                      <w:szCs w:val="20"/>
                                    </w:rPr>
                                    <w:t>(f)</w:t>
                                  </w:r>
                                  <w:r>
                                    <w:rPr>
                                      <w:sz w:val="20"/>
                                      <w:szCs w:val="20"/>
                                    </w:rPr>
                                    <w:tab/>
                                  </w:r>
                                  <w:r w:rsidRPr="00550FF0">
                                    <w:rPr>
                                      <w:sz w:val="20"/>
                                      <w:szCs w:val="20"/>
                                    </w:rPr>
                                    <w:t>are resilient to the likely current and future effects of climate change</w:t>
                                  </w:r>
                                </w:p>
                                <w:p w14:paraId="50EEE166" w14:textId="77777777" w:rsidR="009A1120" w:rsidRPr="000C7151" w:rsidRDefault="009A1120" w:rsidP="009A1120">
                                  <w:pPr>
                                    <w:spacing w:after="60"/>
                                    <w:rPr>
                                      <w:sz w:val="20"/>
                                      <w:szCs w:val="20"/>
                                    </w:rPr>
                                  </w:pPr>
                                </w:p>
                              </w:txbxContent>
                            </wps:txbx>
                            <wps:bodyPr rot="0" vert="horz" wrap="square" lIns="91440" tIns="45720" rIns="91440" bIns="45720" anchor="t" anchorCtr="0">
                              <a:noAutofit/>
                            </wps:bodyPr>
                          </wps:wsp>
                        </a:graphicData>
                      </a:graphic>
                    </wp:inline>
                  </w:drawing>
                </mc:Choice>
                <mc:Fallback>
                  <w:pict>
                    <v:shape w14:anchorId="47D6D18B" id="Text Box 21" o:spid="_x0000_s1141" type="#_x0000_t202" style="width:294pt;height:25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">
                      <v:textbox>
                        <w:txbxContent>
                          <w:p w14:paraId="0B7250D7" w14:textId="77777777" w:rsidR="009A1120" w:rsidRDefault="009A1120" w:rsidP="009A1120">
                            <w:pPr>
                              <w:spacing w:after="60"/>
                              <w:rPr>
                                <w:sz w:val="20"/>
                                <w:szCs w:val="20"/>
                              </w:rPr>
                            </w:pPr>
                            <w:r w:rsidRPr="002D2C0F">
                              <w:rPr>
                                <w:sz w:val="20"/>
                                <w:szCs w:val="20"/>
                              </w:rPr>
                              <w:t>well-functioning urban environments are</w:t>
                            </w:r>
                            <w:r>
                              <w:rPr>
                                <w:sz w:val="20"/>
                                <w:szCs w:val="20"/>
                              </w:rPr>
                              <w:t xml:space="preserve"> </w:t>
                            </w:r>
                            <w:r w:rsidRPr="002D2C0F">
                              <w:rPr>
                                <w:sz w:val="20"/>
                                <w:szCs w:val="20"/>
                              </w:rPr>
                              <w:t>urban environments that, as a minimum:</w:t>
                            </w:r>
                          </w:p>
                          <w:p w14:paraId="3B93F942" w14:textId="77777777" w:rsidR="009A1120" w:rsidRPr="00B92B05" w:rsidRDefault="009A1120" w:rsidP="009A1120">
                            <w:pPr>
                              <w:spacing w:after="60"/>
                              <w:ind w:left="426" w:hanging="426"/>
                              <w:rPr>
                                <w:sz w:val="20"/>
                                <w:szCs w:val="20"/>
                              </w:rPr>
                            </w:pPr>
                            <w:r>
                              <w:rPr>
                                <w:sz w:val="20"/>
                                <w:szCs w:val="20"/>
                              </w:rPr>
                              <w:t>(a)</w:t>
                            </w:r>
                            <w:r>
                              <w:rPr>
                                <w:sz w:val="20"/>
                                <w:szCs w:val="20"/>
                              </w:rPr>
                              <w:tab/>
                              <w:t xml:space="preserve">Have or enable </w:t>
                            </w:r>
                            <w:r w:rsidRPr="00550FF0">
                              <w:rPr>
                                <w:sz w:val="20"/>
                                <w:szCs w:val="20"/>
                              </w:rPr>
                              <w:t xml:space="preserve">a variety of homes that: </w:t>
                            </w:r>
                          </w:p>
                          <w:p w14:paraId="36CE38D0" w14:textId="77777777" w:rsidR="009A1120" w:rsidRPr="00B92B05" w:rsidRDefault="009A1120" w:rsidP="009A1120">
                            <w:pPr>
                              <w:spacing w:after="60"/>
                              <w:ind w:left="709" w:hanging="283"/>
                              <w:rPr>
                                <w:sz w:val="20"/>
                                <w:szCs w:val="20"/>
                              </w:rPr>
                            </w:pPr>
                            <w:r>
                              <w:rPr>
                                <w:sz w:val="20"/>
                                <w:szCs w:val="20"/>
                              </w:rPr>
                              <w:t>(i)</w:t>
                            </w:r>
                            <w:r>
                              <w:rPr>
                                <w:sz w:val="20"/>
                                <w:szCs w:val="20"/>
                              </w:rPr>
                              <w:tab/>
                            </w:r>
                            <w:r w:rsidRPr="00550FF0">
                              <w:rPr>
                                <w:sz w:val="20"/>
                                <w:szCs w:val="20"/>
                              </w:rPr>
                              <w:t xml:space="preserve">meet the needs, in terms of type, price, and location, of different households; and </w:t>
                            </w:r>
                          </w:p>
                          <w:p w14:paraId="20664341" w14:textId="77777777" w:rsidR="009A1120" w:rsidRPr="002D2C0F" w:rsidRDefault="009A1120" w:rsidP="009A1120">
                            <w:pPr>
                              <w:spacing w:after="60"/>
                              <w:ind w:left="709" w:hanging="283"/>
                              <w:rPr>
                                <w:sz w:val="20"/>
                                <w:szCs w:val="20"/>
                              </w:rPr>
                            </w:pPr>
                            <w:r>
                              <w:rPr>
                                <w:sz w:val="20"/>
                                <w:szCs w:val="20"/>
                              </w:rPr>
                              <w:t>(ii)</w:t>
                            </w:r>
                            <w:r>
                              <w:rPr>
                                <w:sz w:val="20"/>
                                <w:szCs w:val="20"/>
                              </w:rPr>
                              <w:tab/>
                            </w:r>
                            <w:r w:rsidRPr="00550FF0">
                              <w:rPr>
                                <w:sz w:val="20"/>
                                <w:szCs w:val="20"/>
                              </w:rPr>
                              <w:t>enable Māori to express their cultural traditions and norms; and</w:t>
                            </w:r>
                          </w:p>
                          <w:p w14:paraId="0E2ED73A" w14:textId="77777777" w:rsidR="009A1120" w:rsidRDefault="009A1120" w:rsidP="009A1120">
                            <w:pPr>
                              <w:spacing w:after="60"/>
                              <w:ind w:left="426" w:hanging="426"/>
                              <w:rPr>
                                <w:sz w:val="20"/>
                                <w:szCs w:val="20"/>
                              </w:rPr>
                            </w:pPr>
                            <w:r>
                              <w:rPr>
                                <w:sz w:val="20"/>
                                <w:szCs w:val="20"/>
                              </w:rPr>
                              <w:t>(b)</w:t>
                            </w:r>
                            <w:r>
                              <w:rPr>
                                <w:sz w:val="20"/>
                                <w:szCs w:val="20"/>
                              </w:rPr>
                              <w:tab/>
                            </w:r>
                            <w:r w:rsidRPr="00550FF0">
                              <w:rPr>
                                <w:sz w:val="20"/>
                                <w:szCs w:val="20"/>
                              </w:rPr>
                              <w:t xml:space="preserve">have or enable a variety of sites that are suitable for different business sectors in terms of location and site size; and </w:t>
                            </w:r>
                          </w:p>
                          <w:p w14:paraId="360391E8" w14:textId="77777777" w:rsidR="009A1120" w:rsidRDefault="009A1120" w:rsidP="009A1120">
                            <w:pPr>
                              <w:spacing w:after="60"/>
                              <w:ind w:left="426" w:hanging="426"/>
                              <w:rPr>
                                <w:sz w:val="20"/>
                                <w:szCs w:val="20"/>
                              </w:rPr>
                            </w:pPr>
                            <w:r>
                              <w:rPr>
                                <w:sz w:val="20"/>
                                <w:szCs w:val="20"/>
                              </w:rPr>
                              <w:t>(c)</w:t>
                            </w:r>
                            <w:r>
                              <w:rPr>
                                <w:sz w:val="20"/>
                                <w:szCs w:val="20"/>
                              </w:rPr>
                              <w:tab/>
                            </w:r>
                            <w:r w:rsidRPr="00550FF0">
                              <w:rPr>
                                <w:sz w:val="20"/>
                                <w:szCs w:val="20"/>
                              </w:rPr>
                              <w:t xml:space="preserve">have good accessibility for all people between housing, jobs, community services, natural spaces, and open spaces, including by way of public or active transport; and </w:t>
                            </w:r>
                          </w:p>
                          <w:p w14:paraId="42012FD9" w14:textId="77777777" w:rsidR="009A1120" w:rsidRDefault="009A1120" w:rsidP="009A1120">
                            <w:pPr>
                              <w:spacing w:after="60"/>
                              <w:ind w:left="426" w:hanging="426"/>
                              <w:rPr>
                                <w:sz w:val="20"/>
                                <w:szCs w:val="20"/>
                              </w:rPr>
                            </w:pPr>
                            <w:r>
                              <w:rPr>
                                <w:sz w:val="20"/>
                                <w:szCs w:val="20"/>
                              </w:rPr>
                              <w:t>(d)</w:t>
                            </w:r>
                            <w:r>
                              <w:rPr>
                                <w:sz w:val="20"/>
                                <w:szCs w:val="20"/>
                              </w:rPr>
                              <w:tab/>
                            </w:r>
                            <w:r w:rsidRPr="00550FF0">
                              <w:rPr>
                                <w:sz w:val="20"/>
                                <w:szCs w:val="20"/>
                              </w:rPr>
                              <w:t xml:space="preserve">support, and limit as much as possible adverse impacts on, the competitive operation of land and development markets; and </w:t>
                            </w:r>
                          </w:p>
                          <w:p w14:paraId="42956502" w14:textId="77777777" w:rsidR="009A1120" w:rsidRDefault="009A1120" w:rsidP="009A1120">
                            <w:pPr>
                              <w:spacing w:after="60"/>
                              <w:ind w:left="426" w:hanging="426"/>
                              <w:rPr>
                                <w:sz w:val="20"/>
                                <w:szCs w:val="20"/>
                              </w:rPr>
                            </w:pPr>
                            <w:r>
                              <w:rPr>
                                <w:sz w:val="20"/>
                                <w:szCs w:val="20"/>
                              </w:rPr>
                              <w:t>(e)</w:t>
                            </w:r>
                            <w:r>
                              <w:rPr>
                                <w:sz w:val="20"/>
                                <w:szCs w:val="20"/>
                              </w:rPr>
                              <w:tab/>
                            </w:r>
                            <w:r w:rsidRPr="00550FF0">
                              <w:rPr>
                                <w:sz w:val="20"/>
                                <w:szCs w:val="20"/>
                              </w:rPr>
                              <w:t xml:space="preserve">support reductions in greenhouse gas emissions; and </w:t>
                            </w:r>
                          </w:p>
                          <w:p w14:paraId="7850DB02" w14:textId="77777777" w:rsidR="009A1120" w:rsidRPr="002D2C0F" w:rsidRDefault="009A1120" w:rsidP="009A1120">
                            <w:pPr>
                              <w:spacing w:after="60"/>
                              <w:ind w:left="426" w:hanging="426"/>
                              <w:rPr>
                                <w:sz w:val="20"/>
                                <w:szCs w:val="20"/>
                              </w:rPr>
                            </w:pPr>
                            <w:r>
                              <w:rPr>
                                <w:sz w:val="20"/>
                                <w:szCs w:val="20"/>
                              </w:rPr>
                              <w:t>(f)</w:t>
                            </w:r>
                            <w:r>
                              <w:rPr>
                                <w:sz w:val="20"/>
                                <w:szCs w:val="20"/>
                              </w:rPr>
                              <w:tab/>
                            </w:r>
                            <w:r w:rsidRPr="00550FF0">
                              <w:rPr>
                                <w:sz w:val="20"/>
                                <w:szCs w:val="20"/>
                              </w:rPr>
                              <w:t>are resilient to the likely current and future effects of climate change</w:t>
                            </w:r>
                          </w:p>
                          <w:p w14:paraId="50EEE166" w14:textId="77777777" w:rsidR="009A1120" w:rsidRPr="000C7151" w:rsidRDefault="009A1120" w:rsidP="009A1120">
                            <w:pPr>
                              <w:spacing w:after="60"/>
                              <w:rPr>
                                <w:sz w:val="20"/>
                                <w:szCs w:val="20"/>
                              </w:rPr>
                            </w:pPr>
                          </w:p>
                        </w:txbxContent>
                      </v:textbox>
                      <w10:anchorlock/>
                    </v:shape>
                  </w:pict>
                </mc:Fallback>
              </mc:AlternateContent>
            </w:r>
          </w:p>
        </w:tc>
      </w:tr>
      <w:tr w:rsidR="009A1120" w:rsidRPr="00472578" w14:paraId="01103C40" w14:textId="77777777" w:rsidTr="007612BD">
        <w:tc>
          <w:tcPr>
            <w:tcW w:w="2104" w:type="dxa"/>
            <w:tcBorders>
              <w:top w:val="single" w:sz="4" w:space="0" w:color="auto"/>
              <w:left w:val="single" w:sz="0" w:space="0" w:color="000000" w:themeColor="text1"/>
              <w:bottom w:val="single" w:sz="0" w:space="0" w:color="000000" w:themeColor="text1"/>
              <w:right w:val="single" w:sz="0" w:space="0" w:color="000000" w:themeColor="text1"/>
            </w:tcBorders>
          </w:tcPr>
          <w:p w14:paraId="4A38CBB6"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Wetland</w:t>
            </w:r>
          </w:p>
        </w:tc>
        <w:tc>
          <w:tcPr>
            <w:tcW w:w="714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FEBF38F"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section 2 of the Resource Management Act 1991 (as set out in the box below)</w:t>
            </w:r>
          </w:p>
          <w:p w14:paraId="19EBAB1D"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64520D39" wp14:editId="56C8D855">
                      <wp:extent cx="3697356" cy="619125"/>
                      <wp:effectExtent l="0" t="0" r="1778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619125"/>
                              </a:xfrm>
                              <a:prstGeom prst="rect">
                                <a:avLst/>
                              </a:prstGeom>
                              <a:solidFill>
                                <a:srgbClr val="FFFFFF"/>
                              </a:solidFill>
                              <a:ln w="9525">
                                <a:solidFill>
                                  <a:srgbClr val="000000"/>
                                </a:solidFill>
                                <a:miter lim="800000"/>
                                <a:headEnd/>
                                <a:tailEnd/>
                              </a:ln>
                            </wps:spPr>
                            <wps:txbx>
                              <w:txbxContent>
                                <w:p w14:paraId="7749E1B0" w14:textId="77777777" w:rsidR="009A1120" w:rsidRPr="000C7151" w:rsidRDefault="009A1120" w:rsidP="009A1120">
                                  <w:pPr>
                                    <w:spacing w:after="60"/>
                                    <w:rPr>
                                      <w:sz w:val="20"/>
                                      <w:szCs w:val="20"/>
                                    </w:rPr>
                                  </w:pPr>
                                  <w:r w:rsidRPr="000C7151">
                                    <w:rPr>
                                      <w:sz w:val="20"/>
                                      <w:szCs w:val="20"/>
                                    </w:rPr>
                                    <w:t>includes permanently or intermittently wet areas, shallow water, and land water margins that support a natural ecosystem of plants and animals that are adapted to wet conditions</w:t>
                                  </w:r>
                                </w:p>
                              </w:txbxContent>
                            </wps:txbx>
                            <wps:bodyPr rot="0" vert="horz" wrap="square" lIns="91440" tIns="45720" rIns="91440" bIns="45720" anchor="t" anchorCtr="0">
                              <a:noAutofit/>
                            </wps:bodyPr>
                          </wps:wsp>
                        </a:graphicData>
                      </a:graphic>
                    </wp:inline>
                  </w:drawing>
                </mc:Choice>
                <mc:Fallback>
                  <w:pict>
                    <v:shape w14:anchorId="64520D39" id="Text Box 27" o:spid="_x0000_s1142" type="#_x0000_t202" style="width:291.1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">
                      <v:textbox>
                        <w:txbxContent>
                          <w:p w14:paraId="7749E1B0" w14:textId="77777777" w:rsidR="009A1120" w:rsidRPr="000C7151" w:rsidRDefault="009A1120" w:rsidP="009A1120">
                            <w:pPr>
                              <w:spacing w:after="60"/>
                              <w:rPr>
                                <w:sz w:val="20"/>
                                <w:szCs w:val="20"/>
                              </w:rPr>
                            </w:pPr>
                            <w:r w:rsidRPr="000C7151">
                              <w:rPr>
                                <w:sz w:val="20"/>
                                <w:szCs w:val="20"/>
                              </w:rPr>
                              <w:t>includes permanently or intermittently wet areas, shallow water, and land water margins that support a natural ecosystem of plants and animals that are adapted to wet conditions</w:t>
                            </w:r>
                          </w:p>
                        </w:txbxContent>
                      </v:textbox>
                      <w10:anchorlock/>
                    </v:shape>
                  </w:pict>
                </mc:Fallback>
              </mc:AlternateContent>
            </w:r>
          </w:p>
        </w:tc>
      </w:tr>
      <w:tr w:rsidR="009A1120" w:rsidRPr="00472578" w14:paraId="1FEEEC3B" w14:textId="77777777" w:rsidTr="007612BD">
        <w:tc>
          <w:tcPr>
            <w:tcW w:w="2104" w:type="dxa"/>
          </w:tcPr>
          <w:p w14:paraId="66E40604"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t>Wetland utility structure</w:t>
            </w:r>
          </w:p>
        </w:tc>
        <w:tc>
          <w:tcPr>
            <w:tcW w:w="7146" w:type="dxa"/>
          </w:tcPr>
          <w:p w14:paraId="54C7AC15"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National Environmental Standard for Freshwater 2020 (as set out in the box below)</w:t>
            </w:r>
          </w:p>
          <w:p w14:paraId="0B2184C3"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2DEBE5AF" wp14:editId="722008CC">
                      <wp:extent cx="3733800" cy="2571750"/>
                      <wp:effectExtent l="0" t="0" r="19050" b="19050"/>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71750"/>
                              </a:xfrm>
                              <a:prstGeom prst="rect">
                                <a:avLst/>
                              </a:prstGeom>
                              <a:solidFill>
                                <a:srgbClr val="FFFFFF"/>
                              </a:solidFill>
                              <a:ln w="9525">
                                <a:solidFill>
                                  <a:srgbClr val="000000"/>
                                </a:solidFill>
                                <a:miter lim="800000"/>
                                <a:headEnd/>
                                <a:tailEnd/>
                              </a:ln>
                            </wps:spPr>
                            <wps:txbx>
                              <w:txbxContent>
                                <w:p w14:paraId="686422C2" w14:textId="77777777" w:rsidR="009A1120" w:rsidRDefault="009A1120" w:rsidP="009A1120">
                                  <w:pPr>
                                    <w:spacing w:after="60"/>
                                    <w:ind w:left="426" w:hanging="426"/>
                                    <w:rPr>
                                      <w:sz w:val="20"/>
                                      <w:szCs w:val="20"/>
                                    </w:rPr>
                                  </w:pPr>
                                  <w:r>
                                    <w:rPr>
                                      <w:sz w:val="20"/>
                                      <w:szCs w:val="20"/>
                                    </w:rPr>
                                    <w:t>(a)</w:t>
                                  </w:r>
                                  <w:r>
                                    <w:rPr>
                                      <w:sz w:val="20"/>
                                      <w:szCs w:val="20"/>
                                    </w:rPr>
                                    <w:tab/>
                                    <w:t>means a structure placed in or adjacent to a wetland whose purpose, in relation to the wetland, is recreation, education, conservation, restoration, or monitoring, and</w:t>
                                  </w:r>
                                </w:p>
                                <w:p w14:paraId="64965633" w14:textId="77777777" w:rsidR="009A1120" w:rsidRPr="00B92B05" w:rsidRDefault="009A1120" w:rsidP="009A1120">
                                  <w:pPr>
                                    <w:spacing w:after="60"/>
                                    <w:ind w:left="426" w:hanging="426"/>
                                    <w:rPr>
                                      <w:sz w:val="20"/>
                                      <w:szCs w:val="20"/>
                                    </w:rPr>
                                  </w:pPr>
                                  <w:r>
                                    <w:rPr>
                                      <w:sz w:val="20"/>
                                      <w:szCs w:val="20"/>
                                    </w:rPr>
                                    <w:t>(b)</w:t>
                                  </w:r>
                                  <w:r>
                                    <w:rPr>
                                      <w:sz w:val="20"/>
                                      <w:szCs w:val="20"/>
                                    </w:rPr>
                                    <w:tab/>
                                    <w:t>for example, includes the following structures that are placed in or adjacent to a wetland for a purpose described in paragraph (a):</w:t>
                                  </w:r>
                                  <w:r w:rsidRPr="00550FF0">
                                    <w:rPr>
                                      <w:sz w:val="20"/>
                                      <w:szCs w:val="20"/>
                                    </w:rPr>
                                    <w:t xml:space="preserve"> </w:t>
                                  </w:r>
                                </w:p>
                                <w:p w14:paraId="7675C7AD" w14:textId="77777777" w:rsidR="009A1120" w:rsidRPr="00B92B05" w:rsidRDefault="009A1120" w:rsidP="009A1120">
                                  <w:pPr>
                                    <w:spacing w:after="60"/>
                                    <w:ind w:left="851" w:hanging="425"/>
                                    <w:rPr>
                                      <w:sz w:val="20"/>
                                      <w:szCs w:val="20"/>
                                    </w:rPr>
                                  </w:pPr>
                                  <w:r>
                                    <w:rPr>
                                      <w:sz w:val="20"/>
                                      <w:szCs w:val="20"/>
                                    </w:rPr>
                                    <w:t>(i)</w:t>
                                  </w:r>
                                  <w:r>
                                    <w:rPr>
                                      <w:sz w:val="20"/>
                                      <w:szCs w:val="20"/>
                                    </w:rPr>
                                    <w:tab/>
                                    <w:t>jetties</w:t>
                                  </w:r>
                                  <w:r w:rsidRPr="00550FF0">
                                    <w:rPr>
                                      <w:sz w:val="20"/>
                                      <w:szCs w:val="20"/>
                                    </w:rPr>
                                    <w:t xml:space="preserve"> </w:t>
                                  </w:r>
                                </w:p>
                                <w:p w14:paraId="1F7A404B" w14:textId="77777777" w:rsidR="009A1120" w:rsidRDefault="009A1120" w:rsidP="009A1120">
                                  <w:pPr>
                                    <w:spacing w:after="60"/>
                                    <w:ind w:left="851" w:hanging="425"/>
                                    <w:rPr>
                                      <w:sz w:val="20"/>
                                      <w:szCs w:val="20"/>
                                    </w:rPr>
                                  </w:pPr>
                                  <w:r>
                                    <w:rPr>
                                      <w:sz w:val="20"/>
                                      <w:szCs w:val="20"/>
                                    </w:rPr>
                                    <w:t>(ii)</w:t>
                                  </w:r>
                                  <w:r>
                                    <w:rPr>
                                      <w:sz w:val="20"/>
                                      <w:szCs w:val="20"/>
                                    </w:rPr>
                                    <w:tab/>
                                    <w:t>boardwalks and bridges connecting them,</w:t>
                                  </w:r>
                                </w:p>
                                <w:p w14:paraId="30014E3F" w14:textId="77777777" w:rsidR="009A1120" w:rsidRDefault="009A1120" w:rsidP="009A1120">
                                  <w:pPr>
                                    <w:spacing w:after="60"/>
                                    <w:ind w:left="851" w:hanging="425"/>
                                    <w:rPr>
                                      <w:sz w:val="20"/>
                                      <w:szCs w:val="20"/>
                                    </w:rPr>
                                  </w:pPr>
                                  <w:r>
                                    <w:rPr>
                                      <w:sz w:val="20"/>
                                      <w:szCs w:val="20"/>
                                    </w:rPr>
                                    <w:t>(iii)</w:t>
                                  </w:r>
                                  <w:r>
                                    <w:rPr>
                                      <w:sz w:val="20"/>
                                      <w:szCs w:val="20"/>
                                    </w:rPr>
                                    <w:tab/>
                                    <w:t>walking tracks and bridges connecting them,</w:t>
                                  </w:r>
                                </w:p>
                                <w:p w14:paraId="3D2387ED" w14:textId="77777777" w:rsidR="009A1120" w:rsidRDefault="009A1120" w:rsidP="009A1120">
                                  <w:pPr>
                                    <w:spacing w:after="60"/>
                                    <w:ind w:left="851" w:hanging="425"/>
                                    <w:rPr>
                                      <w:sz w:val="20"/>
                                      <w:szCs w:val="20"/>
                                    </w:rPr>
                                  </w:pPr>
                                  <w:r>
                                    <w:rPr>
                                      <w:sz w:val="20"/>
                                      <w:szCs w:val="20"/>
                                    </w:rPr>
                                    <w:t>(iv)</w:t>
                                  </w:r>
                                  <w:r>
                                    <w:rPr>
                                      <w:sz w:val="20"/>
                                      <w:szCs w:val="20"/>
                                    </w:rPr>
                                    <w:tab/>
                                    <w:t>signs,</w:t>
                                  </w:r>
                                </w:p>
                                <w:p w14:paraId="17225C0D" w14:textId="77777777" w:rsidR="009A1120" w:rsidRDefault="009A1120" w:rsidP="009A1120">
                                  <w:pPr>
                                    <w:spacing w:after="60"/>
                                    <w:ind w:left="851" w:hanging="425"/>
                                    <w:rPr>
                                      <w:sz w:val="20"/>
                                      <w:szCs w:val="20"/>
                                    </w:rPr>
                                  </w:pPr>
                                  <w:r>
                                    <w:rPr>
                                      <w:sz w:val="20"/>
                                      <w:szCs w:val="20"/>
                                    </w:rPr>
                                    <w:t>(v)</w:t>
                                  </w:r>
                                  <w:r>
                                    <w:rPr>
                                      <w:sz w:val="20"/>
                                      <w:szCs w:val="20"/>
                                    </w:rPr>
                                    <w:tab/>
                                    <w:t>bird-watching hides,</w:t>
                                  </w:r>
                                </w:p>
                                <w:p w14:paraId="1C32271B" w14:textId="77777777" w:rsidR="009A1120" w:rsidRDefault="009A1120" w:rsidP="009A1120">
                                  <w:pPr>
                                    <w:spacing w:after="60"/>
                                    <w:ind w:left="851" w:hanging="425"/>
                                    <w:rPr>
                                      <w:sz w:val="20"/>
                                      <w:szCs w:val="20"/>
                                    </w:rPr>
                                  </w:pPr>
                                  <w:r>
                                    <w:rPr>
                                      <w:sz w:val="20"/>
                                      <w:szCs w:val="20"/>
                                    </w:rPr>
                                    <w:t>(vi)</w:t>
                                  </w:r>
                                  <w:r>
                                    <w:rPr>
                                      <w:sz w:val="20"/>
                                      <w:szCs w:val="20"/>
                                    </w:rPr>
                                    <w:tab/>
                                    <w:t>monitoring devices,</w:t>
                                  </w:r>
                                </w:p>
                                <w:p w14:paraId="4B12FC1E" w14:textId="77777777" w:rsidR="009A1120" w:rsidRPr="000C7151" w:rsidRDefault="009A1120" w:rsidP="009A1120">
                                  <w:pPr>
                                    <w:spacing w:after="60"/>
                                    <w:rPr>
                                      <w:sz w:val="20"/>
                                      <w:szCs w:val="20"/>
                                    </w:rPr>
                                  </w:pPr>
                                  <w:r>
                                    <w:rPr>
                                      <w:sz w:val="20"/>
                                      <w:szCs w:val="20"/>
                                    </w:rPr>
                                    <w:t>(vii)</w:t>
                                  </w:r>
                                  <w:r>
                                    <w:rPr>
                                      <w:sz w:val="20"/>
                                      <w:szCs w:val="20"/>
                                    </w:rPr>
                                    <w:tab/>
                                    <w:t>maimai</w:t>
                                  </w:r>
                                </w:p>
                              </w:txbxContent>
                            </wps:txbx>
                            <wps:bodyPr rot="0" vert="horz" wrap="square" lIns="91440" tIns="45720" rIns="91440" bIns="45720" anchor="t" anchorCtr="0">
                              <a:noAutofit/>
                            </wps:bodyPr>
                          </wps:wsp>
                        </a:graphicData>
                      </a:graphic>
                    </wp:inline>
                  </w:drawing>
                </mc:Choice>
                <mc:Fallback>
                  <w:pict>
                    <v:shape w14:anchorId="2DEBE5AF" id="Text Box 193" o:spid="_x0000_s1143" type="#_x0000_t202" style="width:29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">
                      <v:textbox>
                        <w:txbxContent>
                          <w:p w14:paraId="686422C2" w14:textId="77777777" w:rsidR="009A1120" w:rsidRDefault="009A1120" w:rsidP="009A1120">
                            <w:pPr>
                              <w:spacing w:after="60"/>
                              <w:ind w:left="426" w:hanging="426"/>
                              <w:rPr>
                                <w:sz w:val="20"/>
                                <w:szCs w:val="20"/>
                              </w:rPr>
                            </w:pPr>
                            <w:r>
                              <w:rPr>
                                <w:sz w:val="20"/>
                                <w:szCs w:val="20"/>
                              </w:rPr>
                              <w:t>(a)</w:t>
                            </w:r>
                            <w:r>
                              <w:rPr>
                                <w:sz w:val="20"/>
                                <w:szCs w:val="20"/>
                              </w:rPr>
                              <w:tab/>
                              <w:t>means a structure placed in or adjacent to a wetland whose purpose, in relation to the wetland, is recreation, education, conservation, restoration, or monitoring, and</w:t>
                            </w:r>
                          </w:p>
                          <w:p w14:paraId="64965633" w14:textId="77777777" w:rsidR="009A1120" w:rsidRPr="00B92B05" w:rsidRDefault="009A1120" w:rsidP="009A1120">
                            <w:pPr>
                              <w:spacing w:after="60"/>
                              <w:ind w:left="426" w:hanging="426"/>
                              <w:rPr>
                                <w:sz w:val="20"/>
                                <w:szCs w:val="20"/>
                              </w:rPr>
                            </w:pPr>
                            <w:r>
                              <w:rPr>
                                <w:sz w:val="20"/>
                                <w:szCs w:val="20"/>
                              </w:rPr>
                              <w:t>(b)</w:t>
                            </w:r>
                            <w:r>
                              <w:rPr>
                                <w:sz w:val="20"/>
                                <w:szCs w:val="20"/>
                              </w:rPr>
                              <w:tab/>
                              <w:t>for example, includes the following structures that are placed in or adjacent to a wetland for a purpose described in paragraph (a):</w:t>
                            </w:r>
                            <w:r w:rsidRPr="00550FF0">
                              <w:rPr>
                                <w:sz w:val="20"/>
                                <w:szCs w:val="20"/>
                              </w:rPr>
                              <w:t xml:space="preserve"> </w:t>
                            </w:r>
                          </w:p>
                          <w:p w14:paraId="7675C7AD" w14:textId="77777777" w:rsidR="009A1120" w:rsidRPr="00B92B05" w:rsidRDefault="009A1120" w:rsidP="009A1120">
                            <w:pPr>
                              <w:spacing w:after="60"/>
                              <w:ind w:left="851" w:hanging="425"/>
                              <w:rPr>
                                <w:sz w:val="20"/>
                                <w:szCs w:val="20"/>
                              </w:rPr>
                            </w:pPr>
                            <w:r>
                              <w:rPr>
                                <w:sz w:val="20"/>
                                <w:szCs w:val="20"/>
                              </w:rPr>
                              <w:t>(i)</w:t>
                            </w:r>
                            <w:r>
                              <w:rPr>
                                <w:sz w:val="20"/>
                                <w:szCs w:val="20"/>
                              </w:rPr>
                              <w:tab/>
                              <w:t>jetties</w:t>
                            </w:r>
                            <w:r w:rsidRPr="00550FF0">
                              <w:rPr>
                                <w:sz w:val="20"/>
                                <w:szCs w:val="20"/>
                              </w:rPr>
                              <w:t xml:space="preserve"> </w:t>
                            </w:r>
                          </w:p>
                          <w:p w14:paraId="1F7A404B" w14:textId="77777777" w:rsidR="009A1120" w:rsidRDefault="009A1120" w:rsidP="009A1120">
                            <w:pPr>
                              <w:spacing w:after="60"/>
                              <w:ind w:left="851" w:hanging="425"/>
                              <w:rPr>
                                <w:sz w:val="20"/>
                                <w:szCs w:val="20"/>
                              </w:rPr>
                            </w:pPr>
                            <w:r>
                              <w:rPr>
                                <w:sz w:val="20"/>
                                <w:szCs w:val="20"/>
                              </w:rPr>
                              <w:t>(ii)</w:t>
                            </w:r>
                            <w:r>
                              <w:rPr>
                                <w:sz w:val="20"/>
                                <w:szCs w:val="20"/>
                              </w:rPr>
                              <w:tab/>
                              <w:t>boardwalks and bridges connecting them,</w:t>
                            </w:r>
                          </w:p>
                          <w:p w14:paraId="30014E3F" w14:textId="77777777" w:rsidR="009A1120" w:rsidRDefault="009A1120" w:rsidP="009A1120">
                            <w:pPr>
                              <w:spacing w:after="60"/>
                              <w:ind w:left="851" w:hanging="425"/>
                              <w:rPr>
                                <w:sz w:val="20"/>
                                <w:szCs w:val="20"/>
                              </w:rPr>
                            </w:pPr>
                            <w:r>
                              <w:rPr>
                                <w:sz w:val="20"/>
                                <w:szCs w:val="20"/>
                              </w:rPr>
                              <w:t>(iii)</w:t>
                            </w:r>
                            <w:r>
                              <w:rPr>
                                <w:sz w:val="20"/>
                                <w:szCs w:val="20"/>
                              </w:rPr>
                              <w:tab/>
                              <w:t>walking tracks and bridges connecting them,</w:t>
                            </w:r>
                          </w:p>
                          <w:p w14:paraId="3D2387ED" w14:textId="77777777" w:rsidR="009A1120" w:rsidRDefault="009A1120" w:rsidP="009A1120">
                            <w:pPr>
                              <w:spacing w:after="60"/>
                              <w:ind w:left="851" w:hanging="425"/>
                              <w:rPr>
                                <w:sz w:val="20"/>
                                <w:szCs w:val="20"/>
                              </w:rPr>
                            </w:pPr>
                            <w:r>
                              <w:rPr>
                                <w:sz w:val="20"/>
                                <w:szCs w:val="20"/>
                              </w:rPr>
                              <w:t>(iv)</w:t>
                            </w:r>
                            <w:r>
                              <w:rPr>
                                <w:sz w:val="20"/>
                                <w:szCs w:val="20"/>
                              </w:rPr>
                              <w:tab/>
                              <w:t>signs,</w:t>
                            </w:r>
                          </w:p>
                          <w:p w14:paraId="17225C0D" w14:textId="77777777" w:rsidR="009A1120" w:rsidRDefault="009A1120" w:rsidP="009A1120">
                            <w:pPr>
                              <w:spacing w:after="60"/>
                              <w:ind w:left="851" w:hanging="425"/>
                              <w:rPr>
                                <w:sz w:val="20"/>
                                <w:szCs w:val="20"/>
                              </w:rPr>
                            </w:pPr>
                            <w:r>
                              <w:rPr>
                                <w:sz w:val="20"/>
                                <w:szCs w:val="20"/>
                              </w:rPr>
                              <w:t>(v)</w:t>
                            </w:r>
                            <w:r>
                              <w:rPr>
                                <w:sz w:val="20"/>
                                <w:szCs w:val="20"/>
                              </w:rPr>
                              <w:tab/>
                              <w:t>bird-watching hides,</w:t>
                            </w:r>
                          </w:p>
                          <w:p w14:paraId="1C32271B" w14:textId="77777777" w:rsidR="009A1120" w:rsidRDefault="009A1120" w:rsidP="009A1120">
                            <w:pPr>
                              <w:spacing w:after="60"/>
                              <w:ind w:left="851" w:hanging="425"/>
                              <w:rPr>
                                <w:sz w:val="20"/>
                                <w:szCs w:val="20"/>
                              </w:rPr>
                            </w:pPr>
                            <w:r>
                              <w:rPr>
                                <w:sz w:val="20"/>
                                <w:szCs w:val="20"/>
                              </w:rPr>
                              <w:t>(vi)</w:t>
                            </w:r>
                            <w:r>
                              <w:rPr>
                                <w:sz w:val="20"/>
                                <w:szCs w:val="20"/>
                              </w:rPr>
                              <w:tab/>
                              <w:t>monitoring devices,</w:t>
                            </w:r>
                          </w:p>
                          <w:p w14:paraId="4B12FC1E" w14:textId="77777777" w:rsidR="009A1120" w:rsidRPr="000C7151" w:rsidRDefault="009A1120" w:rsidP="009A1120">
                            <w:pPr>
                              <w:spacing w:after="60"/>
                              <w:rPr>
                                <w:sz w:val="20"/>
                                <w:szCs w:val="20"/>
                              </w:rPr>
                            </w:pPr>
                            <w:r>
                              <w:rPr>
                                <w:sz w:val="20"/>
                                <w:szCs w:val="20"/>
                              </w:rPr>
                              <w:t>(vii)</w:t>
                            </w:r>
                            <w:r>
                              <w:rPr>
                                <w:sz w:val="20"/>
                                <w:szCs w:val="20"/>
                              </w:rPr>
                              <w:tab/>
                              <w:t>maimai</w:t>
                            </w:r>
                          </w:p>
                        </w:txbxContent>
                      </v:textbox>
                      <w10:anchorlock/>
                    </v:shape>
                  </w:pict>
                </mc:Fallback>
              </mc:AlternateContent>
            </w:r>
          </w:p>
        </w:tc>
      </w:tr>
      <w:tr w:rsidR="009A1120" w:rsidRPr="00472578" w14:paraId="371FCB7F" w14:textId="77777777" w:rsidTr="007612BD">
        <w:tc>
          <w:tcPr>
            <w:tcW w:w="2104" w:type="dxa"/>
          </w:tcPr>
          <w:p w14:paraId="2BE96089" w14:textId="77777777" w:rsidR="009A1120" w:rsidRPr="00472578" w:rsidRDefault="009A1120" w:rsidP="00DC6CD9">
            <w:pPr>
              <w:tabs>
                <w:tab w:val="center" w:pos="4513"/>
                <w:tab w:val="right" w:pos="9026"/>
              </w:tabs>
              <w:spacing w:before="60" w:after="60"/>
              <w:rPr>
                <w:b/>
                <w:bCs/>
                <w:sz w:val="20"/>
                <w:szCs w:val="20"/>
              </w:rPr>
            </w:pPr>
            <w:r w:rsidRPr="00472578">
              <w:rPr>
                <w:b/>
                <w:bCs/>
                <w:sz w:val="20"/>
                <w:szCs w:val="20"/>
              </w:rPr>
              <w:lastRenderedPageBreak/>
              <w:t>Wilding conifer</w:t>
            </w:r>
          </w:p>
        </w:tc>
        <w:tc>
          <w:tcPr>
            <w:tcW w:w="7146" w:type="dxa"/>
          </w:tcPr>
          <w:p w14:paraId="33293E17" w14:textId="77777777" w:rsidR="009A1120" w:rsidRPr="00472578" w:rsidRDefault="009A1120" w:rsidP="00E92686">
            <w:pPr>
              <w:tabs>
                <w:tab w:val="center" w:pos="4513"/>
                <w:tab w:val="right" w:pos="9026"/>
              </w:tabs>
              <w:spacing w:before="60" w:after="60"/>
              <w:jc w:val="both"/>
              <w:rPr>
                <w:sz w:val="20"/>
                <w:szCs w:val="20"/>
              </w:rPr>
            </w:pPr>
            <w:r w:rsidRPr="00472578">
              <w:rPr>
                <w:sz w:val="20"/>
                <w:szCs w:val="20"/>
              </w:rPr>
              <w:t>has the same meaning as in regulation 3 of the National Environmental Standard for Plantation Forestry 2017 (as set out in the box below)</w:t>
            </w:r>
          </w:p>
          <w:p w14:paraId="503FB56C" w14:textId="77777777" w:rsidR="009A1120" w:rsidRPr="00472578" w:rsidRDefault="009A1120" w:rsidP="00E92686">
            <w:pPr>
              <w:tabs>
                <w:tab w:val="center" w:pos="4513"/>
                <w:tab w:val="right" w:pos="9026"/>
              </w:tabs>
              <w:spacing w:before="60" w:after="60"/>
              <w:jc w:val="both"/>
              <w:rPr>
                <w:sz w:val="20"/>
                <w:szCs w:val="20"/>
              </w:rPr>
            </w:pPr>
            <w:r w:rsidRPr="00472578">
              <w:rPr>
                <w:noProof/>
                <w:sz w:val="20"/>
                <w:szCs w:val="20"/>
              </w:rPr>
              <mc:AlternateContent>
                <mc:Choice Requires="wps">
                  <w:drawing>
                    <wp:inline distT="0" distB="0" distL="0" distR="0" wp14:anchorId="520D1A5B" wp14:editId="51FE64BB">
                      <wp:extent cx="3697356" cy="588476"/>
                      <wp:effectExtent l="0" t="0" r="17780" b="21590"/>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588476"/>
                              </a:xfrm>
                              <a:prstGeom prst="rect">
                                <a:avLst/>
                              </a:prstGeom>
                              <a:solidFill>
                                <a:srgbClr val="FFFFFF"/>
                              </a:solidFill>
                              <a:ln w="9525">
                                <a:solidFill>
                                  <a:srgbClr val="000000"/>
                                </a:solidFill>
                                <a:miter lim="800000"/>
                                <a:headEnd/>
                                <a:tailEnd/>
                              </a:ln>
                            </wps:spPr>
                            <wps:txbx>
                              <w:txbxContent>
                                <w:p w14:paraId="325EE56A" w14:textId="77777777" w:rsidR="009A1120" w:rsidRPr="000C7151" w:rsidRDefault="009A1120" w:rsidP="009A1120">
                                  <w:pPr>
                                    <w:spacing w:after="60"/>
                                    <w:rPr>
                                      <w:sz w:val="20"/>
                                      <w:szCs w:val="20"/>
                                    </w:rPr>
                                  </w:pPr>
                                  <w:r w:rsidRPr="003A5BDF">
                                    <w:rPr>
                                      <w:sz w:val="20"/>
                                      <w:szCs w:val="20"/>
                                    </w:rPr>
                                    <w:t>means a self-established conifer species tree resulting from seed spread from plantation forestry, shelter belts, amenity planting, or an already established wilding conifer species tree population</w:t>
                                  </w:r>
                                </w:p>
                              </w:txbxContent>
                            </wps:txbx>
                            <wps:bodyPr rot="0" vert="horz" wrap="square" lIns="91440" tIns="45720" rIns="91440" bIns="45720" anchor="t" anchorCtr="0">
                              <a:noAutofit/>
                            </wps:bodyPr>
                          </wps:wsp>
                        </a:graphicData>
                      </a:graphic>
                    </wp:inline>
                  </w:drawing>
                </mc:Choice>
                <mc:Fallback>
                  <w:pict>
                    <v:shape w14:anchorId="520D1A5B" id="Text Box 251" o:spid="_x0000_s1144" type="#_x0000_t202" style="width:291.1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">
                      <v:textbox>
                        <w:txbxContent>
                          <w:p w14:paraId="325EE56A" w14:textId="77777777" w:rsidR="009A1120" w:rsidRPr="000C7151" w:rsidRDefault="009A1120" w:rsidP="009A1120">
                            <w:pPr>
                              <w:spacing w:after="60"/>
                              <w:rPr>
                                <w:sz w:val="20"/>
                                <w:szCs w:val="20"/>
                              </w:rPr>
                            </w:pPr>
                            <w:r w:rsidRPr="003A5BDF">
                              <w:rPr>
                                <w:sz w:val="20"/>
                                <w:szCs w:val="20"/>
                              </w:rPr>
                              <w:t>means a self-established conifer species tree resulting from seed spread from plantation forestry, shelter belts, amenity planting, or an already established wilding conifer species tree population</w:t>
                            </w:r>
                          </w:p>
                        </w:txbxContent>
                      </v:textbox>
                      <w10:anchorlock/>
                    </v:shape>
                  </w:pict>
                </mc:Fallback>
              </mc:AlternateContent>
            </w:r>
          </w:p>
        </w:tc>
      </w:tr>
    </w:tbl>
    <w:p w14:paraId="59CEAA1E" w14:textId="77777777" w:rsidR="009A1120" w:rsidRPr="00472578" w:rsidRDefault="009A1120" w:rsidP="00E92686">
      <w:pPr>
        <w:jc w:val="both"/>
      </w:pPr>
      <w:bookmarkStart w:id="27" w:name="_Toc49763439"/>
      <w:bookmarkStart w:id="28" w:name="_Toc52435134"/>
    </w:p>
    <w:p w14:paraId="686118B6" w14:textId="77777777" w:rsidR="009A1120" w:rsidRPr="00472578" w:rsidRDefault="009A1120" w:rsidP="00E92686">
      <w:pPr>
        <w:jc w:val="both"/>
        <w:rPr>
          <w:rFonts w:eastAsiaTheme="majorEastAsia" w:cstheme="majorBidi"/>
          <w:b/>
          <w:color w:val="1F3864" w:themeColor="accent1" w:themeShade="80"/>
          <w:sz w:val="28"/>
          <w:szCs w:val="24"/>
        </w:rPr>
      </w:pPr>
      <w:r w:rsidRPr="00472578">
        <w:br w:type="page"/>
      </w:r>
    </w:p>
    <w:p w14:paraId="6FFDF9D2" w14:textId="77777777" w:rsidR="009A1120" w:rsidRPr="00472578" w:rsidRDefault="009A1120" w:rsidP="00E92686">
      <w:pPr>
        <w:pStyle w:val="Heading3"/>
        <w:jc w:val="both"/>
      </w:pPr>
      <w:r w:rsidRPr="00472578">
        <w:lastRenderedPageBreak/>
        <w:t>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11"/>
      </w:tblGrid>
      <w:tr w:rsidR="009A1120" w:rsidRPr="00472578" w14:paraId="248C36DB" w14:textId="77777777" w:rsidTr="00E722D4">
        <w:trPr>
          <w:tblHeader/>
        </w:trPr>
        <w:tc>
          <w:tcPr>
            <w:tcW w:w="1985" w:type="dxa"/>
            <w:tcBorders>
              <w:top w:val="single" w:sz="4" w:space="0" w:color="auto"/>
              <w:left w:val="single" w:sz="4" w:space="0" w:color="auto"/>
              <w:right w:val="single" w:sz="4" w:space="0" w:color="auto"/>
            </w:tcBorders>
            <w:shd w:val="clear" w:color="auto" w:fill="B4C6E7" w:themeFill="accent1" w:themeFillTint="66"/>
          </w:tcPr>
          <w:p w14:paraId="7D65E938" w14:textId="77777777" w:rsidR="009A1120" w:rsidRPr="00472578" w:rsidRDefault="009A1120" w:rsidP="00E92686">
            <w:pPr>
              <w:spacing w:before="60" w:after="60"/>
              <w:jc w:val="both"/>
              <w:rPr>
                <w:b/>
                <w:bCs/>
              </w:rPr>
            </w:pPr>
            <w:r w:rsidRPr="00472578">
              <w:rPr>
                <w:b/>
                <w:bCs/>
              </w:rPr>
              <w:t>Abbreviation</w:t>
            </w:r>
          </w:p>
        </w:tc>
        <w:tc>
          <w:tcPr>
            <w:tcW w:w="7011" w:type="dxa"/>
            <w:tcBorders>
              <w:top w:val="single" w:sz="4" w:space="0" w:color="auto"/>
              <w:left w:val="single" w:sz="4" w:space="0" w:color="auto"/>
              <w:right w:val="single" w:sz="4" w:space="0" w:color="auto"/>
            </w:tcBorders>
            <w:shd w:val="clear" w:color="auto" w:fill="B4C6E7" w:themeFill="accent1" w:themeFillTint="66"/>
          </w:tcPr>
          <w:p w14:paraId="49B0F3F7" w14:textId="77777777" w:rsidR="009A1120" w:rsidRPr="00472578" w:rsidRDefault="009A1120" w:rsidP="00E92686">
            <w:pPr>
              <w:spacing w:before="60" w:after="60"/>
              <w:jc w:val="both"/>
              <w:rPr>
                <w:b/>
                <w:bCs/>
              </w:rPr>
            </w:pPr>
            <w:r w:rsidRPr="00472578">
              <w:rPr>
                <w:b/>
                <w:bCs/>
              </w:rPr>
              <w:t>Full Terms</w:t>
            </w:r>
          </w:p>
        </w:tc>
      </w:tr>
      <w:tr w:rsidR="009A1120" w:rsidRPr="00472578" w14:paraId="2A8E73EE" w14:textId="77777777" w:rsidTr="00E722D4">
        <w:tc>
          <w:tcPr>
            <w:tcW w:w="1985" w:type="dxa"/>
          </w:tcPr>
          <w:p w14:paraId="32212728" w14:textId="77777777" w:rsidR="009A1120" w:rsidRPr="00472578" w:rsidRDefault="009A1120" w:rsidP="00E92686">
            <w:pPr>
              <w:spacing w:before="60" w:after="60"/>
              <w:jc w:val="both"/>
            </w:pPr>
            <w:r w:rsidRPr="00472578">
              <w:t>CDC</w:t>
            </w:r>
          </w:p>
        </w:tc>
        <w:tc>
          <w:tcPr>
            <w:tcW w:w="7011" w:type="dxa"/>
          </w:tcPr>
          <w:p w14:paraId="3CE7FAD4" w14:textId="77777777" w:rsidR="009A1120" w:rsidRPr="00472578" w:rsidRDefault="009A1120" w:rsidP="00E92686">
            <w:pPr>
              <w:spacing w:before="60" w:after="60"/>
              <w:jc w:val="both"/>
            </w:pPr>
            <w:r w:rsidRPr="00472578">
              <w:t>Clutha District Council</w:t>
            </w:r>
          </w:p>
        </w:tc>
      </w:tr>
      <w:tr w:rsidR="009A1120" w:rsidRPr="00472578" w14:paraId="42DA6031" w14:textId="77777777" w:rsidTr="00E722D4">
        <w:tc>
          <w:tcPr>
            <w:tcW w:w="1985" w:type="dxa"/>
          </w:tcPr>
          <w:p w14:paraId="36022DEE" w14:textId="77777777" w:rsidR="009A1120" w:rsidRPr="00472578" w:rsidRDefault="009A1120" w:rsidP="00E92686">
            <w:pPr>
              <w:spacing w:before="60" w:after="60"/>
              <w:jc w:val="both"/>
            </w:pPr>
            <w:r w:rsidRPr="00472578">
              <w:t>CODC</w:t>
            </w:r>
          </w:p>
        </w:tc>
        <w:tc>
          <w:tcPr>
            <w:tcW w:w="7011" w:type="dxa"/>
          </w:tcPr>
          <w:p w14:paraId="0CA8CD58" w14:textId="77777777" w:rsidR="009A1120" w:rsidRPr="00472578" w:rsidRDefault="009A1120" w:rsidP="00E92686">
            <w:pPr>
              <w:spacing w:before="60" w:after="60"/>
              <w:jc w:val="both"/>
            </w:pPr>
            <w:r w:rsidRPr="00472578">
              <w:t>Central Otago District Council</w:t>
            </w:r>
          </w:p>
        </w:tc>
      </w:tr>
      <w:tr w:rsidR="009A1120" w:rsidRPr="00472578" w14:paraId="6B87C3F6" w14:textId="77777777" w:rsidTr="00E722D4">
        <w:tc>
          <w:tcPr>
            <w:tcW w:w="1985" w:type="dxa"/>
          </w:tcPr>
          <w:p w14:paraId="4EA90C9E" w14:textId="77777777" w:rsidR="009A1120" w:rsidRPr="00472578" w:rsidRDefault="009A1120" w:rsidP="00E92686">
            <w:pPr>
              <w:spacing w:before="60" w:after="60"/>
              <w:jc w:val="both"/>
            </w:pPr>
            <w:r w:rsidRPr="00472578">
              <w:t>DCC</w:t>
            </w:r>
          </w:p>
        </w:tc>
        <w:tc>
          <w:tcPr>
            <w:tcW w:w="7011" w:type="dxa"/>
          </w:tcPr>
          <w:p w14:paraId="4655FAEA" w14:textId="7AE565AF" w:rsidR="009A1120" w:rsidRPr="00472578" w:rsidRDefault="00387799" w:rsidP="00E92686">
            <w:pPr>
              <w:spacing w:before="60" w:after="60"/>
              <w:jc w:val="both"/>
            </w:pPr>
            <w:r>
              <w:t>DCC</w:t>
            </w:r>
          </w:p>
        </w:tc>
      </w:tr>
      <w:tr w:rsidR="009A1120" w:rsidRPr="00472578" w14:paraId="078D16FA" w14:textId="77777777" w:rsidTr="00E722D4">
        <w:tc>
          <w:tcPr>
            <w:tcW w:w="1985" w:type="dxa"/>
          </w:tcPr>
          <w:p w14:paraId="5275B638" w14:textId="77777777" w:rsidR="009A1120" w:rsidRPr="00472578" w:rsidRDefault="009A1120" w:rsidP="00E92686">
            <w:pPr>
              <w:spacing w:before="60" w:after="60"/>
              <w:jc w:val="both"/>
            </w:pPr>
            <w:r w:rsidRPr="00472578">
              <w:t>FMU</w:t>
            </w:r>
          </w:p>
        </w:tc>
        <w:tc>
          <w:tcPr>
            <w:tcW w:w="7011" w:type="dxa"/>
          </w:tcPr>
          <w:p w14:paraId="08DC53F2" w14:textId="77777777" w:rsidR="009A1120" w:rsidRPr="00472578" w:rsidRDefault="009A1120" w:rsidP="00E92686">
            <w:pPr>
              <w:spacing w:before="60" w:after="60"/>
              <w:jc w:val="both"/>
            </w:pPr>
            <w:r w:rsidRPr="00472578">
              <w:t>Freshwater Management Unit</w:t>
            </w:r>
          </w:p>
        </w:tc>
      </w:tr>
      <w:tr w:rsidR="009A1120" w:rsidRPr="00472578" w14:paraId="3195EF7B" w14:textId="77777777" w:rsidTr="00E722D4">
        <w:tc>
          <w:tcPr>
            <w:tcW w:w="1985" w:type="dxa"/>
          </w:tcPr>
          <w:p w14:paraId="4AB720CE" w14:textId="77777777" w:rsidR="009A1120" w:rsidRPr="00472578" w:rsidRDefault="009A1120" w:rsidP="00E92686">
            <w:pPr>
              <w:spacing w:before="60" w:after="60"/>
              <w:jc w:val="both"/>
            </w:pPr>
            <w:r w:rsidRPr="00472578">
              <w:t>HAIL</w:t>
            </w:r>
          </w:p>
        </w:tc>
        <w:tc>
          <w:tcPr>
            <w:tcW w:w="7011" w:type="dxa"/>
          </w:tcPr>
          <w:p w14:paraId="6E724A36" w14:textId="77777777" w:rsidR="009A1120" w:rsidRPr="00472578" w:rsidRDefault="009A1120" w:rsidP="00E92686">
            <w:pPr>
              <w:spacing w:before="60" w:after="60"/>
              <w:jc w:val="both"/>
            </w:pPr>
            <w:r w:rsidRPr="00472578">
              <w:t>Hazardous Activities and Industries List</w:t>
            </w:r>
          </w:p>
        </w:tc>
      </w:tr>
      <w:tr w:rsidR="009A1120" w:rsidRPr="00472578" w14:paraId="60805A9C" w14:textId="77777777" w:rsidTr="00E722D4">
        <w:tc>
          <w:tcPr>
            <w:tcW w:w="1985" w:type="dxa"/>
          </w:tcPr>
          <w:p w14:paraId="601110E2" w14:textId="77777777" w:rsidR="009A1120" w:rsidRPr="00472578" w:rsidRDefault="009A1120" w:rsidP="00E92686">
            <w:pPr>
              <w:spacing w:before="60" w:after="60"/>
              <w:jc w:val="both"/>
            </w:pPr>
            <w:r w:rsidRPr="00472578">
              <w:t>LGA</w:t>
            </w:r>
          </w:p>
        </w:tc>
        <w:tc>
          <w:tcPr>
            <w:tcW w:w="7011" w:type="dxa"/>
          </w:tcPr>
          <w:p w14:paraId="09C187B8" w14:textId="77777777" w:rsidR="009A1120" w:rsidRPr="00472578" w:rsidRDefault="009A1120" w:rsidP="00E92686">
            <w:pPr>
              <w:spacing w:before="60" w:after="60"/>
              <w:jc w:val="both"/>
            </w:pPr>
            <w:r w:rsidRPr="00472578">
              <w:t>Local Government Act 2002</w:t>
            </w:r>
          </w:p>
        </w:tc>
      </w:tr>
      <w:tr w:rsidR="009A1120" w:rsidRPr="00472578" w14:paraId="6FC3BB58" w14:textId="77777777" w:rsidTr="00E722D4">
        <w:tc>
          <w:tcPr>
            <w:tcW w:w="1985" w:type="dxa"/>
          </w:tcPr>
          <w:p w14:paraId="3720F86D" w14:textId="77777777" w:rsidR="009A1120" w:rsidRPr="00472578" w:rsidRDefault="009A1120" w:rsidP="00E92686">
            <w:pPr>
              <w:spacing w:before="60" w:after="60"/>
              <w:jc w:val="both"/>
            </w:pPr>
            <w:r w:rsidRPr="00472578">
              <w:t>NES</w:t>
            </w:r>
          </w:p>
        </w:tc>
        <w:tc>
          <w:tcPr>
            <w:tcW w:w="7011" w:type="dxa"/>
          </w:tcPr>
          <w:p w14:paraId="06E73AB4" w14:textId="77777777" w:rsidR="009A1120" w:rsidRPr="00472578" w:rsidRDefault="009A1120" w:rsidP="00E92686">
            <w:pPr>
              <w:spacing w:before="60" w:after="60"/>
              <w:jc w:val="both"/>
            </w:pPr>
            <w:r w:rsidRPr="00472578">
              <w:t>National Environmental Standard</w:t>
            </w:r>
          </w:p>
        </w:tc>
      </w:tr>
      <w:tr w:rsidR="009A1120" w:rsidRPr="00472578" w14:paraId="10178C48" w14:textId="77777777" w:rsidTr="00E722D4">
        <w:tc>
          <w:tcPr>
            <w:tcW w:w="1985" w:type="dxa"/>
          </w:tcPr>
          <w:p w14:paraId="42F70266" w14:textId="77777777" w:rsidR="009A1120" w:rsidRPr="00472578" w:rsidRDefault="009A1120" w:rsidP="00E92686">
            <w:pPr>
              <w:spacing w:before="60" w:after="60"/>
              <w:jc w:val="both"/>
            </w:pPr>
            <w:r w:rsidRPr="00472578">
              <w:t>NESAQ</w:t>
            </w:r>
          </w:p>
        </w:tc>
        <w:tc>
          <w:tcPr>
            <w:tcW w:w="7011" w:type="dxa"/>
          </w:tcPr>
          <w:p w14:paraId="1923DE65" w14:textId="77777777" w:rsidR="009A1120" w:rsidRPr="00472578" w:rsidRDefault="009A1120" w:rsidP="00E92686">
            <w:pPr>
              <w:spacing w:before="60" w:after="60"/>
              <w:jc w:val="both"/>
            </w:pPr>
            <w:r w:rsidRPr="00472578">
              <w:t>National Environmental Standards for Air Quality 2004</w:t>
            </w:r>
          </w:p>
        </w:tc>
      </w:tr>
      <w:tr w:rsidR="009A1120" w:rsidRPr="00472578" w14:paraId="202C9C09" w14:textId="77777777" w:rsidTr="00E722D4">
        <w:tc>
          <w:tcPr>
            <w:tcW w:w="1985" w:type="dxa"/>
          </w:tcPr>
          <w:p w14:paraId="726D537C" w14:textId="77777777" w:rsidR="009A1120" w:rsidRPr="00472578" w:rsidRDefault="009A1120" w:rsidP="00E92686">
            <w:pPr>
              <w:spacing w:before="60" w:after="60"/>
              <w:jc w:val="both"/>
            </w:pPr>
            <w:r w:rsidRPr="00472578">
              <w:t>NESCS</w:t>
            </w:r>
          </w:p>
        </w:tc>
        <w:tc>
          <w:tcPr>
            <w:tcW w:w="7011" w:type="dxa"/>
          </w:tcPr>
          <w:p w14:paraId="6728B820" w14:textId="77777777" w:rsidR="009A1120" w:rsidRPr="00472578" w:rsidRDefault="009A1120" w:rsidP="00E92686">
            <w:pPr>
              <w:spacing w:before="60" w:after="60"/>
              <w:jc w:val="both"/>
            </w:pPr>
            <w:r w:rsidRPr="00472578">
              <w:t>National Environmental Standards for Assessing and Managing Contaminants in Soil to Protect Human Health 2011</w:t>
            </w:r>
          </w:p>
        </w:tc>
      </w:tr>
      <w:tr w:rsidR="009A1120" w:rsidRPr="00472578" w14:paraId="77C579A6" w14:textId="77777777" w:rsidTr="00E722D4">
        <w:tc>
          <w:tcPr>
            <w:tcW w:w="1985" w:type="dxa"/>
          </w:tcPr>
          <w:p w14:paraId="6A6ADB23" w14:textId="77777777" w:rsidR="009A1120" w:rsidRPr="00472578" w:rsidRDefault="009A1120" w:rsidP="00E92686">
            <w:pPr>
              <w:spacing w:before="60" w:after="60"/>
              <w:jc w:val="both"/>
            </w:pPr>
            <w:r w:rsidRPr="00472578">
              <w:t>NESETA</w:t>
            </w:r>
          </w:p>
        </w:tc>
        <w:tc>
          <w:tcPr>
            <w:tcW w:w="7011" w:type="dxa"/>
          </w:tcPr>
          <w:p w14:paraId="2065ADB3" w14:textId="77777777" w:rsidR="009A1120" w:rsidRPr="00472578" w:rsidRDefault="009A1120" w:rsidP="00E92686">
            <w:pPr>
              <w:spacing w:before="60" w:after="60"/>
              <w:jc w:val="both"/>
            </w:pPr>
            <w:r w:rsidRPr="00472578">
              <w:t>National Environmental Standard for Electricity Transmission Activities 2009</w:t>
            </w:r>
          </w:p>
        </w:tc>
      </w:tr>
      <w:tr w:rsidR="009A1120" w:rsidRPr="00472578" w14:paraId="220417D5" w14:textId="77777777" w:rsidTr="00E722D4">
        <w:tc>
          <w:tcPr>
            <w:tcW w:w="1985" w:type="dxa"/>
          </w:tcPr>
          <w:p w14:paraId="6DD8DC66" w14:textId="77777777" w:rsidR="009A1120" w:rsidRPr="00472578" w:rsidRDefault="009A1120" w:rsidP="00E92686">
            <w:pPr>
              <w:spacing w:before="60" w:after="60"/>
              <w:jc w:val="both"/>
            </w:pPr>
            <w:r w:rsidRPr="00472578">
              <w:t>NESF</w:t>
            </w:r>
          </w:p>
        </w:tc>
        <w:tc>
          <w:tcPr>
            <w:tcW w:w="7011" w:type="dxa"/>
          </w:tcPr>
          <w:p w14:paraId="338C2214" w14:textId="77777777" w:rsidR="009A1120" w:rsidRPr="00472578" w:rsidRDefault="009A1120" w:rsidP="00E92686">
            <w:pPr>
              <w:spacing w:before="60" w:after="60"/>
              <w:jc w:val="both"/>
            </w:pPr>
            <w:r w:rsidRPr="00472578">
              <w:t>National Environmental Standards for Freshwater 2020</w:t>
            </w:r>
          </w:p>
        </w:tc>
      </w:tr>
      <w:tr w:rsidR="009A1120" w:rsidRPr="00472578" w14:paraId="7AEE4951" w14:textId="77777777" w:rsidTr="00E722D4">
        <w:tc>
          <w:tcPr>
            <w:tcW w:w="1985" w:type="dxa"/>
          </w:tcPr>
          <w:p w14:paraId="1213138F" w14:textId="77777777" w:rsidR="009A1120" w:rsidRPr="00472578" w:rsidRDefault="009A1120" w:rsidP="00E92686">
            <w:pPr>
              <w:spacing w:before="60" w:after="60"/>
              <w:jc w:val="both"/>
            </w:pPr>
            <w:r w:rsidRPr="00472578">
              <w:t>NESMA</w:t>
            </w:r>
          </w:p>
        </w:tc>
        <w:tc>
          <w:tcPr>
            <w:tcW w:w="7011" w:type="dxa"/>
          </w:tcPr>
          <w:p w14:paraId="00E20BE0" w14:textId="77777777" w:rsidR="009A1120" w:rsidRPr="00472578" w:rsidRDefault="009A1120" w:rsidP="00E92686">
            <w:pPr>
              <w:spacing w:before="60" w:after="60"/>
              <w:jc w:val="both"/>
            </w:pPr>
            <w:r w:rsidRPr="00472578">
              <w:t>National Environmental Standards for Marine Aquaculture 2020</w:t>
            </w:r>
          </w:p>
        </w:tc>
      </w:tr>
      <w:tr w:rsidR="009A1120" w:rsidRPr="00472578" w14:paraId="7905499C" w14:textId="77777777" w:rsidTr="00E722D4">
        <w:tc>
          <w:tcPr>
            <w:tcW w:w="1985" w:type="dxa"/>
          </w:tcPr>
          <w:p w14:paraId="227FAA6E" w14:textId="77777777" w:rsidR="009A1120" w:rsidRPr="00472578" w:rsidRDefault="009A1120" w:rsidP="00E92686">
            <w:pPr>
              <w:spacing w:before="60" w:after="60"/>
              <w:jc w:val="both"/>
            </w:pPr>
            <w:r w:rsidRPr="00472578">
              <w:t>NESPF</w:t>
            </w:r>
          </w:p>
        </w:tc>
        <w:tc>
          <w:tcPr>
            <w:tcW w:w="7011" w:type="dxa"/>
          </w:tcPr>
          <w:p w14:paraId="16BA02AC" w14:textId="77777777" w:rsidR="009A1120" w:rsidRPr="00472578" w:rsidRDefault="009A1120" w:rsidP="00E92686">
            <w:pPr>
              <w:spacing w:before="60" w:after="60"/>
              <w:jc w:val="both"/>
            </w:pPr>
            <w:r w:rsidRPr="00472578">
              <w:t>National Environmental Standards for Plantation Forestry 2017</w:t>
            </w:r>
          </w:p>
        </w:tc>
      </w:tr>
      <w:tr w:rsidR="009A1120" w:rsidRPr="00472578" w14:paraId="58CAD9E0" w14:textId="77777777" w:rsidTr="00E722D4">
        <w:tc>
          <w:tcPr>
            <w:tcW w:w="1985" w:type="dxa"/>
          </w:tcPr>
          <w:p w14:paraId="5AE5F0AA" w14:textId="77777777" w:rsidR="009A1120" w:rsidRPr="00472578" w:rsidRDefault="009A1120" w:rsidP="00E92686">
            <w:pPr>
              <w:spacing w:before="60" w:after="60"/>
              <w:jc w:val="both"/>
            </w:pPr>
            <w:r w:rsidRPr="00472578">
              <w:t>NESHDW</w:t>
            </w:r>
          </w:p>
        </w:tc>
        <w:tc>
          <w:tcPr>
            <w:tcW w:w="7011" w:type="dxa"/>
          </w:tcPr>
          <w:p w14:paraId="424E8180" w14:textId="77777777" w:rsidR="009A1120" w:rsidRPr="00472578" w:rsidRDefault="009A1120" w:rsidP="00E92686">
            <w:pPr>
              <w:spacing w:before="60" w:after="60"/>
              <w:jc w:val="both"/>
            </w:pPr>
            <w:r w:rsidRPr="00472578">
              <w:t>National Environmental Standard for Sources of Human Drinking Water 2007</w:t>
            </w:r>
          </w:p>
        </w:tc>
      </w:tr>
      <w:tr w:rsidR="009A1120" w:rsidRPr="00472578" w14:paraId="3768BF47" w14:textId="77777777" w:rsidTr="00E722D4">
        <w:tc>
          <w:tcPr>
            <w:tcW w:w="1985" w:type="dxa"/>
          </w:tcPr>
          <w:p w14:paraId="79154010" w14:textId="77777777" w:rsidR="009A1120" w:rsidRPr="00472578" w:rsidRDefault="009A1120" w:rsidP="00E92686">
            <w:pPr>
              <w:spacing w:before="60" w:after="60"/>
              <w:jc w:val="both"/>
            </w:pPr>
            <w:r w:rsidRPr="00472578">
              <w:t>NESTF</w:t>
            </w:r>
          </w:p>
        </w:tc>
        <w:tc>
          <w:tcPr>
            <w:tcW w:w="7011" w:type="dxa"/>
          </w:tcPr>
          <w:p w14:paraId="3F478FE9" w14:textId="77777777" w:rsidR="009A1120" w:rsidRPr="00472578" w:rsidRDefault="009A1120" w:rsidP="00E92686">
            <w:pPr>
              <w:spacing w:before="60" w:after="60"/>
              <w:jc w:val="both"/>
            </w:pPr>
            <w:r w:rsidRPr="00472578">
              <w:t>National Environmental Standards for Telecommunication Facilities 2016</w:t>
            </w:r>
          </w:p>
        </w:tc>
      </w:tr>
      <w:tr w:rsidR="009A1120" w:rsidRPr="00472578" w14:paraId="1CC6461D" w14:textId="77777777" w:rsidTr="00E722D4">
        <w:tc>
          <w:tcPr>
            <w:tcW w:w="1985" w:type="dxa"/>
          </w:tcPr>
          <w:p w14:paraId="487ED445" w14:textId="77777777" w:rsidR="009A1120" w:rsidRPr="00472578" w:rsidRDefault="009A1120" w:rsidP="00E92686">
            <w:pPr>
              <w:spacing w:before="60" w:after="60"/>
              <w:jc w:val="both"/>
            </w:pPr>
            <w:r w:rsidRPr="00472578">
              <w:t>NOF</w:t>
            </w:r>
          </w:p>
        </w:tc>
        <w:tc>
          <w:tcPr>
            <w:tcW w:w="7011" w:type="dxa"/>
          </w:tcPr>
          <w:p w14:paraId="44A22DDD" w14:textId="77777777" w:rsidR="009A1120" w:rsidRPr="00472578" w:rsidRDefault="009A1120" w:rsidP="00E92686">
            <w:pPr>
              <w:spacing w:before="60" w:after="60"/>
              <w:jc w:val="both"/>
            </w:pPr>
            <w:r w:rsidRPr="00472578">
              <w:t>National Objectives Framework</w:t>
            </w:r>
          </w:p>
        </w:tc>
      </w:tr>
      <w:tr w:rsidR="009A1120" w:rsidRPr="00472578" w14:paraId="4DFBC391" w14:textId="77777777" w:rsidTr="00E722D4">
        <w:tc>
          <w:tcPr>
            <w:tcW w:w="1985" w:type="dxa"/>
          </w:tcPr>
          <w:p w14:paraId="7D7C7D4E" w14:textId="77777777" w:rsidR="009A1120" w:rsidRPr="00472578" w:rsidRDefault="009A1120" w:rsidP="00E92686">
            <w:pPr>
              <w:spacing w:before="60" w:after="60"/>
              <w:jc w:val="both"/>
            </w:pPr>
            <w:r w:rsidRPr="00472578">
              <w:t>NPS</w:t>
            </w:r>
          </w:p>
        </w:tc>
        <w:tc>
          <w:tcPr>
            <w:tcW w:w="7011" w:type="dxa"/>
          </w:tcPr>
          <w:p w14:paraId="2BE01113" w14:textId="77777777" w:rsidR="009A1120" w:rsidRPr="00472578" w:rsidRDefault="009A1120" w:rsidP="00E92686">
            <w:pPr>
              <w:spacing w:before="60" w:after="60"/>
              <w:jc w:val="both"/>
            </w:pPr>
            <w:r w:rsidRPr="00472578">
              <w:t>National Policy Statement</w:t>
            </w:r>
          </w:p>
        </w:tc>
      </w:tr>
      <w:tr w:rsidR="009A1120" w:rsidRPr="00472578" w14:paraId="1C693E13" w14:textId="77777777" w:rsidTr="00E722D4">
        <w:tc>
          <w:tcPr>
            <w:tcW w:w="1985" w:type="dxa"/>
          </w:tcPr>
          <w:p w14:paraId="4E8A7E52" w14:textId="77777777" w:rsidR="009A1120" w:rsidRPr="00472578" w:rsidRDefault="009A1120" w:rsidP="00E92686">
            <w:pPr>
              <w:spacing w:before="60" w:after="60"/>
              <w:jc w:val="both"/>
            </w:pPr>
            <w:r w:rsidRPr="00472578">
              <w:t>NPSET</w:t>
            </w:r>
          </w:p>
        </w:tc>
        <w:tc>
          <w:tcPr>
            <w:tcW w:w="7011" w:type="dxa"/>
          </w:tcPr>
          <w:p w14:paraId="321CF82A" w14:textId="77777777" w:rsidR="009A1120" w:rsidRPr="00472578" w:rsidRDefault="009A1120" w:rsidP="00E92686">
            <w:pPr>
              <w:spacing w:before="60" w:after="60"/>
              <w:jc w:val="both"/>
            </w:pPr>
            <w:r w:rsidRPr="00472578">
              <w:t>National Policy Statement on Electricity Transmission 2008</w:t>
            </w:r>
          </w:p>
        </w:tc>
      </w:tr>
      <w:tr w:rsidR="009A1120" w:rsidRPr="00472578" w14:paraId="4E7207B9" w14:textId="77777777" w:rsidTr="00E722D4">
        <w:tc>
          <w:tcPr>
            <w:tcW w:w="1985" w:type="dxa"/>
          </w:tcPr>
          <w:p w14:paraId="0C7F1813" w14:textId="77777777" w:rsidR="009A1120" w:rsidRPr="00472578" w:rsidRDefault="009A1120" w:rsidP="00E92686">
            <w:pPr>
              <w:spacing w:before="60" w:after="60"/>
              <w:jc w:val="both"/>
            </w:pPr>
            <w:r w:rsidRPr="00472578">
              <w:t>NPSFM</w:t>
            </w:r>
          </w:p>
        </w:tc>
        <w:tc>
          <w:tcPr>
            <w:tcW w:w="7011" w:type="dxa"/>
          </w:tcPr>
          <w:p w14:paraId="02CB5B16" w14:textId="77777777" w:rsidR="009A1120" w:rsidRPr="00472578" w:rsidRDefault="009A1120" w:rsidP="00E92686">
            <w:pPr>
              <w:spacing w:before="60" w:after="60"/>
              <w:jc w:val="both"/>
            </w:pPr>
            <w:r w:rsidRPr="00472578">
              <w:t>National Policy Statement for Freshwater Management 2020</w:t>
            </w:r>
          </w:p>
        </w:tc>
      </w:tr>
      <w:tr w:rsidR="009A1120" w:rsidRPr="00472578" w14:paraId="613B89FD" w14:textId="77777777" w:rsidTr="00E722D4">
        <w:tc>
          <w:tcPr>
            <w:tcW w:w="1985" w:type="dxa"/>
          </w:tcPr>
          <w:p w14:paraId="079F2EE9" w14:textId="77777777" w:rsidR="009A1120" w:rsidRPr="00472578" w:rsidRDefault="009A1120" w:rsidP="00E92686">
            <w:pPr>
              <w:spacing w:before="60" w:after="60"/>
              <w:jc w:val="both"/>
            </w:pPr>
            <w:r w:rsidRPr="00472578">
              <w:t>NPSREG</w:t>
            </w:r>
          </w:p>
        </w:tc>
        <w:tc>
          <w:tcPr>
            <w:tcW w:w="7011" w:type="dxa"/>
          </w:tcPr>
          <w:p w14:paraId="00D75DF1" w14:textId="77777777" w:rsidR="009A1120" w:rsidRPr="00472578" w:rsidRDefault="009A1120" w:rsidP="00E92686">
            <w:pPr>
              <w:spacing w:before="60" w:after="60"/>
              <w:jc w:val="both"/>
            </w:pPr>
            <w:r w:rsidRPr="00472578">
              <w:t>National Policy Statement for Renewable Electricity Generation 2011</w:t>
            </w:r>
          </w:p>
        </w:tc>
      </w:tr>
      <w:tr w:rsidR="009A1120" w:rsidRPr="00472578" w14:paraId="545E768F" w14:textId="77777777" w:rsidTr="00E722D4">
        <w:trPr>
          <w:trHeight w:val="374"/>
        </w:trPr>
        <w:tc>
          <w:tcPr>
            <w:tcW w:w="1985" w:type="dxa"/>
          </w:tcPr>
          <w:p w14:paraId="4429ABE4" w14:textId="77777777" w:rsidR="009A1120" w:rsidRPr="00472578" w:rsidRDefault="009A1120" w:rsidP="00E92686">
            <w:pPr>
              <w:spacing w:before="60" w:after="60"/>
              <w:jc w:val="both"/>
            </w:pPr>
            <w:r w:rsidRPr="00472578">
              <w:t>NPSUD</w:t>
            </w:r>
          </w:p>
        </w:tc>
        <w:tc>
          <w:tcPr>
            <w:tcW w:w="7011" w:type="dxa"/>
          </w:tcPr>
          <w:p w14:paraId="0DB42E3C" w14:textId="77777777" w:rsidR="009A1120" w:rsidRPr="00472578" w:rsidRDefault="009A1120" w:rsidP="00E92686">
            <w:pPr>
              <w:spacing w:before="60" w:after="60"/>
              <w:jc w:val="both"/>
            </w:pPr>
            <w:r w:rsidRPr="00472578">
              <w:t>National Policy Statement on Urban Development 2020</w:t>
            </w:r>
          </w:p>
        </w:tc>
      </w:tr>
      <w:tr w:rsidR="009A1120" w:rsidRPr="00472578" w14:paraId="4435D955" w14:textId="77777777" w:rsidTr="00E722D4">
        <w:trPr>
          <w:trHeight w:val="373"/>
        </w:trPr>
        <w:tc>
          <w:tcPr>
            <w:tcW w:w="1985" w:type="dxa"/>
          </w:tcPr>
          <w:p w14:paraId="46F71FB8" w14:textId="77777777" w:rsidR="009A1120" w:rsidRPr="00472578" w:rsidRDefault="009A1120" w:rsidP="00E92686">
            <w:pPr>
              <w:spacing w:before="60" w:after="60"/>
              <w:jc w:val="both"/>
            </w:pPr>
            <w:r w:rsidRPr="00472578">
              <w:t>NTCSA</w:t>
            </w:r>
          </w:p>
        </w:tc>
        <w:tc>
          <w:tcPr>
            <w:tcW w:w="7011" w:type="dxa"/>
          </w:tcPr>
          <w:p w14:paraId="1188B289" w14:textId="77777777" w:rsidR="009A1120" w:rsidRPr="00472578" w:rsidRDefault="009A1120" w:rsidP="00E92686">
            <w:pPr>
              <w:spacing w:before="60" w:after="60"/>
              <w:jc w:val="both"/>
            </w:pPr>
            <w:r w:rsidRPr="00472578">
              <w:t>Ngāi Tahu Claims Settlement Act 1998</w:t>
            </w:r>
          </w:p>
        </w:tc>
      </w:tr>
      <w:tr w:rsidR="009A1120" w:rsidRPr="00472578" w14:paraId="20DB1D98" w14:textId="77777777" w:rsidTr="00E722D4">
        <w:tc>
          <w:tcPr>
            <w:tcW w:w="1985" w:type="dxa"/>
          </w:tcPr>
          <w:p w14:paraId="60DF681F" w14:textId="77777777" w:rsidR="009A1120" w:rsidRPr="00472578" w:rsidRDefault="009A1120" w:rsidP="00E92686">
            <w:pPr>
              <w:spacing w:before="60" w:after="60"/>
              <w:jc w:val="both"/>
            </w:pPr>
            <w:r w:rsidRPr="00472578">
              <w:t>NZCPS</w:t>
            </w:r>
          </w:p>
        </w:tc>
        <w:tc>
          <w:tcPr>
            <w:tcW w:w="7011" w:type="dxa"/>
          </w:tcPr>
          <w:p w14:paraId="75AA49B8" w14:textId="77777777" w:rsidR="009A1120" w:rsidRPr="00472578" w:rsidRDefault="009A1120" w:rsidP="00E92686">
            <w:pPr>
              <w:spacing w:before="60" w:after="60"/>
              <w:jc w:val="both"/>
            </w:pPr>
            <w:r w:rsidRPr="00472578">
              <w:t>New Zealand Coastal Policy Statement 2010</w:t>
            </w:r>
          </w:p>
        </w:tc>
      </w:tr>
      <w:tr w:rsidR="009A1120" w:rsidRPr="00472578" w14:paraId="6977ACBA" w14:textId="77777777" w:rsidTr="00E722D4">
        <w:tc>
          <w:tcPr>
            <w:tcW w:w="1985" w:type="dxa"/>
          </w:tcPr>
          <w:p w14:paraId="110B0C8A" w14:textId="77777777" w:rsidR="009A1120" w:rsidRPr="00472578" w:rsidRDefault="009A1120" w:rsidP="00E92686">
            <w:pPr>
              <w:spacing w:before="60" w:after="60"/>
              <w:jc w:val="both"/>
            </w:pPr>
            <w:r w:rsidRPr="00472578">
              <w:t>OCCRA</w:t>
            </w:r>
          </w:p>
        </w:tc>
        <w:tc>
          <w:tcPr>
            <w:tcW w:w="7011" w:type="dxa"/>
          </w:tcPr>
          <w:p w14:paraId="6FECC613" w14:textId="77777777" w:rsidR="009A1120" w:rsidRPr="00472578" w:rsidRDefault="009A1120" w:rsidP="00E92686">
            <w:pPr>
              <w:spacing w:before="60" w:after="60"/>
              <w:jc w:val="both"/>
            </w:pPr>
            <w:r w:rsidRPr="00472578">
              <w:t>Otago Climate Change Risk Assessment Phase 1 report</w:t>
            </w:r>
          </w:p>
        </w:tc>
      </w:tr>
      <w:tr w:rsidR="009A1120" w:rsidRPr="00472578" w14:paraId="3DAA59A5" w14:textId="77777777" w:rsidTr="00E722D4">
        <w:tc>
          <w:tcPr>
            <w:tcW w:w="1985" w:type="dxa"/>
          </w:tcPr>
          <w:p w14:paraId="2F2A5614" w14:textId="77777777" w:rsidR="009A1120" w:rsidRPr="00472578" w:rsidRDefault="009A1120" w:rsidP="00E92686">
            <w:pPr>
              <w:spacing w:before="60" w:after="60"/>
              <w:jc w:val="both"/>
            </w:pPr>
            <w:r w:rsidRPr="00472578">
              <w:t>ORC</w:t>
            </w:r>
          </w:p>
        </w:tc>
        <w:tc>
          <w:tcPr>
            <w:tcW w:w="7011" w:type="dxa"/>
          </w:tcPr>
          <w:p w14:paraId="0635166F" w14:textId="77777777" w:rsidR="009A1120" w:rsidRPr="00472578" w:rsidRDefault="009A1120" w:rsidP="00E92686">
            <w:pPr>
              <w:spacing w:before="60" w:after="60"/>
              <w:jc w:val="both"/>
            </w:pPr>
            <w:r w:rsidRPr="00472578">
              <w:t>Otago Regional Council</w:t>
            </w:r>
          </w:p>
        </w:tc>
      </w:tr>
      <w:tr w:rsidR="009A1120" w:rsidRPr="00472578" w14:paraId="4B30766B" w14:textId="77777777" w:rsidTr="00E722D4">
        <w:tc>
          <w:tcPr>
            <w:tcW w:w="1985" w:type="dxa"/>
          </w:tcPr>
          <w:p w14:paraId="4B3DE70F" w14:textId="77777777" w:rsidR="009A1120" w:rsidRPr="00472578" w:rsidRDefault="009A1120" w:rsidP="00E92686">
            <w:pPr>
              <w:spacing w:before="60" w:after="60"/>
              <w:jc w:val="both"/>
            </w:pPr>
            <w:bookmarkStart w:id="29" w:name="_Hlk26350626"/>
            <w:r w:rsidRPr="00472578">
              <w:t>PORPS 2016</w:t>
            </w:r>
          </w:p>
        </w:tc>
        <w:tc>
          <w:tcPr>
            <w:tcW w:w="7011" w:type="dxa"/>
          </w:tcPr>
          <w:p w14:paraId="20D5F54E" w14:textId="77777777" w:rsidR="009A1120" w:rsidRPr="00472578" w:rsidRDefault="009A1120" w:rsidP="00E92686">
            <w:pPr>
              <w:spacing w:before="60" w:after="60"/>
              <w:jc w:val="both"/>
            </w:pPr>
            <w:r w:rsidRPr="00472578">
              <w:t xml:space="preserve">Proposed Otago Regional Policy Statement 2016 – </w:t>
            </w:r>
            <w:proofErr w:type="gramStart"/>
            <w:r w:rsidRPr="00472578">
              <w:t>Decisions</w:t>
            </w:r>
            <w:proofErr w:type="gramEnd"/>
            <w:r w:rsidRPr="00472578">
              <w:t xml:space="preserve"> version</w:t>
            </w:r>
          </w:p>
        </w:tc>
      </w:tr>
      <w:tr w:rsidR="009A1120" w:rsidRPr="00472578" w14:paraId="7B5F534F" w14:textId="77777777" w:rsidTr="00E722D4">
        <w:tc>
          <w:tcPr>
            <w:tcW w:w="1985" w:type="dxa"/>
          </w:tcPr>
          <w:p w14:paraId="1D3BD2D8" w14:textId="77777777" w:rsidR="009A1120" w:rsidRPr="00472578" w:rsidRDefault="009A1120" w:rsidP="00E92686">
            <w:pPr>
              <w:spacing w:before="60" w:after="60"/>
              <w:jc w:val="both"/>
            </w:pPr>
            <w:r w:rsidRPr="00472578">
              <w:t>PORPS 2019</w:t>
            </w:r>
          </w:p>
        </w:tc>
        <w:tc>
          <w:tcPr>
            <w:tcW w:w="7011" w:type="dxa"/>
          </w:tcPr>
          <w:p w14:paraId="1B14787F" w14:textId="77777777" w:rsidR="009A1120" w:rsidRPr="00472578" w:rsidRDefault="009A1120" w:rsidP="00E92686">
            <w:pPr>
              <w:spacing w:before="60" w:after="60"/>
              <w:jc w:val="both"/>
            </w:pPr>
            <w:r w:rsidRPr="00472578">
              <w:t>Partially Operative Regional Policy Statement 2019</w:t>
            </w:r>
          </w:p>
        </w:tc>
      </w:tr>
      <w:tr w:rsidR="009A1120" w:rsidRPr="00472578" w14:paraId="71980498" w14:textId="77777777" w:rsidTr="00E722D4">
        <w:tc>
          <w:tcPr>
            <w:tcW w:w="1985" w:type="dxa"/>
          </w:tcPr>
          <w:p w14:paraId="130C003A" w14:textId="77777777" w:rsidR="009A1120" w:rsidRPr="00472578" w:rsidRDefault="009A1120" w:rsidP="00E92686">
            <w:pPr>
              <w:spacing w:before="60" w:after="60"/>
              <w:jc w:val="both"/>
            </w:pPr>
            <w:r w:rsidRPr="00472578">
              <w:t>PORPS 2021</w:t>
            </w:r>
          </w:p>
        </w:tc>
        <w:tc>
          <w:tcPr>
            <w:tcW w:w="7011" w:type="dxa"/>
          </w:tcPr>
          <w:p w14:paraId="4E7174BB" w14:textId="77777777" w:rsidR="009A1120" w:rsidRPr="00472578" w:rsidRDefault="009A1120" w:rsidP="00E92686">
            <w:pPr>
              <w:spacing w:before="60" w:after="60"/>
              <w:jc w:val="both"/>
            </w:pPr>
            <w:r w:rsidRPr="00472578">
              <w:t>Proposed Otago Regional Policy Statement 2021</w:t>
            </w:r>
          </w:p>
        </w:tc>
      </w:tr>
      <w:tr w:rsidR="009A1120" w:rsidRPr="00472578" w14:paraId="599450A4" w14:textId="77777777" w:rsidTr="00E722D4">
        <w:tc>
          <w:tcPr>
            <w:tcW w:w="1985" w:type="dxa"/>
          </w:tcPr>
          <w:p w14:paraId="6FF5332D" w14:textId="77777777" w:rsidR="009A1120" w:rsidRPr="00472578" w:rsidRDefault="009A1120" w:rsidP="00E92686">
            <w:pPr>
              <w:spacing w:before="60" w:after="60"/>
              <w:jc w:val="both"/>
            </w:pPr>
            <w:r w:rsidRPr="00472578">
              <w:lastRenderedPageBreak/>
              <w:t>QLDC</w:t>
            </w:r>
          </w:p>
        </w:tc>
        <w:tc>
          <w:tcPr>
            <w:tcW w:w="7011" w:type="dxa"/>
          </w:tcPr>
          <w:p w14:paraId="2CB93E35" w14:textId="2227B4FF" w:rsidR="009A1120" w:rsidRPr="00472578" w:rsidRDefault="00387799" w:rsidP="00E92686">
            <w:pPr>
              <w:spacing w:before="60" w:after="60"/>
              <w:jc w:val="both"/>
            </w:pPr>
            <w:r>
              <w:t>QLDC</w:t>
            </w:r>
          </w:p>
        </w:tc>
      </w:tr>
      <w:tr w:rsidR="009A1120" w:rsidRPr="00472578" w14:paraId="586BAFDA" w14:textId="77777777" w:rsidTr="00E722D4">
        <w:tc>
          <w:tcPr>
            <w:tcW w:w="1985" w:type="dxa"/>
          </w:tcPr>
          <w:p w14:paraId="29E6982B" w14:textId="77777777" w:rsidR="009A1120" w:rsidRPr="00472578" w:rsidRDefault="009A1120" w:rsidP="00E92686">
            <w:pPr>
              <w:spacing w:before="60" w:after="60"/>
              <w:jc w:val="both"/>
            </w:pPr>
            <w:r w:rsidRPr="00472578">
              <w:t>RPS</w:t>
            </w:r>
          </w:p>
        </w:tc>
        <w:tc>
          <w:tcPr>
            <w:tcW w:w="7011" w:type="dxa"/>
          </w:tcPr>
          <w:p w14:paraId="0E687560" w14:textId="77777777" w:rsidR="009A1120" w:rsidRPr="00472578" w:rsidRDefault="009A1120" w:rsidP="00E92686">
            <w:pPr>
              <w:spacing w:before="60" w:after="60"/>
              <w:jc w:val="both"/>
            </w:pPr>
            <w:r w:rsidRPr="00472578">
              <w:t>Regional Policy Statement</w:t>
            </w:r>
          </w:p>
        </w:tc>
      </w:tr>
      <w:tr w:rsidR="009A1120" w:rsidRPr="00472578" w14:paraId="4C2DF2AA" w14:textId="77777777" w:rsidTr="00E722D4">
        <w:tc>
          <w:tcPr>
            <w:tcW w:w="1985" w:type="dxa"/>
          </w:tcPr>
          <w:p w14:paraId="36461F14" w14:textId="77777777" w:rsidR="009A1120" w:rsidRPr="00472578" w:rsidRDefault="009A1120" w:rsidP="00E92686">
            <w:pPr>
              <w:spacing w:before="60" w:after="60"/>
              <w:jc w:val="both"/>
            </w:pPr>
            <w:r w:rsidRPr="00472578">
              <w:t>RPS 1998</w:t>
            </w:r>
          </w:p>
        </w:tc>
        <w:tc>
          <w:tcPr>
            <w:tcW w:w="7011" w:type="dxa"/>
          </w:tcPr>
          <w:p w14:paraId="3B2316C9" w14:textId="77777777" w:rsidR="009A1120" w:rsidRPr="00472578" w:rsidRDefault="009A1120" w:rsidP="00E92686">
            <w:pPr>
              <w:spacing w:before="60" w:after="60"/>
              <w:jc w:val="both"/>
            </w:pPr>
            <w:r w:rsidRPr="00472578">
              <w:t>Regional Policy Statement for Otago 1998</w:t>
            </w:r>
          </w:p>
        </w:tc>
      </w:tr>
      <w:bookmarkEnd w:id="29"/>
      <w:tr w:rsidR="009A1120" w:rsidRPr="00472578" w14:paraId="4A91628B" w14:textId="77777777" w:rsidTr="00E722D4">
        <w:tc>
          <w:tcPr>
            <w:tcW w:w="1985" w:type="dxa"/>
          </w:tcPr>
          <w:p w14:paraId="19C32ED7" w14:textId="77777777" w:rsidR="009A1120" w:rsidRPr="00472578" w:rsidRDefault="009A1120" w:rsidP="00E92686">
            <w:pPr>
              <w:spacing w:before="60" w:after="60"/>
              <w:jc w:val="both"/>
            </w:pPr>
            <w:r w:rsidRPr="00472578">
              <w:t>RMA</w:t>
            </w:r>
          </w:p>
        </w:tc>
        <w:tc>
          <w:tcPr>
            <w:tcW w:w="7011" w:type="dxa"/>
          </w:tcPr>
          <w:p w14:paraId="6FE8A1BA" w14:textId="77777777" w:rsidR="009A1120" w:rsidRPr="00472578" w:rsidRDefault="009A1120" w:rsidP="00E92686">
            <w:pPr>
              <w:spacing w:before="60" w:after="60"/>
              <w:jc w:val="both"/>
            </w:pPr>
            <w:r w:rsidRPr="00472578">
              <w:t>Resource Management Act 1991</w:t>
            </w:r>
          </w:p>
        </w:tc>
      </w:tr>
      <w:tr w:rsidR="009A1120" w:rsidRPr="00472578" w14:paraId="18A4DB15" w14:textId="77777777" w:rsidTr="00E722D4">
        <w:tc>
          <w:tcPr>
            <w:tcW w:w="1985" w:type="dxa"/>
          </w:tcPr>
          <w:p w14:paraId="467E3FA5" w14:textId="77777777" w:rsidR="009A1120" w:rsidRPr="00472578" w:rsidRDefault="009A1120" w:rsidP="00E92686">
            <w:pPr>
              <w:spacing w:before="60" w:after="60"/>
              <w:jc w:val="both"/>
            </w:pPr>
            <w:r w:rsidRPr="00472578">
              <w:t>RMS</w:t>
            </w:r>
          </w:p>
        </w:tc>
        <w:tc>
          <w:tcPr>
            <w:tcW w:w="7011" w:type="dxa"/>
          </w:tcPr>
          <w:p w14:paraId="745C6BEA" w14:textId="77777777" w:rsidR="009A1120" w:rsidRPr="00472578" w:rsidRDefault="009A1120" w:rsidP="00E92686">
            <w:pPr>
              <w:spacing w:before="60" w:after="60"/>
              <w:jc w:val="both"/>
            </w:pPr>
            <w:r w:rsidRPr="00472578">
              <w:t>Regional Monitoring Strategy</w:t>
            </w:r>
          </w:p>
        </w:tc>
      </w:tr>
      <w:tr w:rsidR="009A1120" w:rsidRPr="00472578" w14:paraId="7DC82D5D" w14:textId="77777777" w:rsidTr="00E722D4">
        <w:tc>
          <w:tcPr>
            <w:tcW w:w="1985" w:type="dxa"/>
          </w:tcPr>
          <w:p w14:paraId="07757DD6" w14:textId="77777777" w:rsidR="009A1120" w:rsidRPr="00472578" w:rsidRDefault="009A1120" w:rsidP="00E92686">
            <w:pPr>
              <w:spacing w:before="60" w:after="60"/>
              <w:jc w:val="both"/>
            </w:pPr>
            <w:r w:rsidRPr="00472578">
              <w:t>TAs</w:t>
            </w:r>
          </w:p>
        </w:tc>
        <w:tc>
          <w:tcPr>
            <w:tcW w:w="7011" w:type="dxa"/>
          </w:tcPr>
          <w:p w14:paraId="41693FFA" w14:textId="7EA4D096" w:rsidR="009A1120" w:rsidRPr="00472578" w:rsidRDefault="009A1120" w:rsidP="00E92686">
            <w:pPr>
              <w:spacing w:before="60" w:after="60"/>
              <w:jc w:val="both"/>
            </w:pPr>
            <w:r w:rsidRPr="00472578">
              <w:t xml:space="preserve">Territorial authorities: Central Otago District Council, Clutha District Council, </w:t>
            </w:r>
            <w:r w:rsidR="00387799">
              <w:t>DCC</w:t>
            </w:r>
            <w:r w:rsidRPr="00472578">
              <w:t>, Queenstown-Lakes District Council and Waitaki District Council</w:t>
            </w:r>
          </w:p>
        </w:tc>
      </w:tr>
      <w:tr w:rsidR="009A1120" w:rsidRPr="00472578" w14:paraId="1EB8B49D" w14:textId="77777777" w:rsidTr="00E722D4">
        <w:tc>
          <w:tcPr>
            <w:tcW w:w="1985" w:type="dxa"/>
          </w:tcPr>
          <w:p w14:paraId="038136EF" w14:textId="77777777" w:rsidR="009A1120" w:rsidRPr="00472578" w:rsidRDefault="009A1120" w:rsidP="00E92686">
            <w:pPr>
              <w:spacing w:before="60" w:after="60"/>
              <w:jc w:val="both"/>
            </w:pPr>
            <w:r w:rsidRPr="00472578">
              <w:t>Waste Plan</w:t>
            </w:r>
          </w:p>
        </w:tc>
        <w:tc>
          <w:tcPr>
            <w:tcW w:w="7011" w:type="dxa"/>
          </w:tcPr>
          <w:p w14:paraId="0F2522E7" w14:textId="77777777" w:rsidR="009A1120" w:rsidRPr="00472578" w:rsidRDefault="009A1120" w:rsidP="00E92686">
            <w:pPr>
              <w:spacing w:before="60" w:after="60"/>
              <w:jc w:val="both"/>
            </w:pPr>
            <w:r w:rsidRPr="00472578">
              <w:t>Regional Plan: Waste for Otago</w:t>
            </w:r>
          </w:p>
        </w:tc>
      </w:tr>
      <w:tr w:rsidR="009A1120" w:rsidRPr="00472578" w14:paraId="4B990583" w14:textId="77777777" w:rsidTr="00E722D4">
        <w:tc>
          <w:tcPr>
            <w:tcW w:w="1985" w:type="dxa"/>
          </w:tcPr>
          <w:p w14:paraId="2EF5A375" w14:textId="77777777" w:rsidR="009A1120" w:rsidRPr="00472578" w:rsidRDefault="009A1120" w:rsidP="00E92686">
            <w:pPr>
              <w:spacing w:before="60" w:after="60"/>
              <w:jc w:val="both"/>
            </w:pPr>
            <w:r w:rsidRPr="00472578">
              <w:t>Water Plan</w:t>
            </w:r>
          </w:p>
        </w:tc>
        <w:tc>
          <w:tcPr>
            <w:tcW w:w="7011" w:type="dxa"/>
          </w:tcPr>
          <w:p w14:paraId="208C90BA" w14:textId="77777777" w:rsidR="009A1120" w:rsidRPr="00472578" w:rsidRDefault="009A1120" w:rsidP="00E92686">
            <w:pPr>
              <w:spacing w:before="60" w:after="60"/>
              <w:jc w:val="both"/>
            </w:pPr>
            <w:r w:rsidRPr="00472578">
              <w:t>Regional Plan: Water for Otago</w:t>
            </w:r>
          </w:p>
        </w:tc>
      </w:tr>
      <w:tr w:rsidR="009A1120" w:rsidRPr="00472578" w14:paraId="618F281B" w14:textId="77777777" w:rsidTr="00E722D4">
        <w:tc>
          <w:tcPr>
            <w:tcW w:w="1985" w:type="dxa"/>
          </w:tcPr>
          <w:p w14:paraId="4875598B" w14:textId="77777777" w:rsidR="009A1120" w:rsidRPr="00472578" w:rsidRDefault="009A1120" w:rsidP="00E92686">
            <w:pPr>
              <w:spacing w:before="60" w:after="60"/>
              <w:jc w:val="both"/>
            </w:pPr>
            <w:r w:rsidRPr="00472578">
              <w:t>WDC</w:t>
            </w:r>
          </w:p>
        </w:tc>
        <w:tc>
          <w:tcPr>
            <w:tcW w:w="7011" w:type="dxa"/>
          </w:tcPr>
          <w:p w14:paraId="58F8F300" w14:textId="77777777" w:rsidR="009A1120" w:rsidRPr="00472578" w:rsidRDefault="009A1120" w:rsidP="00E92686">
            <w:pPr>
              <w:spacing w:before="60" w:after="60"/>
              <w:jc w:val="both"/>
            </w:pPr>
            <w:r w:rsidRPr="00472578">
              <w:t>Waitaki District Council</w:t>
            </w:r>
          </w:p>
        </w:tc>
      </w:tr>
    </w:tbl>
    <w:p w14:paraId="4C027D3B" w14:textId="77777777" w:rsidR="009A1120" w:rsidRPr="00472578" w:rsidRDefault="009A1120" w:rsidP="00E92686">
      <w:pPr>
        <w:jc w:val="both"/>
        <w:rPr>
          <w:rFonts w:asciiTheme="majorHAnsi" w:eastAsiaTheme="majorEastAsia" w:hAnsiTheme="majorHAnsi" w:cstheme="majorBidi"/>
          <w:color w:val="2F5496" w:themeColor="accent1" w:themeShade="BF"/>
          <w:sz w:val="32"/>
          <w:szCs w:val="26"/>
        </w:rPr>
      </w:pPr>
      <w:r w:rsidRPr="00472578">
        <w:br w:type="page"/>
      </w:r>
    </w:p>
    <w:p w14:paraId="168B3014" w14:textId="77777777" w:rsidR="009A1120" w:rsidRPr="00472578" w:rsidRDefault="009A1120" w:rsidP="00E92686">
      <w:pPr>
        <w:pStyle w:val="Heading2"/>
        <w:jc w:val="both"/>
      </w:pPr>
      <w:bookmarkStart w:id="30" w:name="_Toc73105351"/>
      <w:bookmarkStart w:id="31" w:name="_Toc102551272"/>
      <w:r w:rsidRPr="00472578">
        <w:lastRenderedPageBreak/>
        <w:t>National direction instruments</w:t>
      </w:r>
      <w:bookmarkEnd w:id="27"/>
      <w:bookmarkEnd w:id="28"/>
      <w:bookmarkEnd w:id="30"/>
      <w:bookmarkEnd w:id="31"/>
    </w:p>
    <w:p w14:paraId="74C03B77" w14:textId="77777777" w:rsidR="009A1120" w:rsidRPr="00472578" w:rsidRDefault="009A1120" w:rsidP="00E92686">
      <w:pPr>
        <w:pStyle w:val="Heading3"/>
        <w:jc w:val="both"/>
      </w:pPr>
      <w:bookmarkStart w:id="32" w:name="_Toc49763440"/>
      <w:r w:rsidRPr="00472578">
        <w:t>National policy statements and New Zealand Coastal Policy Statement</w:t>
      </w:r>
      <w:bookmarkEnd w:id="32"/>
    </w:p>
    <w:tbl>
      <w:tblPr>
        <w:tblStyle w:val="TableGrid"/>
        <w:tblW w:w="0" w:type="auto"/>
        <w:tblLook w:val="04A0" w:firstRow="1" w:lastRow="0" w:firstColumn="1" w:lastColumn="0" w:noHBand="0" w:noVBand="1"/>
      </w:tblPr>
      <w:tblGrid>
        <w:gridCol w:w="4508"/>
        <w:gridCol w:w="4508"/>
      </w:tblGrid>
      <w:tr w:rsidR="009A1120" w:rsidRPr="00472578" w14:paraId="22DC99F9" w14:textId="77777777" w:rsidTr="00E722D4">
        <w:tc>
          <w:tcPr>
            <w:tcW w:w="9016" w:type="dxa"/>
            <w:gridSpan w:val="2"/>
            <w:shd w:val="clear" w:color="auto" w:fill="1F3864" w:themeFill="accent1" w:themeFillShade="80"/>
          </w:tcPr>
          <w:p w14:paraId="0DB63A05" w14:textId="77777777" w:rsidR="009A1120" w:rsidRPr="00472578" w:rsidRDefault="009A1120" w:rsidP="00E92686">
            <w:pPr>
              <w:tabs>
                <w:tab w:val="center" w:pos="4513"/>
                <w:tab w:val="right" w:pos="9026"/>
              </w:tabs>
              <w:jc w:val="both"/>
            </w:pPr>
            <w:r w:rsidRPr="00472578">
              <w:t>National Policy Statements</w:t>
            </w:r>
          </w:p>
        </w:tc>
      </w:tr>
      <w:tr w:rsidR="009A1120" w:rsidRPr="00472578" w14:paraId="3BB5E607" w14:textId="77777777" w:rsidTr="00E722D4">
        <w:tc>
          <w:tcPr>
            <w:tcW w:w="9016" w:type="dxa"/>
            <w:gridSpan w:val="2"/>
          </w:tcPr>
          <w:p w14:paraId="040BBC3A" w14:textId="77777777" w:rsidR="009A1120" w:rsidRPr="00472578" w:rsidRDefault="009A1120" w:rsidP="00E92686">
            <w:pPr>
              <w:tabs>
                <w:tab w:val="center" w:pos="4513"/>
                <w:tab w:val="right" w:pos="9026"/>
              </w:tabs>
              <w:spacing w:before="120" w:after="160"/>
              <w:jc w:val="both"/>
            </w:pPr>
            <w:r w:rsidRPr="00472578">
              <w:t xml:space="preserve">National policy statements (NPSs) and the New Zealand Coastal Policy Statement (NZCPS) form part of the Resource Management Act’s policy framework and are prepared by central government. NPSs and the NZCPS contain objectives, polices and methods that must be given effect to by policy statements and plans. NPSs and the NZCPS must also be given regard to by consent authorities when making decisions on </w:t>
            </w:r>
            <w:r w:rsidRPr="00472578">
              <w:rPr>
                <w:i/>
                <w:iCs/>
              </w:rPr>
              <w:t>resource consent</w:t>
            </w:r>
            <w:r w:rsidRPr="00472578">
              <w:t xml:space="preserve"> applications, alongside other considerations. </w:t>
            </w:r>
          </w:p>
          <w:p w14:paraId="5140BD95" w14:textId="77777777" w:rsidR="009A1120" w:rsidRPr="00472578" w:rsidRDefault="009A1120" w:rsidP="00E92686">
            <w:pPr>
              <w:tabs>
                <w:tab w:val="center" w:pos="4513"/>
                <w:tab w:val="right" w:pos="9026"/>
              </w:tabs>
              <w:spacing w:after="160"/>
              <w:jc w:val="both"/>
              <w:rPr>
                <w:highlight w:val="yellow"/>
              </w:rPr>
            </w:pPr>
            <w:r w:rsidRPr="00472578">
              <w:t>The following table provides an overview of whether any relevant review/s of the Otago Regional Policy Statement has been undertaken in relation to NPSs and the NZCPS.</w:t>
            </w:r>
          </w:p>
        </w:tc>
      </w:tr>
      <w:tr w:rsidR="009A1120" w:rsidRPr="00472578" w14:paraId="75FF2732" w14:textId="77777777" w:rsidTr="00E722D4">
        <w:tc>
          <w:tcPr>
            <w:tcW w:w="4508" w:type="dxa"/>
          </w:tcPr>
          <w:p w14:paraId="4C467FC5" w14:textId="77777777" w:rsidR="009A1120" w:rsidRPr="00472578" w:rsidRDefault="00D22F06" w:rsidP="00E92686">
            <w:pPr>
              <w:tabs>
                <w:tab w:val="left" w:pos="1050"/>
                <w:tab w:val="center" w:pos="4513"/>
                <w:tab w:val="right" w:pos="9026"/>
              </w:tabs>
              <w:spacing w:before="60" w:after="60"/>
              <w:jc w:val="both"/>
              <w:rPr>
                <w:highlight w:val="yellow"/>
              </w:rPr>
            </w:pPr>
            <w:hyperlink r:id="rId13" w:history="1">
              <w:r w:rsidR="009A1120" w:rsidRPr="00472578">
                <w:rPr>
                  <w:color w:val="0000FF"/>
                  <w:u w:val="single"/>
                </w:rPr>
                <w:t>National Policy Statement on Electricity Transmission 2008</w:t>
              </w:r>
            </w:hyperlink>
          </w:p>
        </w:tc>
        <w:tc>
          <w:tcPr>
            <w:tcW w:w="4508" w:type="dxa"/>
          </w:tcPr>
          <w:p w14:paraId="47A0919E" w14:textId="77777777" w:rsidR="009A1120" w:rsidRPr="00472578" w:rsidRDefault="009A1120" w:rsidP="00E92686">
            <w:pPr>
              <w:tabs>
                <w:tab w:val="center" w:pos="4513"/>
                <w:tab w:val="right" w:pos="9026"/>
              </w:tabs>
              <w:spacing w:before="60" w:after="60"/>
              <w:jc w:val="both"/>
              <w:rPr>
                <w:highlight w:val="yellow"/>
              </w:rPr>
            </w:pPr>
            <w:r w:rsidRPr="00472578">
              <w:t>The policy statement has been reviewed in May 2021</w:t>
            </w:r>
          </w:p>
        </w:tc>
      </w:tr>
      <w:tr w:rsidR="009A1120" w:rsidRPr="00472578" w14:paraId="31616583" w14:textId="77777777" w:rsidTr="00E722D4">
        <w:tc>
          <w:tcPr>
            <w:tcW w:w="4508" w:type="dxa"/>
          </w:tcPr>
          <w:p w14:paraId="588FB055" w14:textId="77777777" w:rsidR="009A1120" w:rsidRPr="00472578" w:rsidRDefault="00D22F06" w:rsidP="00E92686">
            <w:pPr>
              <w:tabs>
                <w:tab w:val="left" w:pos="1050"/>
                <w:tab w:val="center" w:pos="4513"/>
                <w:tab w:val="right" w:pos="9026"/>
              </w:tabs>
              <w:spacing w:before="60" w:after="60"/>
              <w:jc w:val="both"/>
            </w:pPr>
            <w:hyperlink r:id="rId14" w:history="1">
              <w:r w:rsidR="009A1120" w:rsidRPr="00472578">
                <w:rPr>
                  <w:color w:val="0000FF"/>
                  <w:u w:val="single"/>
                </w:rPr>
                <w:t>New Zealand Coastal Policy Statement 2010</w:t>
              </w:r>
            </w:hyperlink>
          </w:p>
        </w:tc>
        <w:tc>
          <w:tcPr>
            <w:tcW w:w="4508" w:type="dxa"/>
          </w:tcPr>
          <w:p w14:paraId="1B6CA0CC" w14:textId="77777777" w:rsidR="009A1120" w:rsidRPr="00472578" w:rsidRDefault="009A1120" w:rsidP="00E92686">
            <w:pPr>
              <w:tabs>
                <w:tab w:val="center" w:pos="4513"/>
                <w:tab w:val="right" w:pos="9026"/>
              </w:tabs>
              <w:spacing w:before="60" w:after="60"/>
              <w:jc w:val="both"/>
            </w:pPr>
            <w:r w:rsidRPr="00472578">
              <w:t>The policy statement has been reviewed in May 2021</w:t>
            </w:r>
          </w:p>
        </w:tc>
      </w:tr>
      <w:tr w:rsidR="009A1120" w:rsidRPr="00472578" w14:paraId="23C71755" w14:textId="77777777" w:rsidTr="00E722D4">
        <w:tc>
          <w:tcPr>
            <w:tcW w:w="4508" w:type="dxa"/>
          </w:tcPr>
          <w:p w14:paraId="00801D4C" w14:textId="77777777" w:rsidR="009A1120" w:rsidRPr="00472578" w:rsidRDefault="00D22F06" w:rsidP="00E92686">
            <w:pPr>
              <w:tabs>
                <w:tab w:val="left" w:pos="1050"/>
                <w:tab w:val="center" w:pos="4513"/>
                <w:tab w:val="right" w:pos="9026"/>
              </w:tabs>
              <w:spacing w:before="60" w:after="60"/>
              <w:jc w:val="both"/>
            </w:pPr>
            <w:hyperlink r:id="rId15" w:history="1">
              <w:r w:rsidR="009A1120" w:rsidRPr="00472578">
                <w:rPr>
                  <w:color w:val="0000FF"/>
                  <w:u w:val="single"/>
                </w:rPr>
                <w:t>National Policy Statement for Renewable Electricity Generation 2011</w:t>
              </w:r>
            </w:hyperlink>
          </w:p>
        </w:tc>
        <w:tc>
          <w:tcPr>
            <w:tcW w:w="4508" w:type="dxa"/>
          </w:tcPr>
          <w:p w14:paraId="4DF0A3C2" w14:textId="77777777" w:rsidR="009A1120" w:rsidRPr="00472578" w:rsidRDefault="009A1120" w:rsidP="00E92686">
            <w:pPr>
              <w:tabs>
                <w:tab w:val="center" w:pos="4513"/>
                <w:tab w:val="right" w:pos="9026"/>
              </w:tabs>
              <w:spacing w:before="60" w:after="60"/>
              <w:jc w:val="both"/>
            </w:pPr>
            <w:r w:rsidRPr="00472578">
              <w:t>The policy statement has been reviewed in May 2021</w:t>
            </w:r>
          </w:p>
        </w:tc>
      </w:tr>
      <w:tr w:rsidR="009A1120" w:rsidRPr="00472578" w14:paraId="5CCE5D02" w14:textId="77777777" w:rsidTr="00E722D4">
        <w:tc>
          <w:tcPr>
            <w:tcW w:w="4508" w:type="dxa"/>
          </w:tcPr>
          <w:p w14:paraId="27D6CC41" w14:textId="77777777" w:rsidR="009A1120" w:rsidRPr="00472578" w:rsidRDefault="00D22F06" w:rsidP="00E92686">
            <w:pPr>
              <w:tabs>
                <w:tab w:val="center" w:pos="4513"/>
                <w:tab w:val="right" w:pos="9026"/>
              </w:tabs>
              <w:spacing w:before="60" w:after="60"/>
              <w:jc w:val="both"/>
              <w:rPr>
                <w:highlight w:val="yellow"/>
              </w:rPr>
            </w:pPr>
            <w:hyperlink r:id="rId16" w:history="1">
              <w:r w:rsidR="009A1120" w:rsidRPr="00472578">
                <w:rPr>
                  <w:color w:val="0000FF"/>
                  <w:u w:val="single"/>
                </w:rPr>
                <w:t>National Policy Statement for Freshwater Management 2020</w:t>
              </w:r>
            </w:hyperlink>
          </w:p>
        </w:tc>
        <w:tc>
          <w:tcPr>
            <w:tcW w:w="4508" w:type="dxa"/>
          </w:tcPr>
          <w:p w14:paraId="7666B22D" w14:textId="77777777" w:rsidR="009A1120" w:rsidRPr="00472578" w:rsidRDefault="009A1120" w:rsidP="00E92686">
            <w:pPr>
              <w:tabs>
                <w:tab w:val="center" w:pos="4513"/>
                <w:tab w:val="right" w:pos="9026"/>
              </w:tabs>
              <w:spacing w:before="60" w:after="60"/>
              <w:jc w:val="both"/>
              <w:rPr>
                <w:highlight w:val="yellow"/>
              </w:rPr>
            </w:pPr>
            <w:r w:rsidRPr="00472578">
              <w:t>The policy statement has been reviewed in May 2021</w:t>
            </w:r>
          </w:p>
        </w:tc>
      </w:tr>
      <w:tr w:rsidR="009A1120" w:rsidRPr="00472578" w14:paraId="22789905" w14:textId="77777777" w:rsidTr="00E722D4">
        <w:tc>
          <w:tcPr>
            <w:tcW w:w="4508" w:type="dxa"/>
          </w:tcPr>
          <w:p w14:paraId="73D30EE2" w14:textId="77777777" w:rsidR="009A1120" w:rsidRPr="00472578" w:rsidRDefault="00D22F06" w:rsidP="00E92686">
            <w:pPr>
              <w:tabs>
                <w:tab w:val="center" w:pos="4513"/>
                <w:tab w:val="right" w:pos="9026"/>
              </w:tabs>
              <w:spacing w:before="60" w:after="60"/>
              <w:jc w:val="both"/>
              <w:rPr>
                <w:highlight w:val="yellow"/>
              </w:rPr>
            </w:pPr>
            <w:hyperlink r:id="rId17" w:history="1">
              <w:r w:rsidR="009A1120" w:rsidRPr="00472578">
                <w:rPr>
                  <w:color w:val="0000FF"/>
                  <w:u w:val="single"/>
                </w:rPr>
                <w:t>National Policy Statement on Urban Development (2020)</w:t>
              </w:r>
            </w:hyperlink>
          </w:p>
        </w:tc>
        <w:tc>
          <w:tcPr>
            <w:tcW w:w="4508" w:type="dxa"/>
          </w:tcPr>
          <w:p w14:paraId="02EEE94B" w14:textId="77777777" w:rsidR="009A1120" w:rsidRPr="00472578" w:rsidRDefault="009A1120" w:rsidP="00E92686">
            <w:pPr>
              <w:tabs>
                <w:tab w:val="center" w:pos="4513"/>
                <w:tab w:val="right" w:pos="9026"/>
              </w:tabs>
              <w:spacing w:before="60" w:after="60"/>
              <w:jc w:val="both"/>
              <w:rPr>
                <w:highlight w:val="yellow"/>
              </w:rPr>
            </w:pPr>
            <w:r w:rsidRPr="00472578">
              <w:t>The policy statement has been reviewed in May 2021</w:t>
            </w:r>
          </w:p>
        </w:tc>
      </w:tr>
    </w:tbl>
    <w:p w14:paraId="07932632" w14:textId="77777777" w:rsidR="009A1120" w:rsidRPr="00472578" w:rsidRDefault="009A1120" w:rsidP="00E92686">
      <w:pPr>
        <w:jc w:val="both"/>
        <w:rPr>
          <w:highlight w:val="yellow"/>
        </w:rPr>
      </w:pPr>
    </w:p>
    <w:p w14:paraId="332CFA52" w14:textId="77777777" w:rsidR="009A1120" w:rsidRPr="00472578" w:rsidRDefault="009A1120" w:rsidP="00E92686">
      <w:pPr>
        <w:pStyle w:val="Heading3"/>
        <w:jc w:val="both"/>
      </w:pPr>
      <w:bookmarkStart w:id="33" w:name="_Toc49763441"/>
      <w:r w:rsidRPr="00472578">
        <w:t>National environmental standards</w:t>
      </w:r>
      <w:bookmarkEnd w:id="33"/>
    </w:p>
    <w:tbl>
      <w:tblPr>
        <w:tblStyle w:val="TableGrid"/>
        <w:tblW w:w="0" w:type="auto"/>
        <w:tblLook w:val="04A0" w:firstRow="1" w:lastRow="0" w:firstColumn="1" w:lastColumn="0" w:noHBand="0" w:noVBand="1"/>
      </w:tblPr>
      <w:tblGrid>
        <w:gridCol w:w="9016"/>
      </w:tblGrid>
      <w:tr w:rsidR="009A1120" w:rsidRPr="00472578" w14:paraId="16B9FA68" w14:textId="77777777" w:rsidTr="00E722D4">
        <w:tc>
          <w:tcPr>
            <w:tcW w:w="9016" w:type="dxa"/>
            <w:shd w:val="clear" w:color="auto" w:fill="1F3864" w:themeFill="accent1" w:themeFillShade="80"/>
          </w:tcPr>
          <w:p w14:paraId="5F8BF16E" w14:textId="77777777" w:rsidR="009A1120" w:rsidRPr="00472578" w:rsidRDefault="009A1120" w:rsidP="00E92686">
            <w:pPr>
              <w:tabs>
                <w:tab w:val="center" w:pos="4513"/>
                <w:tab w:val="right" w:pos="9026"/>
              </w:tabs>
              <w:jc w:val="both"/>
            </w:pPr>
            <w:r w:rsidRPr="00472578">
              <w:t>National Environmental Standards</w:t>
            </w:r>
          </w:p>
        </w:tc>
      </w:tr>
      <w:tr w:rsidR="009A1120" w:rsidRPr="00472578" w14:paraId="12106CDB" w14:textId="77777777" w:rsidTr="00E722D4">
        <w:trPr>
          <w:trHeight w:val="841"/>
        </w:trPr>
        <w:tc>
          <w:tcPr>
            <w:tcW w:w="9016" w:type="dxa"/>
          </w:tcPr>
          <w:p w14:paraId="77C81B67" w14:textId="77777777" w:rsidR="009A1120" w:rsidRPr="00472578" w:rsidRDefault="009A1120" w:rsidP="00E92686">
            <w:pPr>
              <w:tabs>
                <w:tab w:val="center" w:pos="4513"/>
                <w:tab w:val="right" w:pos="9026"/>
              </w:tabs>
              <w:spacing w:before="120" w:after="160"/>
              <w:jc w:val="both"/>
            </w:pPr>
            <w:r w:rsidRPr="00472578">
              <w:t xml:space="preserve">National environmental standards (NESs) are prepared by central government and can prescribe technical standards, methods (including rules) and/or other requirements for environmental matters throughout the whole country or specific areas. If an activity doesn’t comply with an NES, it is likely to require a </w:t>
            </w:r>
            <w:r w:rsidRPr="00472578">
              <w:rPr>
                <w:i/>
                <w:iCs/>
              </w:rPr>
              <w:t>resource consent</w:t>
            </w:r>
            <w:r w:rsidRPr="00472578">
              <w:t xml:space="preserve">. NESs must be observed and enforced by </w:t>
            </w:r>
            <w:r w:rsidRPr="00472578">
              <w:rPr>
                <w:i/>
                <w:iCs/>
              </w:rPr>
              <w:t>local authorities</w:t>
            </w:r>
            <w:r w:rsidRPr="00472578">
              <w:t>. The following relevant NESs are currently in force:</w:t>
            </w:r>
          </w:p>
          <w:p w14:paraId="52D04464" w14:textId="77777777" w:rsidR="009A1120" w:rsidRPr="00472578" w:rsidRDefault="00D22F06" w:rsidP="00E92686">
            <w:pPr>
              <w:numPr>
                <w:ilvl w:val="0"/>
                <w:numId w:val="11"/>
              </w:numPr>
              <w:tabs>
                <w:tab w:val="center" w:pos="4513"/>
                <w:tab w:val="right" w:pos="9026"/>
              </w:tabs>
              <w:spacing w:after="60"/>
              <w:ind w:left="590" w:hanging="567"/>
              <w:jc w:val="both"/>
            </w:pPr>
            <w:hyperlink r:id="rId18" w:history="1">
              <w:r w:rsidR="009A1120" w:rsidRPr="00472578">
                <w:rPr>
                  <w:color w:val="0000FF"/>
                  <w:u w:val="single"/>
                </w:rPr>
                <w:t>Resource Management (National Environmental Standards for Air Quality) Regulations 2004 (amended 2011)</w:t>
              </w:r>
            </w:hyperlink>
          </w:p>
          <w:p w14:paraId="1ADC817A" w14:textId="77777777" w:rsidR="009A1120" w:rsidRPr="00472578" w:rsidRDefault="00D22F06" w:rsidP="00E92686">
            <w:pPr>
              <w:numPr>
                <w:ilvl w:val="0"/>
                <w:numId w:val="11"/>
              </w:numPr>
              <w:tabs>
                <w:tab w:val="center" w:pos="4513"/>
                <w:tab w:val="right" w:pos="9026"/>
              </w:tabs>
              <w:spacing w:after="60"/>
              <w:ind w:left="590" w:hanging="567"/>
              <w:jc w:val="both"/>
            </w:pPr>
            <w:hyperlink r:id="rId19" w:history="1">
              <w:r w:rsidR="009A1120" w:rsidRPr="00472578">
                <w:rPr>
                  <w:color w:val="0000FF"/>
                  <w:u w:val="single"/>
                </w:rPr>
                <w:t>Resource Management (National Environmental Standards for Sources of Human Drinking Water) Regulations 2007</w:t>
              </w:r>
            </w:hyperlink>
          </w:p>
          <w:p w14:paraId="185FF44C" w14:textId="77777777" w:rsidR="009A1120" w:rsidRPr="00472578" w:rsidRDefault="00D22F06" w:rsidP="00E92686">
            <w:pPr>
              <w:numPr>
                <w:ilvl w:val="0"/>
                <w:numId w:val="11"/>
              </w:numPr>
              <w:tabs>
                <w:tab w:val="center" w:pos="4513"/>
                <w:tab w:val="right" w:pos="9026"/>
              </w:tabs>
              <w:spacing w:after="60"/>
              <w:ind w:left="590" w:hanging="567"/>
              <w:jc w:val="both"/>
            </w:pPr>
            <w:hyperlink r:id="rId20" w:history="1">
              <w:r w:rsidR="009A1120" w:rsidRPr="00472578">
                <w:rPr>
                  <w:color w:val="0000FF"/>
                  <w:u w:val="single"/>
                </w:rPr>
                <w:t>Resource Management (National Environmental Standards for Electricity Transmission Activities) Regulations 2009</w:t>
              </w:r>
            </w:hyperlink>
          </w:p>
          <w:p w14:paraId="342BCC52" w14:textId="77777777" w:rsidR="009A1120" w:rsidRPr="00472578" w:rsidRDefault="00D22F06" w:rsidP="00E92686">
            <w:pPr>
              <w:numPr>
                <w:ilvl w:val="0"/>
                <w:numId w:val="11"/>
              </w:numPr>
              <w:tabs>
                <w:tab w:val="center" w:pos="4513"/>
                <w:tab w:val="right" w:pos="9026"/>
              </w:tabs>
              <w:spacing w:after="60"/>
              <w:ind w:left="590" w:hanging="567"/>
              <w:jc w:val="both"/>
            </w:pPr>
            <w:hyperlink r:id="rId21" w:history="1">
              <w:r w:rsidR="009A1120" w:rsidRPr="00472578">
                <w:rPr>
                  <w:color w:val="0000FF"/>
                  <w:u w:val="single"/>
                </w:rPr>
                <w:t>Resource Management (National Environmental Standard for Assessing and Managing Contaminants in Soil to Protect Human Health) Regulations 2011</w:t>
              </w:r>
            </w:hyperlink>
          </w:p>
          <w:p w14:paraId="0F4A2EEC" w14:textId="77777777" w:rsidR="009A1120" w:rsidRPr="00472578" w:rsidRDefault="00D22F06" w:rsidP="00E92686">
            <w:pPr>
              <w:numPr>
                <w:ilvl w:val="0"/>
                <w:numId w:val="11"/>
              </w:numPr>
              <w:tabs>
                <w:tab w:val="center" w:pos="4513"/>
                <w:tab w:val="right" w:pos="9026"/>
              </w:tabs>
              <w:spacing w:after="60"/>
              <w:ind w:left="590" w:hanging="567"/>
              <w:jc w:val="both"/>
            </w:pPr>
            <w:hyperlink r:id="rId22" w:history="1">
              <w:r w:rsidR="009A1120" w:rsidRPr="00472578">
                <w:rPr>
                  <w:color w:val="0000FF"/>
                  <w:u w:val="single"/>
                </w:rPr>
                <w:t>Resource Management (National Environmental Standards for Telecommunications Facilities) Regulations 2016</w:t>
              </w:r>
            </w:hyperlink>
          </w:p>
          <w:p w14:paraId="2BF6D200" w14:textId="77777777" w:rsidR="009A1120" w:rsidRPr="00472578" w:rsidRDefault="00D22F06" w:rsidP="00E92686">
            <w:pPr>
              <w:numPr>
                <w:ilvl w:val="0"/>
                <w:numId w:val="11"/>
              </w:numPr>
              <w:tabs>
                <w:tab w:val="center" w:pos="4513"/>
                <w:tab w:val="right" w:pos="9026"/>
              </w:tabs>
              <w:spacing w:after="60"/>
              <w:ind w:left="590" w:hanging="567"/>
              <w:jc w:val="both"/>
            </w:pPr>
            <w:hyperlink r:id="rId23" w:history="1">
              <w:r w:rsidR="009A1120" w:rsidRPr="00472578">
                <w:rPr>
                  <w:color w:val="0000FF"/>
                  <w:u w:val="single"/>
                </w:rPr>
                <w:t>Resource Management (National Environmental Standard for Plantation Forestry) Regulations 2017</w:t>
              </w:r>
            </w:hyperlink>
          </w:p>
          <w:p w14:paraId="36E321AB" w14:textId="77777777" w:rsidR="009A1120" w:rsidRPr="00472578" w:rsidRDefault="00D22F06" w:rsidP="00E92686">
            <w:pPr>
              <w:numPr>
                <w:ilvl w:val="0"/>
                <w:numId w:val="11"/>
              </w:numPr>
              <w:tabs>
                <w:tab w:val="center" w:pos="4513"/>
                <w:tab w:val="right" w:pos="9026"/>
              </w:tabs>
              <w:spacing w:after="60"/>
              <w:ind w:left="590" w:hanging="567"/>
              <w:jc w:val="both"/>
            </w:pPr>
            <w:hyperlink r:id="rId24" w:history="1">
              <w:r w:rsidR="009A1120" w:rsidRPr="00472578">
                <w:rPr>
                  <w:color w:val="0000FF"/>
                  <w:u w:val="single"/>
                </w:rPr>
                <w:t>Resource Management (National Environmental Standards for Freshwater) Regulations 2020</w:t>
              </w:r>
            </w:hyperlink>
          </w:p>
          <w:p w14:paraId="428F6487" w14:textId="77777777" w:rsidR="009A1120" w:rsidRPr="00472578" w:rsidRDefault="00D22F06" w:rsidP="00E92686">
            <w:pPr>
              <w:numPr>
                <w:ilvl w:val="0"/>
                <w:numId w:val="11"/>
              </w:numPr>
              <w:tabs>
                <w:tab w:val="center" w:pos="4513"/>
                <w:tab w:val="right" w:pos="9026"/>
              </w:tabs>
              <w:spacing w:after="60"/>
              <w:ind w:left="590" w:hanging="567"/>
              <w:jc w:val="both"/>
            </w:pPr>
            <w:hyperlink r:id="rId25" w:history="1">
              <w:r w:rsidR="009A1120" w:rsidRPr="00472578">
                <w:rPr>
                  <w:color w:val="0000FF"/>
                  <w:u w:val="single"/>
                </w:rPr>
                <w:t>Resource Management (National Environmental Standards for Marine Aquaculture) Regulations 2020</w:t>
              </w:r>
            </w:hyperlink>
          </w:p>
        </w:tc>
      </w:tr>
    </w:tbl>
    <w:p w14:paraId="1B2CD0EC" w14:textId="77777777" w:rsidR="009A1120" w:rsidRPr="00472578" w:rsidRDefault="009A1120" w:rsidP="00E92686">
      <w:pPr>
        <w:pStyle w:val="Heading3"/>
        <w:jc w:val="both"/>
      </w:pPr>
      <w:bookmarkStart w:id="34" w:name="_Toc49763442"/>
      <w:r w:rsidRPr="00472578">
        <w:lastRenderedPageBreak/>
        <w:t>Regulations</w:t>
      </w:r>
      <w:bookmarkEnd w:id="34"/>
    </w:p>
    <w:tbl>
      <w:tblPr>
        <w:tblStyle w:val="TableGrid"/>
        <w:tblW w:w="0" w:type="auto"/>
        <w:tblLook w:val="04A0" w:firstRow="1" w:lastRow="0" w:firstColumn="1" w:lastColumn="0" w:noHBand="0" w:noVBand="1"/>
      </w:tblPr>
      <w:tblGrid>
        <w:gridCol w:w="9016"/>
      </w:tblGrid>
      <w:tr w:rsidR="009A1120" w:rsidRPr="00472578" w14:paraId="3B8272C3" w14:textId="77777777" w:rsidTr="00E722D4">
        <w:tc>
          <w:tcPr>
            <w:tcW w:w="9016" w:type="dxa"/>
            <w:shd w:val="clear" w:color="auto" w:fill="1F3864" w:themeFill="accent1" w:themeFillShade="80"/>
          </w:tcPr>
          <w:p w14:paraId="2157AC87" w14:textId="77777777" w:rsidR="009A1120" w:rsidRPr="00472578" w:rsidRDefault="009A1120" w:rsidP="00E92686">
            <w:pPr>
              <w:tabs>
                <w:tab w:val="center" w:pos="4513"/>
                <w:tab w:val="right" w:pos="9026"/>
              </w:tabs>
              <w:jc w:val="both"/>
            </w:pPr>
            <w:r w:rsidRPr="00472578">
              <w:t>Regulations</w:t>
            </w:r>
          </w:p>
        </w:tc>
      </w:tr>
      <w:tr w:rsidR="009A1120" w:rsidRPr="00472578" w14:paraId="7A6AC48F" w14:textId="77777777" w:rsidTr="00E722D4">
        <w:trPr>
          <w:trHeight w:val="3578"/>
        </w:trPr>
        <w:tc>
          <w:tcPr>
            <w:tcW w:w="9016" w:type="dxa"/>
          </w:tcPr>
          <w:p w14:paraId="167973C4" w14:textId="77777777" w:rsidR="009A1120" w:rsidRPr="00472578" w:rsidRDefault="009A1120" w:rsidP="00E92686">
            <w:pPr>
              <w:tabs>
                <w:tab w:val="center" w:pos="4513"/>
                <w:tab w:val="right" w:pos="9026"/>
              </w:tabs>
              <w:spacing w:before="120" w:after="160"/>
              <w:jc w:val="both"/>
            </w:pPr>
            <w:r w:rsidRPr="00472578">
              <w:t>The regulations included in this chapter come under the Resource Management Act 1991 (excluding the national environmental standards listed above). These regulations are:</w:t>
            </w:r>
          </w:p>
          <w:p w14:paraId="4C5AE046" w14:textId="77777777" w:rsidR="009A1120" w:rsidRPr="00472578" w:rsidRDefault="00D22F06" w:rsidP="00E92686">
            <w:pPr>
              <w:numPr>
                <w:ilvl w:val="0"/>
                <w:numId w:val="12"/>
              </w:numPr>
              <w:tabs>
                <w:tab w:val="center" w:pos="4513"/>
                <w:tab w:val="right" w:pos="9026"/>
              </w:tabs>
              <w:spacing w:after="60"/>
              <w:ind w:left="590" w:hanging="567"/>
              <w:jc w:val="both"/>
            </w:pPr>
            <w:hyperlink r:id="rId26" w:history="1">
              <w:r w:rsidR="009A1120" w:rsidRPr="00472578">
                <w:rPr>
                  <w:color w:val="0000FF"/>
                  <w:u w:val="single"/>
                </w:rPr>
                <w:t>Resource Management (Transitional, Fees, Rents, and Royalties) Regulations 1991</w:t>
              </w:r>
            </w:hyperlink>
          </w:p>
          <w:p w14:paraId="555AAE80" w14:textId="77777777" w:rsidR="009A1120" w:rsidRPr="00472578" w:rsidRDefault="00D22F06" w:rsidP="00E92686">
            <w:pPr>
              <w:numPr>
                <w:ilvl w:val="0"/>
                <w:numId w:val="12"/>
              </w:numPr>
              <w:tabs>
                <w:tab w:val="center" w:pos="4513"/>
                <w:tab w:val="right" w:pos="9026"/>
              </w:tabs>
              <w:spacing w:after="60"/>
              <w:ind w:left="590" w:hanging="567"/>
              <w:jc w:val="both"/>
            </w:pPr>
            <w:hyperlink r:id="rId27" w:history="1">
              <w:r w:rsidR="009A1120" w:rsidRPr="00472578">
                <w:rPr>
                  <w:color w:val="0000FF"/>
                  <w:u w:val="single"/>
                </w:rPr>
                <w:t>Resource Management (Exemption) Regulations 1996</w:t>
              </w:r>
            </w:hyperlink>
          </w:p>
          <w:p w14:paraId="12E552DF" w14:textId="77777777" w:rsidR="009A1120" w:rsidRPr="00472578" w:rsidRDefault="00D22F06" w:rsidP="00E92686">
            <w:pPr>
              <w:numPr>
                <w:ilvl w:val="0"/>
                <w:numId w:val="12"/>
              </w:numPr>
              <w:tabs>
                <w:tab w:val="center" w:pos="4513"/>
                <w:tab w:val="right" w:pos="9026"/>
              </w:tabs>
              <w:spacing w:after="60"/>
              <w:ind w:left="590" w:hanging="567"/>
              <w:jc w:val="both"/>
            </w:pPr>
            <w:hyperlink r:id="rId28" w:history="1">
              <w:r w:rsidR="009A1120" w:rsidRPr="00472578">
                <w:rPr>
                  <w:color w:val="0000FF"/>
                  <w:u w:val="single"/>
                </w:rPr>
                <w:t>Resource Management (Marine Pollution) Regulations 1998</w:t>
              </w:r>
            </w:hyperlink>
          </w:p>
          <w:p w14:paraId="02A8FDD9" w14:textId="77777777" w:rsidR="009A1120" w:rsidRPr="00472578" w:rsidRDefault="00D22F06" w:rsidP="00E92686">
            <w:pPr>
              <w:numPr>
                <w:ilvl w:val="0"/>
                <w:numId w:val="12"/>
              </w:numPr>
              <w:tabs>
                <w:tab w:val="center" w:pos="4513"/>
                <w:tab w:val="right" w:pos="9026"/>
              </w:tabs>
              <w:spacing w:after="60"/>
              <w:ind w:left="590" w:hanging="567"/>
              <w:jc w:val="both"/>
            </w:pPr>
            <w:hyperlink r:id="rId29" w:history="1">
              <w:r w:rsidR="009A1120" w:rsidRPr="00472578">
                <w:rPr>
                  <w:color w:val="0000FF"/>
                  <w:u w:val="single"/>
                </w:rPr>
                <w:t>Resource Management (Infringement Offences) Regulations 1999</w:t>
              </w:r>
            </w:hyperlink>
          </w:p>
          <w:p w14:paraId="281F103A" w14:textId="77777777" w:rsidR="009A1120" w:rsidRPr="00472578" w:rsidRDefault="00D22F06" w:rsidP="00E92686">
            <w:pPr>
              <w:numPr>
                <w:ilvl w:val="0"/>
                <w:numId w:val="12"/>
              </w:numPr>
              <w:tabs>
                <w:tab w:val="center" w:pos="4513"/>
                <w:tab w:val="right" w:pos="9026"/>
              </w:tabs>
              <w:spacing w:after="60"/>
              <w:ind w:left="590" w:hanging="567"/>
              <w:jc w:val="both"/>
            </w:pPr>
            <w:hyperlink r:id="rId30" w:history="1">
              <w:r w:rsidR="009A1120" w:rsidRPr="00472578">
                <w:rPr>
                  <w:color w:val="0000FF"/>
                  <w:u w:val="single"/>
                </w:rPr>
                <w:t>Resource Management (Forms, Fees, and Procedure) Regulations 2003</w:t>
              </w:r>
            </w:hyperlink>
          </w:p>
          <w:p w14:paraId="4ABE42DC" w14:textId="77777777" w:rsidR="009A1120" w:rsidRPr="00472578" w:rsidRDefault="00D22F06" w:rsidP="00E92686">
            <w:pPr>
              <w:numPr>
                <w:ilvl w:val="0"/>
                <w:numId w:val="12"/>
              </w:numPr>
              <w:tabs>
                <w:tab w:val="center" w:pos="4513"/>
                <w:tab w:val="right" w:pos="9026"/>
              </w:tabs>
              <w:spacing w:after="60"/>
              <w:ind w:left="590" w:hanging="567"/>
              <w:jc w:val="both"/>
            </w:pPr>
            <w:hyperlink r:id="rId31" w:history="1">
              <w:r w:rsidR="009A1120" w:rsidRPr="00472578">
                <w:rPr>
                  <w:color w:val="0000FF"/>
                  <w:u w:val="single"/>
                </w:rPr>
                <w:t>Resource Management (Discount on Administrative Charges) Regulations 2010</w:t>
              </w:r>
            </w:hyperlink>
          </w:p>
          <w:p w14:paraId="0017CED6" w14:textId="77777777" w:rsidR="009A1120" w:rsidRPr="00472578" w:rsidRDefault="00D22F06" w:rsidP="00E92686">
            <w:pPr>
              <w:numPr>
                <w:ilvl w:val="0"/>
                <w:numId w:val="12"/>
              </w:numPr>
              <w:tabs>
                <w:tab w:val="center" w:pos="4513"/>
                <w:tab w:val="right" w:pos="9026"/>
              </w:tabs>
              <w:spacing w:after="60"/>
              <w:ind w:left="590" w:hanging="567"/>
              <w:jc w:val="both"/>
            </w:pPr>
            <w:hyperlink r:id="rId32" w:history="1">
              <w:r w:rsidR="009A1120" w:rsidRPr="00472578">
                <w:rPr>
                  <w:color w:val="0000FF"/>
                  <w:u w:val="single"/>
                </w:rPr>
                <w:t>Resource Management (Measurement and Reporting of Water Takes) Regulations 2010</w:t>
              </w:r>
            </w:hyperlink>
          </w:p>
          <w:p w14:paraId="2C66A436" w14:textId="77777777" w:rsidR="009A1120" w:rsidRPr="00472578" w:rsidRDefault="00D22F06" w:rsidP="00E92686">
            <w:pPr>
              <w:numPr>
                <w:ilvl w:val="0"/>
                <w:numId w:val="12"/>
              </w:numPr>
              <w:tabs>
                <w:tab w:val="center" w:pos="4513"/>
                <w:tab w:val="right" w:pos="9026"/>
              </w:tabs>
              <w:spacing w:after="60"/>
              <w:ind w:left="590" w:hanging="567"/>
              <w:jc w:val="both"/>
            </w:pPr>
            <w:hyperlink r:id="rId33" w:history="1">
              <w:r w:rsidR="009A1120" w:rsidRPr="00472578">
                <w:rPr>
                  <w:color w:val="0000FF"/>
                  <w:u w:val="single"/>
                </w:rPr>
                <w:t>Resource Management (Network Utility Operations) Regulations 2016</w:t>
              </w:r>
            </w:hyperlink>
          </w:p>
          <w:p w14:paraId="78B6757F" w14:textId="77777777" w:rsidR="009A1120" w:rsidRPr="00472578" w:rsidRDefault="00D22F06" w:rsidP="00E92686">
            <w:pPr>
              <w:numPr>
                <w:ilvl w:val="0"/>
                <w:numId w:val="12"/>
              </w:numPr>
              <w:tabs>
                <w:tab w:val="center" w:pos="4513"/>
                <w:tab w:val="right" w:pos="9026"/>
              </w:tabs>
              <w:spacing w:after="60"/>
              <w:ind w:left="590" w:hanging="567"/>
              <w:jc w:val="both"/>
            </w:pPr>
            <w:hyperlink r:id="rId34" w:history="1">
              <w:r w:rsidR="009A1120" w:rsidRPr="00472578">
                <w:rPr>
                  <w:color w:val="0000FF"/>
                  <w:u w:val="single"/>
                </w:rPr>
                <w:t>Resource Management (Exemption) Regulations 2017.</w:t>
              </w:r>
            </w:hyperlink>
          </w:p>
          <w:p w14:paraId="0AC6745D" w14:textId="77777777" w:rsidR="009A1120" w:rsidRPr="00472578" w:rsidRDefault="00D22F06" w:rsidP="00E92686">
            <w:pPr>
              <w:numPr>
                <w:ilvl w:val="0"/>
                <w:numId w:val="12"/>
              </w:numPr>
              <w:tabs>
                <w:tab w:val="center" w:pos="4513"/>
                <w:tab w:val="right" w:pos="9026"/>
              </w:tabs>
              <w:spacing w:after="60"/>
              <w:ind w:left="590" w:hanging="567"/>
              <w:jc w:val="both"/>
            </w:pPr>
            <w:hyperlink r:id="rId35" w:history="1">
              <w:r w:rsidR="009A1120" w:rsidRPr="00472578">
                <w:rPr>
                  <w:color w:val="0000FF"/>
                  <w:u w:val="single"/>
                </w:rPr>
                <w:t>Resource Management (Stock Exclusion) Regulations 2020</w:t>
              </w:r>
            </w:hyperlink>
          </w:p>
        </w:tc>
      </w:tr>
    </w:tbl>
    <w:p w14:paraId="6D03ABAA" w14:textId="77777777" w:rsidR="009A1120" w:rsidRPr="00472578" w:rsidDel="002B692B" w:rsidRDefault="009A1120" w:rsidP="00E92686">
      <w:pPr>
        <w:pStyle w:val="Heading3"/>
        <w:jc w:val="both"/>
      </w:pPr>
      <w:bookmarkStart w:id="35" w:name="_Toc49763443"/>
      <w:r w:rsidRPr="00472578">
        <w:t>Water conservation orders</w:t>
      </w:r>
      <w:bookmarkStart w:id="36" w:name="_Toc52435136"/>
      <w:bookmarkEnd w:id="35"/>
    </w:p>
    <w:tbl>
      <w:tblPr>
        <w:tblStyle w:val="TableGrid"/>
        <w:tblW w:w="0" w:type="auto"/>
        <w:tblLook w:val="04A0" w:firstRow="1" w:lastRow="0" w:firstColumn="1" w:lastColumn="0" w:noHBand="0" w:noVBand="1"/>
      </w:tblPr>
      <w:tblGrid>
        <w:gridCol w:w="4508"/>
        <w:gridCol w:w="4508"/>
      </w:tblGrid>
      <w:tr w:rsidR="009A1120" w:rsidRPr="00472578" w14:paraId="0F72F06E" w14:textId="77777777" w:rsidTr="00E722D4">
        <w:tc>
          <w:tcPr>
            <w:tcW w:w="9016" w:type="dxa"/>
            <w:gridSpan w:val="2"/>
            <w:shd w:val="clear" w:color="auto" w:fill="1F3864" w:themeFill="accent1" w:themeFillShade="80"/>
          </w:tcPr>
          <w:p w14:paraId="40DD9391" w14:textId="77777777" w:rsidR="009A1120" w:rsidRPr="00472578" w:rsidRDefault="009A1120" w:rsidP="00E92686">
            <w:pPr>
              <w:tabs>
                <w:tab w:val="center" w:pos="4513"/>
                <w:tab w:val="right" w:pos="9026"/>
              </w:tabs>
              <w:jc w:val="both"/>
              <w:rPr>
                <w:i/>
                <w:iCs/>
              </w:rPr>
            </w:pPr>
            <w:r w:rsidRPr="00472578">
              <w:rPr>
                <w:i/>
                <w:iCs/>
                <w:color w:val="FFFFFF" w:themeColor="background1"/>
              </w:rPr>
              <w:t>Water Conservation Orders</w:t>
            </w:r>
          </w:p>
        </w:tc>
      </w:tr>
      <w:tr w:rsidR="009A1120" w:rsidRPr="00472578" w14:paraId="0D98E72C" w14:textId="77777777" w:rsidTr="00E722D4">
        <w:tc>
          <w:tcPr>
            <w:tcW w:w="9016" w:type="dxa"/>
            <w:gridSpan w:val="2"/>
          </w:tcPr>
          <w:p w14:paraId="477E5BC4" w14:textId="3167F071" w:rsidR="009A1120" w:rsidRPr="00472578" w:rsidRDefault="009A1120" w:rsidP="00E92686">
            <w:pPr>
              <w:tabs>
                <w:tab w:val="center" w:pos="4513"/>
                <w:tab w:val="right" w:pos="9026"/>
              </w:tabs>
              <w:spacing w:before="120" w:after="160"/>
              <w:jc w:val="both"/>
            </w:pPr>
            <w:r w:rsidRPr="00472578">
              <w:t xml:space="preserve">Regional policy statements, </w:t>
            </w:r>
            <w:r w:rsidRPr="00472578">
              <w:rPr>
                <w:i/>
                <w:iCs/>
              </w:rPr>
              <w:t>regional plans</w:t>
            </w:r>
            <w:r w:rsidRPr="00472578">
              <w:t xml:space="preserve"> and </w:t>
            </w:r>
            <w:r w:rsidRPr="00472578">
              <w:rPr>
                <w:i/>
                <w:iCs/>
              </w:rPr>
              <w:t>district plans</w:t>
            </w:r>
            <w:r w:rsidRPr="00472578">
              <w:t xml:space="preserve"> cannot be inconsistent with the provisions of a water conservation order. A water conservation order can prohibit or restrict a regional council issuing new water and discharge permits, although it cannot affect existing permits. </w:t>
            </w:r>
          </w:p>
          <w:p w14:paraId="559343B2" w14:textId="77777777" w:rsidR="009A1120" w:rsidRPr="00472578" w:rsidRDefault="009A1120" w:rsidP="00E92686">
            <w:pPr>
              <w:tabs>
                <w:tab w:val="center" w:pos="4513"/>
                <w:tab w:val="right" w:pos="9026"/>
              </w:tabs>
              <w:spacing w:after="160"/>
              <w:jc w:val="both"/>
              <w:rPr>
                <w:i/>
                <w:iCs/>
              </w:rPr>
            </w:pPr>
            <w:r w:rsidRPr="00472578">
              <w:t>The following table provides an overview of whether any relevant review/s of the Otago Regional Policy Statement have been undertaken in relation to relevant water conservation orders.</w:t>
            </w:r>
          </w:p>
        </w:tc>
      </w:tr>
      <w:tr w:rsidR="009A1120" w:rsidRPr="00472578" w14:paraId="1AEC929E" w14:textId="77777777" w:rsidTr="00E722D4">
        <w:tc>
          <w:tcPr>
            <w:tcW w:w="4508" w:type="dxa"/>
          </w:tcPr>
          <w:p w14:paraId="3DE93EDA" w14:textId="77777777" w:rsidR="009A1120" w:rsidRPr="00472578" w:rsidRDefault="00D22F06" w:rsidP="00E92686">
            <w:pPr>
              <w:tabs>
                <w:tab w:val="center" w:pos="4513"/>
                <w:tab w:val="right" w:pos="9026"/>
              </w:tabs>
              <w:spacing w:after="60"/>
              <w:jc w:val="both"/>
            </w:pPr>
            <w:hyperlink r:id="rId36" w:history="1">
              <w:r w:rsidR="009A1120" w:rsidRPr="00472578">
                <w:rPr>
                  <w:color w:val="0000FF"/>
                  <w:u w:val="single"/>
                </w:rPr>
                <w:t>Water Conservation (Kawarau) Order 1997</w:t>
              </w:r>
            </w:hyperlink>
          </w:p>
          <w:p w14:paraId="381D100E" w14:textId="77777777" w:rsidR="009A1120" w:rsidRPr="00472578" w:rsidRDefault="009A1120" w:rsidP="00E92686">
            <w:pPr>
              <w:tabs>
                <w:tab w:val="center" w:pos="4513"/>
                <w:tab w:val="right" w:pos="9026"/>
              </w:tabs>
              <w:spacing w:after="60"/>
              <w:jc w:val="both"/>
            </w:pPr>
          </w:p>
        </w:tc>
        <w:tc>
          <w:tcPr>
            <w:tcW w:w="4508" w:type="dxa"/>
          </w:tcPr>
          <w:p w14:paraId="4DFDC147" w14:textId="77777777" w:rsidR="009A1120" w:rsidRPr="00472578" w:rsidRDefault="009A1120" w:rsidP="00E92686">
            <w:pPr>
              <w:tabs>
                <w:tab w:val="center" w:pos="4513"/>
                <w:tab w:val="right" w:pos="9026"/>
              </w:tabs>
              <w:spacing w:after="60"/>
              <w:jc w:val="both"/>
            </w:pPr>
            <w:r w:rsidRPr="00472578">
              <w:t>The policy statement has been reviewed in May 2021</w:t>
            </w:r>
          </w:p>
        </w:tc>
      </w:tr>
    </w:tbl>
    <w:p w14:paraId="00C1785E" w14:textId="77777777" w:rsidR="009A1120" w:rsidRPr="00472578" w:rsidRDefault="009A1120" w:rsidP="00E92686">
      <w:pPr>
        <w:jc w:val="both"/>
        <w:rPr>
          <w:rFonts w:asciiTheme="majorHAnsi" w:eastAsiaTheme="majorEastAsia" w:hAnsiTheme="majorHAnsi" w:cstheme="majorBidi"/>
          <w:color w:val="2F5496" w:themeColor="accent1" w:themeShade="BF"/>
          <w:sz w:val="32"/>
          <w:szCs w:val="26"/>
        </w:rPr>
      </w:pPr>
      <w:r w:rsidRPr="00472578">
        <w:br w:type="page"/>
      </w:r>
    </w:p>
    <w:p w14:paraId="19334DC5" w14:textId="77777777" w:rsidR="009A1120" w:rsidRPr="00472578" w:rsidRDefault="009A1120" w:rsidP="00E92686">
      <w:pPr>
        <w:pStyle w:val="Heading2"/>
        <w:jc w:val="both"/>
      </w:pPr>
      <w:bookmarkStart w:id="37" w:name="_Toc73105352"/>
      <w:bookmarkStart w:id="38" w:name="_Toc102551273"/>
      <w:bookmarkStart w:id="39" w:name="_Toc52436518"/>
      <w:bookmarkEnd w:id="36"/>
      <w:r w:rsidRPr="00472578">
        <w:lastRenderedPageBreak/>
        <w:t xml:space="preserve">MW – </w:t>
      </w:r>
      <w:r w:rsidRPr="00472578">
        <w:rPr>
          <w:i/>
          <w:iCs/>
        </w:rPr>
        <w:t>Mana whenua</w:t>
      </w:r>
      <w:bookmarkEnd w:id="37"/>
      <w:bookmarkEnd w:id="38"/>
    </w:p>
    <w:p w14:paraId="603B4B11" w14:textId="77777777" w:rsidR="009A1120" w:rsidRPr="00472578" w:rsidRDefault="009A1120" w:rsidP="00E92686">
      <w:pPr>
        <w:pStyle w:val="Heading3"/>
        <w:jc w:val="both"/>
      </w:pPr>
      <w:r w:rsidRPr="00472578">
        <w:t>Recognition of hapū and iwi</w:t>
      </w:r>
    </w:p>
    <w:p w14:paraId="5DBBC1F9" w14:textId="0806EFE3" w:rsidR="009A1120" w:rsidRPr="00472578" w:rsidRDefault="009A1120" w:rsidP="00E92686">
      <w:pPr>
        <w:pStyle w:val="Heading4"/>
        <w:jc w:val="both"/>
      </w:pPr>
      <w:r w:rsidRPr="00472578">
        <w:t>Kāi Tahu</w:t>
      </w:r>
      <w:r w:rsidR="00393CC4" w:rsidRPr="00393CC4">
        <w:rPr>
          <w:rStyle w:val="FootnoteReference"/>
          <w:shd w:val="clear" w:color="auto" w:fill="D9D9D9" w:themeFill="background1" w:themeFillShade="D9"/>
        </w:rPr>
        <w:footnoteReference w:id="141"/>
      </w:r>
    </w:p>
    <w:p w14:paraId="070D5A1B" w14:textId="77777777" w:rsidR="009A1120" w:rsidRPr="00472578" w:rsidRDefault="009A1120" w:rsidP="00E92686">
      <w:pPr>
        <w:spacing w:line="256" w:lineRule="auto"/>
        <w:jc w:val="both"/>
        <w:rPr>
          <w:rFonts w:cs="Times New Roman"/>
        </w:rPr>
      </w:pPr>
      <w:r w:rsidRPr="00472578">
        <w:rPr>
          <w:rFonts w:cs="Times New Roman"/>
        </w:rPr>
        <w:t xml:space="preserve">Kāi Tahu </w:t>
      </w:r>
      <w:r w:rsidRPr="00472578">
        <w:rPr>
          <w:rFonts w:cs="Times New Roman"/>
          <w:u w:val="single"/>
        </w:rPr>
        <w:t>whānui</w:t>
      </w:r>
      <w:r w:rsidRPr="00472578">
        <w:rPr>
          <w:rFonts w:cs="Times New Roman"/>
          <w:vertAlign w:val="superscript"/>
        </w:rPr>
        <w:footnoteReference w:id="142"/>
      </w:r>
      <w:r w:rsidRPr="00472578">
        <w:rPr>
          <w:rFonts w:cs="Times New Roman"/>
        </w:rPr>
        <w:t xml:space="preserve"> are </w:t>
      </w:r>
      <w:r w:rsidRPr="00472578">
        <w:rPr>
          <w:rFonts w:cs="Times New Roman"/>
          <w:i/>
        </w:rPr>
        <w:t>takata whenua</w:t>
      </w:r>
      <w:r w:rsidRPr="00472578">
        <w:rPr>
          <w:rFonts w:cs="Times New Roman"/>
        </w:rPr>
        <w:t xml:space="preserve"> of the Otago region. Waitaha were the first people of Te Waipounamu, the South Island. Led by Rākaihautū, they explored and settled Te Waipounamu, and their exploits are reflected in enduring place names and histories across the motu. Waitaha were followed by the arrival of Kāti Māmoe and finally Kāi Tahu. Through warfare, </w:t>
      </w:r>
      <w:proofErr w:type="gramStart"/>
      <w:r w:rsidRPr="00472578">
        <w:rPr>
          <w:rFonts w:cs="Times New Roman"/>
        </w:rPr>
        <w:t>intermarriage</w:t>
      </w:r>
      <w:proofErr w:type="gramEnd"/>
      <w:r w:rsidRPr="00472578">
        <w:rPr>
          <w:rFonts w:cs="Times New Roman"/>
        </w:rPr>
        <w:t xml:space="preserve"> and political alliances a common allegiance to Kāi Tahu was forged. Kāi Tahu means the ‘people of Tahu’, linking them by name to their common ancestor Tahu Pōtiki.</w:t>
      </w:r>
    </w:p>
    <w:p w14:paraId="26467FD3" w14:textId="77777777" w:rsidR="009A1120" w:rsidRPr="00472578" w:rsidRDefault="009A1120" w:rsidP="00E92686">
      <w:pPr>
        <w:spacing w:line="256" w:lineRule="auto"/>
        <w:jc w:val="both"/>
        <w:rPr>
          <w:rFonts w:cs="Times New Roman"/>
        </w:rPr>
      </w:pPr>
      <w:r w:rsidRPr="00472578">
        <w:rPr>
          <w:rFonts w:cs="Times New Roman"/>
        </w:rPr>
        <w:t xml:space="preserve">The Kāi Tahu tribal area extends from the </w:t>
      </w:r>
      <w:proofErr w:type="gramStart"/>
      <w:r w:rsidRPr="00472578">
        <w:rPr>
          <w:rFonts w:cs="Times New Roman"/>
        </w:rPr>
        <w:t>sub Antarctic</w:t>
      </w:r>
      <w:proofErr w:type="gramEnd"/>
      <w:r w:rsidRPr="00472578">
        <w:rPr>
          <w:rFonts w:cs="Times New Roman"/>
        </w:rPr>
        <w:t xml:space="preserve"> islands in the south to Te Parinuiowhiti (White Cliffs, Blenheim) in the north and to Kahurangi Point on Te Tai o Poutini (the West Coast).</w:t>
      </w:r>
    </w:p>
    <w:p w14:paraId="79A27619" w14:textId="77777777" w:rsidR="009A1120" w:rsidRPr="00472578" w:rsidRDefault="009A1120" w:rsidP="00E92686">
      <w:pPr>
        <w:pStyle w:val="Heading5"/>
        <w:jc w:val="both"/>
      </w:pPr>
      <w:r w:rsidRPr="00472578">
        <w:t xml:space="preserve">Relationship of Kāi Tahu with their rohe </w:t>
      </w:r>
    </w:p>
    <w:p w14:paraId="6899A2FA" w14:textId="4D06A098" w:rsidR="009A1120" w:rsidRPr="00472578" w:rsidRDefault="009A1120" w:rsidP="00E92686">
      <w:pPr>
        <w:spacing w:line="256" w:lineRule="auto"/>
        <w:jc w:val="both"/>
        <w:rPr>
          <w:rFonts w:cs="Times New Roman"/>
        </w:rPr>
      </w:pPr>
      <w:r w:rsidRPr="00472578">
        <w:rPr>
          <w:rFonts w:cs="Times New Roman"/>
        </w:rPr>
        <w:t xml:space="preserve">Te Rūnanga o Ngāi Tahu (the iwi authority) is made up of 18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143"/>
      </w:r>
      <w:r w:rsidRPr="00472578">
        <w:rPr>
          <w:rFonts w:cs="Times New Roman"/>
        </w:rPr>
        <w:t xml:space="preserve">, of which seven have interests in the Otago region. Papatipu </w:t>
      </w:r>
      <w:r w:rsidRPr="00472578">
        <w:rPr>
          <w:rFonts w:cs="Times New Roman"/>
          <w:strike/>
        </w:rPr>
        <w:t>Rūnaka</w:t>
      </w:r>
      <w:r w:rsidR="000877FC" w:rsidRPr="00472578">
        <w:rPr>
          <w:rFonts w:cs="Times New Roman"/>
        </w:rPr>
        <w:t xml:space="preserve"> </w:t>
      </w:r>
      <w:r w:rsidRPr="00472578">
        <w:rPr>
          <w:rFonts w:cs="Times New Roman"/>
          <w:u w:val="single"/>
        </w:rPr>
        <w:t>rūnaka</w:t>
      </w:r>
      <w:r w:rsidRPr="00472578">
        <w:rPr>
          <w:rFonts w:cs="Times New Roman"/>
          <w:vertAlign w:val="superscript"/>
        </w:rPr>
        <w:footnoteReference w:id="144"/>
      </w:r>
      <w:r w:rsidRPr="00472578">
        <w:rPr>
          <w:rFonts w:cs="Times New Roman"/>
        </w:rPr>
        <w:t xml:space="preserve"> are a focus for wh</w:t>
      </w:r>
      <w:r w:rsidRPr="00472578">
        <w:t>ā</w:t>
      </w:r>
      <w:r w:rsidRPr="00472578">
        <w:rPr>
          <w:rFonts w:cs="Times New Roman"/>
        </w:rPr>
        <w:t xml:space="preserve">nau and hapū (extended family groups) who have </w:t>
      </w:r>
      <w:r w:rsidRPr="00472578">
        <w:rPr>
          <w:rFonts w:cs="Times New Roman"/>
          <w:i/>
          <w:iCs/>
        </w:rPr>
        <w:t>mana whenua</w:t>
      </w:r>
      <w:r w:rsidRPr="00472578">
        <w:rPr>
          <w:rFonts w:cs="Times New Roman"/>
        </w:rPr>
        <w:t xml:space="preserve"> status within their area. </w:t>
      </w:r>
      <w:r w:rsidRPr="00472578">
        <w:rPr>
          <w:rFonts w:cs="Times New Roman"/>
          <w:i/>
          <w:iCs/>
        </w:rPr>
        <w:t>Mana whenua</w:t>
      </w:r>
      <w:r w:rsidRPr="00472578">
        <w:rPr>
          <w:rFonts w:cs="Times New Roman"/>
        </w:rPr>
        <w:t xml:space="preserve"> hold traditional customary authority and maintain contemporary relationships within an area determined by whakapapa (genealogical ties), resource use and ahikāroa (the long burning fires of occupation). Te </w:t>
      </w:r>
      <w:r w:rsidRPr="00472578">
        <w:rPr>
          <w:rFonts w:cs="Times New Roman"/>
          <w:strike/>
        </w:rPr>
        <w:t>Rūnaka</w:t>
      </w:r>
      <w:r w:rsidRPr="00472578">
        <w:rPr>
          <w:rFonts w:cs="Times New Roman"/>
        </w:rPr>
        <w:t xml:space="preserve"> </w:t>
      </w:r>
      <w:r w:rsidRPr="00472578">
        <w:rPr>
          <w:rFonts w:cs="Times New Roman"/>
          <w:u w:val="single"/>
        </w:rPr>
        <w:t>Rūnanga</w:t>
      </w:r>
      <w:r w:rsidRPr="00472578">
        <w:rPr>
          <w:rFonts w:cs="Times New Roman"/>
          <w:vertAlign w:val="superscript"/>
        </w:rPr>
        <w:footnoteReference w:id="145"/>
      </w:r>
      <w:r w:rsidRPr="00472578">
        <w:rPr>
          <w:rFonts w:cs="Times New Roman"/>
        </w:rPr>
        <w:t xml:space="preserve"> o Ngāi Tahu encourages consultation with the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146"/>
      </w:r>
      <w:r w:rsidRPr="00472578">
        <w:rPr>
          <w:rFonts w:cs="Times New Roman"/>
        </w:rPr>
        <w:t xml:space="preserve"> and </w:t>
      </w:r>
      <w:proofErr w:type="gramStart"/>
      <w:r w:rsidRPr="00472578">
        <w:rPr>
          <w:rFonts w:cs="Times New Roman"/>
        </w:rPr>
        <w:t>takes into account</w:t>
      </w:r>
      <w:proofErr w:type="gramEnd"/>
      <w:r w:rsidRPr="00472578">
        <w:rPr>
          <w:rFonts w:cs="Times New Roman"/>
        </w:rPr>
        <w:t xml:space="preserve"> the views of k</w:t>
      </w:r>
      <w:r w:rsidRPr="00472578">
        <w:t>ā</w:t>
      </w:r>
      <w:r w:rsidRPr="00472578">
        <w:rPr>
          <w:rFonts w:cs="Times New Roman"/>
        </w:rPr>
        <w:t xml:space="preserve"> Rūnaka when determining its own position.</w:t>
      </w:r>
    </w:p>
    <w:p w14:paraId="690E416F" w14:textId="14493F6C" w:rsidR="009A1120" w:rsidRPr="00472578" w:rsidRDefault="009A1120" w:rsidP="00E92686">
      <w:pPr>
        <w:spacing w:line="256" w:lineRule="auto"/>
        <w:jc w:val="both"/>
        <w:rPr>
          <w:rFonts w:cs="Times New Roman"/>
        </w:rPr>
      </w:pPr>
      <w:r w:rsidRPr="639E38F9">
        <w:rPr>
          <w:strike/>
        </w:rPr>
        <w:t xml:space="preserve">Four </w:t>
      </w:r>
      <w:r w:rsidRPr="639E38F9">
        <w:rPr>
          <w:u w:val="single"/>
        </w:rPr>
        <w:t>Three</w:t>
      </w:r>
      <w:r w:rsidRPr="639E38F9">
        <w:t xml:space="preserve"> Kāi Tahu ki Otago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147"/>
      </w:r>
      <w:r w:rsidRPr="639E38F9">
        <w:t xml:space="preserve"> </w:t>
      </w:r>
      <w:r w:rsidRPr="639E38F9">
        <w:rPr>
          <w:strike/>
        </w:rPr>
        <w:t>are</w:t>
      </w:r>
      <w:r w:rsidRPr="639E38F9">
        <w:t xml:space="preserve"> </w:t>
      </w:r>
      <w:r w:rsidRPr="639E38F9">
        <w:rPr>
          <w:u w:val="single"/>
        </w:rPr>
        <w:t>have marae</w:t>
      </w:r>
      <w:r w:rsidRPr="639E38F9">
        <w:t xml:space="preserve"> based in Otago</w:t>
      </w:r>
      <w:r w:rsidRPr="639E38F9">
        <w:rPr>
          <w:strike/>
        </w:rPr>
        <w:t>.</w:t>
      </w:r>
      <w:r w:rsidRPr="639E38F9">
        <w:rPr>
          <w:u w:val="single"/>
        </w:rPr>
        <w:t xml:space="preserve">, </w:t>
      </w:r>
      <w:r w:rsidRPr="639E38F9">
        <w:rPr>
          <w:strike/>
        </w:rPr>
        <w:t>These are</w:t>
      </w:r>
      <w:r w:rsidRPr="639E38F9">
        <w:t xml:space="preserve"> Te Rūnanga o Moeraki, Kāti Huirapa Rūnaka ki Puketeraki</w:t>
      </w:r>
      <w:r w:rsidRPr="639E38F9">
        <w:rPr>
          <w:strike/>
        </w:rPr>
        <w:t>,</w:t>
      </w:r>
      <w:r w:rsidRPr="639E38F9">
        <w:t xml:space="preserve"> </w:t>
      </w:r>
      <w:r w:rsidRPr="639E38F9">
        <w:rPr>
          <w:u w:val="single"/>
        </w:rPr>
        <w:t xml:space="preserve">and </w:t>
      </w:r>
      <w:r w:rsidRPr="639E38F9">
        <w:t xml:space="preserve">Te Rūnanga o Ōtākou, </w:t>
      </w:r>
      <w:r w:rsidRPr="639E38F9">
        <w:rPr>
          <w:strike/>
        </w:rPr>
        <w:t xml:space="preserve">and </w:t>
      </w:r>
      <w:r w:rsidRPr="639E38F9">
        <w:rPr>
          <w:u w:val="single"/>
        </w:rPr>
        <w:t xml:space="preserve">whilst the fourth, </w:t>
      </w:r>
      <w:r w:rsidRPr="639E38F9">
        <w:t>Hokonui Rūnanga</w:t>
      </w:r>
      <w:r w:rsidRPr="639E38F9">
        <w:rPr>
          <w:u w:val="single"/>
        </w:rPr>
        <w:t>, is based in neighbouring Southland</w:t>
      </w:r>
      <w:r w:rsidRPr="639E38F9">
        <w:t>.</w:t>
      </w:r>
      <w:r w:rsidRPr="639E38F9">
        <w:rPr>
          <w:vertAlign w:val="superscript"/>
        </w:rPr>
        <w:footnoteReference w:id="148"/>
      </w:r>
      <w:r w:rsidRPr="00472578">
        <w:rPr>
          <w:rFonts w:cs="Times New Roman"/>
        </w:rPr>
        <w:t xml:space="preserve"> Three Ngāi Tahu ki Murihiku Rūnaka – Awarua Rūnanga, Waihopai Rūnanga and Ōraka-Aparima Rūnanga </w:t>
      </w:r>
      <w:bookmarkStart w:id="40" w:name="_Hlk72396125"/>
      <w:r w:rsidRPr="00472578">
        <w:rPr>
          <w:rFonts w:cs="Times New Roman"/>
        </w:rPr>
        <w:t>–</w:t>
      </w:r>
      <w:bookmarkEnd w:id="40"/>
      <w:r w:rsidRPr="00472578">
        <w:rPr>
          <w:rFonts w:cs="Times New Roman"/>
        </w:rPr>
        <w:t xml:space="preserve"> are based in Southland but also share interests with K</w:t>
      </w:r>
      <w:r w:rsidRPr="00472578">
        <w:t>ā</w:t>
      </w:r>
      <w:r w:rsidRPr="00472578">
        <w:rPr>
          <w:rFonts w:cs="Times New Roman"/>
        </w:rPr>
        <w:t xml:space="preserve">i Tahu ki Otago in South Otago, the Mata-au Clutha River, and the inland </w:t>
      </w:r>
      <w:r w:rsidRPr="00472578">
        <w:rPr>
          <w:rFonts w:cs="Times New Roman"/>
          <w:i/>
          <w:iCs/>
        </w:rPr>
        <w:t>lakes</w:t>
      </w:r>
      <w:r w:rsidRPr="00472578">
        <w:rPr>
          <w:rFonts w:cs="Times New Roman"/>
        </w:rPr>
        <w:t xml:space="preserve"> and mountains. The areas of shared interest originate from the seasonal hunting and gathering economy that was a distinctive feature of the southern Kāi Tahu lifestyle. Seasonal mobility was an important means by which hāpu and whānau maintained customary rights to the resources of the interior and ahi kā.</w:t>
      </w:r>
    </w:p>
    <w:p w14:paraId="62F13FC0" w14:textId="77777777" w:rsidR="009A1120" w:rsidRPr="00472578" w:rsidRDefault="009A1120" w:rsidP="00E92686">
      <w:pPr>
        <w:pStyle w:val="Heading6"/>
        <w:jc w:val="both"/>
      </w:pPr>
      <w:r w:rsidRPr="00472578">
        <w:t>Te Rūnanga o Moeraki</w:t>
      </w:r>
    </w:p>
    <w:p w14:paraId="5C278F53" w14:textId="77777777" w:rsidR="009A1120" w:rsidRPr="00472578" w:rsidRDefault="009A1120" w:rsidP="00E92686">
      <w:pPr>
        <w:spacing w:line="256" w:lineRule="auto"/>
        <w:jc w:val="both"/>
        <w:rPr>
          <w:rFonts w:cs="Times New Roman"/>
          <w:highlight w:val="yellow"/>
        </w:rPr>
      </w:pPr>
      <w:r w:rsidRPr="00472578">
        <w:t xml:space="preserve">The takiwā of Te Rūnanga o Moeraki is centred on Moeraki and extends from the Waitaki River to the Waihemo Shag River and inland to the Main Divide. The coastal interests of Te Rūnanga o Moeraki are </w:t>
      </w:r>
      <w:r w:rsidRPr="00472578">
        <w:lastRenderedPageBreak/>
        <w:t>concentrated in the Moeraki Peninsula area and surrounds, including Te Raka-a-Hineatea Pā, Koekohe Hampden Beach, and Te Kai Hinaki with its famed boulders.</w:t>
      </w:r>
      <w:r w:rsidRPr="00472578">
        <w:rPr>
          <w:rFonts w:cs="Times New Roman"/>
        </w:rPr>
        <w:t xml:space="preserve"> </w:t>
      </w:r>
    </w:p>
    <w:p w14:paraId="74B2568A" w14:textId="75D58782" w:rsidR="009A1120" w:rsidRPr="00472578" w:rsidRDefault="00D22F06" w:rsidP="00E92686">
      <w:pPr>
        <w:adjustRightInd w:val="0"/>
        <w:spacing w:line="256" w:lineRule="auto"/>
        <w:jc w:val="both"/>
      </w:pPr>
      <w:hyperlink r:id="rId37" w:history="1">
        <w:r w:rsidR="009A1120" w:rsidRPr="00472578">
          <w:rPr>
            <w:color w:val="0000FF"/>
            <w:u w:val="single"/>
          </w:rPr>
          <w:t>https://www.terunangaomoeraki.org/</w:t>
        </w:r>
      </w:hyperlink>
      <w:r w:rsidR="009A1120" w:rsidRPr="00472578">
        <w:t xml:space="preserve"> </w:t>
      </w:r>
    </w:p>
    <w:p w14:paraId="78AEE1D8" w14:textId="77777777" w:rsidR="009A1120" w:rsidRPr="00472578" w:rsidRDefault="009A1120" w:rsidP="00E92686">
      <w:pPr>
        <w:adjustRightInd w:val="0"/>
        <w:spacing w:line="256" w:lineRule="auto"/>
        <w:jc w:val="both"/>
        <w:rPr>
          <w:rFonts w:cs="Times New Roman"/>
          <w:i/>
          <w:iCs/>
        </w:rPr>
      </w:pPr>
      <w:r w:rsidRPr="00472578">
        <w:rPr>
          <w:noProof/>
        </w:rPr>
        <w:drawing>
          <wp:inline distT="0" distB="0" distL="0" distR="0" wp14:anchorId="6488D2FF" wp14:editId="276B460F">
            <wp:extent cx="3511550" cy="2109470"/>
            <wp:effectExtent l="0" t="0" r="0" b="5080"/>
            <wp:docPr id="238" name="Picture 238" descr="A painting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ainting on a wall&#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3511550" cy="2109470"/>
                    </a:xfrm>
                    <a:prstGeom prst="rect">
                      <a:avLst/>
                    </a:prstGeom>
                  </pic:spPr>
                </pic:pic>
              </a:graphicData>
            </a:graphic>
          </wp:inline>
        </w:drawing>
      </w:r>
    </w:p>
    <w:p w14:paraId="681B0318" w14:textId="77777777" w:rsidR="009A1120" w:rsidRPr="00472578" w:rsidRDefault="009A1120" w:rsidP="00E92686">
      <w:pPr>
        <w:jc w:val="both"/>
        <w:rPr>
          <w:i/>
          <w:iCs/>
        </w:rPr>
      </w:pPr>
      <w:r w:rsidRPr="00472578">
        <w:rPr>
          <w:i/>
          <w:iCs/>
        </w:rPr>
        <w:t>Te Rūnanga o Moeraki Marae, Moeraki</w:t>
      </w:r>
    </w:p>
    <w:p w14:paraId="6F5291A6" w14:textId="77777777" w:rsidR="009A1120" w:rsidRPr="00472578" w:rsidRDefault="009A1120" w:rsidP="00E92686">
      <w:pPr>
        <w:pStyle w:val="Heading6"/>
        <w:jc w:val="both"/>
      </w:pPr>
      <w:r w:rsidRPr="00472578">
        <w:t>Kāti Huirapa ki Puketeraki</w:t>
      </w:r>
    </w:p>
    <w:p w14:paraId="4DAA76A7" w14:textId="23FDFF0A" w:rsidR="009A1120" w:rsidRPr="00472578" w:rsidRDefault="009A1120" w:rsidP="00E92686">
      <w:pPr>
        <w:spacing w:line="256" w:lineRule="auto"/>
        <w:jc w:val="both"/>
        <w:rPr>
          <w:rFonts w:cs="Times New Roman"/>
          <w:highlight w:val="yellow"/>
        </w:rPr>
      </w:pPr>
      <w:r w:rsidRPr="00472578">
        <w:t xml:space="preserve">The takiwā of Kāti Huirapa ki Puketeraki centres on Karitāne and extends from the Waihemo, Shag River to Purehurehu Heyward Point, and includes an interest in Ōtepoti and the greater </w:t>
      </w:r>
      <w:r w:rsidRPr="00472578">
        <w:rPr>
          <w:strike/>
        </w:rPr>
        <w:t>harbor</w:t>
      </w:r>
      <w:r w:rsidRPr="00472578">
        <w:t xml:space="preserve"> </w:t>
      </w:r>
      <w:r w:rsidRPr="00472578">
        <w:rPr>
          <w:u w:val="single"/>
        </w:rPr>
        <w:t>harbour</w:t>
      </w:r>
      <w:r w:rsidRPr="00472578">
        <w:rPr>
          <w:vertAlign w:val="superscript"/>
        </w:rPr>
        <w:footnoteReference w:id="149"/>
      </w:r>
      <w:r w:rsidRPr="00472578">
        <w:t xml:space="preserve"> of Ōtākou. The takiwā extends inland to the Main Divide sharing an interest in the </w:t>
      </w:r>
      <w:r w:rsidRPr="00472578">
        <w:rPr>
          <w:i/>
          <w:iCs/>
        </w:rPr>
        <w:t>lakes</w:t>
      </w:r>
      <w:r w:rsidRPr="00472578">
        <w:t xml:space="preserve"> and mountains to Whakatipu-Waitai with kā Rūnaka to the south. The kaimoana resources of the coast from Karitāne to Okahau Blueskin Bay and Pūrākaunui, and the kai awa of the </w:t>
      </w:r>
      <w:r w:rsidRPr="00472578">
        <w:rPr>
          <w:strike/>
        </w:rPr>
        <w:t>Waikouaiti</w:t>
      </w:r>
      <w:r w:rsidRPr="00472578">
        <w:t xml:space="preserve"> </w:t>
      </w:r>
      <w:r w:rsidRPr="00472578">
        <w:rPr>
          <w:u w:val="single"/>
        </w:rPr>
        <w:t>Waikōuaiti</w:t>
      </w:r>
      <w:r w:rsidRPr="00472578">
        <w:rPr>
          <w:vertAlign w:val="superscript"/>
        </w:rPr>
        <w:footnoteReference w:id="150"/>
      </w:r>
      <w:r w:rsidRPr="00472578">
        <w:t xml:space="preserve"> River and estuary are treasured and well utilised </w:t>
      </w:r>
      <w:r w:rsidR="002A160B" w:rsidRPr="009C237D">
        <w:rPr>
          <w:strike/>
        </w:rPr>
        <w:t>mahika kai</w:t>
      </w:r>
      <w:r w:rsidR="002A160B" w:rsidRPr="00472578">
        <w:t xml:space="preserve"> </w:t>
      </w:r>
      <w:r w:rsidR="002A160B" w:rsidRPr="00F4290E">
        <w:rPr>
          <w:i/>
          <w:iCs/>
          <w:u w:val="single"/>
        </w:rPr>
        <w:t>mahika kai</w:t>
      </w:r>
      <w:r w:rsidR="002A160B">
        <w:rPr>
          <w:rStyle w:val="FootnoteReference"/>
        </w:rPr>
        <w:footnoteReference w:id="151"/>
      </w:r>
      <w:r w:rsidRPr="00472578">
        <w:t xml:space="preserve"> for Kāti Huirapa ki Puketeraki.</w:t>
      </w:r>
    </w:p>
    <w:p w14:paraId="1F96CD7F" w14:textId="77777777" w:rsidR="009A1120" w:rsidRPr="00472578" w:rsidRDefault="00D22F06" w:rsidP="00E92686">
      <w:pPr>
        <w:adjustRightInd w:val="0"/>
        <w:spacing w:line="256" w:lineRule="auto"/>
        <w:jc w:val="both"/>
        <w:rPr>
          <w:rFonts w:cs="Times New Roman"/>
          <w:color w:val="0000FF"/>
          <w:u w:val="single"/>
        </w:rPr>
      </w:pPr>
      <w:hyperlink r:id="rId39" w:history="1">
        <w:r w:rsidR="009A1120" w:rsidRPr="00472578">
          <w:rPr>
            <w:rFonts w:cs="Times New Roman"/>
            <w:color w:val="0000FF"/>
            <w:u w:val="single"/>
          </w:rPr>
          <w:t>http://www.puketeraki.nz/</w:t>
        </w:r>
      </w:hyperlink>
    </w:p>
    <w:p w14:paraId="77563908" w14:textId="77777777" w:rsidR="009A1120" w:rsidRPr="00472578" w:rsidRDefault="009A1120" w:rsidP="00E92686">
      <w:pPr>
        <w:adjustRightInd w:val="0"/>
        <w:spacing w:line="256" w:lineRule="auto"/>
        <w:jc w:val="both"/>
        <w:rPr>
          <w:rFonts w:cs="Times New Roman"/>
        </w:rPr>
      </w:pPr>
    </w:p>
    <w:p w14:paraId="41D6D514" w14:textId="77777777" w:rsidR="009A1120" w:rsidRPr="00472578" w:rsidRDefault="009A1120" w:rsidP="00E92686">
      <w:pPr>
        <w:adjustRightInd w:val="0"/>
        <w:spacing w:line="256" w:lineRule="auto"/>
        <w:jc w:val="both"/>
        <w:rPr>
          <w:rFonts w:cs="Times New Roman"/>
          <w:i/>
          <w:iCs/>
        </w:rPr>
      </w:pPr>
      <w:r w:rsidRPr="00472578">
        <w:rPr>
          <w:noProof/>
        </w:rPr>
        <w:drawing>
          <wp:inline distT="0" distB="0" distL="0" distR="0" wp14:anchorId="32F2BB71" wp14:editId="596B650B">
            <wp:extent cx="3218815" cy="2133600"/>
            <wp:effectExtent l="0" t="0" r="635" b="0"/>
            <wp:docPr id="255" name="Picture 255" descr="A picture containing sky, outdoor, grass,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sky, outdoor, grass, outdoor objec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218815" cy="2133600"/>
                    </a:xfrm>
                    <a:prstGeom prst="rect">
                      <a:avLst/>
                    </a:prstGeom>
                  </pic:spPr>
                </pic:pic>
              </a:graphicData>
            </a:graphic>
          </wp:inline>
        </w:drawing>
      </w:r>
    </w:p>
    <w:p w14:paraId="69B92CC4" w14:textId="77777777" w:rsidR="009A1120" w:rsidRPr="00472578" w:rsidRDefault="009A1120" w:rsidP="00E92686">
      <w:pPr>
        <w:jc w:val="both"/>
        <w:rPr>
          <w:i/>
          <w:iCs/>
        </w:rPr>
      </w:pPr>
      <w:r w:rsidRPr="00472578">
        <w:rPr>
          <w:i/>
          <w:iCs/>
        </w:rPr>
        <w:t>Puketeraki Marae</w:t>
      </w:r>
    </w:p>
    <w:p w14:paraId="7FF7467F" w14:textId="77777777" w:rsidR="009A1120" w:rsidRPr="00472578" w:rsidRDefault="009A1120" w:rsidP="00E92686">
      <w:pPr>
        <w:pStyle w:val="Heading6"/>
        <w:jc w:val="both"/>
      </w:pPr>
      <w:r w:rsidRPr="00472578">
        <w:lastRenderedPageBreak/>
        <w:t>Te Rūnanga o Ōtākou</w:t>
      </w:r>
    </w:p>
    <w:p w14:paraId="4C587A89" w14:textId="77777777" w:rsidR="009A1120" w:rsidRPr="00472578" w:rsidRDefault="009A1120" w:rsidP="00E92686">
      <w:pPr>
        <w:spacing w:line="256" w:lineRule="auto"/>
        <w:jc w:val="both"/>
        <w:rPr>
          <w:highlight w:val="yellow"/>
        </w:rPr>
      </w:pPr>
      <w:r w:rsidRPr="00472578">
        <w:t xml:space="preserve">The takiwā of Te Rūnaka o Ōtākou centres on </w:t>
      </w:r>
      <w:r w:rsidRPr="00472578">
        <w:rPr>
          <w:strike/>
        </w:rPr>
        <w:t>Muaūpoko</w:t>
      </w:r>
      <w:r w:rsidRPr="00472578">
        <w:t xml:space="preserve"> </w:t>
      </w:r>
      <w:r w:rsidRPr="00472578">
        <w:rPr>
          <w:u w:val="single"/>
        </w:rPr>
        <w:t>Muaupoko</w:t>
      </w:r>
      <w:r w:rsidRPr="00472578">
        <w:rPr>
          <w:rStyle w:val="FootnoteReference"/>
        </w:rPr>
        <w:footnoteReference w:id="152"/>
      </w:r>
      <w:r w:rsidRPr="00472578">
        <w:t xml:space="preserve"> Otago Peninsula, and extends </w:t>
      </w:r>
      <w:proofErr w:type="gramStart"/>
      <w:r w:rsidRPr="00472578">
        <w:t>from Purehurehu Heyward Point,</w:t>
      </w:r>
      <w:proofErr w:type="gramEnd"/>
      <w:r w:rsidRPr="00472578">
        <w:t xml:space="preserve"> to Te Mata-au Clutha River, and inland, sharing an interest in the </w:t>
      </w:r>
      <w:r w:rsidRPr="00472578">
        <w:rPr>
          <w:i/>
          <w:iCs/>
        </w:rPr>
        <w:t>lakes</w:t>
      </w:r>
      <w:r w:rsidRPr="00472578">
        <w:t xml:space="preserve"> and mountains to the western coast with kā Rūnaka to the north and south. The Otago </w:t>
      </w:r>
      <w:r w:rsidRPr="00472578">
        <w:rPr>
          <w:strike/>
        </w:rPr>
        <w:t>Harbor</w:t>
      </w:r>
      <w:r w:rsidRPr="00472578">
        <w:t xml:space="preserve"> </w:t>
      </w:r>
      <w:r w:rsidRPr="00472578">
        <w:rPr>
          <w:u w:val="single"/>
        </w:rPr>
        <w:t>harbour</w:t>
      </w:r>
      <w:r w:rsidRPr="00472578">
        <w:rPr>
          <w:vertAlign w:val="superscript"/>
        </w:rPr>
        <w:footnoteReference w:id="153"/>
      </w:r>
      <w:r w:rsidRPr="00472578">
        <w:t xml:space="preserve"> has a pivotal role in the well-being of Ōtākou people. The </w:t>
      </w:r>
      <w:r w:rsidRPr="00472578">
        <w:rPr>
          <w:strike/>
        </w:rPr>
        <w:t>harbor</w:t>
      </w:r>
      <w:r w:rsidRPr="00472578">
        <w:t xml:space="preserve"> </w:t>
      </w:r>
      <w:r w:rsidRPr="00472578">
        <w:rPr>
          <w:u w:val="single"/>
        </w:rPr>
        <w:t>harbour</w:t>
      </w:r>
      <w:r w:rsidRPr="00472578">
        <w:rPr>
          <w:vertAlign w:val="superscript"/>
        </w:rPr>
        <w:footnoteReference w:id="154"/>
      </w:r>
      <w:r w:rsidRPr="00472578">
        <w:t xml:space="preserve"> is a source of identity, a bountiful provider of kaimoana, and it is the pathway to the fishing grounds beyond. Traditionally it was the mode for other hapū to visit, and in today's world it is the lifeline to the international trade that benefits the region. The ebb and flow of the </w:t>
      </w:r>
      <w:r w:rsidRPr="00472578">
        <w:rPr>
          <w:strike/>
        </w:rPr>
        <w:t>harbor</w:t>
      </w:r>
      <w:r w:rsidRPr="00472578">
        <w:t xml:space="preserve"> </w:t>
      </w:r>
      <w:r w:rsidRPr="00472578">
        <w:rPr>
          <w:u w:val="single"/>
        </w:rPr>
        <w:t>harbour</w:t>
      </w:r>
      <w:r w:rsidRPr="00472578">
        <w:rPr>
          <w:vertAlign w:val="superscript"/>
        </w:rPr>
        <w:footnoteReference w:id="155"/>
      </w:r>
      <w:r w:rsidRPr="00472578">
        <w:t xml:space="preserve"> tides </w:t>
      </w:r>
      <w:proofErr w:type="gramStart"/>
      <w:r w:rsidRPr="00472578">
        <w:t>is</w:t>
      </w:r>
      <w:proofErr w:type="gramEnd"/>
      <w:r w:rsidRPr="00472578">
        <w:t xml:space="preserve"> a valued certainty in a world of change, a taoka to be treasured and protected for the benefit of current and future generations.</w:t>
      </w:r>
    </w:p>
    <w:p w14:paraId="7961B21B" w14:textId="77777777" w:rsidR="009A1120" w:rsidRPr="00472578" w:rsidRDefault="00D22F06" w:rsidP="00E92686">
      <w:pPr>
        <w:adjustRightInd w:val="0"/>
        <w:spacing w:line="256" w:lineRule="auto"/>
        <w:jc w:val="both"/>
        <w:rPr>
          <w:rFonts w:cs="Times New Roman"/>
          <w:color w:val="0000FF"/>
          <w:u w:val="single"/>
        </w:rPr>
      </w:pPr>
      <w:hyperlink r:id="rId41" w:history="1">
        <w:r w:rsidR="009A1120" w:rsidRPr="00472578">
          <w:rPr>
            <w:rFonts w:cs="Times New Roman"/>
            <w:color w:val="0000FF"/>
            <w:u w:val="single"/>
          </w:rPr>
          <w:t>http://www.otakourunaka.co.nz/</w:t>
        </w:r>
      </w:hyperlink>
    </w:p>
    <w:p w14:paraId="33FABBEE" w14:textId="77777777" w:rsidR="009A1120" w:rsidRPr="00472578" w:rsidRDefault="009A1120" w:rsidP="00E92686">
      <w:pPr>
        <w:adjustRightInd w:val="0"/>
        <w:spacing w:line="256" w:lineRule="auto"/>
        <w:jc w:val="both"/>
        <w:rPr>
          <w:rFonts w:cs="Times New Roman"/>
        </w:rPr>
      </w:pPr>
    </w:p>
    <w:p w14:paraId="350878B2" w14:textId="77777777" w:rsidR="009A1120" w:rsidRPr="00472578" w:rsidRDefault="009A1120" w:rsidP="00E92686">
      <w:pPr>
        <w:adjustRightInd w:val="0"/>
        <w:spacing w:line="256" w:lineRule="auto"/>
        <w:jc w:val="both"/>
        <w:rPr>
          <w:rFonts w:cs="Times New Roman"/>
          <w:i/>
          <w:iCs/>
        </w:rPr>
      </w:pPr>
      <w:r w:rsidRPr="00472578">
        <w:rPr>
          <w:noProof/>
        </w:rPr>
        <w:drawing>
          <wp:inline distT="0" distB="0" distL="0" distR="0" wp14:anchorId="15F929AE" wp14:editId="08104EA9">
            <wp:extent cx="3267710" cy="1889760"/>
            <wp:effectExtent l="0" t="0" r="8890" b="0"/>
            <wp:docPr id="42" name="Picture 42" descr="A picture containing tree, house,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ree, house, outdoor, mountai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267710" cy="1889760"/>
                    </a:xfrm>
                    <a:prstGeom prst="rect">
                      <a:avLst/>
                    </a:prstGeom>
                  </pic:spPr>
                </pic:pic>
              </a:graphicData>
            </a:graphic>
          </wp:inline>
        </w:drawing>
      </w:r>
    </w:p>
    <w:p w14:paraId="210B1956" w14:textId="77777777" w:rsidR="009A1120" w:rsidRPr="00472578" w:rsidRDefault="009A1120" w:rsidP="00E92686">
      <w:pPr>
        <w:jc w:val="both"/>
        <w:rPr>
          <w:i/>
          <w:iCs/>
        </w:rPr>
      </w:pPr>
      <w:r w:rsidRPr="00472578">
        <w:rPr>
          <w:i/>
          <w:iCs/>
        </w:rPr>
        <w:t>Ōtākou Marae, Otago Peninsula</w:t>
      </w:r>
    </w:p>
    <w:p w14:paraId="41D7B575" w14:textId="77777777" w:rsidR="009A1120" w:rsidRPr="00472578" w:rsidRDefault="009A1120" w:rsidP="00E92686">
      <w:pPr>
        <w:pStyle w:val="Heading6"/>
        <w:jc w:val="both"/>
      </w:pPr>
      <w:r w:rsidRPr="00472578">
        <w:t>Hokonui Rūnanga</w:t>
      </w:r>
    </w:p>
    <w:p w14:paraId="0B5932B5" w14:textId="77777777" w:rsidR="009A1120" w:rsidRPr="00472578" w:rsidRDefault="009A1120" w:rsidP="00E92686">
      <w:pPr>
        <w:spacing w:line="256" w:lineRule="auto"/>
        <w:jc w:val="both"/>
        <w:rPr>
          <w:rFonts w:cs="Times New Roman"/>
        </w:rPr>
      </w:pPr>
      <w:r w:rsidRPr="00472578">
        <w:rPr>
          <w:rFonts w:cs="Times New Roman"/>
        </w:rPr>
        <w:t xml:space="preserve">The takiwā of Hokonui Rūnaka centres on the Hokonui region and includes a shared interest in the </w:t>
      </w:r>
      <w:r w:rsidRPr="00472578">
        <w:rPr>
          <w:rFonts w:cs="Times New Roman"/>
          <w:i/>
          <w:iCs/>
        </w:rPr>
        <w:t>lakes</w:t>
      </w:r>
      <w:r w:rsidRPr="00472578">
        <w:rPr>
          <w:rFonts w:cs="Times New Roman"/>
        </w:rPr>
        <w:t xml:space="preserve"> and mountains between Whakatipu-Waitai and Tawhitarere with </w:t>
      </w:r>
      <w:r w:rsidRPr="00472578">
        <w:t>other</w:t>
      </w:r>
      <w:r w:rsidRPr="00472578">
        <w:rPr>
          <w:rFonts w:cs="Times New Roman"/>
        </w:rPr>
        <w:t xml:space="preserve"> Murihiku Rūnanga and those located from Waihemo southwards. Although Hokonui Rūnanga is based in Gore, their interests in the Otago area, especially South Otago, are significant. They hold this in common with other Otago Rūnaka through whakapapa, </w:t>
      </w:r>
      <w:proofErr w:type="gramStart"/>
      <w:r w:rsidRPr="00472578">
        <w:rPr>
          <w:rFonts w:cs="Times New Roman"/>
        </w:rPr>
        <w:t>history</w:t>
      </w:r>
      <w:proofErr w:type="gramEnd"/>
      <w:r w:rsidRPr="00472578">
        <w:rPr>
          <w:rFonts w:cs="Times New Roman"/>
        </w:rPr>
        <w:t xml:space="preserve"> and tradition.</w:t>
      </w:r>
    </w:p>
    <w:p w14:paraId="77FAFE20" w14:textId="77777777" w:rsidR="009A1120" w:rsidRPr="00472578" w:rsidRDefault="00D22F06" w:rsidP="00E92686">
      <w:pPr>
        <w:adjustRightInd w:val="0"/>
        <w:spacing w:line="256" w:lineRule="auto"/>
        <w:jc w:val="both"/>
        <w:rPr>
          <w:rFonts w:cs="Times New Roman"/>
          <w:color w:val="0000FF"/>
          <w:u w:val="single"/>
        </w:rPr>
      </w:pPr>
      <w:hyperlink r:id="rId43" w:history="1">
        <w:r w:rsidR="009A1120" w:rsidRPr="00472578">
          <w:rPr>
            <w:rFonts w:cs="Times New Roman"/>
            <w:color w:val="0000FF"/>
            <w:u w:val="single"/>
          </w:rPr>
          <w:t>https://www.hokonuirunanga.org.nz/</w:t>
        </w:r>
      </w:hyperlink>
    </w:p>
    <w:p w14:paraId="72F4108D" w14:textId="77777777" w:rsidR="009A1120" w:rsidRPr="00472578" w:rsidRDefault="009A1120" w:rsidP="00E92686">
      <w:pPr>
        <w:adjustRightInd w:val="0"/>
        <w:spacing w:line="256" w:lineRule="auto"/>
        <w:jc w:val="both"/>
      </w:pPr>
    </w:p>
    <w:p w14:paraId="182BE60A" w14:textId="77777777" w:rsidR="009A1120" w:rsidRPr="00472578" w:rsidRDefault="009A1120" w:rsidP="00E92686">
      <w:pPr>
        <w:adjustRightInd w:val="0"/>
        <w:spacing w:line="256" w:lineRule="auto"/>
        <w:jc w:val="both"/>
        <w:rPr>
          <w:rFonts w:cs="Times New Roman"/>
          <w:i/>
          <w:iCs/>
        </w:rPr>
      </w:pPr>
      <w:r w:rsidRPr="00472578">
        <w:rPr>
          <w:noProof/>
        </w:rPr>
        <w:lastRenderedPageBreak/>
        <w:drawing>
          <wp:inline distT="0" distB="0" distL="0" distR="0" wp14:anchorId="085E6462" wp14:editId="74A65FF0">
            <wp:extent cx="2932430" cy="2200910"/>
            <wp:effectExtent l="0" t="0" r="1270" b="8890"/>
            <wp:docPr id="45" name="Picture 45" descr="A picture containing grass,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ss, sky, outdoor, hous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932430" cy="2200910"/>
                    </a:xfrm>
                    <a:prstGeom prst="rect">
                      <a:avLst/>
                    </a:prstGeom>
                  </pic:spPr>
                </pic:pic>
              </a:graphicData>
            </a:graphic>
          </wp:inline>
        </w:drawing>
      </w:r>
    </w:p>
    <w:p w14:paraId="6724C800" w14:textId="77777777" w:rsidR="009A1120" w:rsidRPr="00472578" w:rsidRDefault="009A1120" w:rsidP="00E92686">
      <w:pPr>
        <w:jc w:val="both"/>
        <w:rPr>
          <w:i/>
          <w:iCs/>
        </w:rPr>
      </w:pPr>
      <w:r w:rsidRPr="00472578">
        <w:rPr>
          <w:i/>
          <w:iCs/>
        </w:rPr>
        <w:t>Hokonui Marae</w:t>
      </w:r>
    </w:p>
    <w:p w14:paraId="091994F3" w14:textId="77777777" w:rsidR="009A1120" w:rsidRPr="00472578" w:rsidRDefault="009A1120" w:rsidP="00E92686">
      <w:pPr>
        <w:pStyle w:val="Heading6"/>
        <w:jc w:val="both"/>
      </w:pPr>
      <w:r w:rsidRPr="00472578">
        <w:t>Te Rūnanga o Awarua</w:t>
      </w:r>
    </w:p>
    <w:p w14:paraId="3573E5CD" w14:textId="77777777" w:rsidR="009A1120" w:rsidRPr="00472578" w:rsidRDefault="009A1120" w:rsidP="00E92686">
      <w:pPr>
        <w:spacing w:line="256" w:lineRule="auto"/>
        <w:jc w:val="both"/>
      </w:pPr>
      <w:r w:rsidRPr="00472578">
        <w:t xml:space="preserve">The takiwa of Te Rūnanga o Awarua centres on Awarua and extends to the coasts and estuaries adjoining Waihopai sharing an interest in the </w:t>
      </w:r>
      <w:r w:rsidRPr="00472578">
        <w:rPr>
          <w:i/>
          <w:iCs/>
        </w:rPr>
        <w:t>lakes</w:t>
      </w:r>
      <w:r w:rsidRPr="00472578">
        <w:t xml:space="preserve"> and mountains between Whakatipu-Waitai and Tawhititarere with other Murihiku Rūnanga and those located from Waihemo southwards.</w:t>
      </w:r>
    </w:p>
    <w:p w14:paraId="3A43B3CD" w14:textId="77777777" w:rsidR="009A1120" w:rsidRPr="00472578" w:rsidRDefault="009A1120" w:rsidP="00E92686">
      <w:pPr>
        <w:pStyle w:val="Heading6"/>
        <w:jc w:val="both"/>
      </w:pPr>
      <w:r w:rsidRPr="00472578">
        <w:t>Waihopai Rūnaka</w:t>
      </w:r>
    </w:p>
    <w:p w14:paraId="5255A081" w14:textId="77777777" w:rsidR="009A1120" w:rsidRPr="00472578" w:rsidRDefault="009A1120" w:rsidP="00E92686">
      <w:pPr>
        <w:spacing w:line="256" w:lineRule="auto"/>
        <w:jc w:val="both"/>
      </w:pPr>
      <w:r w:rsidRPr="00472578">
        <w:t xml:space="preserve">The takiwa of Waihopai Rūnaka centres on Waihopai and extends northwards to Te Mata-au Clutha River, sharing an interest in the </w:t>
      </w:r>
      <w:r w:rsidRPr="00472578">
        <w:rPr>
          <w:i/>
          <w:iCs/>
        </w:rPr>
        <w:t>lakes</w:t>
      </w:r>
      <w:r w:rsidRPr="00472578">
        <w:t xml:space="preserve"> and mountains to the western coast with other Murihiku Rūnaka and those located from Waihemo southwards.</w:t>
      </w:r>
    </w:p>
    <w:p w14:paraId="39FB5752" w14:textId="77777777" w:rsidR="009A1120" w:rsidRPr="00472578" w:rsidRDefault="009A1120" w:rsidP="00E92686">
      <w:pPr>
        <w:pStyle w:val="Heading6"/>
        <w:jc w:val="both"/>
        <w:rPr>
          <w:color w:val="404040" w:themeColor="text1" w:themeTint="BF"/>
        </w:rPr>
      </w:pPr>
      <w:r w:rsidRPr="00472578">
        <w:t>Te Rūnanga o Ōraka Aparima</w:t>
      </w:r>
    </w:p>
    <w:p w14:paraId="7A51B230" w14:textId="77777777" w:rsidR="009A1120" w:rsidRPr="00472578" w:rsidRDefault="009A1120" w:rsidP="00E92686">
      <w:pPr>
        <w:spacing w:line="256" w:lineRule="auto"/>
        <w:jc w:val="both"/>
      </w:pPr>
      <w:r w:rsidRPr="00472578">
        <w:t xml:space="preserve">The takiwa of Te Rūnanga o Ōraka Aparima centres on Ōraka and extends from Waimatuku to Tawhititarere sharing an interest in the </w:t>
      </w:r>
      <w:r w:rsidRPr="00472578">
        <w:rPr>
          <w:i/>
          <w:iCs/>
        </w:rPr>
        <w:t>lakes</w:t>
      </w:r>
      <w:r w:rsidRPr="00472578">
        <w:t xml:space="preserve"> and mountains from Whakatipu-Waitai to Tawhititarere with other Murihiku Rūnaka and those located from Waihemo southwards.</w:t>
      </w:r>
    </w:p>
    <w:p w14:paraId="2B2DCDA1" w14:textId="77777777" w:rsidR="009A1120" w:rsidRPr="00472578" w:rsidRDefault="009A1120" w:rsidP="00E92686">
      <w:pPr>
        <w:pStyle w:val="Heading3"/>
        <w:jc w:val="both"/>
      </w:pPr>
      <w:r w:rsidRPr="00472578">
        <w:t>Environmental management perspectives and values of Kāi Tahu</w:t>
      </w:r>
    </w:p>
    <w:p w14:paraId="17366C70" w14:textId="77777777" w:rsidR="009A1120" w:rsidRPr="00472578" w:rsidRDefault="009A1120" w:rsidP="00E92686">
      <w:pPr>
        <w:adjustRightInd w:val="0"/>
        <w:spacing w:line="256" w:lineRule="auto"/>
        <w:jc w:val="both"/>
        <w:rPr>
          <w:rFonts w:ascii="Calibri-Italic" w:hAnsi="Calibri-Italic" w:cs="Calibri-Italic"/>
          <w:i/>
          <w:iCs/>
        </w:rPr>
      </w:pPr>
      <w:r w:rsidRPr="00472578">
        <w:rPr>
          <w:rFonts w:ascii="Calibri-Italic" w:hAnsi="Calibri-Italic" w:cs="Calibri-Italic"/>
          <w:i/>
          <w:iCs/>
        </w:rPr>
        <w:t>He taura whiri kotahi mai anō te kōpunga tai nō ī te pū au</w:t>
      </w:r>
    </w:p>
    <w:p w14:paraId="1DEABB16" w14:textId="77777777" w:rsidR="009A1120" w:rsidRPr="00472578" w:rsidRDefault="009A1120" w:rsidP="00E92686">
      <w:pPr>
        <w:spacing w:line="256" w:lineRule="auto"/>
        <w:jc w:val="both"/>
        <w:rPr>
          <w:rFonts w:cs="Times New Roman"/>
          <w:i/>
          <w:iCs/>
        </w:rPr>
      </w:pPr>
      <w:r w:rsidRPr="00472578">
        <w:rPr>
          <w:rFonts w:cs="Times New Roman"/>
          <w:i/>
          <w:iCs/>
        </w:rPr>
        <w:t>“From the source to the mouth of the sea, all things are joined together as one”</w:t>
      </w:r>
    </w:p>
    <w:p w14:paraId="51180FE3" w14:textId="77BC2188" w:rsidR="009A1120" w:rsidRPr="00472578" w:rsidRDefault="009A1120" w:rsidP="00E92686">
      <w:pPr>
        <w:spacing w:line="256" w:lineRule="auto"/>
        <w:jc w:val="both"/>
        <w:rPr>
          <w:rFonts w:cs="Times New Roman"/>
        </w:rPr>
      </w:pPr>
      <w:r w:rsidRPr="00472578">
        <w:t>Te Tiriti o Waitangi establishes a partnership between Kāi Tahu and the Crown. The RMA</w:t>
      </w:r>
      <w:r w:rsidRPr="006072DC">
        <w:rPr>
          <w:strike/>
        </w:rPr>
        <w:t xml:space="preserve"> 1991</w:t>
      </w:r>
      <w:r w:rsidR="006072DC">
        <w:rPr>
          <w:rStyle w:val="FootnoteReference"/>
        </w:rPr>
        <w:footnoteReference w:id="156"/>
      </w:r>
      <w:r w:rsidR="006072DC">
        <w:t xml:space="preserve"> </w:t>
      </w:r>
      <w:r w:rsidRPr="00472578">
        <w:t xml:space="preserve">requires that the relationship of Māori and their culture and traditions with their ancestral lands, water, sites, wāhi tapu, and other taoka, is </w:t>
      </w:r>
      <w:r w:rsidRPr="00472578">
        <w:rPr>
          <w:strike/>
        </w:rPr>
        <w:t>recognized</w:t>
      </w:r>
      <w:r w:rsidRPr="00472578">
        <w:t xml:space="preserve"> </w:t>
      </w:r>
      <w:r w:rsidRPr="00472578">
        <w:rPr>
          <w:u w:val="single"/>
        </w:rPr>
        <w:t>recognised</w:t>
      </w:r>
      <w:r w:rsidRPr="00472578">
        <w:rPr>
          <w:vertAlign w:val="superscript"/>
        </w:rPr>
        <w:footnoteReference w:id="157"/>
      </w:r>
      <w:r w:rsidRPr="00472578">
        <w:t xml:space="preserve"> and provided for and that the principles of the Treaty of Waitangi are </w:t>
      </w:r>
      <w:proofErr w:type="gramStart"/>
      <w:r w:rsidRPr="00472578">
        <w:t>taken into account</w:t>
      </w:r>
      <w:proofErr w:type="gramEnd"/>
      <w:r w:rsidRPr="00472578">
        <w:t>. In the spirit of this partnership and the Treaty principles</w:t>
      </w:r>
      <w:r w:rsidRPr="00472578">
        <w:rPr>
          <w:u w:val="single"/>
        </w:rPr>
        <w:t>,</w:t>
      </w:r>
      <w:r w:rsidRPr="00472578">
        <w:t xml:space="preserve"> </w:t>
      </w:r>
      <w:r w:rsidRPr="00472578">
        <w:rPr>
          <w:vertAlign w:val="superscript"/>
        </w:rPr>
        <w:footnoteReference w:id="158"/>
      </w:r>
      <w:r w:rsidRPr="00472578">
        <w:t xml:space="preserve">the ORPS seeks to facilitate Kāi Tahu engagement in resource management </w:t>
      </w:r>
      <w:r w:rsidRPr="639E38F9">
        <w:rPr>
          <w:u w:val="single"/>
        </w:rPr>
        <w:t>processes and decision-making</w:t>
      </w:r>
      <w:r w:rsidRPr="639E38F9">
        <w:rPr>
          <w:vertAlign w:val="superscript"/>
        </w:rPr>
        <w:footnoteReference w:id="159"/>
      </w:r>
      <w:r w:rsidRPr="639E38F9">
        <w:t xml:space="preserve"> </w:t>
      </w:r>
      <w:r w:rsidRPr="00472578">
        <w:t>in Otago.</w:t>
      </w:r>
    </w:p>
    <w:p w14:paraId="23264997" w14:textId="77777777" w:rsidR="009A1120" w:rsidRPr="00472578" w:rsidRDefault="009A1120" w:rsidP="00E92686">
      <w:pPr>
        <w:spacing w:line="256" w:lineRule="auto"/>
        <w:jc w:val="both"/>
        <w:rPr>
          <w:rFonts w:cs="Times New Roman"/>
        </w:rPr>
      </w:pPr>
      <w:r w:rsidRPr="00472578">
        <w:rPr>
          <w:rFonts w:cs="Times New Roman"/>
        </w:rPr>
        <w:t xml:space="preserve">This chapter acknowledges the principles of Te Tiriti o Waitangi and sets out general considerations for the incorporation of Kāi Tahu values and interests into resource management planning, consenting, and </w:t>
      </w:r>
      <w:r w:rsidRPr="00472578">
        <w:rPr>
          <w:rFonts w:cs="Times New Roman"/>
        </w:rPr>
        <w:lastRenderedPageBreak/>
        <w:t xml:space="preserve">implementation processes. These are </w:t>
      </w:r>
      <w:r w:rsidRPr="00472578">
        <w:t>integrated</w:t>
      </w:r>
      <w:r w:rsidRPr="00472578">
        <w:rPr>
          <w:rFonts w:cs="Times New Roman"/>
        </w:rPr>
        <w:t xml:space="preserve"> throughout this document, and this chapter serves to tie the strands together. It reflects the philosophy embraced by Kāi Tahu of holistic resource management, ki uta ki tai – often described as “from the mountains to the sea”.</w:t>
      </w:r>
    </w:p>
    <w:p w14:paraId="0EE1DC55" w14:textId="77777777" w:rsidR="009A1120" w:rsidRPr="00472578" w:rsidRDefault="009A1120" w:rsidP="00E92686">
      <w:pPr>
        <w:pStyle w:val="Heading4"/>
        <w:jc w:val="both"/>
        <w:rPr>
          <w:i/>
        </w:rPr>
      </w:pPr>
      <w:r w:rsidRPr="00472578">
        <w:t xml:space="preserve">Kāi Tahu values </w:t>
      </w:r>
    </w:p>
    <w:p w14:paraId="09CE5E62" w14:textId="77777777" w:rsidR="009A1120" w:rsidRPr="00472578" w:rsidRDefault="009A1120" w:rsidP="00E92686">
      <w:pPr>
        <w:spacing w:line="256" w:lineRule="auto"/>
        <w:jc w:val="both"/>
      </w:pPr>
      <w:r w:rsidRPr="00472578">
        <w:t>The following description is a guide to assist in understanding Kāi Tahu values. It is not a complete list of all the values held by Kāi Tahu.</w:t>
      </w:r>
    </w:p>
    <w:p w14:paraId="4D077D3D" w14:textId="5912D452" w:rsidR="009A1120" w:rsidRPr="00472578" w:rsidRDefault="009A1120" w:rsidP="00E92686">
      <w:pPr>
        <w:spacing w:line="256" w:lineRule="auto"/>
        <w:jc w:val="both"/>
      </w:pPr>
      <w:r w:rsidRPr="00472578">
        <w:t xml:space="preserve">Kāi Tahu do not see their existence as separate from </w:t>
      </w:r>
      <w:r w:rsidRPr="639E38F9">
        <w:rPr>
          <w:strike/>
        </w:rPr>
        <w:t>Te Ao Tūroa</w:t>
      </w:r>
      <w:r w:rsidRPr="639E38F9">
        <w:rPr>
          <w:u w:val="single"/>
        </w:rPr>
        <w:t xml:space="preserve"> te ao tūroa</w:t>
      </w:r>
      <w:r w:rsidRPr="00472578">
        <w:t>,</w:t>
      </w:r>
      <w:r w:rsidRPr="00472578">
        <w:rPr>
          <w:vertAlign w:val="superscript"/>
        </w:rPr>
        <w:footnoteReference w:id="160"/>
      </w:r>
      <w:r w:rsidRPr="00472578">
        <w:t xml:space="preserve"> the natural world, but as an integral part of it through whakapapa (genealogy). Whakapapa is central to </w:t>
      </w:r>
      <w:r w:rsidRPr="639E38F9">
        <w:rPr>
          <w:strike/>
        </w:rPr>
        <w:t>Te Ao</w:t>
      </w:r>
      <w:r w:rsidRPr="639E38F9">
        <w:rPr>
          <w:u w:val="single"/>
        </w:rPr>
        <w:t xml:space="preserve"> te ao</w:t>
      </w:r>
      <w:r w:rsidRPr="639E38F9">
        <w:t xml:space="preserve"> </w:t>
      </w:r>
      <w:r w:rsidRPr="00472578">
        <w:t>M</w:t>
      </w:r>
      <w:bookmarkStart w:id="41" w:name="_Hlk72156579"/>
      <w:r w:rsidRPr="00472578">
        <w:t>ā</w:t>
      </w:r>
      <w:bookmarkEnd w:id="41"/>
      <w:r w:rsidRPr="00472578">
        <w:t xml:space="preserve">ori </w:t>
      </w:r>
      <w:r w:rsidRPr="639E38F9">
        <w:rPr>
          <w:u w:val="single"/>
        </w:rPr>
        <w:t>(a Māori world</w:t>
      </w:r>
      <w:r w:rsidR="00C37F92" w:rsidRPr="639E38F9">
        <w:rPr>
          <w:u w:val="single"/>
        </w:rPr>
        <w:t xml:space="preserve"> </w:t>
      </w:r>
      <w:r w:rsidRPr="639E38F9">
        <w:rPr>
          <w:u w:val="single"/>
        </w:rPr>
        <w:t>view)</w:t>
      </w:r>
      <w:r w:rsidRPr="00472578">
        <w:t>,</w:t>
      </w:r>
      <w:r w:rsidRPr="00472578">
        <w:rPr>
          <w:vertAlign w:val="superscript"/>
        </w:rPr>
        <w:footnoteReference w:id="161"/>
      </w:r>
      <w:r w:rsidRPr="00472578">
        <w:t xml:space="preserve"> connecting the origins of everything, past and present. It is the foundation upon which all things are built, the web that connects all things together, the anchor which holds all things in place and </w:t>
      </w:r>
      <w:proofErr w:type="gramStart"/>
      <w:r w:rsidRPr="00472578">
        <w:t>the means by which</w:t>
      </w:r>
      <w:proofErr w:type="gramEnd"/>
      <w:r w:rsidRPr="00472578">
        <w:t xml:space="preserve"> all things link back to the beginning of time. It is through whakapapa that all things are intricately linked, as well as having their individual place in the world. Whakapapa binds Kāi Tahu to the mountains, forests and waters and the life supported by them, and this is reflected in attitudes towards the natural world and resource management.</w:t>
      </w:r>
    </w:p>
    <w:p w14:paraId="335C6A5F" w14:textId="77777777" w:rsidR="009A1120" w:rsidRPr="00472578" w:rsidRDefault="009A1120" w:rsidP="00E92686">
      <w:pPr>
        <w:spacing w:line="256" w:lineRule="auto"/>
        <w:jc w:val="both"/>
      </w:pPr>
      <w:r w:rsidRPr="00472578">
        <w:t xml:space="preserve">Whakawhanaukataka, the process of maintaining relationships, embraces whakapapa through the relationship between people, and between people and the </w:t>
      </w:r>
      <w:r w:rsidRPr="00472578">
        <w:rPr>
          <w:i/>
          <w:iCs/>
        </w:rPr>
        <w:t>environment</w:t>
      </w:r>
      <w:r w:rsidRPr="00472578">
        <w:t>. The nature of these relationships defines people's rights and responsibilities in relation to the use and management of resources.</w:t>
      </w:r>
    </w:p>
    <w:p w14:paraId="7B6996D9" w14:textId="1FA89524" w:rsidR="009A1120" w:rsidRPr="00472578" w:rsidRDefault="009A1120" w:rsidP="00E92686">
      <w:pPr>
        <w:adjustRightInd w:val="0"/>
        <w:spacing w:line="256" w:lineRule="auto"/>
        <w:jc w:val="both"/>
      </w:pPr>
      <w:r w:rsidRPr="00472578">
        <w:t>All things have the qualities of wairua (spiritual dimension) and mauri (life force)</w:t>
      </w:r>
      <w:r w:rsidRPr="00472578">
        <w:rPr>
          <w:strike/>
        </w:rPr>
        <w:t>,</w:t>
      </w:r>
      <w:r w:rsidRPr="00472578">
        <w:rPr>
          <w:vertAlign w:val="superscript"/>
        </w:rPr>
        <w:footnoteReference w:id="162"/>
      </w:r>
      <w:r w:rsidRPr="00472578">
        <w:t xml:space="preserve"> and have a genealogical relationship with each other.</w:t>
      </w:r>
      <w:r w:rsidR="00924CCF">
        <w:t xml:space="preserve"> </w:t>
      </w:r>
      <w:r w:rsidRPr="00472578">
        <w:t>Mauri is found in all things organic and inorganic.</w:t>
      </w:r>
      <w:r w:rsidR="00924CCF">
        <w:t xml:space="preserve"> </w:t>
      </w:r>
      <w:r w:rsidRPr="639E38F9">
        <w:t xml:space="preserve">The nurturing of all taoka and protection of their mauri is a prime concern and a </w:t>
      </w:r>
      <w:r w:rsidRPr="639E38F9">
        <w:rPr>
          <w:strike/>
        </w:rPr>
        <w:t xml:space="preserve">kaitiaki </w:t>
      </w:r>
      <w:r w:rsidRPr="639E38F9">
        <w:rPr>
          <w:u w:val="single"/>
        </w:rPr>
        <w:t>significant</w:t>
      </w:r>
      <w:r w:rsidRPr="639E38F9">
        <w:t xml:space="preserve"> obligation for Kāi Tahu</w:t>
      </w:r>
      <w:r w:rsidRPr="639E38F9">
        <w:rPr>
          <w:u w:val="single"/>
        </w:rPr>
        <w:t xml:space="preserve"> whānui as mana whenua and mana moana, and as an expression of rakatirataka</w:t>
      </w:r>
      <w:r w:rsidRPr="00472578">
        <w:t>.</w:t>
      </w:r>
      <w:r w:rsidRPr="00472578">
        <w:rPr>
          <w:vertAlign w:val="superscript"/>
        </w:rPr>
        <w:footnoteReference w:id="163"/>
      </w:r>
    </w:p>
    <w:p w14:paraId="1CCD08F5" w14:textId="1EB3B677" w:rsidR="009A1120" w:rsidRPr="00472578" w:rsidRDefault="009A1120" w:rsidP="00E92686">
      <w:pPr>
        <w:spacing w:line="256" w:lineRule="auto"/>
        <w:jc w:val="both"/>
      </w:pPr>
      <w:r w:rsidRPr="00472578">
        <w:t xml:space="preserve">Each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164"/>
      </w:r>
      <w:r w:rsidRPr="00472578">
        <w:rPr>
          <w:rFonts w:cs="Times New Roman"/>
        </w:rPr>
        <w:t xml:space="preserve"> </w:t>
      </w:r>
      <w:r w:rsidRPr="00472578">
        <w:t xml:space="preserve">has its own takiwā determined by whakapapa and its ahi-kā-roa (historical use and occupation). Takiwā are often defined by natural boundaries such as heads, mountain ranges and </w:t>
      </w:r>
      <w:r w:rsidRPr="00472578">
        <w:rPr>
          <w:i/>
          <w:iCs/>
        </w:rPr>
        <w:t>rivers</w:t>
      </w:r>
      <w:r w:rsidRPr="00472578">
        <w:t xml:space="preserve">. </w:t>
      </w:r>
      <w:r w:rsidRPr="00472578">
        <w:rPr>
          <w:strike/>
        </w:rPr>
        <w:t>This political</w:t>
      </w:r>
      <w:r w:rsidRPr="00472578">
        <w:t xml:space="preserve"> </w:t>
      </w:r>
      <w:r w:rsidRPr="00472578">
        <w:rPr>
          <w:u w:val="single"/>
        </w:rPr>
        <w:t>Political</w:t>
      </w:r>
      <w:r w:rsidRPr="00472578">
        <w:t xml:space="preserve"> and operational authority over an area is undertaken by </w:t>
      </w:r>
      <w:r w:rsidRPr="639E38F9">
        <w:rPr>
          <w:strike/>
        </w:rPr>
        <w:t>mana whenua and encompasses kaitiakitaka and rakatirataka</w:t>
      </w:r>
      <w:r w:rsidRPr="639E38F9">
        <w:rPr>
          <w:u w:val="single"/>
        </w:rPr>
        <w:t xml:space="preserve"> Kāi Tahu as an expression of rakatirataka, mana whenua, and mana moana. The exercise of these powers in te taiao is through the action of kaitiakitaka.</w:t>
      </w:r>
      <w:r w:rsidRPr="639E38F9">
        <w:rPr>
          <w:vertAlign w:val="superscript"/>
        </w:rPr>
        <w:footnoteReference w:id="165"/>
      </w:r>
      <w:r w:rsidRPr="00472578">
        <w:t xml:space="preserve"> </w:t>
      </w:r>
      <w:r w:rsidRPr="00472578">
        <w:rPr>
          <w:strike/>
        </w:rPr>
        <w:t xml:space="preserve">An integral element of the concepts of </w:t>
      </w:r>
      <w:r w:rsidRPr="00472578">
        <w:rPr>
          <w:i/>
          <w:iCs/>
          <w:strike/>
        </w:rPr>
        <w:t>kaitiakitaka</w:t>
      </w:r>
      <w:r w:rsidRPr="00472578">
        <w:rPr>
          <w:strike/>
        </w:rPr>
        <w:t xml:space="preserve"> and rakatirataka is the recognition that Kāi Tahu have their own traditional</w:t>
      </w:r>
      <w:r w:rsidRPr="00472578">
        <w:t xml:space="preserve"> </w:t>
      </w:r>
      <w:r w:rsidRPr="639E38F9">
        <w:rPr>
          <w:u w:val="single"/>
        </w:rPr>
        <w:t xml:space="preserve">Recognition of the </w:t>
      </w:r>
      <w:r w:rsidRPr="639E38F9">
        <w:t xml:space="preserve">rakatirataka </w:t>
      </w:r>
      <w:r w:rsidRPr="639E38F9">
        <w:rPr>
          <w:u w:val="single"/>
        </w:rPr>
        <w:t xml:space="preserve">and mana of Kāi Tahu as kaitiaki whenua can in part, be achieved by enabling Kāi Tahu to identify and exercise their preferred </w:t>
      </w:r>
      <w:r w:rsidRPr="00472578">
        <w:t xml:space="preserve">means of managing and maintaining resources and the </w:t>
      </w:r>
      <w:r w:rsidRPr="00472578">
        <w:rPr>
          <w:i/>
          <w:iCs/>
        </w:rPr>
        <w:t xml:space="preserve">environment </w:t>
      </w:r>
      <w:r w:rsidRPr="00472578">
        <w:rPr>
          <w:u w:val="single"/>
        </w:rPr>
        <w:t>(te taiao)</w:t>
      </w:r>
      <w:r w:rsidRPr="00472578">
        <w:t>.</w:t>
      </w:r>
      <w:r w:rsidRPr="00472578">
        <w:rPr>
          <w:vertAlign w:val="superscript"/>
        </w:rPr>
        <w:footnoteReference w:id="166"/>
      </w:r>
      <w:r w:rsidRPr="00472578">
        <w:t xml:space="preserve"> This system of rights and responsibilities (encompassing tikaka and kawa) is inherited from previous generations and has evolved over time.</w:t>
      </w:r>
    </w:p>
    <w:p w14:paraId="00DD57E1" w14:textId="77777777" w:rsidR="009A1120" w:rsidRPr="00472578" w:rsidRDefault="009A1120" w:rsidP="00E92686">
      <w:pPr>
        <w:spacing w:line="256" w:lineRule="auto"/>
        <w:jc w:val="both"/>
      </w:pPr>
      <w:r w:rsidRPr="00472578">
        <w:t xml:space="preserve">The resources in any given area are a </w:t>
      </w:r>
      <w:r w:rsidRPr="639E38F9">
        <w:rPr>
          <w:u w:val="single"/>
        </w:rPr>
        <w:t>taoka; they are a</w:t>
      </w:r>
      <w:r w:rsidRPr="639E38F9">
        <w:rPr>
          <w:vertAlign w:val="superscript"/>
        </w:rPr>
        <w:footnoteReference w:id="167"/>
      </w:r>
      <w:r w:rsidRPr="639E38F9">
        <w:t xml:space="preserve"> </w:t>
      </w:r>
      <w:r w:rsidRPr="00472578">
        <w:t xml:space="preserve">source of prestige for </w:t>
      </w:r>
      <w:r w:rsidRPr="00472578">
        <w:rPr>
          <w:i/>
          <w:iCs/>
        </w:rPr>
        <w:t>mana whenua</w:t>
      </w:r>
      <w:r w:rsidRPr="00472578">
        <w:t xml:space="preserve"> of that area and are a statement of their identity. Traditionally, the abundance or lack of resources directly determines the welfare of every hapū, and so affects their mana.</w:t>
      </w:r>
    </w:p>
    <w:p w14:paraId="4681010B" w14:textId="77777777" w:rsidR="009A1120" w:rsidRPr="00472578" w:rsidRDefault="009A1120" w:rsidP="00E92686">
      <w:pPr>
        <w:pStyle w:val="Heading5"/>
        <w:jc w:val="both"/>
      </w:pPr>
      <w:r w:rsidRPr="00472578">
        <w:lastRenderedPageBreak/>
        <w:t>Ki uta ki tai</w:t>
      </w:r>
    </w:p>
    <w:p w14:paraId="5E11E693" w14:textId="77777777" w:rsidR="009A1120" w:rsidRPr="00472578" w:rsidRDefault="009A1120" w:rsidP="00E92686">
      <w:pPr>
        <w:spacing w:line="256" w:lineRule="auto"/>
        <w:jc w:val="both"/>
      </w:pPr>
      <w:r w:rsidRPr="00472578">
        <w:t xml:space="preserve">Ki uta ki tai is a philosophy that has become synonymous with the way Kāi Tahu think about natural resource management. Ki uta ki tai is the concept used to describe holistic natural resource management, recognising all environmental elements are interconnected and must be </w:t>
      </w:r>
      <w:proofErr w:type="gramStart"/>
      <w:r w:rsidRPr="00472578">
        <w:t>managed as a whole</w:t>
      </w:r>
      <w:proofErr w:type="gramEnd"/>
      <w:r w:rsidRPr="00472578">
        <w:t>. It is a way of understanding the natural environment, including how it functions, how people relate to it and how it can be looked after appropriately.</w:t>
      </w:r>
    </w:p>
    <w:p w14:paraId="6FC78A10" w14:textId="77777777" w:rsidR="009A1120" w:rsidRPr="00472578" w:rsidRDefault="009A1120" w:rsidP="00E92686">
      <w:pPr>
        <w:pStyle w:val="Heading5"/>
        <w:jc w:val="both"/>
      </w:pPr>
      <w:r w:rsidRPr="00472578">
        <w:t>Rakatirataka</w:t>
      </w:r>
    </w:p>
    <w:p w14:paraId="550880E5" w14:textId="187C3925" w:rsidR="009A1120" w:rsidRPr="00472578" w:rsidRDefault="009A1120" w:rsidP="00E92686">
      <w:pPr>
        <w:spacing w:line="256" w:lineRule="auto"/>
        <w:jc w:val="both"/>
      </w:pPr>
      <w:r w:rsidRPr="639E38F9">
        <w:t xml:space="preserve">Rakatirataka </w:t>
      </w:r>
      <w:r w:rsidRPr="639E38F9">
        <w:rPr>
          <w:strike/>
        </w:rPr>
        <w:t xml:space="preserve">is about having </w:t>
      </w:r>
      <w:r w:rsidRPr="639E38F9">
        <w:rPr>
          <w:u w:val="single"/>
        </w:rPr>
        <w:t xml:space="preserve">refers to </w:t>
      </w:r>
      <w:r w:rsidRPr="639E38F9">
        <w:t xml:space="preserve">the </w:t>
      </w:r>
      <w:r w:rsidRPr="639E38F9">
        <w:rPr>
          <w:u w:val="single"/>
        </w:rPr>
        <w:t xml:space="preserve">exercise of </w:t>
      </w:r>
      <w:r w:rsidRPr="639E38F9">
        <w:t>mana or authority to give effect to Kāi Tahu culture and traditions</w:t>
      </w:r>
      <w:r w:rsidRPr="639E38F9">
        <w:rPr>
          <w:u w:val="single"/>
        </w:rPr>
        <w:t xml:space="preserve"> across all spheres in their takiwā, including </w:t>
      </w:r>
      <w:r w:rsidR="00806CFE" w:rsidRPr="639E38F9">
        <w:rPr>
          <w:strike/>
        </w:rPr>
        <w:t>in</w:t>
      </w:r>
      <w:r w:rsidR="00806CFE" w:rsidRPr="639E38F9">
        <w:t xml:space="preserve"> </w:t>
      </w:r>
      <w:r w:rsidRPr="639E38F9">
        <w:t xml:space="preserve">the management of </w:t>
      </w:r>
      <w:r w:rsidRPr="639E38F9">
        <w:rPr>
          <w:strike/>
        </w:rPr>
        <w:t xml:space="preserve">the natural world </w:t>
      </w:r>
      <w:r w:rsidRPr="639E38F9">
        <w:rPr>
          <w:u w:val="single"/>
        </w:rPr>
        <w:t>te taiao</w:t>
      </w:r>
      <w:r w:rsidRPr="00472578">
        <w:t>.</w:t>
      </w:r>
      <w:r w:rsidRPr="00472578">
        <w:rPr>
          <w:vertAlign w:val="superscript"/>
        </w:rPr>
        <w:footnoteReference w:id="168"/>
      </w:r>
      <w:r w:rsidRPr="00472578">
        <w:t xml:space="preserve"> Recognition of the relationship of Kāi Tahu and their culture and traditions with their ancestral lands, </w:t>
      </w:r>
      <w:r w:rsidRPr="00472578">
        <w:rPr>
          <w:i/>
          <w:iCs/>
        </w:rPr>
        <w:t>water</w:t>
      </w:r>
      <w:r w:rsidRPr="00472578">
        <w:t xml:space="preserve">, sites, wāhi tapu, and other taoka </w:t>
      </w:r>
      <w:proofErr w:type="gramStart"/>
      <w:r w:rsidRPr="00472578">
        <w:rPr>
          <w:strike/>
        </w:rPr>
        <w:t>are</w:t>
      </w:r>
      <w:r w:rsidRPr="00472578">
        <w:t xml:space="preserve"> </w:t>
      </w:r>
      <w:r w:rsidRPr="00472578">
        <w:rPr>
          <w:u w:val="single"/>
        </w:rPr>
        <w:t>is</w:t>
      </w:r>
      <w:proofErr w:type="gramEnd"/>
      <w:r w:rsidRPr="00472578">
        <w:rPr>
          <w:vertAlign w:val="superscript"/>
        </w:rPr>
        <w:footnoteReference w:id="169"/>
      </w:r>
      <w:r w:rsidRPr="00472578">
        <w:t xml:space="preserve"> embedded in the RMA</w:t>
      </w:r>
      <w:r w:rsidRPr="006072DC">
        <w:rPr>
          <w:strike/>
        </w:rPr>
        <w:t xml:space="preserve"> 1991</w:t>
      </w:r>
      <w:r w:rsidR="006072DC">
        <w:rPr>
          <w:rStyle w:val="FootnoteReference"/>
        </w:rPr>
        <w:footnoteReference w:id="170"/>
      </w:r>
      <w:r w:rsidR="006072DC">
        <w:t xml:space="preserve"> </w:t>
      </w:r>
      <w:r w:rsidRPr="00472578">
        <w:t>and the Treaty of Waitangi.</w:t>
      </w:r>
    </w:p>
    <w:p w14:paraId="4245BF69" w14:textId="77777777" w:rsidR="009A1120" w:rsidRPr="00472578" w:rsidRDefault="009A1120" w:rsidP="00E92686">
      <w:pPr>
        <w:pStyle w:val="Heading5"/>
        <w:jc w:val="both"/>
      </w:pPr>
      <w:r w:rsidRPr="00472578">
        <w:t>Kaitiakitaka</w:t>
      </w:r>
    </w:p>
    <w:p w14:paraId="08CD0068" w14:textId="77777777" w:rsidR="009A1120" w:rsidRPr="00472578" w:rsidRDefault="009A1120" w:rsidP="00E92686">
      <w:pPr>
        <w:spacing w:line="256" w:lineRule="auto"/>
        <w:jc w:val="both"/>
      </w:pPr>
      <w:r w:rsidRPr="639E38F9">
        <w:t xml:space="preserve">Kaitiakitaka </w:t>
      </w:r>
      <w:r w:rsidRPr="639E38F9">
        <w:rPr>
          <w:strike/>
        </w:rPr>
        <w:t xml:space="preserve">means </w:t>
      </w:r>
      <w:r w:rsidRPr="639E38F9">
        <w:rPr>
          <w:u w:val="single"/>
        </w:rPr>
        <w:t>refers to</w:t>
      </w:r>
      <w:r w:rsidRPr="639E38F9">
        <w:t xml:space="preserve"> the exercise of guardianship over </w:t>
      </w:r>
      <w:r w:rsidRPr="639E38F9">
        <w:rPr>
          <w:i/>
        </w:rPr>
        <w:t>natural and physical resources</w:t>
      </w:r>
      <w:r w:rsidRPr="639E38F9">
        <w:rPr>
          <w:u w:val="single"/>
        </w:rPr>
        <w:t>. It is an expression of rakatirataka and mana,</w:t>
      </w:r>
      <w:r w:rsidRPr="639E38F9">
        <w:rPr>
          <w:vertAlign w:val="superscript"/>
        </w:rPr>
        <w:footnoteReference w:id="171"/>
      </w:r>
      <w:r w:rsidRPr="639E38F9">
        <w:t xml:space="preserve"> and includes the ethic of stewardship</w:t>
      </w:r>
      <w:r w:rsidRPr="00472578">
        <w:t xml:space="preserve">. This statutory definition of </w:t>
      </w:r>
      <w:r w:rsidRPr="00472578">
        <w:rPr>
          <w:i/>
          <w:iCs/>
        </w:rPr>
        <w:t>kaitiakitaka</w:t>
      </w:r>
      <w:r w:rsidRPr="00472578">
        <w:t xml:space="preserve"> is only a starting point for Kāi Tahu, as </w:t>
      </w:r>
      <w:r w:rsidRPr="00472578">
        <w:rPr>
          <w:i/>
          <w:iCs/>
        </w:rPr>
        <w:t>kaitiakitaka</w:t>
      </w:r>
      <w:r w:rsidRPr="00472578">
        <w:t xml:space="preserve"> is a much wider cultural concept than guardianship. </w:t>
      </w:r>
    </w:p>
    <w:p w14:paraId="3B95406B" w14:textId="77777777" w:rsidR="009A1120" w:rsidRPr="00472578" w:rsidRDefault="009A1120" w:rsidP="00E92686">
      <w:pPr>
        <w:spacing w:line="256" w:lineRule="auto"/>
        <w:jc w:val="both"/>
      </w:pPr>
      <w:r w:rsidRPr="00472578">
        <w:rPr>
          <w:i/>
          <w:iCs/>
        </w:rPr>
        <w:t>Kaitiakitaka</w:t>
      </w:r>
      <w:r w:rsidRPr="00472578">
        <w:t xml:space="preserve"> is fundamental to the relationship between Kāi Tahu and the </w:t>
      </w:r>
      <w:r w:rsidRPr="00472578">
        <w:rPr>
          <w:i/>
          <w:iCs/>
        </w:rPr>
        <w:t>environment</w:t>
      </w:r>
      <w:r w:rsidRPr="00472578">
        <w:t xml:space="preserve">. The objectives of </w:t>
      </w:r>
      <w:r w:rsidRPr="00472578">
        <w:rPr>
          <w:i/>
          <w:iCs/>
        </w:rPr>
        <w:t>kaitiakitaka</w:t>
      </w:r>
      <w:r w:rsidRPr="00472578">
        <w:t xml:space="preserve"> are to protect the mauri and life supporting capacity of the </w:t>
      </w:r>
      <w:r w:rsidRPr="00472578">
        <w:rPr>
          <w:i/>
          <w:iCs/>
        </w:rPr>
        <w:t>environment</w:t>
      </w:r>
      <w:r w:rsidRPr="00472578">
        <w:t xml:space="preserve"> and to pass the </w:t>
      </w:r>
      <w:r w:rsidRPr="00472578">
        <w:rPr>
          <w:i/>
          <w:iCs/>
        </w:rPr>
        <w:t>environment</w:t>
      </w:r>
      <w:r w:rsidRPr="00472578">
        <w:t xml:space="preserve"> on to future generations in an enhanced state. For Kāi Tahu, </w:t>
      </w:r>
      <w:r w:rsidRPr="00472578">
        <w:rPr>
          <w:i/>
          <w:iCs/>
        </w:rPr>
        <w:t>kaitiakitaka</w:t>
      </w:r>
      <w:r w:rsidRPr="00472578">
        <w:t xml:space="preserve"> </w:t>
      </w:r>
      <w:r w:rsidRPr="639E38F9">
        <w:t xml:space="preserve">is not passive custodianship, nor is it simply the exercise of </w:t>
      </w:r>
      <w:r w:rsidRPr="639E38F9">
        <w:rPr>
          <w:strike/>
        </w:rPr>
        <w:t>traditional</w:t>
      </w:r>
      <w:r w:rsidRPr="639E38F9">
        <w:t xml:space="preserve"> </w:t>
      </w:r>
      <w:r w:rsidRPr="639E38F9">
        <w:rPr>
          <w:u w:val="single"/>
        </w:rPr>
        <w:t xml:space="preserve">customary </w:t>
      </w:r>
      <w:r w:rsidRPr="639E38F9">
        <w:t xml:space="preserve">property rights, but it entails an active exercise of responsibility </w:t>
      </w:r>
      <w:r w:rsidRPr="639E38F9">
        <w:rPr>
          <w:strike/>
        </w:rPr>
        <w:t xml:space="preserve">in a manner beneficial to the resource </w:t>
      </w:r>
      <w:r w:rsidRPr="639E38F9">
        <w:rPr>
          <w:u w:val="single"/>
        </w:rPr>
        <w:t>and rakatirataka</w:t>
      </w:r>
      <w:r w:rsidRPr="639E38F9">
        <w:t xml:space="preserve"> </w:t>
      </w:r>
      <w:r w:rsidRPr="639E38F9">
        <w:rPr>
          <w:u w:val="single"/>
        </w:rPr>
        <w:t>to ensure long-term sustainability of resources as taoka, and for the benefit to future generations – mō tātou, ā, mō kā uri a muri ake nei</w:t>
      </w:r>
      <w:r w:rsidRPr="639E38F9">
        <w:t>.</w:t>
      </w:r>
      <w:r w:rsidRPr="639E38F9">
        <w:rPr>
          <w:vertAlign w:val="superscript"/>
        </w:rPr>
        <w:footnoteReference w:id="172"/>
      </w:r>
    </w:p>
    <w:p w14:paraId="67D509E8" w14:textId="77777777" w:rsidR="009A1120" w:rsidRPr="00472578" w:rsidRDefault="009A1120" w:rsidP="00E92686">
      <w:pPr>
        <w:pStyle w:val="Heading5"/>
        <w:jc w:val="both"/>
      </w:pPr>
      <w:r w:rsidRPr="00472578">
        <w:t>Tikaka</w:t>
      </w:r>
    </w:p>
    <w:p w14:paraId="72E9FC98" w14:textId="77777777" w:rsidR="009A1120" w:rsidRPr="00472578" w:rsidRDefault="009A1120" w:rsidP="00E92686">
      <w:pPr>
        <w:spacing w:line="256" w:lineRule="auto"/>
        <w:jc w:val="both"/>
      </w:pPr>
      <w:r w:rsidRPr="00472578">
        <w:t xml:space="preserve">Tikaka Māori encompasses the beliefs, values, practices, and procedures that guide appropriate codes of conduct, or ways of behaving. In the context of natural resource management, observing tikaka is part of the ethic and exercise of </w:t>
      </w:r>
      <w:r w:rsidRPr="00472578">
        <w:rPr>
          <w:i/>
          <w:iCs/>
        </w:rPr>
        <w:t>kaitiakitaka</w:t>
      </w:r>
      <w:r w:rsidRPr="00472578">
        <w:t xml:space="preserve">. It is underpinned by a body of mātauraka (traditional knowledge) and is based on a general understanding that people belong to the land and have a responsibility to care for and manage the land. It incorporates forms of social control to manage the relationship of people and the </w:t>
      </w:r>
      <w:r w:rsidRPr="00472578">
        <w:rPr>
          <w:i/>
          <w:iCs/>
        </w:rPr>
        <w:t>environment</w:t>
      </w:r>
      <w:r w:rsidRPr="00472578">
        <w:t>, including concepts such as tapu, noa and rāhui.</w:t>
      </w:r>
    </w:p>
    <w:p w14:paraId="158C41F7" w14:textId="77777777" w:rsidR="009A1120" w:rsidRPr="00472578" w:rsidRDefault="009A1120" w:rsidP="00E92686">
      <w:pPr>
        <w:spacing w:line="256" w:lineRule="auto"/>
        <w:jc w:val="both"/>
      </w:pPr>
      <w:r w:rsidRPr="00472578">
        <w:t>Tikaka is based on traditional practices but is dynamic and continues to evolve in response to different situations.</w:t>
      </w:r>
    </w:p>
    <w:p w14:paraId="40CB6630" w14:textId="77777777" w:rsidR="009A1120" w:rsidRPr="00472578" w:rsidRDefault="009A1120" w:rsidP="00E92686">
      <w:pPr>
        <w:pStyle w:val="Heading5"/>
        <w:jc w:val="both"/>
      </w:pPr>
      <w:r w:rsidRPr="00472578">
        <w:t>Taoka</w:t>
      </w:r>
    </w:p>
    <w:p w14:paraId="561C27E3" w14:textId="77777777" w:rsidR="009A1120" w:rsidRPr="00472578" w:rsidRDefault="009A1120" w:rsidP="00E92686">
      <w:pPr>
        <w:spacing w:line="256" w:lineRule="auto"/>
        <w:jc w:val="both"/>
      </w:pPr>
      <w:r w:rsidRPr="00472578">
        <w:t xml:space="preserve">All natural resources - air, </w:t>
      </w:r>
      <w:r w:rsidRPr="00472578">
        <w:rPr>
          <w:i/>
          <w:iCs/>
        </w:rPr>
        <w:t>land</w:t>
      </w:r>
      <w:r w:rsidRPr="00472578">
        <w:t xml:space="preserve">, </w:t>
      </w:r>
      <w:r w:rsidRPr="00472578">
        <w:rPr>
          <w:i/>
          <w:iCs/>
        </w:rPr>
        <w:t>water</w:t>
      </w:r>
      <w:r w:rsidRPr="00472578">
        <w:t xml:space="preserve">, and indigenous </w:t>
      </w:r>
      <w:r w:rsidRPr="00472578">
        <w:rPr>
          <w:i/>
          <w:iCs/>
        </w:rPr>
        <w:t>biological diversity</w:t>
      </w:r>
      <w:r w:rsidRPr="00472578">
        <w:t xml:space="preserve"> - are taoka. </w:t>
      </w:r>
      <w:r w:rsidRPr="639E38F9">
        <w:t xml:space="preserve">Taoka are treasured resources that are highly valued by Kāi Tahu, derived from the atua (gods), </w:t>
      </w:r>
      <w:r w:rsidRPr="639E38F9">
        <w:rPr>
          <w:u w:val="single"/>
        </w:rPr>
        <w:t xml:space="preserve">linked to the people through </w:t>
      </w:r>
      <w:r w:rsidRPr="639E38F9">
        <w:rPr>
          <w:u w:val="single"/>
        </w:rPr>
        <w:lastRenderedPageBreak/>
        <w:t xml:space="preserve">whakapapa, </w:t>
      </w:r>
      <w:r w:rsidRPr="639E38F9">
        <w:t>and left by</w:t>
      </w:r>
      <w:r w:rsidRPr="639E38F9">
        <w:rPr>
          <w:strike/>
        </w:rPr>
        <w:t xml:space="preserve"> the</w:t>
      </w:r>
      <w:r w:rsidRPr="639E38F9">
        <w:t xml:space="preserve"> tūpuna (ancestors) to provide </w:t>
      </w:r>
      <w:r w:rsidRPr="639E38F9">
        <w:rPr>
          <w:u w:val="single"/>
        </w:rPr>
        <w:t xml:space="preserve">for </w:t>
      </w:r>
      <w:r w:rsidRPr="639E38F9">
        <w:t>and sustain life</w:t>
      </w:r>
      <w:r w:rsidRPr="00472578">
        <w:t>.</w:t>
      </w:r>
      <w:r w:rsidRPr="00472578">
        <w:rPr>
          <w:vertAlign w:val="superscript"/>
        </w:rPr>
        <w:footnoteReference w:id="173"/>
      </w:r>
      <w:r w:rsidRPr="00472578">
        <w:t xml:space="preserve"> In the management of natural resources, it is important that the habitats and wider needs of taoka species are sustainably managed and enhanced.</w:t>
      </w:r>
    </w:p>
    <w:p w14:paraId="11331140" w14:textId="545F3F78" w:rsidR="009A1120" w:rsidRPr="00472578" w:rsidRDefault="009A1120" w:rsidP="00E92686">
      <w:pPr>
        <w:pStyle w:val="Heading5"/>
        <w:jc w:val="both"/>
      </w:pPr>
      <w:r>
        <w:rPr>
          <w:strike/>
        </w:rPr>
        <w:t>M</w:t>
      </w:r>
      <w:r w:rsidRPr="009C237D">
        <w:rPr>
          <w:strike/>
        </w:rPr>
        <w:t>ahika kai</w:t>
      </w:r>
      <w:r w:rsidR="00617B59" w:rsidRPr="00472578">
        <w:t xml:space="preserve"> </w:t>
      </w:r>
      <w:r w:rsidR="00617B59" w:rsidRPr="00F4290E">
        <w:rPr>
          <w:i/>
          <w:iCs/>
          <w:u w:val="single"/>
        </w:rPr>
        <w:t>Mahika kai</w:t>
      </w:r>
      <w:r w:rsidR="00617B59">
        <w:rPr>
          <w:rStyle w:val="FootnoteReference"/>
        </w:rPr>
        <w:footnoteReference w:id="174"/>
      </w:r>
    </w:p>
    <w:p w14:paraId="6F29794C" w14:textId="293C0A32" w:rsidR="009A1120" w:rsidRPr="00472578" w:rsidRDefault="009A1120" w:rsidP="00E92686">
      <w:pPr>
        <w:spacing w:line="256" w:lineRule="auto"/>
        <w:jc w:val="both"/>
      </w:pPr>
      <w:r>
        <w:rPr>
          <w:strike/>
        </w:rPr>
        <w:t>M</w:t>
      </w:r>
      <w:r w:rsidRPr="009C237D">
        <w:rPr>
          <w:strike/>
        </w:rPr>
        <w:t>ahika kai</w:t>
      </w:r>
      <w:r w:rsidRPr="00472578">
        <w:t xml:space="preserve"> </w:t>
      </w:r>
      <w:r w:rsidR="00617B59" w:rsidRPr="00F4290E">
        <w:rPr>
          <w:i/>
          <w:iCs/>
          <w:u w:val="single"/>
        </w:rPr>
        <w:t>Mahika kai</w:t>
      </w:r>
      <w:r w:rsidR="00617B59">
        <w:rPr>
          <w:rStyle w:val="FootnoteReference"/>
        </w:rPr>
        <w:footnoteReference w:id="175"/>
      </w:r>
      <w:r w:rsidR="00727067">
        <w:rPr>
          <w:iCs/>
        </w:rPr>
        <w:t xml:space="preserve"> </w:t>
      </w:r>
      <w:r w:rsidRPr="00472578">
        <w:t xml:space="preserve">is one of the cornerstones of Kāi Tahu cultural identity. </w:t>
      </w:r>
      <w:r>
        <w:rPr>
          <w:strike/>
        </w:rPr>
        <w:t>M</w:t>
      </w:r>
      <w:r w:rsidRPr="009C237D">
        <w:rPr>
          <w:strike/>
        </w:rPr>
        <w:t>ahika kai</w:t>
      </w:r>
      <w:r w:rsidR="00617B59" w:rsidRPr="00472578">
        <w:t xml:space="preserve"> </w:t>
      </w:r>
      <w:r w:rsidR="00617B59" w:rsidRPr="00F4290E">
        <w:rPr>
          <w:i/>
          <w:iCs/>
          <w:u w:val="single"/>
        </w:rPr>
        <w:t>Mahika kai</w:t>
      </w:r>
      <w:r w:rsidR="00617B59">
        <w:rPr>
          <w:rStyle w:val="FootnoteReference"/>
        </w:rPr>
        <w:footnoteReference w:id="176"/>
      </w:r>
      <w:r>
        <w:rPr>
          <w:i/>
        </w:rPr>
        <w:t xml:space="preserve"> </w:t>
      </w:r>
      <w:r w:rsidRPr="00472578">
        <w:t xml:space="preserve">is a term that literally means "food workings" and refers to the customary gathering of food and natural materials and the places where those resources are gathered or produced. The term also embodies the traditions, customs and collection methods, and the gathering of natural resources for cultural use, including raraka (weaving) and rokoā (traditional medicines). </w:t>
      </w:r>
      <w:r w:rsidRPr="639E38F9">
        <w:t xml:space="preserve">Maintaining </w:t>
      </w:r>
      <w:r w:rsidR="002A160B" w:rsidRPr="009C237D">
        <w:rPr>
          <w:strike/>
        </w:rPr>
        <w:t>mahika kai</w:t>
      </w:r>
      <w:r w:rsidR="002A160B" w:rsidRPr="00472578">
        <w:t xml:space="preserve"> </w:t>
      </w:r>
      <w:r w:rsidR="002A160B" w:rsidRPr="00F4290E">
        <w:rPr>
          <w:i/>
          <w:iCs/>
          <w:u w:val="single"/>
        </w:rPr>
        <w:t>mahika kai</w:t>
      </w:r>
      <w:r w:rsidR="002A160B">
        <w:rPr>
          <w:rStyle w:val="FootnoteReference"/>
        </w:rPr>
        <w:footnoteReference w:id="177"/>
      </w:r>
      <w:r w:rsidRPr="639E38F9">
        <w:t xml:space="preserve"> sites, gathering resources, and continuing to practice the tikaka that governs each resource, is an important means of </w:t>
      </w:r>
      <w:r w:rsidRPr="639E38F9">
        <w:rPr>
          <w:u w:val="single"/>
        </w:rPr>
        <w:t xml:space="preserve">maintaining and honouring whakapapa connections to land, taoka and tūpuna, and </w:t>
      </w:r>
      <w:r w:rsidRPr="639E38F9">
        <w:t>passing on cultural values and mātauraka to the next generation</w:t>
      </w:r>
      <w:r w:rsidRPr="00472578">
        <w:t>.</w:t>
      </w:r>
      <w:r w:rsidRPr="00472578">
        <w:rPr>
          <w:vertAlign w:val="superscript"/>
        </w:rPr>
        <w:footnoteReference w:id="178"/>
      </w:r>
    </w:p>
    <w:p w14:paraId="251F4987" w14:textId="77777777" w:rsidR="009A1120" w:rsidRPr="00472578" w:rsidRDefault="009A1120" w:rsidP="00E92686">
      <w:pPr>
        <w:pStyle w:val="Heading3"/>
        <w:jc w:val="both"/>
      </w:pPr>
      <w:r w:rsidRPr="00472578">
        <w:t>Resources of significance to Kāi Tahu</w:t>
      </w:r>
    </w:p>
    <w:p w14:paraId="3C548FB1" w14:textId="7BDE1B92" w:rsidR="009A1120" w:rsidRPr="00472578" w:rsidRDefault="009A1120" w:rsidP="00E92686">
      <w:pPr>
        <w:pStyle w:val="Heading4"/>
        <w:jc w:val="both"/>
      </w:pPr>
      <w:r w:rsidRPr="00472578">
        <w:t xml:space="preserve">Wai </w:t>
      </w:r>
      <w:r w:rsidRPr="00472578">
        <w:rPr>
          <w:strike/>
        </w:rPr>
        <w:t>Maori</w:t>
      </w:r>
      <w:r w:rsidR="00505A20" w:rsidRPr="00472578">
        <w:rPr>
          <w:strike/>
        </w:rPr>
        <w:t xml:space="preserve"> </w:t>
      </w:r>
      <w:r w:rsidR="00505A20" w:rsidRPr="00472578">
        <w:rPr>
          <w:u w:val="single"/>
        </w:rPr>
        <w:t>Māori</w:t>
      </w:r>
      <w:r w:rsidR="00505A20" w:rsidRPr="00472578">
        <w:rPr>
          <w:rStyle w:val="FootnoteReference"/>
        </w:rPr>
        <w:footnoteReference w:id="179"/>
      </w:r>
    </w:p>
    <w:p w14:paraId="1319565D" w14:textId="77777777" w:rsidR="009A1120" w:rsidRPr="00472578" w:rsidRDefault="009A1120" w:rsidP="00E92686">
      <w:pPr>
        <w:spacing w:line="256" w:lineRule="auto"/>
        <w:jc w:val="both"/>
        <w:rPr>
          <w:rFonts w:cs="Times New Roman"/>
        </w:rPr>
      </w:pPr>
      <w:r w:rsidRPr="00472578">
        <w:rPr>
          <w:rFonts w:cs="Times New Roman"/>
        </w:rPr>
        <w:t xml:space="preserve">Like all things, </w:t>
      </w:r>
      <w:r w:rsidRPr="00472578">
        <w:rPr>
          <w:rFonts w:cs="Times New Roman"/>
          <w:i/>
          <w:iCs/>
        </w:rPr>
        <w:t>water</w:t>
      </w:r>
      <w:r w:rsidRPr="00472578">
        <w:rPr>
          <w:rFonts w:cs="Times New Roman"/>
        </w:rPr>
        <w:t xml:space="preserve"> has a whakapapa. All </w:t>
      </w:r>
      <w:r w:rsidRPr="00472578">
        <w:rPr>
          <w:rFonts w:cs="Times New Roman"/>
          <w:i/>
          <w:iCs/>
        </w:rPr>
        <w:t>water</w:t>
      </w:r>
      <w:r w:rsidRPr="00472578">
        <w:rPr>
          <w:rFonts w:cs="Times New Roman"/>
        </w:rPr>
        <w:t xml:space="preserve"> is seen to have originated from the separation of Rakinui and Papatūānuku and their </w:t>
      </w:r>
      <w:r w:rsidRPr="00472578">
        <w:t>continuing</w:t>
      </w:r>
      <w:r w:rsidRPr="00472578">
        <w:rPr>
          <w:rFonts w:cs="Times New Roman"/>
        </w:rPr>
        <w:t xml:space="preserve"> tears for one another. Rain is Rakinui’s tears for his beloved Papatūānuku and mist is regarded as Papatūānuku’s tears for Rakinui.</w:t>
      </w:r>
    </w:p>
    <w:p w14:paraId="4E12F830" w14:textId="6F6BAF3F" w:rsidR="009A1120" w:rsidRPr="00472578" w:rsidRDefault="009A1120" w:rsidP="00E92686">
      <w:pPr>
        <w:spacing w:line="256" w:lineRule="auto"/>
        <w:jc w:val="both"/>
        <w:rPr>
          <w:rFonts w:cs="Times New Roman"/>
        </w:rPr>
      </w:pPr>
      <w:r w:rsidRPr="00472578">
        <w:rPr>
          <w:rFonts w:cs="Times New Roman"/>
        </w:rPr>
        <w:t xml:space="preserve">From Rakinui and Papatūānuku came the offspring who were responsible for creating the elements that constitute our total world today, both animate </w:t>
      </w:r>
      <w:r w:rsidRPr="00472578">
        <w:t>and</w:t>
      </w:r>
      <w:r w:rsidRPr="00472578">
        <w:rPr>
          <w:rFonts w:cs="Times New Roman"/>
        </w:rPr>
        <w:t xml:space="preserve"> </w:t>
      </w:r>
      <w:r w:rsidRPr="00472578" w:rsidDel="00843278">
        <w:rPr>
          <w:rFonts w:cs="Times New Roman"/>
        </w:rPr>
        <w:t>inanimate</w:t>
      </w:r>
      <w:r w:rsidRPr="00472578">
        <w:rPr>
          <w:rFonts w:cs="Times New Roman"/>
        </w:rPr>
        <w:t xml:space="preserve"> - the mountains, </w:t>
      </w:r>
      <w:r w:rsidRPr="00472578">
        <w:rPr>
          <w:rFonts w:cs="Times New Roman"/>
          <w:i/>
          <w:iCs/>
        </w:rPr>
        <w:t>rivers</w:t>
      </w:r>
      <w:r w:rsidRPr="00472578">
        <w:rPr>
          <w:rFonts w:cs="Times New Roman"/>
        </w:rPr>
        <w:t xml:space="preserve">, forests and seas, and all fish, </w:t>
      </w:r>
      <w:proofErr w:type="gramStart"/>
      <w:r w:rsidRPr="00472578">
        <w:rPr>
          <w:rFonts w:cs="Times New Roman"/>
        </w:rPr>
        <w:t>bird</w:t>
      </w:r>
      <w:proofErr w:type="gramEnd"/>
      <w:r w:rsidRPr="00472578">
        <w:rPr>
          <w:rFonts w:cs="Times New Roman"/>
        </w:rPr>
        <w:t xml:space="preserve"> and animal life. The realm of atua such as Rakinui and his many wives and offspring overarches and informs the Kāi Tahu whānui world view, </w:t>
      </w:r>
      <w:proofErr w:type="gramStart"/>
      <w:r w:rsidRPr="00472578">
        <w:rPr>
          <w:rFonts w:cs="Times New Roman"/>
        </w:rPr>
        <w:t>values</w:t>
      </w:r>
      <w:proofErr w:type="gramEnd"/>
      <w:r w:rsidRPr="00472578">
        <w:rPr>
          <w:rFonts w:cs="Times New Roman"/>
        </w:rPr>
        <w:t xml:space="preserve"> and beliefs.</w:t>
      </w:r>
    </w:p>
    <w:p w14:paraId="48C83170" w14:textId="77777777" w:rsidR="009A1120" w:rsidRPr="00472578" w:rsidRDefault="009A1120" w:rsidP="00E92686">
      <w:pPr>
        <w:spacing w:line="256" w:lineRule="auto"/>
        <w:jc w:val="both"/>
        <w:rPr>
          <w:rFonts w:cs="Times New Roman"/>
        </w:rPr>
      </w:pPr>
      <w:r w:rsidRPr="00472578">
        <w:rPr>
          <w:rFonts w:cs="Times New Roman"/>
          <w:i/>
          <w:iCs/>
        </w:rPr>
        <w:t>Water</w:t>
      </w:r>
      <w:r w:rsidRPr="00472578">
        <w:rPr>
          <w:rFonts w:cs="Times New Roman"/>
        </w:rPr>
        <w:t xml:space="preserve"> plays a significant role in Kāi Tahu spiritual beliefs </w:t>
      </w:r>
      <w:r w:rsidRPr="00472578">
        <w:t>and</w:t>
      </w:r>
      <w:r w:rsidRPr="00472578">
        <w:rPr>
          <w:rFonts w:cs="Times New Roman"/>
        </w:rPr>
        <w:t xml:space="preserve"> cultural traditions. Kāi Tahu have an obligation through whakapapa to protect wai and all the life it supports, as </w:t>
      </w:r>
      <w:r w:rsidRPr="00472578">
        <w:rPr>
          <w:rFonts w:cs="Times New Roman"/>
          <w:i/>
          <w:iCs/>
        </w:rPr>
        <w:t>ko te wai te ora o kā mea katoa (water is the life giver of all things)</w:t>
      </w:r>
      <w:r w:rsidRPr="00472578">
        <w:rPr>
          <w:rFonts w:cs="Times New Roman"/>
        </w:rPr>
        <w:t xml:space="preserve">. The condition of </w:t>
      </w:r>
      <w:r w:rsidRPr="00472578">
        <w:rPr>
          <w:rFonts w:cs="Times New Roman"/>
          <w:i/>
          <w:iCs/>
        </w:rPr>
        <w:t>water</w:t>
      </w:r>
      <w:r w:rsidRPr="00472578">
        <w:rPr>
          <w:rFonts w:cs="Times New Roman"/>
        </w:rPr>
        <w:t xml:space="preserve"> is seen as a reflection of the condition of the people. </w:t>
      </w:r>
      <w:r w:rsidRPr="00472578">
        <w:rPr>
          <w:rFonts w:cs="Times New Roman"/>
          <w:i/>
          <w:iCs/>
        </w:rPr>
        <w:t>Toitū te Marae o Tane, toitū te Marae o Takaroa, toitū te Iwi (Protect and strengthen the realms of the land and sea, and they will protect and strengthen the people).</w:t>
      </w:r>
      <w:r w:rsidRPr="00472578">
        <w:rPr>
          <w:rFonts w:cs="Times New Roman"/>
        </w:rPr>
        <w:t xml:space="preserve"> When the natural environment is strong and healthy, the people are strong and healthy and so too is their mana. </w:t>
      </w:r>
    </w:p>
    <w:p w14:paraId="431D7406" w14:textId="77777777" w:rsidR="009A1120" w:rsidRPr="00472578" w:rsidRDefault="009A1120" w:rsidP="00E92686">
      <w:pPr>
        <w:pStyle w:val="Heading4"/>
        <w:jc w:val="both"/>
      </w:pPr>
      <w:r w:rsidRPr="00472578">
        <w:t>Taoka species and habitats</w:t>
      </w:r>
    </w:p>
    <w:p w14:paraId="5BF8D7F4" w14:textId="29521626" w:rsidR="009A1120" w:rsidRPr="00472578" w:rsidRDefault="009A1120" w:rsidP="00E92686">
      <w:pPr>
        <w:spacing w:line="256" w:lineRule="auto"/>
        <w:jc w:val="both"/>
        <w:rPr>
          <w:rFonts w:cs="Times New Roman"/>
        </w:rPr>
      </w:pPr>
      <w:r w:rsidRPr="00472578">
        <w:rPr>
          <w:rFonts w:cs="Times New Roman"/>
        </w:rPr>
        <w:t xml:space="preserve">Taoka species and habitats are those that are treasured by Kāi Tahu, and Kāi Tahu regard all indigenous species as taoka. In many cases taoka species are also </w:t>
      </w:r>
      <w:r w:rsidR="002A160B" w:rsidRPr="009C237D">
        <w:rPr>
          <w:strike/>
        </w:rPr>
        <w:t>mahika kai</w:t>
      </w:r>
      <w:r w:rsidR="002A160B" w:rsidRPr="00472578">
        <w:t xml:space="preserve"> </w:t>
      </w:r>
      <w:r w:rsidR="002A160B" w:rsidRPr="00F4290E">
        <w:rPr>
          <w:i/>
          <w:iCs/>
          <w:u w:val="single"/>
        </w:rPr>
        <w:t>mahika kai</w:t>
      </w:r>
      <w:r w:rsidR="002A160B">
        <w:rPr>
          <w:rStyle w:val="FootnoteReference"/>
        </w:rPr>
        <w:footnoteReference w:id="180"/>
      </w:r>
      <w:r w:rsidRPr="00472578">
        <w:rPr>
          <w:rFonts w:cs="Times New Roman"/>
        </w:rPr>
        <w:t xml:space="preserve">, treasured for their use as a resource. The </w:t>
      </w:r>
      <w:r w:rsidRPr="003B5AFE">
        <w:rPr>
          <w:rFonts w:cs="Times New Roman"/>
          <w:strike/>
        </w:rPr>
        <w:t>Ngāi Tahu Claims Settlement Act 1998 (NTCSA 1998)</w:t>
      </w:r>
      <w:r w:rsidRPr="00472578">
        <w:rPr>
          <w:rFonts w:cs="Times New Roman"/>
        </w:rPr>
        <w:t xml:space="preserve"> </w:t>
      </w:r>
      <w:r w:rsidR="001B0D8F" w:rsidRPr="001B0D8F">
        <w:rPr>
          <w:rFonts w:cs="Times New Roman"/>
          <w:u w:val="single"/>
        </w:rPr>
        <w:t>NTCSA</w:t>
      </w:r>
      <w:r w:rsidR="001B0D8F" w:rsidRPr="001B0D8F">
        <w:rPr>
          <w:rStyle w:val="FootnoteReference"/>
          <w:rFonts w:cs="Times New Roman"/>
        </w:rPr>
        <w:footnoteReference w:id="181"/>
      </w:r>
      <w:r w:rsidR="001B0D8F">
        <w:rPr>
          <w:rFonts w:cs="Times New Roman"/>
        </w:rPr>
        <w:t xml:space="preserve"> </w:t>
      </w:r>
      <w:r w:rsidRPr="00472578">
        <w:rPr>
          <w:rFonts w:cs="Times New Roman"/>
        </w:rPr>
        <w:t xml:space="preserve">recognises the relationship Kāi Tahu has with some of these species through the Statutory Acknowledgement for Taonga Species. </w:t>
      </w:r>
      <w:r w:rsidRPr="00472578" w:rsidDel="00843278">
        <w:rPr>
          <w:rFonts w:cs="Times New Roman"/>
        </w:rPr>
        <w:lastRenderedPageBreak/>
        <w:t>However</w:t>
      </w:r>
      <w:r w:rsidRPr="00472578">
        <w:rPr>
          <w:rFonts w:cs="Times New Roman"/>
        </w:rPr>
        <w:t>, Kāi Tahu do not consider this list to be comprehensive as important taoka species such as tuna are not included.</w:t>
      </w:r>
    </w:p>
    <w:p w14:paraId="74819A4F" w14:textId="77777777" w:rsidR="009A1120" w:rsidRPr="00472578" w:rsidRDefault="009A1120" w:rsidP="00E92686">
      <w:pPr>
        <w:pStyle w:val="Heading4"/>
        <w:jc w:val="both"/>
        <w:rPr>
          <w:i/>
          <w:iCs w:val="0"/>
        </w:rPr>
      </w:pPr>
      <w:r w:rsidRPr="00472578">
        <w:rPr>
          <w:i/>
          <w:iCs w:val="0"/>
        </w:rPr>
        <w:t>Wāhi tūpuna</w:t>
      </w:r>
    </w:p>
    <w:p w14:paraId="2B09AD68" w14:textId="58E03563" w:rsidR="009A1120" w:rsidRPr="00472578" w:rsidRDefault="009A1120" w:rsidP="00E92686">
      <w:pPr>
        <w:spacing w:line="256" w:lineRule="auto"/>
        <w:jc w:val="both"/>
        <w:rPr>
          <w:rFonts w:cs="Times New Roman"/>
        </w:rPr>
      </w:pPr>
      <w:r w:rsidRPr="00472578">
        <w:rPr>
          <w:rFonts w:cs="Times New Roman"/>
        </w:rPr>
        <w:t xml:space="preserve">The value Kāi Tahu attached to land is evident from the fact that every part of the landscape is known and named. </w:t>
      </w:r>
      <w:r w:rsidRPr="00472578">
        <w:rPr>
          <w:rFonts w:cs="Times New Roman"/>
          <w:i/>
          <w:iCs/>
        </w:rPr>
        <w:t>Wāhi tūpuna</w:t>
      </w:r>
      <w:r w:rsidRPr="00472578">
        <w:rPr>
          <w:rFonts w:cs="Times New Roman"/>
        </w:rPr>
        <w:t xml:space="preserve"> (ancestral landscapes) are made up of interconnected sites and areas reflecting the history and traditions associated with the long settlement of Kāi Tahu in Otago. The landscape of Otago includes many </w:t>
      </w:r>
      <w:r w:rsidRPr="00472578">
        <w:rPr>
          <w:rFonts w:cs="Times New Roman"/>
          <w:i/>
          <w:iCs/>
        </w:rPr>
        <w:t>wāhi tūpuna</w:t>
      </w:r>
      <w:r w:rsidRPr="00472578">
        <w:rPr>
          <w:rFonts w:cs="Times New Roman"/>
        </w:rPr>
        <w:t xml:space="preserve"> and areas of significance, reflecting the relationship of Kāi Tahu with the land across the region. These places should not be seen in isolation from one another but are part of a wider cultural setting. For example, an archaeological site adjacent to a </w:t>
      </w:r>
      <w:r w:rsidRPr="00472578">
        <w:rPr>
          <w:rFonts w:cs="Times New Roman"/>
          <w:i/>
          <w:iCs/>
        </w:rPr>
        <w:t>wetland</w:t>
      </w:r>
      <w:r w:rsidRPr="00472578">
        <w:rPr>
          <w:rFonts w:cs="Times New Roman"/>
        </w:rPr>
        <w:t xml:space="preserve"> is likely to be associated with </w:t>
      </w:r>
      <w:r w:rsidR="002A160B" w:rsidRPr="009C237D">
        <w:rPr>
          <w:strike/>
        </w:rPr>
        <w:t>mahika kai</w:t>
      </w:r>
      <w:r w:rsidR="002A160B" w:rsidRPr="00472578">
        <w:t xml:space="preserve"> </w:t>
      </w:r>
      <w:r w:rsidR="002A160B" w:rsidRPr="00F4290E">
        <w:rPr>
          <w:i/>
          <w:iCs/>
          <w:u w:val="single"/>
        </w:rPr>
        <w:t>mahika kai</w:t>
      </w:r>
      <w:r w:rsidR="002A160B">
        <w:rPr>
          <w:rStyle w:val="FootnoteReference"/>
        </w:rPr>
        <w:footnoteReference w:id="182"/>
      </w:r>
      <w:r w:rsidRPr="00472578">
        <w:rPr>
          <w:rFonts w:cs="Times New Roman"/>
        </w:rPr>
        <w:t xml:space="preserve"> resources in the </w:t>
      </w:r>
      <w:r w:rsidRPr="00472578">
        <w:rPr>
          <w:rFonts w:cs="Times New Roman"/>
          <w:i/>
          <w:iCs/>
        </w:rPr>
        <w:t>wetland</w:t>
      </w:r>
      <w:r w:rsidRPr="00472578">
        <w:rPr>
          <w:rFonts w:cs="Times New Roman"/>
        </w:rPr>
        <w:t xml:space="preserve">. The character of </w:t>
      </w:r>
      <w:r w:rsidRPr="00472578">
        <w:rPr>
          <w:rFonts w:cs="Times New Roman"/>
          <w:i/>
          <w:iCs/>
        </w:rPr>
        <w:t>wāhi tūpuna</w:t>
      </w:r>
      <w:r w:rsidRPr="00472578">
        <w:rPr>
          <w:rFonts w:cs="Times New Roman"/>
        </w:rPr>
        <w:t xml:space="preserve"> in past times is retained in tribal memory, for example through songs, place names and proverbs. When these references to the character of the </w:t>
      </w:r>
      <w:r w:rsidRPr="00472578">
        <w:rPr>
          <w:rFonts w:cs="Times New Roman"/>
          <w:i/>
          <w:iCs/>
        </w:rPr>
        <w:t>wāhi tūpuna</w:t>
      </w:r>
      <w:r w:rsidRPr="00472578">
        <w:rPr>
          <w:rFonts w:cs="Times New Roman"/>
        </w:rPr>
        <w:t xml:space="preserve"> become incorrect due to modification of the </w:t>
      </w:r>
      <w:r w:rsidRPr="00472578">
        <w:rPr>
          <w:rFonts w:cs="Times New Roman"/>
          <w:i/>
          <w:iCs/>
        </w:rPr>
        <w:t>environment</w:t>
      </w:r>
      <w:r w:rsidRPr="00472578">
        <w:rPr>
          <w:rFonts w:cs="Times New Roman"/>
        </w:rPr>
        <w:t xml:space="preserve">, it negatively affects the Kāi Tahu relationship with that landscape. For example, a waterway named Kaituna would be expected to contain many </w:t>
      </w:r>
      <w:proofErr w:type="gramStart"/>
      <w:r w:rsidRPr="00472578">
        <w:rPr>
          <w:rFonts w:cs="Times New Roman"/>
        </w:rPr>
        <w:t>tuna</w:t>
      </w:r>
      <w:proofErr w:type="gramEnd"/>
      <w:r w:rsidRPr="00472578">
        <w:rPr>
          <w:rFonts w:cs="Times New Roman"/>
        </w:rPr>
        <w:t>. A waterway with this name used to exist in central Dunedin, but no longer exists because there is now a city where the waterway once was.</w:t>
      </w:r>
    </w:p>
    <w:p w14:paraId="2D4E270E" w14:textId="77777777" w:rsidR="009A1120" w:rsidRPr="00472578" w:rsidRDefault="009A1120" w:rsidP="00E92686">
      <w:pPr>
        <w:pStyle w:val="Heading4"/>
        <w:jc w:val="both"/>
      </w:pPr>
      <w:r w:rsidRPr="00472578">
        <w:t>Air and atmosphere (k</w:t>
      </w:r>
      <w:r w:rsidRPr="00472578">
        <w:rPr>
          <w:rFonts w:cs="National-Book"/>
        </w:rPr>
        <w:t>ō</w:t>
      </w:r>
      <w:r w:rsidRPr="00472578">
        <w:t>hauhau)</w:t>
      </w:r>
    </w:p>
    <w:p w14:paraId="2A3D0760" w14:textId="77777777" w:rsidR="009A1120" w:rsidRPr="00472578" w:rsidRDefault="009A1120" w:rsidP="00E92686">
      <w:pPr>
        <w:spacing w:line="256" w:lineRule="auto"/>
        <w:jc w:val="both"/>
        <w:rPr>
          <w:rFonts w:cs="Times New Roman"/>
        </w:rPr>
      </w:pPr>
      <w:r w:rsidRPr="00472578">
        <w:rPr>
          <w:rFonts w:cs="Times New Roman"/>
        </w:rPr>
        <w:t xml:space="preserve">In Kāi Tahu traditions, air and atmosphere emerged through the creation traditions and the movement from Te Kore through Te Pō to Te Ao Marama. Following the separation of Raki and Papatūānuku, one of their many children, Tāwhirimātea, fled with Raki into the sky. From there he controls the wind and weather. The air and atmosphere are integral parts of the </w:t>
      </w:r>
      <w:r w:rsidRPr="00472578">
        <w:rPr>
          <w:rFonts w:cs="Times New Roman"/>
          <w:i/>
          <w:iCs/>
        </w:rPr>
        <w:t>environment</w:t>
      </w:r>
      <w:r w:rsidRPr="00472578">
        <w:rPr>
          <w:rFonts w:cs="Times New Roman"/>
        </w:rPr>
        <w:t xml:space="preserve"> that must be valued, used with respect, and passed on intact to the next generation. Pollution of the air and atmosphere </w:t>
      </w:r>
      <w:bookmarkStart w:id="42" w:name="_Hlk62734217"/>
      <w:r w:rsidRPr="639E38F9">
        <w:t>adversely affects</w:t>
      </w:r>
      <w:r w:rsidRPr="639E38F9">
        <w:rPr>
          <w:u w:val="single"/>
        </w:rPr>
        <w:t xml:space="preserve"> and degrades</w:t>
      </w:r>
      <w:r w:rsidRPr="639E38F9">
        <w:t xml:space="preserve"> the mauri of this taoka</w:t>
      </w:r>
      <w:r w:rsidRPr="639E38F9">
        <w:rPr>
          <w:u w:val="single"/>
        </w:rPr>
        <w:t xml:space="preserve">, of te taiao, </w:t>
      </w:r>
      <w:r w:rsidRPr="639E38F9">
        <w:t xml:space="preserve">and </w:t>
      </w:r>
      <w:r w:rsidRPr="639E38F9">
        <w:rPr>
          <w:u w:val="single"/>
        </w:rPr>
        <w:t xml:space="preserve">of </w:t>
      </w:r>
      <w:r w:rsidRPr="639E38F9">
        <w:t xml:space="preserve">other taoka such as plants and animals. </w:t>
      </w:r>
      <w:r w:rsidRPr="639E38F9">
        <w:rPr>
          <w:u w:val="single"/>
        </w:rPr>
        <w:t xml:space="preserve">Poor air quality damages and degrades ancestral lands, </w:t>
      </w:r>
      <w:r w:rsidRPr="639E38F9">
        <w:rPr>
          <w:i/>
          <w:u w:val="single"/>
        </w:rPr>
        <w:t>mahika kai</w:t>
      </w:r>
      <w:r w:rsidRPr="639E38F9">
        <w:rPr>
          <w:u w:val="single"/>
        </w:rPr>
        <w:t xml:space="preserve"> sites, and other sites such as rock art, adversely affecting the mauri of the landscape and the mana of the people</w:t>
      </w:r>
      <w:r w:rsidRPr="639E38F9">
        <w:t>.</w:t>
      </w:r>
      <w:bookmarkEnd w:id="42"/>
      <w:r w:rsidRPr="639E38F9">
        <w:rPr>
          <w:vertAlign w:val="superscript"/>
        </w:rPr>
        <w:footnoteReference w:id="183"/>
      </w:r>
    </w:p>
    <w:p w14:paraId="0250A5B3" w14:textId="77777777" w:rsidR="009A1120" w:rsidRPr="00472578" w:rsidRDefault="009A1120" w:rsidP="00E92686">
      <w:pPr>
        <w:pStyle w:val="Heading4"/>
        <w:jc w:val="both"/>
      </w:pPr>
      <w:r w:rsidRPr="00472578">
        <w:t>Coastal environment (taku tai moana me te wai māori)</w:t>
      </w:r>
    </w:p>
    <w:p w14:paraId="6AF183DD" w14:textId="77777777" w:rsidR="009A1120" w:rsidRPr="00472578" w:rsidRDefault="009A1120" w:rsidP="00E92686">
      <w:pPr>
        <w:jc w:val="both"/>
        <w:rPr>
          <w:rFonts w:cstheme="minorHAnsi"/>
          <w:iCs/>
        </w:rPr>
      </w:pPr>
      <w:r w:rsidRPr="00472578">
        <w:rPr>
          <w:rFonts w:cstheme="minorHAnsi"/>
          <w:iCs/>
          <w:strike/>
        </w:rPr>
        <w:t>The tūpuna of Kāi Tahu were great ocean travellers. Like many other Pacific peoples, Kāi Tahu are connected by whakapapa to those people who spread across Te – Moana – Nui – a – Kiwa, the Pacific Ocean.</w:t>
      </w:r>
      <w:r w:rsidRPr="00472578">
        <w:rPr>
          <w:rFonts w:cstheme="minorHAnsi"/>
          <w:iCs/>
        </w:rPr>
        <w:t xml:space="preserve"> Takaroa is the atua </w:t>
      </w:r>
      <w:r w:rsidRPr="00472578">
        <w:rPr>
          <w:rFonts w:cstheme="minorHAnsi"/>
          <w:iCs/>
          <w:strike/>
        </w:rPr>
        <w:t xml:space="preserve">who is central to these beliefs, which influence the way Kāi Tahu relate to and manage marine resources. </w:t>
      </w:r>
      <w:r w:rsidRPr="00472578">
        <w:rPr>
          <w:rFonts w:cstheme="minorHAnsi"/>
          <w:iCs/>
          <w:u w:val="single"/>
        </w:rPr>
        <w:t>associated with the oceans and seas, and their ecosystems.</w:t>
      </w:r>
      <w:r w:rsidRPr="00472578">
        <w:rPr>
          <w:rFonts w:cstheme="minorHAnsi"/>
          <w:iCs/>
        </w:rPr>
        <w:t xml:space="preserve"> The marine environment is a moving force, a reminder of the power of Takaroa. </w:t>
      </w:r>
      <w:r w:rsidRPr="00472578">
        <w:rPr>
          <w:rFonts w:cstheme="minorHAnsi"/>
          <w:iCs/>
          <w:u w:val="single"/>
        </w:rPr>
        <w:t>As one of the children of Rakinui and Papatūānuku, Kāi Tahu are connected to Takaroa by whakapapa, affording rights and responsibilities in relation to te takutai moana.</w:t>
      </w:r>
      <w:r w:rsidRPr="00472578">
        <w:rPr>
          <w:rFonts w:cstheme="minorHAnsi"/>
          <w:iCs/>
        </w:rPr>
        <w:t xml:space="preserve"> </w:t>
      </w:r>
    </w:p>
    <w:p w14:paraId="4E5CAC33" w14:textId="77777777" w:rsidR="009A1120" w:rsidRPr="00472578" w:rsidRDefault="009A1120" w:rsidP="00E92686">
      <w:pPr>
        <w:spacing w:line="256" w:lineRule="auto"/>
        <w:jc w:val="both"/>
        <w:rPr>
          <w:rFonts w:cs="Times New Roman"/>
        </w:rPr>
      </w:pPr>
      <w:r w:rsidRPr="639E38F9">
        <w:rPr>
          <w:u w:val="single"/>
        </w:rPr>
        <w:t>The tūpuna of Kāi Tahu were great ocean travellers, having navigated by waka across Te Moana – nui – a – Kiwa, the Pacific Ocean for generations before settling in Te Wai Pounamu. Knowledge and practices brought with the tūpuna were adapted to meet the challenges and opportunities of the new environment. Over time, Kāi Tahu whānui developed the tikaka and mātauraka of takutai moana and mahika kaimoana that is used today.</w:t>
      </w:r>
      <w:r w:rsidRPr="639E38F9">
        <w:t xml:space="preserve"> </w:t>
      </w:r>
      <w:r w:rsidRPr="639E38F9">
        <w:rPr>
          <w:vertAlign w:val="superscript"/>
        </w:rPr>
        <w:footnoteReference w:id="184"/>
      </w:r>
      <w:r w:rsidRPr="00472578">
        <w:rPr>
          <w:rFonts w:cs="Times New Roman"/>
        </w:rPr>
        <w:t xml:space="preserve"> </w:t>
      </w:r>
    </w:p>
    <w:p w14:paraId="5446F51F" w14:textId="77777777" w:rsidR="009A1120" w:rsidRPr="00472578" w:rsidRDefault="009A1120" w:rsidP="00E92686">
      <w:pPr>
        <w:spacing w:line="256" w:lineRule="auto"/>
        <w:jc w:val="both"/>
        <w:rPr>
          <w:rFonts w:cs="Times New Roman"/>
        </w:rPr>
      </w:pPr>
      <w:r w:rsidRPr="00472578">
        <w:rPr>
          <w:rFonts w:cs="Times New Roman"/>
        </w:rPr>
        <w:lastRenderedPageBreak/>
        <w:t xml:space="preserve">The coastal environment is particularly significant for Kāi Tahu in the southern South Island. Most of the permanent settlements were established on the coast due, in part, to the moderating influence of the sea on temperature, making the winters less bitter. The coast also had a bounty of kaimoana resources to support coastal settlements. </w:t>
      </w:r>
    </w:p>
    <w:p w14:paraId="413682E0" w14:textId="6F7A34FF" w:rsidR="009A1120" w:rsidRPr="00472578" w:rsidRDefault="009A1120" w:rsidP="00E92686">
      <w:pPr>
        <w:spacing w:line="256" w:lineRule="auto"/>
        <w:jc w:val="both"/>
        <w:rPr>
          <w:rFonts w:cs="Times New Roman"/>
          <w:bCs/>
        </w:rPr>
      </w:pPr>
      <w:r w:rsidRPr="00472578">
        <w:rPr>
          <w:rFonts w:cs="Times New Roman"/>
          <w:bCs/>
        </w:rPr>
        <w:t xml:space="preserve">The </w:t>
      </w:r>
      <w:r w:rsidRPr="00472578">
        <w:rPr>
          <w:rFonts w:cs="Times New Roman"/>
          <w:bCs/>
          <w:i/>
          <w:iCs/>
        </w:rPr>
        <w:t>coastal waters</w:t>
      </w:r>
      <w:r w:rsidRPr="00472578">
        <w:rPr>
          <w:rFonts w:cs="Times New Roman"/>
          <w:bCs/>
        </w:rPr>
        <w:t xml:space="preserve"> and processes were </w:t>
      </w:r>
      <w:r w:rsidRPr="00472578">
        <w:rPr>
          <w:rFonts w:cs="Times New Roman"/>
        </w:rPr>
        <w:t>integral</w:t>
      </w:r>
      <w:r w:rsidRPr="00472578">
        <w:rPr>
          <w:rFonts w:cs="Times New Roman"/>
          <w:bCs/>
        </w:rPr>
        <w:t xml:space="preserve"> to the way of life tūpuna enjoyed, and the coastal environment continues to support significant </w:t>
      </w:r>
      <w:r w:rsidR="002A160B" w:rsidRPr="009C237D">
        <w:rPr>
          <w:strike/>
        </w:rPr>
        <w:t>mahika kai</w:t>
      </w:r>
      <w:r w:rsidR="002A160B" w:rsidRPr="00472578">
        <w:t xml:space="preserve"> </w:t>
      </w:r>
      <w:r w:rsidR="002A160B" w:rsidRPr="00B23CF5">
        <w:rPr>
          <w:i/>
          <w:iCs/>
          <w:u w:val="single"/>
        </w:rPr>
        <w:t>mahika kai</w:t>
      </w:r>
      <w:r w:rsidR="002A160B">
        <w:rPr>
          <w:rStyle w:val="FootnoteReference"/>
        </w:rPr>
        <w:footnoteReference w:id="185"/>
      </w:r>
      <w:r w:rsidRPr="00472578">
        <w:rPr>
          <w:rFonts w:cs="Times New Roman"/>
          <w:bCs/>
        </w:rPr>
        <w:t xml:space="preserve"> resources. The </w:t>
      </w:r>
      <w:r w:rsidRPr="00472578">
        <w:rPr>
          <w:rFonts w:cs="Times New Roman"/>
          <w:bCs/>
          <w:i/>
          <w:iCs/>
        </w:rPr>
        <w:t>coastal waters</w:t>
      </w:r>
      <w:r w:rsidRPr="00472578">
        <w:rPr>
          <w:rFonts w:cs="Times New Roman"/>
          <w:bCs/>
        </w:rPr>
        <w:t xml:space="preserve"> are a </w:t>
      </w:r>
      <w:r w:rsidRPr="00472578">
        <w:rPr>
          <w:rFonts w:cs="Times New Roman"/>
          <w:bCs/>
          <w:i/>
          <w:iCs/>
        </w:rPr>
        <w:t>receiving</w:t>
      </w:r>
      <w:r w:rsidRPr="00472578">
        <w:rPr>
          <w:rFonts w:cs="Times New Roman"/>
          <w:bCs/>
        </w:rPr>
        <w:t xml:space="preserve"> </w:t>
      </w:r>
      <w:r w:rsidRPr="00472578">
        <w:rPr>
          <w:rFonts w:cs="Times New Roman"/>
          <w:bCs/>
          <w:i/>
          <w:iCs/>
        </w:rPr>
        <w:t>environment</w:t>
      </w:r>
      <w:r w:rsidRPr="00472578">
        <w:rPr>
          <w:rFonts w:cs="Times New Roman"/>
          <w:bCs/>
        </w:rPr>
        <w:t xml:space="preserve"> for fresh </w:t>
      </w:r>
      <w:r w:rsidRPr="00472578">
        <w:rPr>
          <w:rFonts w:cs="Times New Roman"/>
          <w:bCs/>
          <w:i/>
          <w:iCs/>
        </w:rPr>
        <w:t>water</w:t>
      </w:r>
      <w:r w:rsidRPr="00472578">
        <w:rPr>
          <w:rFonts w:cs="Times New Roman"/>
          <w:bCs/>
        </w:rPr>
        <w:t xml:space="preserve">, </w:t>
      </w:r>
      <w:proofErr w:type="gramStart"/>
      <w:r w:rsidRPr="00472578">
        <w:rPr>
          <w:rFonts w:cs="Times New Roman"/>
          <w:bCs/>
        </w:rPr>
        <w:t>gravels</w:t>
      </w:r>
      <w:proofErr w:type="gramEnd"/>
      <w:r w:rsidRPr="00472578">
        <w:rPr>
          <w:rFonts w:cs="Times New Roman"/>
          <w:bCs/>
        </w:rPr>
        <w:t xml:space="preserve"> and sediment from the terrestrial landscape, which are important to maintaining natural processes and the domain of Takaroa. Recognising the interconnection of the </w:t>
      </w:r>
      <w:r w:rsidRPr="00472578">
        <w:rPr>
          <w:rFonts w:cs="Times New Roman"/>
          <w:bCs/>
          <w:i/>
          <w:iCs/>
        </w:rPr>
        <w:t>land</w:t>
      </w:r>
      <w:r w:rsidRPr="00472578">
        <w:rPr>
          <w:rFonts w:cs="Times New Roman"/>
          <w:bCs/>
        </w:rPr>
        <w:t xml:space="preserve"> and sea environments is consistent with the ki uta ki tai philosophy.</w:t>
      </w:r>
    </w:p>
    <w:p w14:paraId="63479255" w14:textId="77777777" w:rsidR="009A1120" w:rsidRPr="00472578" w:rsidRDefault="009A1120" w:rsidP="00E92686">
      <w:pPr>
        <w:pStyle w:val="Heading4"/>
        <w:jc w:val="both"/>
      </w:pPr>
      <w:r w:rsidRPr="00472578">
        <w:t>Pounamu</w:t>
      </w:r>
    </w:p>
    <w:p w14:paraId="4BC5A13E" w14:textId="77777777" w:rsidR="009A1120" w:rsidRPr="00472578" w:rsidRDefault="009A1120" w:rsidP="00E92686">
      <w:pPr>
        <w:spacing w:line="256" w:lineRule="auto"/>
        <w:jc w:val="both"/>
        <w:rPr>
          <w:rFonts w:cs="Times New Roman"/>
        </w:rPr>
      </w:pPr>
      <w:r w:rsidRPr="00472578">
        <w:rPr>
          <w:rFonts w:cs="Times New Roman"/>
        </w:rPr>
        <w:t xml:space="preserve">Kāi Tahu customs are intricately linked to this special taoka. The practice of gathering, </w:t>
      </w:r>
      <w:proofErr w:type="gramStart"/>
      <w:r w:rsidRPr="00472578">
        <w:rPr>
          <w:rFonts w:cs="Times New Roman"/>
        </w:rPr>
        <w:t>using</w:t>
      </w:r>
      <w:proofErr w:type="gramEnd"/>
      <w:r w:rsidRPr="00472578">
        <w:rPr>
          <w:rFonts w:cs="Times New Roman"/>
        </w:rPr>
        <w:t xml:space="preserve"> and trading pounamu bind Kāi Tahu identity to the landscape. Pounamu conveys mana and mauri from ages past, and is reflected in its exalted whakapapa lineage, an uri (descendant) of Takaroa. </w:t>
      </w:r>
    </w:p>
    <w:p w14:paraId="77C7A39B" w14:textId="77777777" w:rsidR="009A1120" w:rsidRPr="00472578" w:rsidRDefault="009A1120" w:rsidP="00E92686">
      <w:pPr>
        <w:spacing w:line="256" w:lineRule="auto"/>
        <w:jc w:val="both"/>
        <w:rPr>
          <w:rFonts w:cs="Times New Roman"/>
          <w:bCs/>
        </w:rPr>
      </w:pPr>
      <w:r w:rsidRPr="00472578">
        <w:rPr>
          <w:rFonts w:cs="Times New Roman"/>
          <w:bCs/>
        </w:rPr>
        <w:t xml:space="preserve">As an interim measure, until a Regional Pounamu Management Plan is developed for Otago and Murihiku, a rāhui pounamu has been in place in the Otago region since the passing of the Ngāi Tahu (Pounamu Vesting) Act 1997. This is subject to review by the collective Kaitiaki Rūnaka who will determine appropriate protection, </w:t>
      </w:r>
      <w:proofErr w:type="gramStart"/>
      <w:r w:rsidRPr="00472578">
        <w:rPr>
          <w:rFonts w:cs="Times New Roman"/>
          <w:bCs/>
        </w:rPr>
        <w:t>access</w:t>
      </w:r>
      <w:proofErr w:type="gramEnd"/>
      <w:r w:rsidRPr="00472578">
        <w:rPr>
          <w:rFonts w:cs="Times New Roman"/>
          <w:bCs/>
        </w:rPr>
        <w:t xml:space="preserve"> and use policies applicable to their membership and Ngāi Tahu whānui.</w:t>
      </w:r>
    </w:p>
    <w:p w14:paraId="40DC7A94" w14:textId="013F2DF8" w:rsidR="009A1120" w:rsidRPr="00472578" w:rsidRDefault="009A1120" w:rsidP="00E92686">
      <w:pPr>
        <w:pStyle w:val="Heading3"/>
        <w:jc w:val="both"/>
      </w:pPr>
      <w:r w:rsidRPr="00472578">
        <w:t>Ng</w:t>
      </w:r>
      <w:r w:rsidRPr="639E38F9">
        <w:t>ā</w:t>
      </w:r>
      <w:r w:rsidRPr="00472578">
        <w:t>i Tahu Claims Settlement Act 1998 (NTCSA</w:t>
      </w:r>
      <w:r w:rsidRPr="001B0D8F">
        <w:rPr>
          <w:strike/>
        </w:rPr>
        <w:t xml:space="preserve"> 1998</w:t>
      </w:r>
      <w:r w:rsidR="001B0D8F" w:rsidRPr="00351935">
        <w:rPr>
          <w:rStyle w:val="FootnoteReference"/>
        </w:rPr>
        <w:footnoteReference w:id="186"/>
      </w:r>
      <w:r w:rsidRPr="00472578">
        <w:t>)</w:t>
      </w:r>
    </w:p>
    <w:p w14:paraId="6557509C" w14:textId="6AF09744" w:rsidR="009A1120" w:rsidRPr="00472578" w:rsidRDefault="009A1120" w:rsidP="00E92686">
      <w:pPr>
        <w:spacing w:line="256" w:lineRule="auto"/>
        <w:jc w:val="both"/>
      </w:pPr>
      <w:r w:rsidRPr="00472578">
        <w:rPr>
          <w:rFonts w:cs="Times New Roman"/>
        </w:rPr>
        <w:t>The NTCSA</w:t>
      </w:r>
      <w:r w:rsidRPr="00EF1863">
        <w:rPr>
          <w:rFonts w:cs="Times New Roman"/>
          <w:strike/>
        </w:rPr>
        <w:t xml:space="preserve"> 1998</w:t>
      </w:r>
      <w:r w:rsidR="00351935">
        <w:rPr>
          <w:rStyle w:val="FootnoteReference"/>
          <w:rFonts w:cs="Times New Roman"/>
        </w:rPr>
        <w:footnoteReference w:id="187"/>
      </w:r>
      <w:r w:rsidRPr="00472578">
        <w:rPr>
          <w:rFonts w:cs="Times New Roman"/>
        </w:rPr>
        <w:t xml:space="preserve"> was enacted to settle historical Ngāi Tahu claims against the Crown. </w:t>
      </w:r>
      <w:r w:rsidRPr="00472578">
        <w:t>The NTCSA</w:t>
      </w:r>
      <w:r w:rsidR="002504E7" w:rsidRPr="00EF1863">
        <w:rPr>
          <w:rFonts w:cs="Times New Roman"/>
          <w:strike/>
        </w:rPr>
        <w:t xml:space="preserve"> 1998</w:t>
      </w:r>
      <w:r w:rsidR="002504E7">
        <w:rPr>
          <w:rStyle w:val="FootnoteReference"/>
          <w:rFonts w:cs="Times New Roman"/>
        </w:rPr>
        <w:footnoteReference w:id="188"/>
      </w:r>
      <w:r w:rsidRPr="00472578">
        <w:t xml:space="preserve"> provides redress for breaches of Te Tiriti o Waitangi and to signal a new age of co-operation of the Crown and its agencies with Kāi Tahu. The Crown apology recorded in section 4 of the NTCSA</w:t>
      </w:r>
      <w:r w:rsidR="00E17A2A" w:rsidRPr="00EF1863">
        <w:rPr>
          <w:rFonts w:cs="Times New Roman"/>
          <w:strike/>
        </w:rPr>
        <w:t xml:space="preserve"> 1998</w:t>
      </w:r>
      <w:r w:rsidR="00E17A2A">
        <w:rPr>
          <w:rStyle w:val="FootnoteReference"/>
          <w:rFonts w:cs="Times New Roman"/>
        </w:rPr>
        <w:footnoteReference w:id="189"/>
      </w:r>
      <w:r w:rsidRPr="00472578">
        <w:t xml:space="preserve"> explicitly recognises the rakatirataka of Kāi Tahu within its takiwā, and the </w:t>
      </w:r>
      <w:r w:rsidRPr="00EE2326">
        <w:rPr>
          <w:strike/>
        </w:rPr>
        <w:t>Act</w:t>
      </w:r>
      <w:r w:rsidR="00EE2326">
        <w:t xml:space="preserve"> </w:t>
      </w:r>
      <w:r w:rsidR="00EE2326" w:rsidRPr="00EE2326">
        <w:rPr>
          <w:u w:val="single"/>
        </w:rPr>
        <w:t>NTCSA</w:t>
      </w:r>
      <w:r w:rsidR="00EE2326">
        <w:rPr>
          <w:rStyle w:val="FootnoteReference"/>
        </w:rPr>
        <w:footnoteReference w:id="190"/>
      </w:r>
      <w:r w:rsidR="00EE2326">
        <w:t xml:space="preserve"> </w:t>
      </w:r>
      <w:r w:rsidRPr="00472578">
        <w:t xml:space="preserve">includes specific provisions that provide for exercise of rakatirataka and </w:t>
      </w:r>
      <w:r w:rsidRPr="00472578">
        <w:rPr>
          <w:i/>
          <w:iCs/>
        </w:rPr>
        <w:t>kaitiakitaka</w:t>
      </w:r>
      <w:r w:rsidRPr="00472578">
        <w:t xml:space="preserve"> by </w:t>
      </w:r>
      <w:r w:rsidRPr="00472578">
        <w:rPr>
          <w:i/>
          <w:iCs/>
        </w:rPr>
        <w:t>mana whenua</w:t>
      </w:r>
      <w:r w:rsidRPr="00472578">
        <w:t xml:space="preserve"> in respect to </w:t>
      </w:r>
      <w:r w:rsidR="002A160B" w:rsidRPr="009C237D">
        <w:rPr>
          <w:strike/>
        </w:rPr>
        <w:t>mahika kai</w:t>
      </w:r>
      <w:r w:rsidR="002A160B" w:rsidRPr="00472578">
        <w:t xml:space="preserve"> </w:t>
      </w:r>
      <w:r w:rsidR="002A160B" w:rsidRPr="00B23CF5">
        <w:rPr>
          <w:i/>
          <w:iCs/>
          <w:u w:val="single"/>
        </w:rPr>
        <w:t>mahika kai</w:t>
      </w:r>
      <w:r w:rsidR="002A160B">
        <w:rPr>
          <w:rStyle w:val="FootnoteReference"/>
        </w:rPr>
        <w:footnoteReference w:id="191"/>
      </w:r>
      <w:r w:rsidRPr="00472578">
        <w:t xml:space="preserve">, taoka species and other resource management matters. These include rights in relation to the management of specified significant areas (statutory acknowledgement areas, tōpuni and </w:t>
      </w:r>
      <w:r w:rsidRPr="00472578">
        <w:rPr>
          <w:i/>
          <w:iCs/>
        </w:rPr>
        <w:t>nohoaka</w:t>
      </w:r>
      <w:r w:rsidRPr="00472578">
        <w:t>) and customary fisheries.</w:t>
      </w:r>
    </w:p>
    <w:p w14:paraId="61BC707F" w14:textId="77777777" w:rsidR="009A1120" w:rsidRPr="00472578" w:rsidRDefault="009A1120" w:rsidP="00E92686">
      <w:pPr>
        <w:pStyle w:val="Heading4"/>
        <w:jc w:val="both"/>
      </w:pPr>
      <w:bookmarkStart w:id="43" w:name="_Hlk58578330"/>
      <w:r w:rsidRPr="00472578">
        <w:t>Statutory acknowledgement areas</w:t>
      </w:r>
    </w:p>
    <w:p w14:paraId="1534B3B2" w14:textId="4DC85994" w:rsidR="009A1120" w:rsidRPr="00472578" w:rsidRDefault="009A1120" w:rsidP="00E92686">
      <w:pPr>
        <w:spacing w:line="256" w:lineRule="auto"/>
        <w:jc w:val="both"/>
      </w:pPr>
      <w:bookmarkStart w:id="44" w:name="_Hlk58577186"/>
      <w:bookmarkEnd w:id="43"/>
      <w:r w:rsidRPr="00472578">
        <w:t>Statutory acknowledgements are recorded in the NTCSA</w:t>
      </w:r>
      <w:r w:rsidR="00BD2083" w:rsidRPr="00EF1863">
        <w:rPr>
          <w:rFonts w:cs="Times New Roman"/>
          <w:strike/>
        </w:rPr>
        <w:t xml:space="preserve"> 1998</w:t>
      </w:r>
      <w:r w:rsidR="00BD2083">
        <w:rPr>
          <w:rStyle w:val="FootnoteReference"/>
          <w:rFonts w:cs="Times New Roman"/>
        </w:rPr>
        <w:footnoteReference w:id="192"/>
      </w:r>
      <w:r w:rsidRPr="00472578">
        <w:t xml:space="preserve"> for several </w:t>
      </w:r>
      <w:r w:rsidRPr="00472578">
        <w:rPr>
          <w:i/>
          <w:iCs/>
        </w:rPr>
        <w:t>water bodies</w:t>
      </w:r>
      <w:bookmarkEnd w:id="44"/>
      <w:r w:rsidRPr="00472578">
        <w:t xml:space="preserve">, </w:t>
      </w:r>
      <w:proofErr w:type="gramStart"/>
      <w:r w:rsidRPr="00472578">
        <w:t>mountains</w:t>
      </w:r>
      <w:proofErr w:type="gramEnd"/>
      <w:r w:rsidRPr="00472578">
        <w:t xml:space="preserve"> and coastal </w:t>
      </w:r>
      <w:r w:rsidRPr="00472578">
        <w:rPr>
          <w:rFonts w:cs="Times New Roman"/>
          <w:bCs/>
        </w:rPr>
        <w:t>features</w:t>
      </w:r>
      <w:r w:rsidRPr="00472578">
        <w:t xml:space="preserve"> in the Otago Region. These acknowledgements are statements by Te Rūnanga o Ngāi Tahu of the </w:t>
      </w:r>
      <w:proofErr w:type="gramStart"/>
      <w:r w:rsidRPr="00472578">
        <w:t>particular cultural</w:t>
      </w:r>
      <w:proofErr w:type="gramEnd"/>
      <w:r w:rsidRPr="00472578">
        <w:t>, spiritual, historic and traditional association of Kāi Tahu with these areas.</w:t>
      </w:r>
    </w:p>
    <w:p w14:paraId="21DE7B4C" w14:textId="2D5B3C47" w:rsidR="009A1120" w:rsidRPr="00472578" w:rsidRDefault="009A1120" w:rsidP="00E92686">
      <w:pPr>
        <w:spacing w:line="256" w:lineRule="auto"/>
        <w:jc w:val="both"/>
      </w:pPr>
      <w:r w:rsidRPr="00472578">
        <w:t>Part 12 of the NTCSA</w:t>
      </w:r>
      <w:r w:rsidR="00A22FC8" w:rsidRPr="00EF1863">
        <w:rPr>
          <w:rFonts w:cs="Times New Roman"/>
          <w:strike/>
        </w:rPr>
        <w:t xml:space="preserve"> 1998</w:t>
      </w:r>
      <w:r w:rsidR="00A22FC8">
        <w:rPr>
          <w:rStyle w:val="FootnoteReference"/>
          <w:rFonts w:cs="Times New Roman"/>
        </w:rPr>
        <w:footnoteReference w:id="193"/>
      </w:r>
      <w:r w:rsidRPr="00472578">
        <w:t xml:space="preserve"> provides details of statutory acknowledgements, and the responsibilities relating to them. Section 208 of the NTCSA</w:t>
      </w:r>
      <w:r w:rsidR="005877D9" w:rsidRPr="00EF1863">
        <w:rPr>
          <w:rFonts w:cs="Times New Roman"/>
          <w:strike/>
        </w:rPr>
        <w:t xml:space="preserve"> 1998</w:t>
      </w:r>
      <w:r w:rsidR="005877D9">
        <w:rPr>
          <w:rStyle w:val="FootnoteReference"/>
          <w:rFonts w:cs="Times New Roman"/>
        </w:rPr>
        <w:footnoteReference w:id="194"/>
      </w:r>
      <w:r w:rsidRPr="00472578">
        <w:t xml:space="preserve"> requires that </w:t>
      </w:r>
      <w:r w:rsidRPr="00472578">
        <w:rPr>
          <w:i/>
          <w:iCs/>
        </w:rPr>
        <w:t>local authorities</w:t>
      </w:r>
      <w:r w:rsidRPr="00472578">
        <w:t xml:space="preserve"> have regard to these </w:t>
      </w:r>
      <w:r w:rsidRPr="00472578">
        <w:lastRenderedPageBreak/>
        <w:t xml:space="preserve">statutory acknowledgements in </w:t>
      </w:r>
      <w:r w:rsidRPr="00472578">
        <w:rPr>
          <w:i/>
          <w:iCs/>
        </w:rPr>
        <w:t>resource consent</w:t>
      </w:r>
      <w:r w:rsidRPr="00472578">
        <w:t xml:space="preserve"> processing under Section 95 of the RMA in deciding whether Te Rūnanga o Ngāi Tahu may be adversely affected by the granting of a </w:t>
      </w:r>
      <w:r w:rsidRPr="00472578">
        <w:rPr>
          <w:i/>
          <w:iCs/>
        </w:rPr>
        <w:t>resource consent</w:t>
      </w:r>
      <w:r w:rsidRPr="00472578">
        <w:t xml:space="preserve"> for activities within, adjacent to or impacting directly on the area.</w:t>
      </w:r>
    </w:p>
    <w:p w14:paraId="6F2CDEF5" w14:textId="112EF0B0" w:rsidR="009A1120" w:rsidRPr="00472578" w:rsidRDefault="009A1120" w:rsidP="00E92686">
      <w:pPr>
        <w:spacing w:line="256" w:lineRule="auto"/>
        <w:jc w:val="both"/>
      </w:pPr>
      <w:r w:rsidRPr="00472578">
        <w:t xml:space="preserve">Statutory acknowledgements were intended as a measure to improve opportunities for </w:t>
      </w:r>
      <w:r w:rsidRPr="00472578">
        <w:rPr>
          <w:i/>
          <w:iCs/>
        </w:rPr>
        <w:t>mana whenua</w:t>
      </w:r>
      <w:r w:rsidRPr="00472578">
        <w:t xml:space="preserve"> engagement in resource management processes, pending broader provision for areas of significance to Kāi Tahu being incorporated into resource management plans </w:t>
      </w:r>
      <w:proofErr w:type="gramStart"/>
      <w:r w:rsidRPr="00472578">
        <w:t>in order to</w:t>
      </w:r>
      <w:proofErr w:type="gramEnd"/>
      <w:r w:rsidRPr="00472578">
        <w:t xml:space="preserve"> protect and restore associated rights, interests and values. The statutory acknowledgements are </w:t>
      </w:r>
      <w:r w:rsidRPr="00472578">
        <w:rPr>
          <w:i/>
          <w:iCs/>
        </w:rPr>
        <w:t xml:space="preserve">wāhi tūpuna, </w:t>
      </w:r>
      <w:r w:rsidRPr="00472578">
        <w:t>but</w:t>
      </w:r>
      <w:r w:rsidRPr="00472578">
        <w:rPr>
          <w:i/>
          <w:iCs/>
        </w:rPr>
        <w:t xml:space="preserve"> wāhi tūpuna</w:t>
      </w:r>
      <w:r w:rsidRPr="00472578">
        <w:t xml:space="preserve"> are not confined to these areas.</w:t>
      </w:r>
    </w:p>
    <w:p w14:paraId="277260BB" w14:textId="63C67B4C" w:rsidR="009A1120" w:rsidRPr="00472578" w:rsidRDefault="009A1120" w:rsidP="00E92686">
      <w:pPr>
        <w:spacing w:before="240" w:line="256" w:lineRule="auto"/>
        <w:jc w:val="both"/>
        <w:rPr>
          <w:rFonts w:ascii="Calibri-Bold" w:hAnsi="Calibri-Bold" w:cs="Calibri-Bold"/>
        </w:rPr>
      </w:pPr>
      <w:r w:rsidRPr="00472578">
        <w:t xml:space="preserve">The following statutory </w:t>
      </w:r>
      <w:r w:rsidRPr="00472578">
        <w:rPr>
          <w:rFonts w:cs="Times New Roman"/>
        </w:rPr>
        <w:t>acknowledgement</w:t>
      </w:r>
      <w:r w:rsidRPr="00472578">
        <w:t xml:space="preserve"> areas in Otago are recognised in the NTCSA</w:t>
      </w:r>
      <w:r w:rsidR="00626554" w:rsidRPr="00EF1863">
        <w:rPr>
          <w:rFonts w:cs="Times New Roman"/>
          <w:strike/>
        </w:rPr>
        <w:t xml:space="preserve"> 1998</w:t>
      </w:r>
      <w:r w:rsidR="00626554">
        <w:rPr>
          <w:rStyle w:val="FootnoteReference"/>
          <w:rFonts w:cs="Times New Roman"/>
        </w:rPr>
        <w:footnoteReference w:id="195"/>
      </w:r>
      <w:r w:rsidRPr="00472578">
        <w:t>, and their values are described in Schedules to that Act:</w:t>
      </w:r>
    </w:p>
    <w:p w14:paraId="69F5A5FF" w14:textId="77777777" w:rsidR="009A1120" w:rsidRPr="00472578" w:rsidRDefault="009A1120" w:rsidP="00E92686">
      <w:pPr>
        <w:numPr>
          <w:ilvl w:val="0"/>
          <w:numId w:val="27"/>
        </w:numPr>
        <w:adjustRightInd w:val="0"/>
        <w:spacing w:line="256" w:lineRule="auto"/>
        <w:ind w:left="567" w:hanging="567"/>
        <w:contextualSpacing/>
        <w:jc w:val="both"/>
      </w:pPr>
      <w:r w:rsidRPr="00472578">
        <w:rPr>
          <w:rFonts w:cs="National-Book"/>
        </w:rPr>
        <w:t xml:space="preserve">Ka Moana Haehae (Lake Roxburgh) </w:t>
      </w:r>
      <w:bookmarkStart w:id="45" w:name="_Hlk58577517"/>
      <w:r w:rsidRPr="00472578">
        <w:rPr>
          <w:rFonts w:cs="National-Book"/>
        </w:rPr>
        <w:t xml:space="preserve">- Schedule </w:t>
      </w:r>
      <w:bookmarkEnd w:id="45"/>
      <w:r w:rsidRPr="00472578">
        <w:rPr>
          <w:rFonts w:cs="National-Book"/>
        </w:rPr>
        <w:t>22</w:t>
      </w:r>
    </w:p>
    <w:p w14:paraId="0FEE0D18"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Kakaunui River - Schedule 23</w:t>
      </w:r>
    </w:p>
    <w:p w14:paraId="3A7902F3"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Kuramea (Lake Catlins) - Schedule 28</w:t>
      </w:r>
    </w:p>
    <w:p w14:paraId="4F72E4B7"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Lake Hāwea - Schedule 30</w:t>
      </w:r>
    </w:p>
    <w:p w14:paraId="05BD226A"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Lake Wānaka - Schedule 36</w:t>
      </w:r>
    </w:p>
    <w:p w14:paraId="43DDFF7E"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Mata-Au (Clutha River) - Schedule 40</w:t>
      </w:r>
    </w:p>
    <w:p w14:paraId="369F6D73"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Matakaea (Shag Point) - Schedule 41</w:t>
      </w:r>
    </w:p>
    <w:p w14:paraId="1D36A51A"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Pikirakatahi (Mount Earnslaw) - Schedule 51</w:t>
      </w:r>
    </w:p>
    <w:p w14:paraId="5468A57E"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Pomahaka River - Schedule 52</w:t>
      </w:r>
    </w:p>
    <w:p w14:paraId="4DA1C4D0"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Te Tauraka Poti (Merton Tidal Arm) - Schedule 60</w:t>
      </w:r>
    </w:p>
    <w:p w14:paraId="52084AEF"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Te Wairere (Lake Dunstan) - Schedule 61</w:t>
      </w:r>
    </w:p>
    <w:p w14:paraId="232F97D4"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Tititea (Mount Aspiring) - Schedule 62</w:t>
      </w:r>
    </w:p>
    <w:p w14:paraId="73E07428"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Tokatā (The Nuggets) - Schedule 64</w:t>
      </w:r>
    </w:p>
    <w:p w14:paraId="04D52210"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Waihola/</w:t>
      </w:r>
      <w:r w:rsidRPr="00472578">
        <w:rPr>
          <w:strike/>
        </w:rPr>
        <w:t xml:space="preserve"> Waipori</w:t>
      </w:r>
      <w:r w:rsidRPr="00472578">
        <w:t xml:space="preserve"> Waipōuri</w:t>
      </w:r>
      <w:r w:rsidRPr="00472578">
        <w:rPr>
          <w:vertAlign w:val="superscript"/>
        </w:rPr>
        <w:footnoteReference w:id="196"/>
      </w:r>
      <w:r w:rsidRPr="00472578">
        <w:rPr>
          <w:rFonts w:cs="National-Book"/>
        </w:rPr>
        <w:t xml:space="preserve"> Wetland - Schedule 70</w:t>
      </w:r>
    </w:p>
    <w:p w14:paraId="7F887947" w14:textId="2CDC86BE"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Waitaki River – Schedule 72</w:t>
      </w:r>
      <w:r w:rsidR="000C1E9D" w:rsidRPr="000C1E9D">
        <w:rPr>
          <w:rStyle w:val="FootnoteReference"/>
          <w:rFonts w:cs="National-Book"/>
          <w:shd w:val="clear" w:color="auto" w:fill="D9D9D9" w:themeFill="background1" w:themeFillShade="D9"/>
        </w:rPr>
        <w:footnoteReference w:id="197"/>
      </w:r>
    </w:p>
    <w:p w14:paraId="31A1A536"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Whakatipu Wai Māori (Lake Wakatipu) - Schedule 75</w:t>
      </w:r>
    </w:p>
    <w:p w14:paraId="214BCB61" w14:textId="77777777" w:rsidR="009A1120" w:rsidRPr="00472578" w:rsidRDefault="009A1120" w:rsidP="00E92686">
      <w:pPr>
        <w:numPr>
          <w:ilvl w:val="0"/>
          <w:numId w:val="27"/>
        </w:numPr>
        <w:adjustRightInd w:val="0"/>
        <w:spacing w:line="256" w:lineRule="auto"/>
        <w:ind w:left="567" w:hanging="567"/>
        <w:contextualSpacing/>
        <w:jc w:val="both"/>
        <w:rPr>
          <w:rFonts w:cs="National-Book"/>
        </w:rPr>
      </w:pPr>
      <w:r w:rsidRPr="00472578">
        <w:rPr>
          <w:rFonts w:cs="National-Book"/>
        </w:rPr>
        <w:t>Te Tai O Arai Te Uru (Otago Coastal Marine Area) - Schedule 103.</w:t>
      </w:r>
    </w:p>
    <w:p w14:paraId="73C61C01" w14:textId="77777777" w:rsidR="009A1120" w:rsidRPr="00472578" w:rsidRDefault="009A1120" w:rsidP="00E92686">
      <w:pPr>
        <w:pStyle w:val="Heading4"/>
        <w:jc w:val="both"/>
      </w:pPr>
      <w:r w:rsidRPr="00472578">
        <w:t xml:space="preserve">Tōpuni </w:t>
      </w:r>
    </w:p>
    <w:p w14:paraId="122D556A" w14:textId="27ACB50B" w:rsidR="009A1120" w:rsidRPr="00472578" w:rsidRDefault="009A1120" w:rsidP="00E92686">
      <w:pPr>
        <w:adjustRightInd w:val="0"/>
        <w:spacing w:line="257" w:lineRule="auto"/>
        <w:jc w:val="both"/>
        <w:rPr>
          <w:rFonts w:cs="National-Book"/>
        </w:rPr>
      </w:pPr>
      <w:r w:rsidRPr="00472578">
        <w:rPr>
          <w:rFonts w:cs="National-Book"/>
        </w:rPr>
        <w:t xml:space="preserve">The concept of tōpuni derives from the traditional Kāi Tahu custom of persons of rakatira status extending their mana and protection over a person or area by placing their cloak over them or it. </w:t>
      </w:r>
      <w:proofErr w:type="gramStart"/>
      <w:r w:rsidRPr="00472578">
        <w:rPr>
          <w:rFonts w:cs="National-Book"/>
        </w:rPr>
        <w:t>A number of</w:t>
      </w:r>
      <w:proofErr w:type="gramEnd"/>
      <w:r w:rsidRPr="00472578">
        <w:rPr>
          <w:rFonts w:cs="National-Book"/>
        </w:rPr>
        <w:t xml:space="preserve"> areas on public conservation land that have significant values to K</w:t>
      </w:r>
      <w:r w:rsidRPr="639E38F9">
        <w:t>ā</w:t>
      </w:r>
      <w:r w:rsidRPr="00472578">
        <w:rPr>
          <w:rFonts w:cs="National-Book"/>
        </w:rPr>
        <w:t>i Tahu because of their cultural, spiritual, historic and traditional associations are recognised in the NTCSA</w:t>
      </w:r>
      <w:r w:rsidR="00E61458" w:rsidRPr="00EF1863">
        <w:rPr>
          <w:rFonts w:cs="Times New Roman"/>
          <w:strike/>
        </w:rPr>
        <w:t xml:space="preserve"> 1998</w:t>
      </w:r>
      <w:r w:rsidR="00E61458">
        <w:rPr>
          <w:rStyle w:val="FootnoteReference"/>
          <w:rFonts w:cs="Times New Roman"/>
        </w:rPr>
        <w:footnoteReference w:id="198"/>
      </w:r>
      <w:r w:rsidRPr="00472578">
        <w:rPr>
          <w:rFonts w:cs="National-Book"/>
        </w:rPr>
        <w:t xml:space="preserve"> as t</w:t>
      </w:r>
      <w:r w:rsidRPr="639E38F9">
        <w:t>ō</w:t>
      </w:r>
      <w:r w:rsidRPr="00472578">
        <w:rPr>
          <w:rFonts w:cs="National-Book"/>
        </w:rPr>
        <w:t>puni. Sections 240 to 246 of the NTCSA</w:t>
      </w:r>
      <w:r w:rsidR="00E61458" w:rsidRPr="00EF1863">
        <w:rPr>
          <w:rFonts w:cs="Times New Roman"/>
          <w:strike/>
        </w:rPr>
        <w:t xml:space="preserve"> 1998</w:t>
      </w:r>
      <w:r w:rsidR="00E61458">
        <w:rPr>
          <w:rStyle w:val="FootnoteReference"/>
          <w:rFonts w:cs="Times New Roman"/>
        </w:rPr>
        <w:footnoteReference w:id="199"/>
      </w:r>
      <w:r w:rsidRPr="00472578">
        <w:rPr>
          <w:rFonts w:cs="National-Book"/>
        </w:rPr>
        <w:t xml:space="preserve"> provide for Kāi Tahu consultation on management of these areas, to protect their values. </w:t>
      </w:r>
      <w:bookmarkStart w:id="46" w:name="_Hlk58835798"/>
      <w:r w:rsidRPr="00472578">
        <w:rPr>
          <w:rFonts w:cs="National-Book"/>
        </w:rPr>
        <w:t>Although the specific provisions in the NTCSA</w:t>
      </w:r>
      <w:r w:rsidR="00E61458" w:rsidRPr="00EF1863">
        <w:rPr>
          <w:rFonts w:cs="Times New Roman"/>
          <w:strike/>
        </w:rPr>
        <w:t xml:space="preserve"> 1998</w:t>
      </w:r>
      <w:r w:rsidR="00E61458">
        <w:rPr>
          <w:rStyle w:val="FootnoteReference"/>
          <w:rFonts w:cs="Times New Roman"/>
        </w:rPr>
        <w:footnoteReference w:id="200"/>
      </w:r>
      <w:r w:rsidRPr="00472578">
        <w:rPr>
          <w:rFonts w:cs="National-Book"/>
        </w:rPr>
        <w:t xml:space="preserve"> relate only to management of conservation land, </w:t>
      </w:r>
      <w:bookmarkStart w:id="47" w:name="_Hlk58832481"/>
      <w:r w:rsidRPr="00472578">
        <w:rPr>
          <w:rFonts w:cs="National-Book"/>
        </w:rPr>
        <w:t>the interests of K</w:t>
      </w:r>
      <w:r w:rsidRPr="639E38F9">
        <w:t>ā</w:t>
      </w:r>
      <w:r w:rsidRPr="00472578">
        <w:rPr>
          <w:rFonts w:cs="National-Book"/>
        </w:rPr>
        <w:t xml:space="preserve">i Tahu should be recognised and provided for when considering activities </w:t>
      </w:r>
      <w:bookmarkEnd w:id="46"/>
      <w:r w:rsidRPr="00472578">
        <w:rPr>
          <w:rFonts w:cs="National-Book"/>
        </w:rPr>
        <w:t xml:space="preserve">in nearby areas that may impact on the values </w:t>
      </w:r>
      <w:bookmarkEnd w:id="47"/>
      <w:r w:rsidRPr="00472578">
        <w:rPr>
          <w:rFonts w:cs="National-Book"/>
        </w:rPr>
        <w:t xml:space="preserve">of tōpuni or </w:t>
      </w:r>
      <w:r w:rsidRPr="00472578">
        <w:rPr>
          <w:rFonts w:cs="National-Book"/>
          <w:i/>
        </w:rPr>
        <w:t>waters</w:t>
      </w:r>
      <w:r w:rsidRPr="00472578">
        <w:rPr>
          <w:rFonts w:cs="National-Book"/>
        </w:rPr>
        <w:t xml:space="preserve"> flowing from them.</w:t>
      </w:r>
    </w:p>
    <w:p w14:paraId="70329181" w14:textId="77777777" w:rsidR="009A1120" w:rsidRPr="00472578" w:rsidRDefault="009A1120" w:rsidP="00E92686">
      <w:pPr>
        <w:adjustRightInd w:val="0"/>
        <w:spacing w:line="257" w:lineRule="auto"/>
        <w:jc w:val="both"/>
        <w:rPr>
          <w:rFonts w:cs="National-Book"/>
        </w:rPr>
      </w:pPr>
      <w:r w:rsidRPr="00472578">
        <w:rPr>
          <w:rFonts w:cs="National-Book"/>
        </w:rPr>
        <w:t>Tōpuni recognised in Otago are:</w:t>
      </w:r>
    </w:p>
    <w:p w14:paraId="5F050570" w14:textId="77777777" w:rsidR="009A1120" w:rsidRPr="00472578" w:rsidRDefault="009A1120" w:rsidP="00E92686">
      <w:pPr>
        <w:numPr>
          <w:ilvl w:val="0"/>
          <w:numId w:val="29"/>
        </w:numPr>
        <w:adjustRightInd w:val="0"/>
        <w:spacing w:line="257" w:lineRule="auto"/>
        <w:ind w:left="567" w:hanging="567"/>
        <w:contextualSpacing/>
        <w:jc w:val="both"/>
      </w:pPr>
      <w:r w:rsidRPr="00472578">
        <w:lastRenderedPageBreak/>
        <w:t>Matakaea (Shag Point) – Schedule 83</w:t>
      </w:r>
    </w:p>
    <w:p w14:paraId="5EAE7207" w14:textId="77777777" w:rsidR="009A1120" w:rsidRPr="00472578" w:rsidRDefault="009A1120" w:rsidP="00E92686">
      <w:pPr>
        <w:numPr>
          <w:ilvl w:val="0"/>
          <w:numId w:val="29"/>
        </w:numPr>
        <w:adjustRightInd w:val="0"/>
        <w:spacing w:line="257" w:lineRule="auto"/>
        <w:ind w:left="567" w:hanging="567"/>
        <w:contextualSpacing/>
        <w:jc w:val="both"/>
      </w:pPr>
      <w:r w:rsidRPr="00472578">
        <w:t>Maukaatua Scenic Reserve – Schedule 84</w:t>
      </w:r>
    </w:p>
    <w:p w14:paraId="6559564D" w14:textId="77777777" w:rsidR="009A1120" w:rsidRPr="00472578" w:rsidRDefault="009A1120" w:rsidP="00E92686">
      <w:pPr>
        <w:numPr>
          <w:ilvl w:val="0"/>
          <w:numId w:val="29"/>
        </w:numPr>
        <w:adjustRightInd w:val="0"/>
        <w:spacing w:line="257" w:lineRule="auto"/>
        <w:ind w:left="567" w:hanging="567"/>
        <w:contextualSpacing/>
        <w:jc w:val="both"/>
      </w:pPr>
      <w:r w:rsidRPr="00472578">
        <w:t>Pikirakatahi (Mount Earnslaw) – Schedule 87</w:t>
      </w:r>
    </w:p>
    <w:p w14:paraId="2F50A70F" w14:textId="77777777" w:rsidR="009A1120" w:rsidRPr="00472578" w:rsidRDefault="009A1120" w:rsidP="00E92686">
      <w:pPr>
        <w:numPr>
          <w:ilvl w:val="0"/>
          <w:numId w:val="29"/>
        </w:numPr>
        <w:adjustRightInd w:val="0"/>
        <w:spacing w:line="257" w:lineRule="auto"/>
        <w:ind w:left="567" w:hanging="567"/>
        <w:contextualSpacing/>
        <w:jc w:val="both"/>
      </w:pPr>
      <w:r w:rsidRPr="00472578">
        <w:t>Te Koroka (Dart/Slipstream) – Schedule 91</w:t>
      </w:r>
    </w:p>
    <w:p w14:paraId="4425B12E" w14:textId="77777777" w:rsidR="009A1120" w:rsidRPr="00472578" w:rsidRDefault="009A1120" w:rsidP="00E92686">
      <w:pPr>
        <w:numPr>
          <w:ilvl w:val="0"/>
          <w:numId w:val="29"/>
        </w:numPr>
        <w:adjustRightInd w:val="0"/>
        <w:spacing w:line="257" w:lineRule="auto"/>
        <w:ind w:left="567" w:hanging="567"/>
        <w:jc w:val="both"/>
      </w:pPr>
      <w:r w:rsidRPr="00472578">
        <w:t>Tititea (Mount Aspiring) – Schedule 92.</w:t>
      </w:r>
    </w:p>
    <w:p w14:paraId="750B1D88" w14:textId="77777777" w:rsidR="009A1120" w:rsidRPr="00472578" w:rsidRDefault="009A1120" w:rsidP="00E92686">
      <w:pPr>
        <w:pStyle w:val="Heading4"/>
        <w:jc w:val="both"/>
        <w:rPr>
          <w:i/>
          <w:iCs w:val="0"/>
        </w:rPr>
      </w:pPr>
      <w:r w:rsidRPr="00472578">
        <w:rPr>
          <w:i/>
          <w:iCs w:val="0"/>
        </w:rPr>
        <w:t>Nohoaka</w:t>
      </w:r>
    </w:p>
    <w:p w14:paraId="4678D2DB" w14:textId="139C6EBF" w:rsidR="009A1120" w:rsidRPr="00472578" w:rsidRDefault="009A1120" w:rsidP="00E92686">
      <w:pPr>
        <w:adjustRightInd w:val="0"/>
        <w:spacing w:line="257" w:lineRule="auto"/>
        <w:jc w:val="both"/>
        <w:rPr>
          <w:rFonts w:cs="National-Book"/>
        </w:rPr>
      </w:pPr>
      <w:r w:rsidRPr="00472578">
        <w:rPr>
          <w:rFonts w:cs="National-Book"/>
          <w:i/>
          <w:iCs/>
        </w:rPr>
        <w:t>Nohoanga</w:t>
      </w:r>
      <w:r w:rsidRPr="00472578">
        <w:rPr>
          <w:rFonts w:cs="National-Book"/>
        </w:rPr>
        <w:t xml:space="preserve"> (or </w:t>
      </w:r>
      <w:r w:rsidRPr="00472578">
        <w:rPr>
          <w:rFonts w:cs="National-Book"/>
          <w:i/>
        </w:rPr>
        <w:t>nohoaka</w:t>
      </w:r>
      <w:r w:rsidRPr="00472578">
        <w:rPr>
          <w:rFonts w:cs="National-Book"/>
        </w:rPr>
        <w:t xml:space="preserve">) entitlements provide a right of seasonal occupation and use for Kāi Tahu whānui on specified areas of Crown-owned land near </w:t>
      </w:r>
      <w:r w:rsidRPr="00472578">
        <w:rPr>
          <w:rFonts w:cs="National-Book"/>
          <w:i/>
        </w:rPr>
        <w:t>water bodies</w:t>
      </w:r>
      <w:r w:rsidRPr="00472578">
        <w:rPr>
          <w:rFonts w:cs="National-Book"/>
        </w:rPr>
        <w:t xml:space="preserve"> for harvest of natural resources (sections 255 to 268 of the NTCSA</w:t>
      </w:r>
      <w:r w:rsidR="00643DF5" w:rsidRPr="00EF1863">
        <w:rPr>
          <w:rFonts w:cs="Times New Roman"/>
          <w:strike/>
        </w:rPr>
        <w:t xml:space="preserve"> 1998</w:t>
      </w:r>
      <w:r w:rsidR="00643DF5">
        <w:rPr>
          <w:rStyle w:val="FootnoteReference"/>
          <w:rFonts w:cs="Times New Roman"/>
        </w:rPr>
        <w:footnoteReference w:id="201"/>
      </w:r>
      <w:r w:rsidRPr="00472578">
        <w:rPr>
          <w:rFonts w:cs="National-Book"/>
        </w:rPr>
        <w:t xml:space="preserve">). These rights are intended as partial redress for the loss of </w:t>
      </w:r>
      <w:r w:rsidR="002A160B" w:rsidRPr="009C237D">
        <w:rPr>
          <w:strike/>
        </w:rPr>
        <w:t>mahika kai</w:t>
      </w:r>
      <w:r w:rsidR="002A160B" w:rsidRPr="00472578">
        <w:t xml:space="preserve"> </w:t>
      </w:r>
      <w:r w:rsidR="002A160B" w:rsidRPr="00B23CF5">
        <w:rPr>
          <w:i/>
          <w:iCs/>
          <w:u w:val="single"/>
        </w:rPr>
        <w:t>mahika kai</w:t>
      </w:r>
      <w:r w:rsidR="002A160B">
        <w:rPr>
          <w:rStyle w:val="FootnoteReference"/>
        </w:rPr>
        <w:footnoteReference w:id="202"/>
      </w:r>
      <w:r w:rsidRPr="00472578">
        <w:rPr>
          <w:rFonts w:cs="National-Book"/>
        </w:rPr>
        <w:t xml:space="preserve"> through alienation of land.</w:t>
      </w:r>
    </w:p>
    <w:p w14:paraId="243DFD7E" w14:textId="47C5297B" w:rsidR="009A1120" w:rsidRPr="00472578" w:rsidRDefault="009A1120" w:rsidP="00E92686">
      <w:pPr>
        <w:adjustRightInd w:val="0"/>
        <w:spacing w:line="257" w:lineRule="auto"/>
        <w:jc w:val="both"/>
        <w:rPr>
          <w:rFonts w:cs="National-Book"/>
        </w:rPr>
      </w:pPr>
      <w:r w:rsidRPr="00472578">
        <w:rPr>
          <w:rFonts w:cs="National-Book"/>
        </w:rPr>
        <w:t xml:space="preserve">Kāi Tahu interests in these areas should be recognised and provided for when considering management of associated </w:t>
      </w:r>
      <w:r w:rsidRPr="00472578">
        <w:rPr>
          <w:rFonts w:cs="National-Book"/>
          <w:i/>
        </w:rPr>
        <w:t>water bodies</w:t>
      </w:r>
      <w:r w:rsidRPr="00472578">
        <w:rPr>
          <w:rFonts w:cs="National-Book"/>
        </w:rPr>
        <w:t xml:space="preserve"> or activities on nearby land. The ability of Kāi Tahu wh</w:t>
      </w:r>
      <w:r w:rsidRPr="639E38F9">
        <w:t>ā</w:t>
      </w:r>
      <w:r w:rsidRPr="00472578">
        <w:rPr>
          <w:rFonts w:cs="National-Book"/>
        </w:rPr>
        <w:t xml:space="preserve">nui to access and use </w:t>
      </w:r>
      <w:r w:rsidRPr="00472578">
        <w:rPr>
          <w:rFonts w:cs="National-Book"/>
          <w:i/>
        </w:rPr>
        <w:t>nohoaka</w:t>
      </w:r>
      <w:r w:rsidRPr="00472578">
        <w:rPr>
          <w:rFonts w:cs="National-Book"/>
        </w:rPr>
        <w:t xml:space="preserve"> as intended is reliant upon protection and restoration of </w:t>
      </w:r>
      <w:r w:rsidR="00B23CF5" w:rsidRPr="009C237D">
        <w:rPr>
          <w:strike/>
        </w:rPr>
        <w:t>mahika kai</w:t>
      </w:r>
      <w:r w:rsidR="00B23CF5" w:rsidRPr="00472578">
        <w:t xml:space="preserve"> </w:t>
      </w:r>
      <w:r w:rsidR="00B23CF5" w:rsidRPr="00B23CF5">
        <w:rPr>
          <w:i/>
          <w:iCs/>
          <w:u w:val="single"/>
        </w:rPr>
        <w:t>mahika kai</w:t>
      </w:r>
      <w:r w:rsidR="00B23CF5">
        <w:rPr>
          <w:rStyle w:val="FootnoteReference"/>
        </w:rPr>
        <w:footnoteReference w:id="203"/>
      </w:r>
      <w:r w:rsidRPr="00472578">
        <w:rPr>
          <w:rFonts w:cs="National-Book"/>
        </w:rPr>
        <w:t xml:space="preserve"> values associated with them.</w:t>
      </w:r>
    </w:p>
    <w:p w14:paraId="79328DC2" w14:textId="4662909D" w:rsidR="009A1120" w:rsidRPr="00472578" w:rsidRDefault="009A1120" w:rsidP="00E92686">
      <w:pPr>
        <w:adjustRightInd w:val="0"/>
        <w:spacing w:line="257" w:lineRule="auto"/>
        <w:jc w:val="both"/>
        <w:rPr>
          <w:rFonts w:cs="National-Book"/>
        </w:rPr>
      </w:pPr>
      <w:r w:rsidRPr="00472578">
        <w:rPr>
          <w:rFonts w:cs="National-Book"/>
          <w:i/>
        </w:rPr>
        <w:t>Nohoaka</w:t>
      </w:r>
      <w:r w:rsidRPr="00472578">
        <w:rPr>
          <w:rFonts w:cs="National-Book"/>
        </w:rPr>
        <w:t xml:space="preserve"> entitlements are listed in Schedule 95 of the NTCSA</w:t>
      </w:r>
      <w:r w:rsidR="00643DF5" w:rsidRPr="00EF1863">
        <w:rPr>
          <w:rFonts w:cs="Times New Roman"/>
          <w:strike/>
        </w:rPr>
        <w:t xml:space="preserve"> 1998</w:t>
      </w:r>
      <w:r w:rsidR="00643DF5">
        <w:rPr>
          <w:rStyle w:val="FootnoteReference"/>
          <w:rFonts w:cs="Times New Roman"/>
        </w:rPr>
        <w:footnoteReference w:id="204"/>
      </w:r>
      <w:r w:rsidRPr="00472578">
        <w:rPr>
          <w:rFonts w:cs="National-Book"/>
        </w:rPr>
        <w:t xml:space="preserve">. In Otago, sites are identified adjacent to the following </w:t>
      </w:r>
      <w:r w:rsidRPr="00472578">
        <w:rPr>
          <w:rFonts w:cs="National-Book"/>
          <w:i/>
        </w:rPr>
        <w:t>water bodies</w:t>
      </w:r>
      <w:r w:rsidRPr="00472578">
        <w:rPr>
          <w:rFonts w:cs="National-Book"/>
        </w:rPr>
        <w:t>:</w:t>
      </w:r>
    </w:p>
    <w:p w14:paraId="23753427" w14:textId="77777777" w:rsidR="009A1120" w:rsidRPr="00472578" w:rsidRDefault="009A1120" w:rsidP="00E92686">
      <w:pPr>
        <w:numPr>
          <w:ilvl w:val="0"/>
          <w:numId w:val="30"/>
        </w:numPr>
        <w:adjustRightInd w:val="0"/>
        <w:spacing w:line="257" w:lineRule="auto"/>
        <w:ind w:left="567" w:hanging="567"/>
        <w:contextualSpacing/>
        <w:jc w:val="both"/>
      </w:pPr>
      <w:r w:rsidRPr="00472578">
        <w:t>Waitaki River (two sites)</w:t>
      </w:r>
      <w:r w:rsidRPr="00472578">
        <w:rPr>
          <w:u w:val="single"/>
          <w:vertAlign w:val="superscript"/>
        </w:rPr>
        <w:t xml:space="preserve"> </w:t>
      </w:r>
    </w:p>
    <w:p w14:paraId="625E8C90" w14:textId="77777777" w:rsidR="009A1120" w:rsidRPr="00472578" w:rsidRDefault="009A1120" w:rsidP="00E92686">
      <w:pPr>
        <w:numPr>
          <w:ilvl w:val="0"/>
          <w:numId w:val="30"/>
        </w:numPr>
        <w:adjustRightInd w:val="0"/>
        <w:spacing w:line="257" w:lineRule="auto"/>
        <w:ind w:left="567" w:hanging="567"/>
        <w:contextualSpacing/>
        <w:jc w:val="both"/>
      </w:pPr>
      <w:r w:rsidRPr="00472578">
        <w:t>Waianakarua River</w:t>
      </w:r>
    </w:p>
    <w:p w14:paraId="60436CB1" w14:textId="77777777" w:rsidR="009A1120" w:rsidRPr="00472578" w:rsidRDefault="009A1120" w:rsidP="00E92686">
      <w:pPr>
        <w:numPr>
          <w:ilvl w:val="0"/>
          <w:numId w:val="30"/>
        </w:numPr>
        <w:adjustRightInd w:val="0"/>
        <w:spacing w:line="257" w:lineRule="auto"/>
        <w:ind w:left="567" w:hanging="567"/>
        <w:contextualSpacing/>
        <w:jc w:val="both"/>
      </w:pPr>
      <w:r w:rsidRPr="00472578">
        <w:rPr>
          <w:strike/>
        </w:rPr>
        <w:t>Taieri</w:t>
      </w:r>
      <w:r w:rsidRPr="00472578">
        <w:t xml:space="preserve"> </w:t>
      </w:r>
      <w:r w:rsidRPr="00472578">
        <w:rPr>
          <w:u w:val="single"/>
        </w:rPr>
        <w:t>Taiari</w:t>
      </w:r>
      <w:r w:rsidRPr="00472578">
        <w:rPr>
          <w:vertAlign w:val="superscript"/>
        </w:rPr>
        <w:footnoteReference w:id="205"/>
      </w:r>
      <w:r w:rsidRPr="00472578">
        <w:t xml:space="preserve"> River (three sites)</w:t>
      </w:r>
    </w:p>
    <w:p w14:paraId="15ADB039" w14:textId="77777777" w:rsidR="009A1120" w:rsidRPr="00472578" w:rsidRDefault="009A1120" w:rsidP="00E92686">
      <w:pPr>
        <w:numPr>
          <w:ilvl w:val="0"/>
          <w:numId w:val="30"/>
        </w:numPr>
        <w:adjustRightInd w:val="0"/>
        <w:spacing w:line="257" w:lineRule="auto"/>
        <w:ind w:left="567" w:hanging="567"/>
        <w:contextualSpacing/>
        <w:jc w:val="both"/>
      </w:pPr>
      <w:r w:rsidRPr="00472578">
        <w:t>Lake Hāwea (three sites)</w:t>
      </w:r>
    </w:p>
    <w:p w14:paraId="434E4017" w14:textId="77777777" w:rsidR="009A1120" w:rsidRPr="00472578" w:rsidRDefault="009A1120" w:rsidP="00E92686">
      <w:pPr>
        <w:numPr>
          <w:ilvl w:val="0"/>
          <w:numId w:val="30"/>
        </w:numPr>
        <w:adjustRightInd w:val="0"/>
        <w:spacing w:line="257" w:lineRule="auto"/>
        <w:ind w:left="567" w:hanging="567"/>
        <w:contextualSpacing/>
        <w:jc w:val="both"/>
      </w:pPr>
      <w:r w:rsidRPr="00472578">
        <w:t>Hāwea River</w:t>
      </w:r>
    </w:p>
    <w:p w14:paraId="2BFD93D7" w14:textId="77777777" w:rsidR="009A1120" w:rsidRPr="00472578" w:rsidRDefault="009A1120" w:rsidP="00E92686">
      <w:pPr>
        <w:numPr>
          <w:ilvl w:val="0"/>
          <w:numId w:val="30"/>
        </w:numPr>
        <w:adjustRightInd w:val="0"/>
        <w:spacing w:line="257" w:lineRule="auto"/>
        <w:ind w:left="567" w:hanging="567"/>
        <w:contextualSpacing/>
        <w:jc w:val="both"/>
      </w:pPr>
      <w:r w:rsidRPr="00472578">
        <w:t>Lake Wānaka (two sites)</w:t>
      </w:r>
    </w:p>
    <w:p w14:paraId="3A1D5EA5" w14:textId="77777777" w:rsidR="009A1120" w:rsidRPr="00472578" w:rsidRDefault="009A1120" w:rsidP="00E92686">
      <w:pPr>
        <w:numPr>
          <w:ilvl w:val="0"/>
          <w:numId w:val="30"/>
        </w:numPr>
        <w:adjustRightInd w:val="0"/>
        <w:spacing w:line="257" w:lineRule="auto"/>
        <w:ind w:left="567" w:hanging="567"/>
        <w:contextualSpacing/>
        <w:jc w:val="both"/>
      </w:pPr>
      <w:r w:rsidRPr="00472578">
        <w:rPr>
          <w:strike/>
        </w:rPr>
        <w:t>Lake Wakatipu</w:t>
      </w:r>
      <w:r w:rsidRPr="00472578">
        <w:rPr>
          <w:rFonts w:cs="National-Book"/>
        </w:rPr>
        <w:t xml:space="preserve"> </w:t>
      </w:r>
      <w:r w:rsidRPr="00472578">
        <w:rPr>
          <w:rFonts w:cs="National-Book"/>
          <w:u w:val="single"/>
        </w:rPr>
        <w:t>Whakatipu Wai Māori</w:t>
      </w:r>
      <w:r w:rsidRPr="00472578">
        <w:rPr>
          <w:rFonts w:cs="National-Book"/>
          <w:vertAlign w:val="superscript"/>
        </w:rPr>
        <w:footnoteReference w:id="206"/>
      </w:r>
    </w:p>
    <w:p w14:paraId="13C4BAFB" w14:textId="77777777" w:rsidR="009A1120" w:rsidRPr="00472578" w:rsidRDefault="009A1120" w:rsidP="00E92686">
      <w:pPr>
        <w:numPr>
          <w:ilvl w:val="0"/>
          <w:numId w:val="30"/>
        </w:numPr>
        <w:adjustRightInd w:val="0"/>
        <w:spacing w:line="257" w:lineRule="auto"/>
        <w:ind w:left="567" w:hanging="567"/>
        <w:contextualSpacing/>
        <w:jc w:val="both"/>
      </w:pPr>
      <w:r w:rsidRPr="00472578">
        <w:t>Shotover River (two sites)</w:t>
      </w:r>
    </w:p>
    <w:p w14:paraId="7D45FD41" w14:textId="27C1020C" w:rsidR="009A1120" w:rsidRPr="00472578" w:rsidRDefault="009A1120" w:rsidP="00E92686">
      <w:pPr>
        <w:numPr>
          <w:ilvl w:val="0"/>
          <w:numId w:val="30"/>
        </w:numPr>
        <w:adjustRightInd w:val="0"/>
        <w:spacing w:line="257" w:lineRule="auto"/>
        <w:ind w:left="567" w:hanging="567"/>
        <w:jc w:val="both"/>
      </w:pPr>
      <w:r w:rsidRPr="00472578">
        <w:t>Mata-au Clutha River (four sites).</w:t>
      </w:r>
      <w:r w:rsidRPr="00472578">
        <w:rPr>
          <w:rFonts w:cs="National-Book"/>
          <w:vertAlign w:val="superscript"/>
        </w:rPr>
        <w:t xml:space="preserve"> </w:t>
      </w:r>
      <w:r w:rsidRPr="00472578">
        <w:rPr>
          <w:rFonts w:cs="National-Book"/>
          <w:vertAlign w:val="superscript"/>
        </w:rPr>
        <w:footnoteReference w:id="207"/>
      </w:r>
    </w:p>
    <w:p w14:paraId="0111B129" w14:textId="77777777" w:rsidR="009A1120" w:rsidRPr="00472578" w:rsidRDefault="009A1120" w:rsidP="00E92686">
      <w:pPr>
        <w:pStyle w:val="Heading4"/>
        <w:jc w:val="both"/>
      </w:pPr>
      <w:r w:rsidRPr="00472578">
        <w:t>Customary fisheries</w:t>
      </w:r>
    </w:p>
    <w:p w14:paraId="1EC61FD4" w14:textId="2A46D2CD" w:rsidR="009A1120" w:rsidRPr="00472578" w:rsidRDefault="009A1120" w:rsidP="00E92686">
      <w:pPr>
        <w:adjustRightInd w:val="0"/>
        <w:spacing w:line="257" w:lineRule="auto"/>
        <w:jc w:val="both"/>
        <w:rPr>
          <w:rFonts w:cs="National-Book"/>
        </w:rPr>
      </w:pPr>
      <w:r w:rsidRPr="00472578">
        <w:rPr>
          <w:rFonts w:cs="National-Book"/>
        </w:rPr>
        <w:t>Sections 297 to 311 of the NTCSA</w:t>
      </w:r>
      <w:r w:rsidR="00B16E7D" w:rsidRPr="00EF1863">
        <w:rPr>
          <w:rFonts w:cs="Times New Roman"/>
          <w:strike/>
        </w:rPr>
        <w:t xml:space="preserve"> 1998</w:t>
      </w:r>
      <w:r w:rsidR="00B16E7D">
        <w:rPr>
          <w:rStyle w:val="FootnoteReference"/>
          <w:rFonts w:cs="Times New Roman"/>
        </w:rPr>
        <w:footnoteReference w:id="208"/>
      </w:r>
      <w:r w:rsidRPr="00472578">
        <w:rPr>
          <w:rFonts w:cs="National-Book"/>
        </w:rPr>
        <w:t xml:space="preserve"> include provisions recognising Kāi Tahu rights and interests in </w:t>
      </w:r>
      <w:r w:rsidRPr="00472578">
        <w:rPr>
          <w:rFonts w:cs="National-Book"/>
          <w:iCs/>
        </w:rPr>
        <w:t>customary</w:t>
      </w:r>
      <w:r w:rsidRPr="00472578">
        <w:rPr>
          <w:rFonts w:cs="National-Book"/>
        </w:rPr>
        <w:t xml:space="preserve"> </w:t>
      </w:r>
      <w:proofErr w:type="gramStart"/>
      <w:r w:rsidRPr="00472578">
        <w:rPr>
          <w:rFonts w:cs="National-Book"/>
        </w:rPr>
        <w:t>fisheries, and</w:t>
      </w:r>
      <w:proofErr w:type="gramEnd"/>
      <w:r w:rsidRPr="00472578">
        <w:rPr>
          <w:rFonts w:cs="National-Book"/>
        </w:rPr>
        <w:t xml:space="preserve"> provide for involvement in management of these resources through the Conservation Act 1987 and the Fisheries Acts 1983 and 1996. </w:t>
      </w:r>
    </w:p>
    <w:p w14:paraId="31BFC8C2" w14:textId="29FAD602" w:rsidR="009A1120" w:rsidRPr="00472578" w:rsidRDefault="009A1120" w:rsidP="00E92686">
      <w:pPr>
        <w:adjustRightInd w:val="0"/>
        <w:spacing w:line="257" w:lineRule="auto"/>
        <w:jc w:val="both"/>
        <w:rPr>
          <w:rFonts w:cs="National-Book"/>
        </w:rPr>
      </w:pPr>
      <w:r w:rsidRPr="00472578">
        <w:rPr>
          <w:rFonts w:cs="National-Book"/>
        </w:rPr>
        <w:t>The interests of Kāi Tahu should be recognised and provided for when considering activities under the RMA</w:t>
      </w:r>
      <w:r w:rsidRPr="006072DC">
        <w:rPr>
          <w:rFonts w:cs="National-Book"/>
          <w:strike/>
        </w:rPr>
        <w:t xml:space="preserve"> 1991</w:t>
      </w:r>
      <w:r w:rsidR="006072DC">
        <w:rPr>
          <w:rStyle w:val="FootnoteReference"/>
          <w:rFonts w:cs="National-Book"/>
        </w:rPr>
        <w:footnoteReference w:id="209"/>
      </w:r>
      <w:r w:rsidR="006072DC">
        <w:rPr>
          <w:rFonts w:cs="National-Book"/>
        </w:rPr>
        <w:t xml:space="preserve"> </w:t>
      </w:r>
      <w:r w:rsidRPr="00472578">
        <w:rPr>
          <w:rFonts w:cs="National-Book"/>
        </w:rPr>
        <w:t xml:space="preserve">that may impact on customary fisheries, to enable protection and restoration of fisheries habitat. Mātaitai and taiāpure are mechanisms under the Fisheries Act that provide for management of </w:t>
      </w:r>
      <w:r w:rsidRPr="00472578">
        <w:rPr>
          <w:rFonts w:cs="National-Book"/>
          <w:iCs/>
        </w:rPr>
        <w:t>customary</w:t>
      </w:r>
      <w:r w:rsidRPr="00472578">
        <w:rPr>
          <w:rFonts w:cs="National-Book"/>
        </w:rPr>
        <w:t xml:space="preserve"> fisheries areas and are applicable to both coastal and </w:t>
      </w:r>
      <w:r w:rsidRPr="00472578">
        <w:rPr>
          <w:rFonts w:cs="National-Book"/>
          <w:i/>
        </w:rPr>
        <w:t>freshwater</w:t>
      </w:r>
      <w:r w:rsidRPr="00472578">
        <w:rPr>
          <w:rFonts w:cs="National-Book"/>
        </w:rPr>
        <w:t xml:space="preserve"> fisheries environments. </w:t>
      </w:r>
    </w:p>
    <w:p w14:paraId="2585770F" w14:textId="77777777" w:rsidR="009A1120" w:rsidRPr="00472578" w:rsidRDefault="009A1120" w:rsidP="00E92686">
      <w:pPr>
        <w:adjustRightInd w:val="0"/>
        <w:spacing w:line="257" w:lineRule="auto"/>
        <w:jc w:val="both"/>
        <w:rPr>
          <w:rFonts w:cs="National-Book"/>
        </w:rPr>
      </w:pPr>
      <w:r w:rsidRPr="00472578">
        <w:rPr>
          <w:rFonts w:cs="National-Book"/>
        </w:rPr>
        <w:lastRenderedPageBreak/>
        <w:t>The East Otago Taiāpure is constituted by the Fisheries (East Otago Tai</w:t>
      </w:r>
      <w:r w:rsidRPr="00472578">
        <w:rPr>
          <w:rFonts w:cstheme="minorHAnsi"/>
        </w:rPr>
        <w:t>ā</w:t>
      </w:r>
      <w:r w:rsidRPr="00472578">
        <w:rPr>
          <w:rFonts w:cs="National-Book"/>
        </w:rPr>
        <w:t xml:space="preserve">pure) Order 1999. It includes the estuarine and inshore marine waters between Cornish Head and Potato Point. </w:t>
      </w:r>
    </w:p>
    <w:p w14:paraId="0C353B9A" w14:textId="77777777" w:rsidR="009A1120" w:rsidRPr="00472578" w:rsidRDefault="009A1120" w:rsidP="00E92686">
      <w:pPr>
        <w:adjustRightInd w:val="0"/>
        <w:spacing w:line="257" w:lineRule="auto"/>
        <w:jc w:val="both"/>
        <w:rPr>
          <w:rFonts w:cs="National-Book"/>
        </w:rPr>
      </w:pPr>
      <w:r w:rsidRPr="00472578">
        <w:rPr>
          <w:rFonts w:cs="National-Book"/>
        </w:rPr>
        <w:t>There are also four mātaitai in Otago:</w:t>
      </w:r>
    </w:p>
    <w:p w14:paraId="713C472A" w14:textId="77777777" w:rsidR="009A1120" w:rsidRPr="00472578" w:rsidRDefault="009A1120" w:rsidP="00E92686">
      <w:pPr>
        <w:numPr>
          <w:ilvl w:val="0"/>
          <w:numId w:val="31"/>
        </w:numPr>
        <w:adjustRightInd w:val="0"/>
        <w:spacing w:line="257" w:lineRule="auto"/>
        <w:ind w:left="567" w:hanging="567"/>
        <w:contextualSpacing/>
        <w:jc w:val="both"/>
      </w:pPr>
      <w:r w:rsidRPr="00472578">
        <w:t xml:space="preserve">Moeraki Mātaitai Reserve includes areas of </w:t>
      </w:r>
      <w:r w:rsidRPr="00472578">
        <w:rPr>
          <w:i/>
          <w:iCs/>
        </w:rPr>
        <w:t>coastal waters</w:t>
      </w:r>
      <w:r w:rsidRPr="00472578">
        <w:t xml:space="preserve"> at Moeraki and Katiki (</w:t>
      </w:r>
      <w:hyperlink r:id="rId45" w:history="1">
        <w:r w:rsidRPr="00472578">
          <w:rPr>
            <w:color w:val="0000FF"/>
            <w:u w:val="single"/>
          </w:rPr>
          <w:t>https://www.mpi.govt.nz/dmsdocument/15220-Moeraki-North-Otago-Mataitai-Reserve</w:t>
        </w:r>
      </w:hyperlink>
      <w:r w:rsidRPr="00472578">
        <w:t>)</w:t>
      </w:r>
    </w:p>
    <w:p w14:paraId="30831201" w14:textId="77777777" w:rsidR="009A1120" w:rsidRPr="00472578" w:rsidRDefault="009A1120" w:rsidP="00E92686">
      <w:pPr>
        <w:numPr>
          <w:ilvl w:val="0"/>
          <w:numId w:val="31"/>
        </w:numPr>
        <w:adjustRightInd w:val="0"/>
        <w:spacing w:line="257" w:lineRule="auto"/>
        <w:ind w:left="567" w:hanging="567"/>
        <w:contextualSpacing/>
        <w:jc w:val="both"/>
      </w:pPr>
      <w:r w:rsidRPr="00472578">
        <w:rPr>
          <w:strike/>
        </w:rPr>
        <w:t>Waikouaiti</w:t>
      </w:r>
      <w:r w:rsidRPr="00472578">
        <w:t xml:space="preserve"> </w:t>
      </w:r>
      <w:r w:rsidRPr="00472578">
        <w:rPr>
          <w:u w:val="single"/>
        </w:rPr>
        <w:t>Waikōuaiti</w:t>
      </w:r>
      <w:r w:rsidRPr="00472578">
        <w:rPr>
          <w:vertAlign w:val="superscript"/>
        </w:rPr>
        <w:footnoteReference w:id="210"/>
      </w:r>
      <w:r w:rsidRPr="00472578">
        <w:t xml:space="preserve"> Mātaitai Reserve includes </w:t>
      </w:r>
      <w:r w:rsidRPr="00472578">
        <w:rPr>
          <w:i/>
          <w:iCs/>
        </w:rPr>
        <w:t>freshwater</w:t>
      </w:r>
      <w:r w:rsidRPr="00472578">
        <w:t xml:space="preserve"> and estuarine waters of the </w:t>
      </w:r>
      <w:r w:rsidRPr="00472578">
        <w:rPr>
          <w:strike/>
        </w:rPr>
        <w:t>Waikouaiti</w:t>
      </w:r>
      <w:r w:rsidRPr="00472578">
        <w:t xml:space="preserve"> </w:t>
      </w:r>
      <w:r w:rsidRPr="00472578">
        <w:rPr>
          <w:u w:val="single"/>
        </w:rPr>
        <w:t>Waikōuaiti</w:t>
      </w:r>
      <w:r w:rsidRPr="00472578">
        <w:rPr>
          <w:vertAlign w:val="superscript"/>
        </w:rPr>
        <w:footnoteReference w:id="211"/>
      </w:r>
      <w:r w:rsidRPr="00472578">
        <w:t xml:space="preserve"> River (</w:t>
      </w:r>
      <w:hyperlink r:id="rId46" w:history="1">
        <w:r w:rsidRPr="00472578">
          <w:rPr>
            <w:color w:val="0000FF"/>
            <w:u w:val="single"/>
          </w:rPr>
          <w:t>https://www.mpi.govt.nz/dmsdocument/12954-Waikouaiti-South-Canterbury-Mataitai-Reserve-</w:t>
        </w:r>
      </w:hyperlink>
      <w:r w:rsidRPr="00472578">
        <w:t>)</w:t>
      </w:r>
    </w:p>
    <w:p w14:paraId="2F567646" w14:textId="50D43986" w:rsidR="009A1120" w:rsidRPr="00472578" w:rsidRDefault="009A1120" w:rsidP="00E92686">
      <w:pPr>
        <w:numPr>
          <w:ilvl w:val="0"/>
          <w:numId w:val="31"/>
        </w:numPr>
        <w:adjustRightInd w:val="0"/>
        <w:spacing w:line="257" w:lineRule="auto"/>
        <w:ind w:left="567" w:hanging="567"/>
        <w:contextualSpacing/>
        <w:jc w:val="both"/>
      </w:pPr>
      <w:r w:rsidRPr="00472578">
        <w:t xml:space="preserve">Ōtākou Mātaitai Reserve includes most of the Otago </w:t>
      </w:r>
      <w:r w:rsidRPr="00472578">
        <w:rPr>
          <w:strike/>
        </w:rPr>
        <w:t>Harbor</w:t>
      </w:r>
      <w:r w:rsidRPr="00472578">
        <w:t xml:space="preserve"> </w:t>
      </w:r>
      <w:r w:rsidRPr="00472578">
        <w:rPr>
          <w:u w:val="single"/>
        </w:rPr>
        <w:t>Harbour</w:t>
      </w:r>
      <w:r w:rsidRPr="00472578">
        <w:rPr>
          <w:vertAlign w:val="superscript"/>
        </w:rPr>
        <w:footnoteReference w:id="212"/>
      </w:r>
      <w:r w:rsidRPr="00472578">
        <w:t xml:space="preserve"> north of a line from Harwood to Pulling Point </w:t>
      </w:r>
    </w:p>
    <w:p w14:paraId="230420F7" w14:textId="77777777" w:rsidR="009A1120" w:rsidRPr="00472578" w:rsidRDefault="009A1120" w:rsidP="00E92686">
      <w:pPr>
        <w:adjustRightInd w:val="0"/>
        <w:spacing w:line="257" w:lineRule="auto"/>
        <w:ind w:left="567"/>
        <w:contextualSpacing/>
        <w:jc w:val="both"/>
      </w:pPr>
      <w:r w:rsidRPr="00472578">
        <w:t>(</w:t>
      </w:r>
      <w:hyperlink r:id="rId47" w:history="1">
        <w:r w:rsidRPr="00472578">
          <w:rPr>
            <w:color w:val="0000FF"/>
            <w:u w:val="single"/>
          </w:rPr>
          <w:t>https://www.mpi.govt.nz/dmsdocument/14077-Otakou-mataitai-reserve</w:t>
        </w:r>
      </w:hyperlink>
      <w:r w:rsidRPr="00472578">
        <w:t>)</w:t>
      </w:r>
    </w:p>
    <w:p w14:paraId="70716CC8" w14:textId="77777777" w:rsidR="009A1120" w:rsidRPr="00472578" w:rsidRDefault="009A1120" w:rsidP="00E92686">
      <w:pPr>
        <w:numPr>
          <w:ilvl w:val="0"/>
          <w:numId w:val="31"/>
        </w:numPr>
        <w:adjustRightInd w:val="0"/>
        <w:spacing w:line="257" w:lineRule="auto"/>
        <w:ind w:left="567" w:hanging="567"/>
        <w:contextualSpacing/>
        <w:jc w:val="both"/>
      </w:pPr>
      <w:r w:rsidRPr="00472578">
        <w:t>Puna-wai-T</w:t>
      </w:r>
      <w:r w:rsidRPr="00472578">
        <w:rPr>
          <w:rFonts w:cstheme="minorHAnsi"/>
        </w:rPr>
        <w:t>ō</w:t>
      </w:r>
      <w:r w:rsidRPr="00472578">
        <w:t xml:space="preserve">riki (Hays Gap) Mātaitai Reserve includes an area of </w:t>
      </w:r>
      <w:r w:rsidRPr="00472578">
        <w:rPr>
          <w:i/>
          <w:iCs/>
        </w:rPr>
        <w:t>coastal waters</w:t>
      </w:r>
      <w:r w:rsidRPr="00472578">
        <w:t xml:space="preserve"> north of Nugget Point </w:t>
      </w:r>
    </w:p>
    <w:p w14:paraId="4A6738AE" w14:textId="77777777" w:rsidR="009A1120" w:rsidRPr="00472578" w:rsidRDefault="009A1120" w:rsidP="00E92686">
      <w:pPr>
        <w:adjustRightInd w:val="0"/>
        <w:spacing w:line="257" w:lineRule="auto"/>
        <w:ind w:left="567"/>
        <w:contextualSpacing/>
        <w:jc w:val="both"/>
      </w:pPr>
      <w:r w:rsidRPr="00472578">
        <w:t>(</w:t>
      </w:r>
      <w:hyperlink r:id="rId48" w:history="1">
        <w:r w:rsidRPr="00472578">
          <w:rPr>
            <w:color w:val="0000FF"/>
            <w:u w:val="single"/>
          </w:rPr>
          <w:t>https://www.mpi.govt.nz/dmsdocument/15223-Puna-wai-Toriki-Hays-Gap-South-Otago-Mataitai-Reserve</w:t>
        </w:r>
      </w:hyperlink>
      <w:r w:rsidRPr="00472578">
        <w:t>)</w:t>
      </w:r>
    </w:p>
    <w:p w14:paraId="74F64725" w14:textId="77777777" w:rsidR="009A1120" w:rsidRPr="00472578" w:rsidRDefault="009A1120" w:rsidP="00E92686">
      <w:pPr>
        <w:pStyle w:val="Heading3"/>
        <w:jc w:val="both"/>
        <w:rPr>
          <w:u w:val="single"/>
        </w:rPr>
      </w:pPr>
      <w:r w:rsidRPr="00472578">
        <w:rPr>
          <w:u w:val="single"/>
        </w:rPr>
        <w:t xml:space="preserve">Māori Commercial Aquaculture Claims Settlement Act 2004 </w:t>
      </w:r>
    </w:p>
    <w:p w14:paraId="271451C6" w14:textId="78AF9C3F" w:rsidR="009A1120" w:rsidRPr="00472578" w:rsidRDefault="009A1120" w:rsidP="00E92686">
      <w:pPr>
        <w:adjustRightInd w:val="0"/>
        <w:ind w:right="142"/>
        <w:jc w:val="both"/>
        <w:rPr>
          <w:rFonts w:cstheme="minorHAnsi"/>
          <w:lang w:val="en-US"/>
        </w:rPr>
      </w:pPr>
      <w:r w:rsidRPr="639E38F9">
        <w:rPr>
          <w:u w:val="single"/>
          <w:lang w:val="en-US"/>
        </w:rPr>
        <w:t xml:space="preserve">The Māori Commercial Aquaculture Claims Settlement Act 2004 provides full and final settlement of Māori commercial aquaculture claims since 21 September 1992. Settlement is delivered via Regional Aquaculture Agreements which may describe areas to be provided to iwi for the purposes of commercial aquaculture. Any future settlement outcomes will need to be provided for in </w:t>
      </w:r>
      <w:r w:rsidR="003E60EC" w:rsidRPr="639E38F9">
        <w:rPr>
          <w:i/>
          <w:u w:val="single"/>
          <w:lang w:val="en-US"/>
        </w:rPr>
        <w:t>r</w:t>
      </w:r>
      <w:r w:rsidRPr="639E38F9">
        <w:rPr>
          <w:i/>
          <w:u w:val="single"/>
          <w:lang w:val="en-US"/>
        </w:rPr>
        <w:t>egional</w:t>
      </w:r>
      <w:r w:rsidRPr="639E38F9">
        <w:rPr>
          <w:u w:val="single"/>
          <w:lang w:val="en-US"/>
        </w:rPr>
        <w:t xml:space="preserve"> </w:t>
      </w:r>
      <w:r w:rsidR="00C546CC" w:rsidRPr="639E38F9">
        <w:rPr>
          <w:i/>
          <w:u w:val="single"/>
          <w:lang w:val="en-US"/>
        </w:rPr>
        <w:t>plans</w:t>
      </w:r>
      <w:r w:rsidR="0064498A" w:rsidRPr="639E38F9">
        <w:rPr>
          <w:u w:val="single"/>
          <w:lang w:val="en-US"/>
        </w:rPr>
        <w:t xml:space="preserve"> </w:t>
      </w:r>
      <w:r w:rsidRPr="639E38F9">
        <w:rPr>
          <w:u w:val="single"/>
          <w:lang w:val="en-US"/>
        </w:rPr>
        <w:t xml:space="preserve">and </w:t>
      </w:r>
      <w:r w:rsidR="003E60EC" w:rsidRPr="639E38F9">
        <w:rPr>
          <w:i/>
          <w:u w:val="single"/>
          <w:lang w:val="en-US"/>
        </w:rPr>
        <w:t>d</w:t>
      </w:r>
      <w:r w:rsidRPr="639E38F9">
        <w:rPr>
          <w:i/>
          <w:u w:val="single"/>
          <w:lang w:val="en-US"/>
        </w:rPr>
        <w:t>istrict plans</w:t>
      </w:r>
      <w:r w:rsidRPr="639E38F9">
        <w:rPr>
          <w:u w:val="single"/>
          <w:lang w:val="en-US"/>
        </w:rPr>
        <w:t>.</w:t>
      </w:r>
      <w:r w:rsidRPr="639E38F9">
        <w:rPr>
          <w:vertAlign w:val="superscript"/>
          <w:lang w:val="en-US"/>
        </w:rPr>
        <w:footnoteReference w:id="213"/>
      </w:r>
    </w:p>
    <w:p w14:paraId="5191F22B" w14:textId="77777777" w:rsidR="009A1120" w:rsidRPr="00472578" w:rsidRDefault="009A1120" w:rsidP="00E92686">
      <w:pPr>
        <w:pStyle w:val="Heading3"/>
        <w:jc w:val="both"/>
        <w:rPr>
          <w:rFonts w:eastAsiaTheme="minorHAnsi"/>
        </w:rPr>
      </w:pPr>
      <w:r w:rsidRPr="00472578">
        <w:t>Māori land reserves</w:t>
      </w:r>
    </w:p>
    <w:p w14:paraId="67044245" w14:textId="77777777" w:rsidR="009A1120" w:rsidRPr="00472578" w:rsidRDefault="009A1120" w:rsidP="00E92686">
      <w:pPr>
        <w:jc w:val="both"/>
      </w:pPr>
      <w:r w:rsidRPr="00472578">
        <w:t>A Native Reserve is any property or site that is a:</w:t>
      </w:r>
    </w:p>
    <w:p w14:paraId="296F4B6D" w14:textId="77777777" w:rsidR="009A1120" w:rsidRPr="00472578" w:rsidRDefault="009A1120" w:rsidP="00E92686">
      <w:pPr>
        <w:numPr>
          <w:ilvl w:val="0"/>
          <w:numId w:val="30"/>
        </w:numPr>
        <w:adjustRightInd w:val="0"/>
        <w:spacing w:line="257" w:lineRule="auto"/>
        <w:ind w:left="567" w:hanging="567"/>
        <w:contextualSpacing/>
        <w:jc w:val="both"/>
      </w:pPr>
      <w:r w:rsidRPr="00472578">
        <w:t>Native Reserve excluded from the Ōtākou Land Purchases (1844)</w:t>
      </w:r>
    </w:p>
    <w:p w14:paraId="2DAD5FD4" w14:textId="77777777" w:rsidR="009A1120" w:rsidRPr="00472578" w:rsidRDefault="009A1120" w:rsidP="00E92686">
      <w:pPr>
        <w:numPr>
          <w:ilvl w:val="0"/>
          <w:numId w:val="30"/>
        </w:numPr>
        <w:adjustRightInd w:val="0"/>
        <w:spacing w:line="257" w:lineRule="auto"/>
        <w:ind w:left="567" w:hanging="567"/>
        <w:contextualSpacing/>
        <w:jc w:val="both"/>
      </w:pPr>
      <w:r w:rsidRPr="00472578">
        <w:t>Native Reserve excluded from the Kemps Land Purchases (1848)</w:t>
      </w:r>
    </w:p>
    <w:p w14:paraId="6F420993" w14:textId="77777777" w:rsidR="009A1120" w:rsidRPr="00472578" w:rsidRDefault="009A1120" w:rsidP="00E92686">
      <w:pPr>
        <w:numPr>
          <w:ilvl w:val="0"/>
          <w:numId w:val="30"/>
        </w:numPr>
        <w:adjustRightInd w:val="0"/>
        <w:spacing w:line="257" w:lineRule="auto"/>
        <w:ind w:left="567" w:hanging="567"/>
        <w:contextualSpacing/>
        <w:jc w:val="both"/>
      </w:pPr>
      <w:r w:rsidRPr="00472578">
        <w:t>Reserve granted by the Native Land Court (1868)</w:t>
      </w:r>
    </w:p>
    <w:p w14:paraId="53764A22" w14:textId="77777777" w:rsidR="009A1120" w:rsidRPr="00472578" w:rsidRDefault="009A1120" w:rsidP="00E92686">
      <w:pPr>
        <w:numPr>
          <w:ilvl w:val="0"/>
          <w:numId w:val="30"/>
        </w:numPr>
        <w:adjustRightInd w:val="0"/>
        <w:spacing w:line="257" w:lineRule="auto"/>
        <w:ind w:left="567" w:hanging="567"/>
        <w:contextualSpacing/>
        <w:jc w:val="both"/>
      </w:pPr>
      <w:r w:rsidRPr="00472578">
        <w:t>Half Caste Reserve (1881)</w:t>
      </w:r>
    </w:p>
    <w:p w14:paraId="7C06CC65" w14:textId="77777777" w:rsidR="009A1120" w:rsidRPr="00472578" w:rsidRDefault="009A1120" w:rsidP="00E92686">
      <w:pPr>
        <w:numPr>
          <w:ilvl w:val="0"/>
          <w:numId w:val="30"/>
        </w:numPr>
        <w:adjustRightInd w:val="0"/>
        <w:spacing w:line="257" w:lineRule="auto"/>
        <w:ind w:left="567" w:hanging="567"/>
        <w:contextualSpacing/>
        <w:jc w:val="both"/>
      </w:pPr>
      <w:r w:rsidRPr="00472578">
        <w:t>Landless Native Reserve (1896)</w:t>
      </w:r>
    </w:p>
    <w:p w14:paraId="2BDC3AED" w14:textId="77777777" w:rsidR="009A1120" w:rsidRPr="00472578" w:rsidRDefault="009A1120" w:rsidP="00E92686">
      <w:pPr>
        <w:numPr>
          <w:ilvl w:val="0"/>
          <w:numId w:val="30"/>
        </w:numPr>
        <w:adjustRightInd w:val="0"/>
        <w:spacing w:line="257" w:lineRule="auto"/>
        <w:ind w:left="567" w:hanging="567"/>
        <w:contextualSpacing/>
        <w:jc w:val="both"/>
      </w:pPr>
      <w:r w:rsidRPr="00472578">
        <w:t>Other reserve (1890 and 1900)</w:t>
      </w:r>
    </w:p>
    <w:p w14:paraId="3ACD4FDE" w14:textId="77777777" w:rsidR="009A1120" w:rsidRPr="00472578" w:rsidRDefault="009A1120" w:rsidP="00E92686">
      <w:pPr>
        <w:adjustRightInd w:val="0"/>
        <w:spacing w:line="257" w:lineRule="auto"/>
        <w:ind w:left="567"/>
        <w:contextualSpacing/>
        <w:jc w:val="both"/>
      </w:pPr>
    </w:p>
    <w:p w14:paraId="717DD335" w14:textId="11FEF96A" w:rsidR="009A1120" w:rsidRPr="00472578" w:rsidRDefault="009A1120" w:rsidP="00E92686">
      <w:pPr>
        <w:jc w:val="both"/>
      </w:pPr>
      <w:bookmarkStart w:id="48" w:name="_Hlk72398802"/>
      <w:proofErr w:type="gramStart"/>
      <w:r w:rsidRPr="00472578">
        <w:t>A number of</w:t>
      </w:r>
      <w:proofErr w:type="gramEnd"/>
      <w:r w:rsidRPr="00472578">
        <w:t xml:space="preserve"> Māori reserves exist that were excluded from the land sales of the 1840s. These reserves are steeped in history and association and are places of belonging. Remaining reserves </w:t>
      </w:r>
      <w:r w:rsidR="00924CCF" w:rsidRPr="00472578">
        <w:t>are located</w:t>
      </w:r>
      <w:r w:rsidRPr="00472578">
        <w:t xml:space="preserve"> at Moeraki, </w:t>
      </w:r>
      <w:r w:rsidRPr="00472578">
        <w:rPr>
          <w:strike/>
        </w:rPr>
        <w:t>Waikouaiti</w:t>
      </w:r>
      <w:r w:rsidRPr="00472578">
        <w:t xml:space="preserve"> </w:t>
      </w:r>
      <w:r w:rsidRPr="00472578">
        <w:rPr>
          <w:u w:val="single"/>
        </w:rPr>
        <w:t>Waikōuaiti</w:t>
      </w:r>
      <w:r w:rsidRPr="00472578">
        <w:t>,</w:t>
      </w:r>
      <w:r w:rsidRPr="00472578">
        <w:rPr>
          <w:rStyle w:val="FootnoteReference"/>
        </w:rPr>
        <w:footnoteReference w:id="214"/>
      </w:r>
      <w:r w:rsidRPr="00472578">
        <w:t xml:space="preserve"> Ōtākou, Onumia, Taieri Mouth, and Te Karoro, Kaka Point. Other categories of Māori land exist at </w:t>
      </w:r>
      <w:r w:rsidRPr="00472578">
        <w:rPr>
          <w:strike/>
        </w:rPr>
        <w:t>Koputai</w:t>
      </w:r>
      <w:r w:rsidRPr="00472578">
        <w:t xml:space="preserve"> </w:t>
      </w:r>
      <w:r w:rsidRPr="00472578">
        <w:rPr>
          <w:u w:val="single"/>
        </w:rPr>
        <w:t>Kōpūtai</w:t>
      </w:r>
      <w:r w:rsidRPr="00472578">
        <w:t>,</w:t>
      </w:r>
      <w:r w:rsidRPr="00472578">
        <w:rPr>
          <w:rStyle w:val="FootnoteReference"/>
          <w:sz w:val="20"/>
          <w:szCs w:val="20"/>
        </w:rPr>
        <w:footnoteReference w:id="215"/>
      </w:r>
      <w:r w:rsidRPr="00472578">
        <w:t xml:space="preserve"> Port Chalmers, and Ōtepoti, Dunedin, where tauraka waka, landing sites, were recognised. In addition, land was held at Manuhaea, Lake Hāwea, Aramoana, </w:t>
      </w:r>
      <w:r w:rsidRPr="00472578">
        <w:lastRenderedPageBreak/>
        <w:t xml:space="preserve">Clarendon, Taieri Mouth, Tautuku-Waikawa and Glenomaru amongst others. Landing reserves were allocated at Matainaka, </w:t>
      </w:r>
      <w:r w:rsidRPr="00472578">
        <w:rPr>
          <w:strike/>
        </w:rPr>
        <w:t>Waikouaiti</w:t>
      </w:r>
      <w:r w:rsidRPr="00472578">
        <w:t xml:space="preserve"> </w:t>
      </w:r>
      <w:r w:rsidRPr="00472578">
        <w:rPr>
          <w:u w:val="single"/>
        </w:rPr>
        <w:t>Waikōuaiti</w:t>
      </w:r>
      <w:r w:rsidRPr="00472578">
        <w:t>,</w:t>
      </w:r>
      <w:r w:rsidRPr="00472578">
        <w:rPr>
          <w:rStyle w:val="FootnoteReference"/>
        </w:rPr>
        <w:footnoteReference w:id="216"/>
      </w:r>
      <w:r w:rsidRPr="00472578">
        <w:t xml:space="preserve"> and the former Lake Tatawai on the Taieri Plains.</w:t>
      </w:r>
    </w:p>
    <w:p w14:paraId="7ADDD493" w14:textId="6324F449" w:rsidR="009A1120" w:rsidRPr="000C1E9D" w:rsidRDefault="009A1120" w:rsidP="000C1E9D">
      <w:pPr>
        <w:jc w:val="both"/>
      </w:pPr>
      <w:r w:rsidRPr="00472578">
        <w:t>The following table lists the reserves in Otago. Many of the sections within these Native Reserves now have the status of general land. While some of this general land is still in Māori ownership, many of the general titled sections have been sold to non-Māori or taken under various pieces of legislation such as the Public Works Act 1981. Although these sections are no longer in whānau ownership, descendants of the original owners retain an ancestral relationship with these lands.</w:t>
      </w:r>
      <w:bookmarkEnd w:id="48"/>
    </w:p>
    <w:p w14:paraId="2B310F94" w14:textId="02BE4EFC" w:rsidR="009A1120" w:rsidRPr="00472578" w:rsidRDefault="009A1120" w:rsidP="00E92686">
      <w:pPr>
        <w:spacing w:after="200"/>
        <w:jc w:val="both"/>
        <w:rPr>
          <w:i/>
          <w:iCs/>
          <w:color w:val="44546A" w:themeColor="text2"/>
          <w:sz w:val="18"/>
          <w:szCs w:val="18"/>
        </w:rPr>
      </w:pPr>
      <w:r w:rsidRPr="00472578">
        <w:rPr>
          <w:i/>
          <w:iCs/>
          <w:color w:val="44546A" w:themeColor="text2"/>
          <w:sz w:val="18"/>
          <w:szCs w:val="18"/>
        </w:rPr>
        <w:t xml:space="preserve">Table </w:t>
      </w:r>
      <w:r w:rsidRPr="00472578">
        <w:rPr>
          <w:i/>
          <w:iCs/>
          <w:color w:val="44546A" w:themeColor="text2"/>
          <w:sz w:val="18"/>
          <w:szCs w:val="18"/>
        </w:rPr>
        <w:fldChar w:fldCharType="begin"/>
      </w:r>
      <w:r w:rsidRPr="00472578">
        <w:rPr>
          <w:i/>
          <w:iCs/>
          <w:color w:val="44546A" w:themeColor="text2"/>
          <w:sz w:val="18"/>
          <w:szCs w:val="18"/>
        </w:rPr>
        <w:instrText>SEQ Table \* ARABIC</w:instrText>
      </w:r>
      <w:r w:rsidRPr="00472578">
        <w:rPr>
          <w:i/>
          <w:iCs/>
          <w:color w:val="44546A" w:themeColor="text2"/>
          <w:sz w:val="18"/>
          <w:szCs w:val="18"/>
        </w:rPr>
        <w:fldChar w:fldCharType="separate"/>
      </w:r>
      <w:r w:rsidR="004557BC">
        <w:rPr>
          <w:i/>
          <w:iCs/>
          <w:noProof/>
          <w:color w:val="44546A" w:themeColor="text2"/>
          <w:sz w:val="18"/>
          <w:szCs w:val="18"/>
        </w:rPr>
        <w:t>1</w:t>
      </w:r>
      <w:r w:rsidRPr="00472578">
        <w:rPr>
          <w:i/>
          <w:iCs/>
          <w:color w:val="44546A" w:themeColor="text2"/>
          <w:sz w:val="18"/>
          <w:szCs w:val="18"/>
        </w:rPr>
        <w:fldChar w:fldCharType="end"/>
      </w:r>
      <w:r w:rsidR="004557BC">
        <w:rPr>
          <w:i/>
          <w:iCs/>
          <w:color w:val="44546A" w:themeColor="text2"/>
          <w:sz w:val="18"/>
          <w:szCs w:val="18"/>
        </w:rPr>
        <w:t xml:space="preserve"> – </w:t>
      </w:r>
      <w:r w:rsidRPr="00472578">
        <w:rPr>
          <w:i/>
          <w:iCs/>
          <w:color w:val="44546A" w:themeColor="text2"/>
          <w:sz w:val="18"/>
          <w:szCs w:val="18"/>
        </w:rPr>
        <w:t>Native reserves located within the Otago region</w:t>
      </w:r>
    </w:p>
    <w:tbl>
      <w:tblPr>
        <w:tblStyle w:val="TableGrid9"/>
        <w:tblW w:w="0" w:type="auto"/>
        <w:tblLook w:val="04A0" w:firstRow="1" w:lastRow="0" w:firstColumn="1" w:lastColumn="0" w:noHBand="0" w:noVBand="1"/>
      </w:tblPr>
      <w:tblGrid>
        <w:gridCol w:w="2122"/>
        <w:gridCol w:w="4394"/>
        <w:gridCol w:w="2500"/>
      </w:tblGrid>
      <w:tr w:rsidR="009A1120" w:rsidRPr="00472578" w14:paraId="3F073A53" w14:textId="77777777" w:rsidTr="00E722D4">
        <w:tc>
          <w:tcPr>
            <w:tcW w:w="2122" w:type="dxa"/>
          </w:tcPr>
          <w:p w14:paraId="142F7B35" w14:textId="77777777" w:rsidR="009A1120" w:rsidRPr="00472578" w:rsidRDefault="009A1120" w:rsidP="00E92686">
            <w:pPr>
              <w:spacing w:before="60" w:after="60"/>
              <w:jc w:val="both"/>
              <w:rPr>
                <w:rFonts w:cstheme="minorHAnsi"/>
                <w:b/>
                <w:bCs/>
                <w:sz w:val="20"/>
                <w:szCs w:val="20"/>
              </w:rPr>
            </w:pPr>
            <w:r w:rsidRPr="00472578">
              <w:rPr>
                <w:rFonts w:cstheme="minorHAnsi"/>
                <w:b/>
                <w:bCs/>
                <w:sz w:val="20"/>
                <w:szCs w:val="20"/>
              </w:rPr>
              <w:t>Location</w:t>
            </w:r>
          </w:p>
        </w:tc>
        <w:tc>
          <w:tcPr>
            <w:tcW w:w="4394" w:type="dxa"/>
          </w:tcPr>
          <w:p w14:paraId="7C965CF1" w14:textId="77777777" w:rsidR="009A1120" w:rsidRPr="00472578" w:rsidRDefault="009A1120" w:rsidP="00E92686">
            <w:pPr>
              <w:spacing w:before="60" w:after="60"/>
              <w:jc w:val="both"/>
              <w:rPr>
                <w:rFonts w:cstheme="minorHAnsi"/>
                <w:b/>
                <w:bCs/>
                <w:sz w:val="20"/>
                <w:szCs w:val="20"/>
              </w:rPr>
            </w:pPr>
            <w:r w:rsidRPr="00472578">
              <w:rPr>
                <w:rFonts w:cstheme="minorHAnsi"/>
                <w:b/>
                <w:bCs/>
                <w:sz w:val="20"/>
                <w:szCs w:val="20"/>
              </w:rPr>
              <w:t>Comments</w:t>
            </w:r>
          </w:p>
        </w:tc>
        <w:tc>
          <w:tcPr>
            <w:tcW w:w="2500" w:type="dxa"/>
          </w:tcPr>
          <w:p w14:paraId="2F788EB3" w14:textId="77777777" w:rsidR="009A1120" w:rsidRPr="00472578" w:rsidRDefault="009A1120" w:rsidP="00E92686">
            <w:pPr>
              <w:spacing w:before="60" w:after="60"/>
              <w:jc w:val="both"/>
              <w:rPr>
                <w:rFonts w:cstheme="minorHAnsi"/>
                <w:b/>
                <w:bCs/>
                <w:sz w:val="20"/>
                <w:szCs w:val="20"/>
              </w:rPr>
            </w:pPr>
            <w:r w:rsidRPr="00472578">
              <w:rPr>
                <w:rFonts w:cstheme="minorHAnsi"/>
                <w:b/>
                <w:bCs/>
                <w:sz w:val="20"/>
                <w:szCs w:val="20"/>
              </w:rPr>
              <w:t>Reserve Type</w:t>
            </w:r>
          </w:p>
        </w:tc>
      </w:tr>
      <w:tr w:rsidR="009A1120" w:rsidRPr="00472578" w14:paraId="28494FE0" w14:textId="77777777" w:rsidTr="00E722D4">
        <w:tc>
          <w:tcPr>
            <w:tcW w:w="2122" w:type="dxa"/>
            <w:vMerge w:val="restart"/>
          </w:tcPr>
          <w:p w14:paraId="13555F11"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Tautuku</w:t>
            </w:r>
          </w:p>
        </w:tc>
        <w:tc>
          <w:tcPr>
            <w:tcW w:w="4394" w:type="dxa"/>
          </w:tcPr>
          <w:p w14:paraId="4D2CCBA4"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Southern block of Tautuku sections</w:t>
            </w:r>
          </w:p>
        </w:tc>
        <w:tc>
          <w:tcPr>
            <w:tcW w:w="2500" w:type="dxa"/>
          </w:tcPr>
          <w:p w14:paraId="4A8D42D2"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South Island Landless Natives Act</w:t>
            </w:r>
          </w:p>
        </w:tc>
      </w:tr>
      <w:tr w:rsidR="009A1120" w:rsidRPr="00472578" w14:paraId="79D6CD16" w14:textId="77777777" w:rsidTr="00E722D4">
        <w:tc>
          <w:tcPr>
            <w:tcW w:w="2122" w:type="dxa"/>
            <w:vMerge/>
          </w:tcPr>
          <w:p w14:paraId="1F8A1932" w14:textId="77777777" w:rsidR="009A1120" w:rsidRPr="00472578" w:rsidRDefault="009A1120" w:rsidP="00E92686">
            <w:pPr>
              <w:spacing w:before="60" w:after="60"/>
              <w:jc w:val="both"/>
              <w:rPr>
                <w:rFonts w:cstheme="minorHAnsi"/>
                <w:sz w:val="20"/>
                <w:szCs w:val="20"/>
              </w:rPr>
            </w:pPr>
          </w:p>
        </w:tc>
        <w:tc>
          <w:tcPr>
            <w:tcW w:w="4394" w:type="dxa"/>
          </w:tcPr>
          <w:p w14:paraId="0FF55E52"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Northern sections are Reserved lands</w:t>
            </w:r>
          </w:p>
        </w:tc>
        <w:tc>
          <w:tcPr>
            <w:tcW w:w="2500" w:type="dxa"/>
          </w:tcPr>
          <w:p w14:paraId="53302A62"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54FD5F12" w14:textId="77777777" w:rsidTr="00E722D4">
        <w:tc>
          <w:tcPr>
            <w:tcW w:w="2122" w:type="dxa"/>
          </w:tcPr>
          <w:p w14:paraId="4086BCE1"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Glenomaru</w:t>
            </w:r>
          </w:p>
        </w:tc>
        <w:tc>
          <w:tcPr>
            <w:tcW w:w="4394" w:type="dxa"/>
          </w:tcPr>
          <w:p w14:paraId="0C08CF32"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Located south of Kaka Point</w:t>
            </w:r>
          </w:p>
        </w:tc>
        <w:tc>
          <w:tcPr>
            <w:tcW w:w="2500" w:type="dxa"/>
          </w:tcPr>
          <w:p w14:paraId="49016145"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South Island Landless Natives Act</w:t>
            </w:r>
          </w:p>
        </w:tc>
      </w:tr>
      <w:tr w:rsidR="009A1120" w:rsidRPr="00472578" w14:paraId="4B0CCE0B" w14:textId="77777777" w:rsidTr="00E722D4">
        <w:tc>
          <w:tcPr>
            <w:tcW w:w="2122" w:type="dxa"/>
          </w:tcPr>
          <w:p w14:paraId="1735089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Maranuku</w:t>
            </w:r>
          </w:p>
        </w:tc>
        <w:tc>
          <w:tcPr>
            <w:tcW w:w="4394" w:type="dxa"/>
          </w:tcPr>
          <w:p w14:paraId="689639AD" w14:textId="3A9780D6" w:rsidR="009A1120" w:rsidRPr="00472578" w:rsidRDefault="009A1120" w:rsidP="00E92686">
            <w:pPr>
              <w:spacing w:before="60" w:after="60"/>
              <w:jc w:val="both"/>
              <w:rPr>
                <w:rFonts w:cstheme="minorHAnsi"/>
                <w:sz w:val="20"/>
                <w:szCs w:val="20"/>
              </w:rPr>
            </w:pPr>
            <w:r w:rsidRPr="639E38F9">
              <w:rPr>
                <w:sz w:val="20"/>
                <w:szCs w:val="20"/>
              </w:rPr>
              <w:t xml:space="preserve">Granted in 1844 as part of the </w:t>
            </w:r>
            <w:r w:rsidRPr="00472578">
              <w:rPr>
                <w:strike/>
                <w:sz w:val="20"/>
                <w:szCs w:val="20"/>
              </w:rPr>
              <w:t>Otakou</w:t>
            </w:r>
            <w:r w:rsidRPr="00472578">
              <w:rPr>
                <w:sz w:val="20"/>
                <w:szCs w:val="20"/>
              </w:rPr>
              <w:t xml:space="preserve"> </w:t>
            </w:r>
            <w:r w:rsidRPr="00472578">
              <w:rPr>
                <w:sz w:val="20"/>
                <w:szCs w:val="20"/>
                <w:u w:val="single"/>
              </w:rPr>
              <w:t>Ōtākou</w:t>
            </w:r>
            <w:r w:rsidRPr="639E38F9">
              <w:rPr>
                <w:sz w:val="20"/>
                <w:szCs w:val="20"/>
                <w:vertAlign w:val="superscript"/>
              </w:rPr>
              <w:footnoteReference w:id="217"/>
            </w:r>
            <w:r w:rsidRPr="639E38F9">
              <w:rPr>
                <w:sz w:val="20"/>
                <w:szCs w:val="20"/>
              </w:rPr>
              <w:t xml:space="preserve"> Purchase.</w:t>
            </w:r>
            <w:r w:rsidR="00924CCF" w:rsidRPr="639E38F9">
              <w:rPr>
                <w:sz w:val="20"/>
                <w:szCs w:val="20"/>
              </w:rPr>
              <w:t xml:space="preserve"> </w:t>
            </w:r>
            <w:r w:rsidRPr="639E38F9">
              <w:rPr>
                <w:sz w:val="20"/>
                <w:szCs w:val="20"/>
              </w:rPr>
              <w:t>Originally called Te Karoro, split into two reserves</w:t>
            </w:r>
          </w:p>
        </w:tc>
        <w:tc>
          <w:tcPr>
            <w:tcW w:w="2500" w:type="dxa"/>
          </w:tcPr>
          <w:p w14:paraId="662F98FB"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2BF6E75D" w14:textId="77777777" w:rsidTr="00E722D4">
        <w:tc>
          <w:tcPr>
            <w:tcW w:w="2122" w:type="dxa"/>
          </w:tcPr>
          <w:p w14:paraId="4549555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Clarendon</w:t>
            </w:r>
          </w:p>
        </w:tc>
        <w:tc>
          <w:tcPr>
            <w:tcW w:w="4394" w:type="dxa"/>
          </w:tcPr>
          <w:p w14:paraId="295AA552"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Located inland from Taieri Mouth</w:t>
            </w:r>
          </w:p>
        </w:tc>
        <w:tc>
          <w:tcPr>
            <w:tcW w:w="2500" w:type="dxa"/>
          </w:tcPr>
          <w:p w14:paraId="15850AAA"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Clarendon Half Caste Reserve</w:t>
            </w:r>
          </w:p>
        </w:tc>
      </w:tr>
      <w:tr w:rsidR="009A1120" w:rsidRPr="00472578" w14:paraId="4E038780" w14:textId="77777777" w:rsidTr="00E722D4">
        <w:tc>
          <w:tcPr>
            <w:tcW w:w="2122" w:type="dxa"/>
          </w:tcPr>
          <w:p w14:paraId="3A1698D4" w14:textId="77777777" w:rsidR="009A1120" w:rsidRPr="00472578" w:rsidRDefault="009A1120" w:rsidP="00E92686">
            <w:pPr>
              <w:spacing w:before="60" w:after="60"/>
              <w:jc w:val="both"/>
              <w:rPr>
                <w:rFonts w:cstheme="minorHAnsi"/>
                <w:sz w:val="20"/>
                <w:szCs w:val="20"/>
              </w:rPr>
            </w:pPr>
            <w:r w:rsidRPr="639E38F9">
              <w:rPr>
                <w:strike/>
                <w:sz w:val="20"/>
                <w:szCs w:val="20"/>
              </w:rPr>
              <w:t>Taieri</w:t>
            </w:r>
            <w:r w:rsidRPr="639E38F9">
              <w:rPr>
                <w:sz w:val="20"/>
                <w:szCs w:val="20"/>
              </w:rPr>
              <w:t xml:space="preserve"> </w:t>
            </w:r>
            <w:r w:rsidRPr="639E38F9">
              <w:rPr>
                <w:sz w:val="20"/>
                <w:szCs w:val="20"/>
                <w:u w:val="single"/>
              </w:rPr>
              <w:t>Taiari</w:t>
            </w:r>
            <w:r w:rsidRPr="00472578">
              <w:rPr>
                <w:vertAlign w:val="superscript"/>
              </w:rPr>
              <w:footnoteReference w:id="218"/>
            </w:r>
          </w:p>
        </w:tc>
        <w:tc>
          <w:tcPr>
            <w:tcW w:w="4394" w:type="dxa"/>
          </w:tcPr>
          <w:p w14:paraId="0FF1BFC8" w14:textId="77777777" w:rsidR="009A1120" w:rsidRPr="00472578" w:rsidRDefault="009A1120" w:rsidP="00E92686">
            <w:pPr>
              <w:spacing w:before="60" w:after="60"/>
              <w:jc w:val="both"/>
              <w:rPr>
                <w:rFonts w:cstheme="minorHAnsi"/>
                <w:sz w:val="20"/>
                <w:szCs w:val="20"/>
              </w:rPr>
            </w:pPr>
            <w:r w:rsidRPr="639E38F9">
              <w:rPr>
                <w:sz w:val="20"/>
                <w:szCs w:val="20"/>
              </w:rPr>
              <w:t xml:space="preserve">Granted in 1844 as part of the </w:t>
            </w:r>
            <w:r w:rsidRPr="00472578">
              <w:rPr>
                <w:strike/>
                <w:sz w:val="20"/>
                <w:szCs w:val="20"/>
              </w:rPr>
              <w:t>Otakou</w:t>
            </w:r>
            <w:r w:rsidRPr="00472578">
              <w:rPr>
                <w:sz w:val="20"/>
                <w:szCs w:val="20"/>
              </w:rPr>
              <w:t xml:space="preserve"> </w:t>
            </w:r>
            <w:r w:rsidRPr="00472578">
              <w:rPr>
                <w:sz w:val="20"/>
                <w:szCs w:val="20"/>
                <w:u w:val="single"/>
              </w:rPr>
              <w:t>Ōtākou</w:t>
            </w:r>
            <w:r w:rsidRPr="00472578">
              <w:rPr>
                <w:sz w:val="20"/>
                <w:szCs w:val="20"/>
                <w:vertAlign w:val="superscript"/>
              </w:rPr>
              <w:footnoteReference w:id="219"/>
            </w:r>
            <w:r w:rsidRPr="639E38F9">
              <w:rPr>
                <w:sz w:val="20"/>
                <w:szCs w:val="20"/>
              </w:rPr>
              <w:t xml:space="preserve"> Purchase Deed. Split into three </w:t>
            </w:r>
            <w:proofErr w:type="gramStart"/>
            <w:r w:rsidRPr="639E38F9">
              <w:rPr>
                <w:sz w:val="20"/>
                <w:szCs w:val="20"/>
              </w:rPr>
              <w:t>reserves;</w:t>
            </w:r>
            <w:proofErr w:type="gramEnd"/>
            <w:r w:rsidRPr="639E38F9">
              <w:rPr>
                <w:sz w:val="20"/>
                <w:szCs w:val="20"/>
              </w:rPr>
              <w:t xml:space="preserve"> A, B and C</w:t>
            </w:r>
          </w:p>
        </w:tc>
        <w:tc>
          <w:tcPr>
            <w:tcW w:w="2500" w:type="dxa"/>
          </w:tcPr>
          <w:p w14:paraId="4857091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47D5A3EE" w14:textId="77777777" w:rsidTr="00E722D4">
        <w:tc>
          <w:tcPr>
            <w:tcW w:w="2122" w:type="dxa"/>
          </w:tcPr>
          <w:p w14:paraId="7872076C"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Lake Tatawai</w:t>
            </w:r>
          </w:p>
        </w:tc>
        <w:tc>
          <w:tcPr>
            <w:tcW w:w="4394" w:type="dxa"/>
          </w:tcPr>
          <w:p w14:paraId="4993B6D7" w14:textId="77777777" w:rsidR="009A1120" w:rsidRPr="00472578" w:rsidRDefault="009A1120" w:rsidP="00E92686">
            <w:pPr>
              <w:spacing w:before="60" w:after="60"/>
              <w:jc w:val="both"/>
              <w:rPr>
                <w:rFonts w:cstheme="minorHAnsi"/>
                <w:sz w:val="20"/>
                <w:szCs w:val="20"/>
              </w:rPr>
            </w:pPr>
            <w:r w:rsidRPr="639E38F9">
              <w:rPr>
                <w:sz w:val="20"/>
                <w:szCs w:val="20"/>
              </w:rPr>
              <w:t xml:space="preserve">Located on the </w:t>
            </w:r>
            <w:r w:rsidRPr="639E38F9">
              <w:rPr>
                <w:strike/>
                <w:sz w:val="20"/>
                <w:szCs w:val="20"/>
              </w:rPr>
              <w:t>Taieri</w:t>
            </w:r>
            <w:r w:rsidRPr="639E38F9">
              <w:rPr>
                <w:sz w:val="20"/>
                <w:szCs w:val="20"/>
              </w:rPr>
              <w:t xml:space="preserve"> </w:t>
            </w:r>
            <w:r w:rsidRPr="639E38F9">
              <w:rPr>
                <w:sz w:val="20"/>
                <w:szCs w:val="20"/>
                <w:u w:val="single"/>
              </w:rPr>
              <w:t>Taiari</w:t>
            </w:r>
            <w:r w:rsidRPr="00472578">
              <w:rPr>
                <w:vertAlign w:val="superscript"/>
              </w:rPr>
              <w:footnoteReference w:id="220"/>
            </w:r>
            <w:r w:rsidRPr="639E38F9">
              <w:rPr>
                <w:sz w:val="20"/>
                <w:szCs w:val="20"/>
              </w:rPr>
              <w:t xml:space="preserve"> Plain, south of </w:t>
            </w:r>
            <w:r w:rsidRPr="639E38F9">
              <w:rPr>
                <w:strike/>
                <w:sz w:val="20"/>
                <w:szCs w:val="20"/>
              </w:rPr>
              <w:t>the</w:t>
            </w:r>
            <w:r w:rsidRPr="639E38F9">
              <w:rPr>
                <w:rStyle w:val="FootnoteReference"/>
                <w:sz w:val="20"/>
                <w:szCs w:val="20"/>
              </w:rPr>
              <w:footnoteReference w:id="221"/>
            </w:r>
            <w:r w:rsidRPr="639E38F9">
              <w:rPr>
                <w:sz w:val="20"/>
                <w:szCs w:val="20"/>
              </w:rPr>
              <w:t xml:space="preserve"> Dunedin</w:t>
            </w:r>
          </w:p>
        </w:tc>
        <w:tc>
          <w:tcPr>
            <w:tcW w:w="2500" w:type="dxa"/>
          </w:tcPr>
          <w:p w14:paraId="42DA32A4"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336D78C0" w14:textId="77777777" w:rsidTr="00E722D4">
        <w:tc>
          <w:tcPr>
            <w:tcW w:w="2122" w:type="dxa"/>
          </w:tcPr>
          <w:p w14:paraId="69FEBFF1"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Lake Tatawai</w:t>
            </w:r>
          </w:p>
        </w:tc>
        <w:tc>
          <w:tcPr>
            <w:tcW w:w="4394" w:type="dxa"/>
          </w:tcPr>
          <w:p w14:paraId="6D1682A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Lake that is now drained</w:t>
            </w:r>
          </w:p>
        </w:tc>
        <w:tc>
          <w:tcPr>
            <w:tcW w:w="2500" w:type="dxa"/>
          </w:tcPr>
          <w:p w14:paraId="139E1A8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Landing Reserve</w:t>
            </w:r>
          </w:p>
        </w:tc>
      </w:tr>
      <w:tr w:rsidR="009A1120" w:rsidRPr="00472578" w14:paraId="578F0653" w14:textId="77777777" w:rsidTr="00E722D4">
        <w:tc>
          <w:tcPr>
            <w:tcW w:w="2122" w:type="dxa"/>
          </w:tcPr>
          <w:p w14:paraId="09BE3C5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Otago Heads Native Reserve</w:t>
            </w:r>
          </w:p>
        </w:tc>
        <w:tc>
          <w:tcPr>
            <w:tcW w:w="4394" w:type="dxa"/>
          </w:tcPr>
          <w:p w14:paraId="621C8561"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Granted in 1844 as part of the Ōtākou Purchase Deed. Split into four reserves</w:t>
            </w:r>
          </w:p>
        </w:tc>
        <w:tc>
          <w:tcPr>
            <w:tcW w:w="2500" w:type="dxa"/>
          </w:tcPr>
          <w:p w14:paraId="7B35BC8A"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505A3426" w14:textId="77777777" w:rsidTr="00E722D4">
        <w:tc>
          <w:tcPr>
            <w:tcW w:w="2122" w:type="dxa"/>
          </w:tcPr>
          <w:p w14:paraId="24F2724C"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Port Chalmers</w:t>
            </w:r>
          </w:p>
        </w:tc>
        <w:tc>
          <w:tcPr>
            <w:tcW w:w="4394" w:type="dxa"/>
          </w:tcPr>
          <w:p w14:paraId="0417A6C7"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Granted in 1848 as part of the Ōtākou Purchase Deed. A further grant adjacent to the Reserve was made in approximately 1888</w:t>
            </w:r>
          </w:p>
        </w:tc>
        <w:tc>
          <w:tcPr>
            <w:tcW w:w="2500" w:type="dxa"/>
          </w:tcPr>
          <w:p w14:paraId="1A65D99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19341117" w14:textId="77777777" w:rsidTr="00E722D4">
        <w:tc>
          <w:tcPr>
            <w:tcW w:w="2122" w:type="dxa"/>
          </w:tcPr>
          <w:p w14:paraId="2F8F8706"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Aramoana</w:t>
            </w:r>
          </w:p>
        </w:tc>
        <w:tc>
          <w:tcPr>
            <w:tcW w:w="4394" w:type="dxa"/>
          </w:tcPr>
          <w:p w14:paraId="303BB644" w14:textId="77777777" w:rsidR="009A1120" w:rsidRPr="00472578" w:rsidRDefault="009A1120" w:rsidP="00E92686">
            <w:pPr>
              <w:spacing w:before="60" w:after="60"/>
              <w:jc w:val="both"/>
              <w:rPr>
                <w:rFonts w:cstheme="minorHAnsi"/>
                <w:sz w:val="20"/>
                <w:szCs w:val="20"/>
              </w:rPr>
            </w:pPr>
            <w:r w:rsidRPr="639E38F9">
              <w:rPr>
                <w:sz w:val="20"/>
                <w:szCs w:val="20"/>
              </w:rPr>
              <w:t xml:space="preserve">This reserve resulted from the </w:t>
            </w:r>
            <w:r w:rsidRPr="00472578">
              <w:rPr>
                <w:strike/>
                <w:sz w:val="20"/>
                <w:szCs w:val="20"/>
              </w:rPr>
              <w:t>Purakaunui</w:t>
            </w:r>
            <w:r w:rsidRPr="00472578">
              <w:rPr>
                <w:sz w:val="20"/>
                <w:szCs w:val="20"/>
              </w:rPr>
              <w:t xml:space="preserve"> </w:t>
            </w:r>
            <w:r w:rsidRPr="00472578">
              <w:rPr>
                <w:sz w:val="20"/>
                <w:szCs w:val="20"/>
                <w:u w:val="single"/>
              </w:rPr>
              <w:t>Pūrākaunui</w:t>
            </w:r>
            <w:r w:rsidRPr="00472578">
              <w:rPr>
                <w:sz w:val="20"/>
                <w:szCs w:val="20"/>
                <w:vertAlign w:val="superscript"/>
              </w:rPr>
              <w:footnoteReference w:id="222"/>
            </w:r>
            <w:r w:rsidRPr="639E38F9">
              <w:rPr>
                <w:sz w:val="20"/>
                <w:szCs w:val="20"/>
              </w:rPr>
              <w:t xml:space="preserve"> Half Caste grant</w:t>
            </w:r>
          </w:p>
        </w:tc>
        <w:tc>
          <w:tcPr>
            <w:tcW w:w="2500" w:type="dxa"/>
          </w:tcPr>
          <w:p w14:paraId="7DCC144F"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Half Caste Reserve</w:t>
            </w:r>
          </w:p>
        </w:tc>
      </w:tr>
      <w:tr w:rsidR="009A1120" w:rsidRPr="00472578" w14:paraId="3EC8C0B1" w14:textId="77777777" w:rsidTr="00E722D4">
        <w:tc>
          <w:tcPr>
            <w:tcW w:w="2122" w:type="dxa"/>
          </w:tcPr>
          <w:p w14:paraId="7D805287" w14:textId="77777777" w:rsidR="009A1120" w:rsidRPr="00472578" w:rsidRDefault="009A1120" w:rsidP="00E92686">
            <w:pPr>
              <w:spacing w:before="60" w:after="60"/>
              <w:jc w:val="both"/>
              <w:rPr>
                <w:rFonts w:cstheme="minorHAnsi"/>
                <w:sz w:val="20"/>
                <w:szCs w:val="20"/>
              </w:rPr>
            </w:pPr>
            <w:r w:rsidRPr="00472578">
              <w:rPr>
                <w:strike/>
                <w:sz w:val="20"/>
                <w:szCs w:val="20"/>
              </w:rPr>
              <w:t>Purakaunui</w:t>
            </w:r>
            <w:r w:rsidRPr="00472578">
              <w:rPr>
                <w:sz w:val="20"/>
                <w:szCs w:val="20"/>
              </w:rPr>
              <w:t xml:space="preserve"> </w:t>
            </w:r>
            <w:r w:rsidRPr="00472578">
              <w:rPr>
                <w:sz w:val="20"/>
                <w:szCs w:val="20"/>
                <w:u w:val="single"/>
              </w:rPr>
              <w:t>Pūrākaunui</w:t>
            </w:r>
            <w:r w:rsidRPr="00472578">
              <w:rPr>
                <w:sz w:val="20"/>
                <w:szCs w:val="20"/>
                <w:vertAlign w:val="superscript"/>
              </w:rPr>
              <w:footnoteReference w:id="223"/>
            </w:r>
          </w:p>
        </w:tc>
        <w:tc>
          <w:tcPr>
            <w:tcW w:w="4394" w:type="dxa"/>
          </w:tcPr>
          <w:p w14:paraId="3EEB0792"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Granted in 1848 as part of Kemp’s Purchase Deed. Further allocations were made in 1868 at Wharauwerawera</w:t>
            </w:r>
          </w:p>
        </w:tc>
        <w:tc>
          <w:tcPr>
            <w:tcW w:w="2500" w:type="dxa"/>
          </w:tcPr>
          <w:p w14:paraId="598E2FB3"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2B148600" w14:textId="77777777" w:rsidTr="00E722D4">
        <w:tc>
          <w:tcPr>
            <w:tcW w:w="2122" w:type="dxa"/>
          </w:tcPr>
          <w:p w14:paraId="369517E6"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lastRenderedPageBreak/>
              <w:t>Brinns Point</w:t>
            </w:r>
          </w:p>
        </w:tc>
        <w:tc>
          <w:tcPr>
            <w:tcW w:w="4394" w:type="dxa"/>
          </w:tcPr>
          <w:p w14:paraId="10C2A4FB"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Granted in the latter part of the nineteenth century</w:t>
            </w:r>
          </w:p>
        </w:tc>
        <w:tc>
          <w:tcPr>
            <w:tcW w:w="2500" w:type="dxa"/>
          </w:tcPr>
          <w:p w14:paraId="163FDD2B"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Half Caste Reserve</w:t>
            </w:r>
          </w:p>
        </w:tc>
      </w:tr>
      <w:tr w:rsidR="009A1120" w:rsidRPr="00472578" w14:paraId="6E5A9ED1" w14:textId="77777777" w:rsidTr="00E722D4">
        <w:tc>
          <w:tcPr>
            <w:tcW w:w="2122" w:type="dxa"/>
          </w:tcPr>
          <w:p w14:paraId="4D657D80" w14:textId="77777777" w:rsidR="009A1120" w:rsidRPr="00472578" w:rsidRDefault="009A1120" w:rsidP="00E92686">
            <w:pPr>
              <w:spacing w:before="60" w:after="60"/>
              <w:jc w:val="both"/>
              <w:rPr>
                <w:rFonts w:cstheme="minorHAnsi"/>
                <w:sz w:val="20"/>
                <w:szCs w:val="20"/>
              </w:rPr>
            </w:pPr>
            <w:r w:rsidRPr="00472578">
              <w:rPr>
                <w:strike/>
                <w:sz w:val="20"/>
                <w:szCs w:val="20"/>
              </w:rPr>
              <w:t>Karitane</w:t>
            </w:r>
            <w:r w:rsidRPr="00472578">
              <w:rPr>
                <w:sz w:val="20"/>
                <w:szCs w:val="20"/>
              </w:rPr>
              <w:t xml:space="preserve"> </w:t>
            </w:r>
            <w:r w:rsidRPr="00472578">
              <w:rPr>
                <w:sz w:val="20"/>
                <w:szCs w:val="20"/>
                <w:u w:val="single"/>
              </w:rPr>
              <w:t xml:space="preserve">Karitāne </w:t>
            </w:r>
            <w:r w:rsidRPr="639E38F9">
              <w:rPr>
                <w:sz w:val="20"/>
                <w:szCs w:val="20"/>
              </w:rPr>
              <w:t>(</w:t>
            </w:r>
            <w:r w:rsidRPr="00472578">
              <w:rPr>
                <w:strike/>
                <w:sz w:val="20"/>
                <w:szCs w:val="20"/>
              </w:rPr>
              <w:t>Waikouaiti</w:t>
            </w:r>
            <w:r w:rsidRPr="00472578">
              <w:rPr>
                <w:sz w:val="20"/>
                <w:szCs w:val="20"/>
              </w:rPr>
              <w:t xml:space="preserve"> </w:t>
            </w:r>
            <w:r w:rsidRPr="00472578">
              <w:rPr>
                <w:sz w:val="20"/>
                <w:szCs w:val="20"/>
                <w:u w:val="single"/>
              </w:rPr>
              <w:t>Waikōuaiti</w:t>
            </w:r>
            <w:r w:rsidRPr="00472578">
              <w:rPr>
                <w:sz w:val="20"/>
                <w:szCs w:val="20"/>
                <w:vertAlign w:val="superscript"/>
              </w:rPr>
              <w:footnoteReference w:id="224"/>
            </w:r>
            <w:r w:rsidRPr="639E38F9">
              <w:rPr>
                <w:sz w:val="20"/>
                <w:szCs w:val="20"/>
              </w:rPr>
              <w:t xml:space="preserve"> Native Reserve)</w:t>
            </w:r>
          </w:p>
        </w:tc>
        <w:tc>
          <w:tcPr>
            <w:tcW w:w="4394" w:type="dxa"/>
          </w:tcPr>
          <w:p w14:paraId="498C66A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Granted in 1848 as part of Kemp’s Purchase Deed</w:t>
            </w:r>
          </w:p>
        </w:tc>
        <w:tc>
          <w:tcPr>
            <w:tcW w:w="2500" w:type="dxa"/>
          </w:tcPr>
          <w:p w14:paraId="2A49DAC6"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5A82DD8B" w14:textId="77777777" w:rsidTr="00E722D4">
        <w:tc>
          <w:tcPr>
            <w:tcW w:w="2122" w:type="dxa"/>
          </w:tcPr>
          <w:p w14:paraId="258B9D4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Matainaka and Hawksbury Fishing Easement</w:t>
            </w:r>
          </w:p>
        </w:tc>
        <w:tc>
          <w:tcPr>
            <w:tcW w:w="4394" w:type="dxa"/>
          </w:tcPr>
          <w:p w14:paraId="781E8A08" w14:textId="77777777" w:rsidR="009A1120" w:rsidRPr="00472578" w:rsidRDefault="009A1120" w:rsidP="00E92686">
            <w:pPr>
              <w:spacing w:before="60" w:after="60"/>
              <w:jc w:val="both"/>
              <w:rPr>
                <w:rFonts w:cstheme="minorHAnsi"/>
                <w:sz w:val="20"/>
                <w:szCs w:val="20"/>
              </w:rPr>
            </w:pPr>
            <w:r w:rsidRPr="639E38F9">
              <w:rPr>
                <w:sz w:val="20"/>
                <w:szCs w:val="20"/>
              </w:rPr>
              <w:t xml:space="preserve">Two fishing easements fall under this reserve, Matainaka, located at Hawkesbury Lagoon at </w:t>
            </w:r>
            <w:r w:rsidRPr="00472578">
              <w:rPr>
                <w:strike/>
                <w:sz w:val="20"/>
                <w:szCs w:val="20"/>
              </w:rPr>
              <w:t>Waikouaiti</w:t>
            </w:r>
            <w:r w:rsidRPr="00472578">
              <w:rPr>
                <w:sz w:val="20"/>
                <w:szCs w:val="20"/>
              </w:rPr>
              <w:t xml:space="preserve"> </w:t>
            </w:r>
            <w:r w:rsidRPr="00472578">
              <w:rPr>
                <w:sz w:val="20"/>
                <w:szCs w:val="20"/>
                <w:u w:val="single"/>
              </w:rPr>
              <w:t>Waikōuaiti</w:t>
            </w:r>
            <w:r w:rsidRPr="00472578">
              <w:rPr>
                <w:sz w:val="20"/>
                <w:szCs w:val="20"/>
                <w:vertAlign w:val="superscript"/>
              </w:rPr>
              <w:footnoteReference w:id="225"/>
            </w:r>
            <w:r w:rsidRPr="639E38F9">
              <w:rPr>
                <w:sz w:val="20"/>
                <w:szCs w:val="20"/>
              </w:rPr>
              <w:t xml:space="preserve"> and the Forks Reserve located inland from </w:t>
            </w:r>
            <w:r w:rsidRPr="00472578">
              <w:rPr>
                <w:strike/>
                <w:sz w:val="20"/>
                <w:szCs w:val="20"/>
              </w:rPr>
              <w:t>Karitane</w:t>
            </w:r>
            <w:r w:rsidRPr="00472578">
              <w:rPr>
                <w:sz w:val="20"/>
                <w:szCs w:val="20"/>
              </w:rPr>
              <w:t xml:space="preserve"> </w:t>
            </w:r>
            <w:r w:rsidRPr="00472578">
              <w:rPr>
                <w:sz w:val="20"/>
                <w:szCs w:val="20"/>
                <w:u w:val="single"/>
              </w:rPr>
              <w:t>Karitāne</w:t>
            </w:r>
            <w:r w:rsidRPr="639E38F9">
              <w:rPr>
                <w:sz w:val="20"/>
                <w:szCs w:val="20"/>
              </w:rPr>
              <w:t>.</w:t>
            </w:r>
            <w:r w:rsidRPr="639E38F9">
              <w:rPr>
                <w:sz w:val="20"/>
                <w:szCs w:val="20"/>
                <w:vertAlign w:val="superscript"/>
              </w:rPr>
              <w:footnoteReference w:id="226"/>
            </w:r>
            <w:r w:rsidRPr="639E38F9">
              <w:rPr>
                <w:sz w:val="20"/>
                <w:szCs w:val="20"/>
              </w:rPr>
              <w:t xml:space="preserve"> The legal description for the latter reserve is Section 1N Town of Hawksbury</w:t>
            </w:r>
          </w:p>
        </w:tc>
        <w:tc>
          <w:tcPr>
            <w:tcW w:w="2500" w:type="dxa"/>
          </w:tcPr>
          <w:p w14:paraId="46A246CC"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Fishing Easement</w:t>
            </w:r>
          </w:p>
        </w:tc>
      </w:tr>
      <w:tr w:rsidR="009A1120" w:rsidRPr="00472578" w14:paraId="68E164CB" w14:textId="77777777" w:rsidTr="00E722D4">
        <w:tc>
          <w:tcPr>
            <w:tcW w:w="2122" w:type="dxa"/>
          </w:tcPr>
          <w:p w14:paraId="697A0ABD"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Hawksbury</w:t>
            </w:r>
          </w:p>
        </w:tc>
        <w:tc>
          <w:tcPr>
            <w:tcW w:w="4394" w:type="dxa"/>
          </w:tcPr>
          <w:p w14:paraId="09FAEE6C" w14:textId="77777777" w:rsidR="009A1120" w:rsidRPr="00472578" w:rsidRDefault="009A1120" w:rsidP="00E92686">
            <w:pPr>
              <w:spacing w:before="60" w:after="60"/>
              <w:jc w:val="both"/>
              <w:rPr>
                <w:rFonts w:cstheme="minorHAnsi"/>
                <w:sz w:val="20"/>
                <w:szCs w:val="20"/>
              </w:rPr>
            </w:pPr>
            <w:r w:rsidRPr="639E38F9">
              <w:rPr>
                <w:sz w:val="20"/>
                <w:szCs w:val="20"/>
              </w:rPr>
              <w:t xml:space="preserve">Located north of </w:t>
            </w:r>
            <w:r w:rsidRPr="00472578">
              <w:rPr>
                <w:strike/>
                <w:sz w:val="20"/>
                <w:szCs w:val="20"/>
              </w:rPr>
              <w:t>Waikouaiti</w:t>
            </w:r>
            <w:r w:rsidRPr="00472578">
              <w:rPr>
                <w:sz w:val="20"/>
                <w:szCs w:val="20"/>
              </w:rPr>
              <w:t xml:space="preserve"> </w:t>
            </w:r>
            <w:r w:rsidRPr="00472578">
              <w:rPr>
                <w:sz w:val="20"/>
                <w:szCs w:val="20"/>
                <w:u w:val="single"/>
              </w:rPr>
              <w:t>Waikōuaiti</w:t>
            </w:r>
            <w:r w:rsidRPr="00472578">
              <w:rPr>
                <w:sz w:val="20"/>
                <w:szCs w:val="20"/>
                <w:vertAlign w:val="superscript"/>
              </w:rPr>
              <w:footnoteReference w:id="227"/>
            </w:r>
            <w:r w:rsidRPr="639E38F9">
              <w:rPr>
                <w:sz w:val="20"/>
                <w:szCs w:val="20"/>
              </w:rPr>
              <w:t>, in the vicinity of Goodwood</w:t>
            </w:r>
          </w:p>
        </w:tc>
        <w:tc>
          <w:tcPr>
            <w:tcW w:w="2500" w:type="dxa"/>
          </w:tcPr>
          <w:p w14:paraId="7A995F13"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Hawksbury Half Caste Reserve</w:t>
            </w:r>
          </w:p>
        </w:tc>
      </w:tr>
      <w:tr w:rsidR="009A1120" w:rsidRPr="00472578" w14:paraId="096D44C0" w14:textId="77777777" w:rsidTr="00E722D4">
        <w:tc>
          <w:tcPr>
            <w:tcW w:w="2122" w:type="dxa"/>
          </w:tcPr>
          <w:p w14:paraId="29E4BA8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Moeraki</w:t>
            </w:r>
          </w:p>
        </w:tc>
        <w:tc>
          <w:tcPr>
            <w:tcW w:w="4394" w:type="dxa"/>
          </w:tcPr>
          <w:p w14:paraId="46D5A843"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Granted in 1848 as part of Kemp’s Purchase Deed. Further awards were made in 1868</w:t>
            </w:r>
          </w:p>
        </w:tc>
        <w:tc>
          <w:tcPr>
            <w:tcW w:w="2500" w:type="dxa"/>
          </w:tcPr>
          <w:p w14:paraId="0DA4E18B"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290746F4" w14:textId="77777777" w:rsidTr="00E722D4">
        <w:tc>
          <w:tcPr>
            <w:tcW w:w="2122" w:type="dxa"/>
          </w:tcPr>
          <w:p w14:paraId="3FF33684"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Kuri Bush</w:t>
            </w:r>
          </w:p>
        </w:tc>
        <w:tc>
          <w:tcPr>
            <w:tcW w:w="4394" w:type="dxa"/>
          </w:tcPr>
          <w:p w14:paraId="707F4BB4" w14:textId="77777777" w:rsidR="009A1120" w:rsidRPr="00472578" w:rsidRDefault="009A1120" w:rsidP="00E92686">
            <w:pPr>
              <w:spacing w:before="60" w:after="60"/>
              <w:jc w:val="both"/>
              <w:rPr>
                <w:rFonts w:cstheme="minorHAnsi"/>
                <w:sz w:val="20"/>
                <w:szCs w:val="20"/>
              </w:rPr>
            </w:pPr>
            <w:proofErr w:type="gramStart"/>
            <w:r w:rsidRPr="00472578">
              <w:rPr>
                <w:rFonts w:cstheme="minorHAnsi"/>
                <w:sz w:val="20"/>
                <w:szCs w:val="20"/>
              </w:rPr>
              <w:t>10 acre</w:t>
            </w:r>
            <w:proofErr w:type="gramEnd"/>
            <w:r w:rsidRPr="00472578">
              <w:rPr>
                <w:rFonts w:cstheme="minorHAnsi"/>
                <w:sz w:val="20"/>
                <w:szCs w:val="20"/>
              </w:rPr>
              <w:t xml:space="preserve"> reserve of timber</w:t>
            </w:r>
          </w:p>
        </w:tc>
        <w:tc>
          <w:tcPr>
            <w:tcW w:w="2500" w:type="dxa"/>
          </w:tcPr>
          <w:p w14:paraId="5E882BDB"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6D1062FF" w14:textId="77777777" w:rsidTr="00E722D4">
        <w:tc>
          <w:tcPr>
            <w:tcW w:w="2122" w:type="dxa"/>
          </w:tcPr>
          <w:p w14:paraId="1739C2A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Kakanui</w:t>
            </w:r>
          </w:p>
        </w:tc>
        <w:tc>
          <w:tcPr>
            <w:tcW w:w="4394" w:type="dxa"/>
          </w:tcPr>
          <w:p w14:paraId="1DEE3DF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 xml:space="preserve">Granted in 1848 as part of Kemp’s Purchase Deed. By 1853, this Reserve was noted as being abandoned and the </w:t>
            </w:r>
            <w:proofErr w:type="gramStart"/>
            <w:r w:rsidRPr="00472578">
              <w:rPr>
                <w:rFonts w:cstheme="minorHAnsi"/>
                <w:sz w:val="20"/>
                <w:szCs w:val="20"/>
              </w:rPr>
              <w:t>75 acre</w:t>
            </w:r>
            <w:proofErr w:type="gramEnd"/>
            <w:r w:rsidRPr="00472578">
              <w:rPr>
                <w:rFonts w:cstheme="minorHAnsi"/>
                <w:sz w:val="20"/>
                <w:szCs w:val="20"/>
              </w:rPr>
              <w:t xml:space="preserve"> allocation was added to the southern edge of the Moeraki Native Reserve</w:t>
            </w:r>
          </w:p>
        </w:tc>
        <w:tc>
          <w:tcPr>
            <w:tcW w:w="2500" w:type="dxa"/>
          </w:tcPr>
          <w:p w14:paraId="57CCF644"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392B5406" w14:textId="77777777" w:rsidTr="00E722D4">
        <w:tc>
          <w:tcPr>
            <w:tcW w:w="2122" w:type="dxa"/>
          </w:tcPr>
          <w:p w14:paraId="28B2B7BD"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Korotuaheka</w:t>
            </w:r>
          </w:p>
        </w:tc>
        <w:tc>
          <w:tcPr>
            <w:tcW w:w="4394" w:type="dxa"/>
          </w:tcPr>
          <w:p w14:paraId="6B3FA519" w14:textId="77777777" w:rsidR="009A1120" w:rsidRPr="00472578" w:rsidRDefault="009A1120" w:rsidP="00E92686">
            <w:pPr>
              <w:spacing w:before="60" w:after="60"/>
              <w:jc w:val="both"/>
              <w:rPr>
                <w:rFonts w:cstheme="minorHAnsi"/>
                <w:sz w:val="20"/>
                <w:szCs w:val="20"/>
              </w:rPr>
            </w:pPr>
            <w:r w:rsidRPr="639E38F9">
              <w:rPr>
                <w:sz w:val="20"/>
                <w:szCs w:val="20"/>
              </w:rPr>
              <w:t xml:space="preserve">Located south of the Waitaki River mouth. Now Reserved as an </w:t>
            </w:r>
            <w:r w:rsidRPr="00472578">
              <w:rPr>
                <w:strike/>
                <w:sz w:val="20"/>
                <w:szCs w:val="20"/>
              </w:rPr>
              <w:t>urupa</w:t>
            </w:r>
            <w:r w:rsidRPr="00472578">
              <w:rPr>
                <w:sz w:val="20"/>
                <w:szCs w:val="20"/>
              </w:rPr>
              <w:t xml:space="preserve"> </w:t>
            </w:r>
            <w:r w:rsidRPr="00472578">
              <w:rPr>
                <w:sz w:val="20"/>
                <w:szCs w:val="20"/>
                <w:u w:val="single"/>
              </w:rPr>
              <w:t>urupā</w:t>
            </w:r>
            <w:r w:rsidRPr="639E38F9">
              <w:rPr>
                <w:sz w:val="20"/>
                <w:szCs w:val="20"/>
              </w:rPr>
              <w:t>.</w:t>
            </w:r>
            <w:r w:rsidRPr="639E38F9">
              <w:rPr>
                <w:sz w:val="20"/>
                <w:szCs w:val="20"/>
                <w:vertAlign w:val="superscript"/>
              </w:rPr>
              <w:footnoteReference w:id="228"/>
            </w:r>
            <w:r w:rsidRPr="639E38F9">
              <w:rPr>
                <w:sz w:val="20"/>
                <w:szCs w:val="20"/>
              </w:rPr>
              <w:t xml:space="preserve"> It appears this originated as an occupational reserve and Fishing Easement</w:t>
            </w:r>
          </w:p>
        </w:tc>
        <w:tc>
          <w:tcPr>
            <w:tcW w:w="2500" w:type="dxa"/>
          </w:tcPr>
          <w:p w14:paraId="03ADAF50"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Partitioned in 1895 Possibly awarded as part of the 1868 awards</w:t>
            </w:r>
          </w:p>
        </w:tc>
      </w:tr>
      <w:tr w:rsidR="009A1120" w:rsidRPr="00472578" w14:paraId="0D4C0D8B" w14:textId="77777777" w:rsidTr="00E722D4">
        <w:tc>
          <w:tcPr>
            <w:tcW w:w="2122" w:type="dxa"/>
          </w:tcPr>
          <w:p w14:paraId="4E433A5A"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Punaomaru</w:t>
            </w:r>
          </w:p>
        </w:tc>
        <w:tc>
          <w:tcPr>
            <w:tcW w:w="4394" w:type="dxa"/>
          </w:tcPr>
          <w:p w14:paraId="0422762D" w14:textId="77777777" w:rsidR="009A1120" w:rsidRPr="00472578" w:rsidRDefault="009A1120" w:rsidP="00E92686">
            <w:pPr>
              <w:spacing w:before="60" w:after="60"/>
              <w:jc w:val="both"/>
              <w:rPr>
                <w:rFonts w:cstheme="minorHAnsi"/>
                <w:sz w:val="20"/>
                <w:szCs w:val="20"/>
              </w:rPr>
            </w:pPr>
            <w:proofErr w:type="gramStart"/>
            <w:r w:rsidRPr="00472578">
              <w:rPr>
                <w:rFonts w:cstheme="minorHAnsi"/>
                <w:sz w:val="20"/>
                <w:szCs w:val="20"/>
              </w:rPr>
              <w:t>376 acre</w:t>
            </w:r>
            <w:proofErr w:type="gramEnd"/>
            <w:r w:rsidRPr="00472578">
              <w:rPr>
                <w:rFonts w:cstheme="minorHAnsi"/>
                <w:sz w:val="20"/>
                <w:szCs w:val="20"/>
              </w:rPr>
              <w:t xml:space="preserve"> reserve located approximately 14 miles from the Waitaki River mouth on the south bank of the river</w:t>
            </w:r>
          </w:p>
        </w:tc>
        <w:tc>
          <w:tcPr>
            <w:tcW w:w="2500" w:type="dxa"/>
          </w:tcPr>
          <w:p w14:paraId="391C49E8"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Native Reserve</w:t>
            </w:r>
          </w:p>
        </w:tc>
      </w:tr>
      <w:tr w:rsidR="009A1120" w:rsidRPr="00472578" w14:paraId="040C29BD" w14:textId="77777777" w:rsidTr="00E722D4">
        <w:tc>
          <w:tcPr>
            <w:tcW w:w="2122" w:type="dxa"/>
          </w:tcPr>
          <w:p w14:paraId="39B0532E"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Lake Hāwea</w:t>
            </w:r>
          </w:p>
        </w:tc>
        <w:tc>
          <w:tcPr>
            <w:tcW w:w="4394" w:type="dxa"/>
          </w:tcPr>
          <w:p w14:paraId="3C73E2B4"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Reserve of 100 acres situated in the western extremity of the middle arm of Lake Hāwea near a Lagoon. Part of the Reserve was taken for power development in 1962 and the balance of the land was alienated by the Māori Trustee in 1970</w:t>
            </w:r>
          </w:p>
        </w:tc>
        <w:tc>
          <w:tcPr>
            <w:tcW w:w="2500" w:type="dxa"/>
          </w:tcPr>
          <w:p w14:paraId="44CCE8CF" w14:textId="77777777" w:rsidR="009A1120" w:rsidRPr="00472578" w:rsidRDefault="009A1120" w:rsidP="00E92686">
            <w:pPr>
              <w:spacing w:before="60" w:after="60"/>
              <w:jc w:val="both"/>
              <w:rPr>
                <w:rFonts w:cstheme="minorHAnsi"/>
                <w:sz w:val="20"/>
                <w:szCs w:val="20"/>
              </w:rPr>
            </w:pPr>
            <w:r w:rsidRPr="00472578">
              <w:rPr>
                <w:rFonts w:cstheme="minorHAnsi"/>
                <w:sz w:val="20"/>
                <w:szCs w:val="20"/>
              </w:rPr>
              <w:t>Fishing Easement</w:t>
            </w:r>
          </w:p>
        </w:tc>
      </w:tr>
      <w:tr w:rsidR="009A1120" w:rsidRPr="00472578" w14:paraId="4A74D9E5" w14:textId="77777777" w:rsidTr="00E722D4">
        <w:tc>
          <w:tcPr>
            <w:tcW w:w="2122" w:type="dxa"/>
          </w:tcPr>
          <w:p w14:paraId="61A9F7A6" w14:textId="6F5FC08A" w:rsidR="009A1120" w:rsidRPr="00472578" w:rsidRDefault="009A1120" w:rsidP="00E92686">
            <w:pPr>
              <w:contextualSpacing/>
              <w:jc w:val="both"/>
              <w:rPr>
                <w:sz w:val="20"/>
                <w:szCs w:val="20"/>
                <w:u w:val="single"/>
                <w:lang w:val="en-US"/>
              </w:rPr>
            </w:pPr>
            <w:r w:rsidRPr="00472578">
              <w:rPr>
                <w:sz w:val="20"/>
                <w:szCs w:val="20"/>
                <w:u w:val="single"/>
                <w:lang w:val="en-US"/>
              </w:rPr>
              <w:t>Hāwea-Wānaka block (Wānaka Plantation Reserve)</w:t>
            </w:r>
            <w:r w:rsidR="001F6589" w:rsidRPr="00472578">
              <w:rPr>
                <w:vertAlign w:val="superscript"/>
                <w:lang w:val="en-US"/>
              </w:rPr>
              <w:footnoteReference w:id="229"/>
            </w:r>
          </w:p>
        </w:tc>
        <w:tc>
          <w:tcPr>
            <w:tcW w:w="4394" w:type="dxa"/>
          </w:tcPr>
          <w:p w14:paraId="508E79CA" w14:textId="77777777" w:rsidR="009A1120" w:rsidRPr="00472578" w:rsidRDefault="009A1120" w:rsidP="00E92686">
            <w:pPr>
              <w:spacing w:before="60" w:after="60"/>
              <w:jc w:val="both"/>
              <w:rPr>
                <w:sz w:val="20"/>
                <w:szCs w:val="20"/>
                <w:u w:val="single"/>
                <w:lang w:val="en-US"/>
              </w:rPr>
            </w:pPr>
            <w:r w:rsidRPr="00472578">
              <w:rPr>
                <w:sz w:val="20"/>
                <w:szCs w:val="20"/>
                <w:u w:val="single"/>
                <w:lang w:val="en-US"/>
              </w:rPr>
              <w:t xml:space="preserve">Known as Sticky Forest, 50.7 hectares of land granted by agreement between the Crown and Te Rūnanga o Ngāi Tahu (Te Rūnanga) to be made available for the successors or current living relatives of the original grantees of land at Manuhaea or “The Neck”, which was allocated </w:t>
            </w:r>
            <w:r w:rsidRPr="00472578">
              <w:rPr>
                <w:sz w:val="20"/>
                <w:szCs w:val="20"/>
                <w:u w:val="single"/>
                <w:lang w:val="en-US"/>
              </w:rPr>
              <w:lastRenderedPageBreak/>
              <w:t>under the South Island Landless Natives Act but not transferred before SILNA was repealed.</w:t>
            </w:r>
          </w:p>
          <w:p w14:paraId="04E31619" w14:textId="77777777" w:rsidR="009A1120" w:rsidRPr="00472578" w:rsidRDefault="009A1120" w:rsidP="00E92686">
            <w:pPr>
              <w:spacing w:before="60" w:after="60"/>
              <w:jc w:val="both"/>
              <w:rPr>
                <w:rFonts w:cstheme="minorHAnsi"/>
                <w:sz w:val="20"/>
                <w:szCs w:val="20"/>
              </w:rPr>
            </w:pPr>
          </w:p>
        </w:tc>
        <w:tc>
          <w:tcPr>
            <w:tcW w:w="2500" w:type="dxa"/>
          </w:tcPr>
          <w:p w14:paraId="16D37D26" w14:textId="1EB11784" w:rsidR="009A1120" w:rsidRPr="00472578" w:rsidRDefault="009A1120" w:rsidP="00E92686">
            <w:pPr>
              <w:spacing w:before="60" w:after="60"/>
              <w:jc w:val="both"/>
              <w:rPr>
                <w:rFonts w:cstheme="minorHAnsi"/>
                <w:sz w:val="20"/>
                <w:szCs w:val="20"/>
                <w:u w:val="single"/>
              </w:rPr>
            </w:pPr>
            <w:r w:rsidRPr="00472578">
              <w:rPr>
                <w:rFonts w:cstheme="minorHAnsi"/>
                <w:sz w:val="20"/>
                <w:szCs w:val="20"/>
                <w:u w:val="single"/>
              </w:rPr>
              <w:lastRenderedPageBreak/>
              <w:t>South Island Landless Natives Act</w:t>
            </w:r>
          </w:p>
        </w:tc>
      </w:tr>
    </w:tbl>
    <w:p w14:paraId="7FD7FDC7" w14:textId="77777777" w:rsidR="009A1120" w:rsidRPr="00472578" w:rsidRDefault="009A1120" w:rsidP="00E92686">
      <w:pPr>
        <w:spacing w:before="2"/>
        <w:jc w:val="both"/>
        <w:rPr>
          <w:b/>
          <w:sz w:val="12"/>
        </w:rPr>
      </w:pPr>
    </w:p>
    <w:p w14:paraId="1C2FC876" w14:textId="77777777" w:rsidR="009A1120" w:rsidRPr="00472578" w:rsidRDefault="009A1120" w:rsidP="00E92686">
      <w:pPr>
        <w:pStyle w:val="Heading3"/>
        <w:jc w:val="both"/>
      </w:pPr>
      <w:bookmarkStart w:id="49" w:name="_Hlk71790610"/>
      <w:r w:rsidRPr="00472578">
        <w:t xml:space="preserve">Mana whenua </w:t>
      </w:r>
      <w:bookmarkEnd w:id="49"/>
      <w:r w:rsidRPr="00472578">
        <w:t>– local authority relationships</w:t>
      </w:r>
    </w:p>
    <w:p w14:paraId="702A126F" w14:textId="77777777" w:rsidR="009A1120" w:rsidRPr="00472578" w:rsidRDefault="009A1120" w:rsidP="00E92686">
      <w:pPr>
        <w:pStyle w:val="Heading4"/>
        <w:jc w:val="both"/>
      </w:pPr>
      <w:r w:rsidRPr="00472578">
        <w:t>Kāi Tahu relationships with local authorities</w:t>
      </w:r>
    </w:p>
    <w:p w14:paraId="191215AD" w14:textId="77777777" w:rsidR="009A1120" w:rsidRPr="00472578" w:rsidRDefault="009A1120" w:rsidP="00E92686">
      <w:pPr>
        <w:spacing w:line="257" w:lineRule="auto"/>
        <w:jc w:val="both"/>
        <w:rPr>
          <w:color w:val="000000" w:themeColor="text1"/>
        </w:rPr>
      </w:pPr>
      <w:r w:rsidRPr="00472578">
        <w:rPr>
          <w:color w:val="000000" w:themeColor="text1"/>
        </w:rPr>
        <w:t xml:space="preserve">There are </w:t>
      </w:r>
      <w:proofErr w:type="gramStart"/>
      <w:r w:rsidRPr="00472578">
        <w:rPr>
          <w:color w:val="000000" w:themeColor="text1"/>
        </w:rPr>
        <w:t>a number of</w:t>
      </w:r>
      <w:proofErr w:type="gramEnd"/>
      <w:r w:rsidRPr="00472578">
        <w:rPr>
          <w:color w:val="000000" w:themeColor="text1"/>
        </w:rPr>
        <w:t xml:space="preserve"> relationship agreements between Kāi Tahu Ki Otago and </w:t>
      </w:r>
      <w:r w:rsidRPr="00472578">
        <w:rPr>
          <w:i/>
          <w:iCs/>
          <w:color w:val="000000" w:themeColor="text1"/>
        </w:rPr>
        <w:t>local authorities</w:t>
      </w:r>
      <w:r w:rsidRPr="00472578">
        <w:rPr>
          <w:color w:val="000000" w:themeColor="text1"/>
        </w:rPr>
        <w:t xml:space="preserve"> in Otago. These include:</w:t>
      </w:r>
    </w:p>
    <w:p w14:paraId="65D6504F" w14:textId="7CC4C796" w:rsidR="009A1120" w:rsidRPr="00472578" w:rsidRDefault="009A1120" w:rsidP="00E92686">
      <w:pPr>
        <w:numPr>
          <w:ilvl w:val="0"/>
          <w:numId w:val="30"/>
        </w:numPr>
        <w:adjustRightInd w:val="0"/>
        <w:spacing w:line="257" w:lineRule="auto"/>
        <w:ind w:left="567" w:hanging="567"/>
        <w:contextualSpacing/>
        <w:jc w:val="both"/>
      </w:pPr>
      <w:r w:rsidRPr="00472578">
        <w:t xml:space="preserve">Memorandum of Understanding and Protocol between Otago Regional Council, Te Rūnanga Ngāi Tahu and Kāi Tahu ki Otago for Effective Consultation and </w:t>
      </w:r>
      <w:r w:rsidR="00924CCF" w:rsidRPr="00472578">
        <w:t>Liaison (</w:t>
      </w:r>
      <w:r w:rsidRPr="00472578">
        <w:t>2003)</w:t>
      </w:r>
    </w:p>
    <w:p w14:paraId="69D3C4F5" w14:textId="77777777" w:rsidR="009A1120" w:rsidRPr="00472578" w:rsidRDefault="009A1120" w:rsidP="00E92686">
      <w:pPr>
        <w:numPr>
          <w:ilvl w:val="0"/>
          <w:numId w:val="30"/>
        </w:numPr>
        <w:adjustRightInd w:val="0"/>
        <w:spacing w:line="257" w:lineRule="auto"/>
        <w:ind w:left="567" w:hanging="567"/>
        <w:contextualSpacing/>
        <w:jc w:val="both"/>
      </w:pPr>
      <w:r w:rsidRPr="00472578">
        <w:t>Te Roopū Taiao Otago Charter and Hui (ORC, QLDC, DCC, WDC, CDC, CODC)</w:t>
      </w:r>
    </w:p>
    <w:p w14:paraId="7C37D82C" w14:textId="6E3F444F" w:rsidR="009A1120" w:rsidRPr="00472578" w:rsidRDefault="009A1120" w:rsidP="00E92686">
      <w:pPr>
        <w:numPr>
          <w:ilvl w:val="0"/>
          <w:numId w:val="30"/>
        </w:numPr>
        <w:adjustRightInd w:val="0"/>
        <w:spacing w:line="257" w:lineRule="auto"/>
        <w:ind w:left="567" w:hanging="567"/>
        <w:contextualSpacing/>
        <w:jc w:val="both"/>
        <w:rPr>
          <w:rFonts w:eastAsia="Times New Roman"/>
          <w:lang w:val="mi-NZ"/>
        </w:rPr>
      </w:pPr>
      <w:r w:rsidRPr="639E38F9">
        <w:rPr>
          <w:u w:val="single"/>
        </w:rPr>
        <w:t>He Huarahi mō Ngā Uri Whakatupu –</w:t>
      </w:r>
      <w:r w:rsidRPr="639E38F9">
        <w:t xml:space="preserve"> Charter of Understanding </w:t>
      </w:r>
      <w:r w:rsidRPr="639E38F9">
        <w:rPr>
          <w:strike/>
        </w:rPr>
        <w:t>signed with</w:t>
      </w:r>
      <w:r w:rsidRPr="639E38F9">
        <w:t xml:space="preserve"> </w:t>
      </w:r>
      <w:r w:rsidRPr="639E38F9">
        <w:rPr>
          <w:u w:val="single"/>
        </w:rPr>
        <w:t xml:space="preserve">2016 between </w:t>
      </w:r>
      <w:r w:rsidRPr="639E38F9">
        <w:t xml:space="preserve">Te Ao Marama </w:t>
      </w:r>
      <w:r w:rsidRPr="639E38F9">
        <w:rPr>
          <w:strike/>
        </w:rPr>
        <w:t xml:space="preserve">Inc. </w:t>
      </w:r>
      <w:r w:rsidRPr="639E38F9">
        <w:rPr>
          <w:u w:val="single"/>
        </w:rPr>
        <w:t>Incorporated, representing Ngāi Tahu ki Murihiku,</w:t>
      </w:r>
      <w:r w:rsidRPr="639E38F9">
        <w:t xml:space="preserve"> and </w:t>
      </w:r>
      <w:r w:rsidRPr="639E38F9">
        <w:rPr>
          <w:strike/>
        </w:rPr>
        <w:t>Southland Rūnanga</w:t>
      </w:r>
      <w:r w:rsidRPr="639E38F9">
        <w:t xml:space="preserve"> </w:t>
      </w:r>
      <w:r w:rsidRPr="00472578">
        <w:rPr>
          <w:strike/>
        </w:rPr>
        <w:t>(2016)</w:t>
      </w:r>
      <w:r w:rsidRPr="639E38F9">
        <w:rPr>
          <w:u w:val="single"/>
        </w:rPr>
        <w:t xml:space="preserve"> councils</w:t>
      </w:r>
      <w:r w:rsidR="000A0238" w:rsidRPr="639E38F9">
        <w:t>.</w:t>
      </w:r>
      <w:r w:rsidRPr="00472578">
        <w:rPr>
          <w:vertAlign w:val="superscript"/>
        </w:rPr>
        <w:footnoteReference w:id="230"/>
      </w:r>
    </w:p>
    <w:p w14:paraId="056D02C7" w14:textId="77777777" w:rsidR="009A1120" w:rsidRPr="00472578" w:rsidRDefault="009A1120" w:rsidP="00E92686">
      <w:pPr>
        <w:adjustRightInd w:val="0"/>
        <w:spacing w:line="257" w:lineRule="auto"/>
        <w:ind w:left="567"/>
        <w:contextualSpacing/>
        <w:jc w:val="both"/>
        <w:rPr>
          <w:rFonts w:eastAsia="Times New Roman"/>
          <w:lang w:val="mi-NZ"/>
        </w:rPr>
      </w:pPr>
    </w:p>
    <w:p w14:paraId="42104A42" w14:textId="77777777" w:rsidR="009A1120" w:rsidRPr="00472578" w:rsidRDefault="009A1120" w:rsidP="00E92686">
      <w:pPr>
        <w:spacing w:line="256" w:lineRule="auto"/>
        <w:jc w:val="both"/>
        <w:rPr>
          <w:color w:val="000000"/>
        </w:rPr>
      </w:pPr>
      <w:r w:rsidRPr="00472578">
        <w:rPr>
          <w:color w:val="000000" w:themeColor="text1"/>
        </w:rPr>
        <w:t xml:space="preserve">Kāi Tahu and Otago Regional </w:t>
      </w:r>
      <w:r w:rsidRPr="00472578">
        <w:t>Council</w:t>
      </w:r>
      <w:r w:rsidRPr="00472578">
        <w:rPr>
          <w:color w:val="000000" w:themeColor="text1"/>
        </w:rPr>
        <w:t xml:space="preserve"> use the </w:t>
      </w:r>
      <w:proofErr w:type="gramStart"/>
      <w:r w:rsidRPr="00472578">
        <w:rPr>
          <w:color w:val="000000" w:themeColor="text1"/>
        </w:rPr>
        <w:t>Mana to Mana</w:t>
      </w:r>
      <w:proofErr w:type="gramEnd"/>
      <w:r w:rsidRPr="00472578">
        <w:rPr>
          <w:color w:val="000000" w:themeColor="text1"/>
        </w:rPr>
        <w:t xml:space="preserve"> forum as a means to build a strengthened relationship between the two entities. </w:t>
      </w:r>
    </w:p>
    <w:p w14:paraId="05FDA823" w14:textId="2FF2A2BD" w:rsidR="009A1120" w:rsidRPr="00472578" w:rsidRDefault="009A1120" w:rsidP="00E92686">
      <w:pPr>
        <w:spacing w:line="256" w:lineRule="auto"/>
        <w:jc w:val="both"/>
        <w:rPr>
          <w:color w:val="000000"/>
        </w:rPr>
      </w:pPr>
      <w:r w:rsidRPr="00472578">
        <w:rPr>
          <w:color w:val="000000"/>
        </w:rPr>
        <w:t>He Huarahi mō Ngā Uri Whakatup</w:t>
      </w:r>
      <w:r w:rsidR="000C1E9D">
        <w:rPr>
          <w:color w:val="000000"/>
        </w:rPr>
        <w:t>u</w:t>
      </w:r>
      <w:r w:rsidR="000C1E9D" w:rsidRPr="005B7E54">
        <w:rPr>
          <w:rStyle w:val="FootnoteReference"/>
          <w:color w:val="000000"/>
          <w:shd w:val="clear" w:color="auto" w:fill="D9D9D9" w:themeFill="background1" w:themeFillShade="D9"/>
        </w:rPr>
        <w:footnoteReference w:id="231"/>
      </w:r>
      <w:r w:rsidRPr="005B7E54">
        <w:rPr>
          <w:color w:val="000000"/>
        </w:rPr>
        <w:t xml:space="preserve"> </w:t>
      </w:r>
      <w:r w:rsidRPr="00472578">
        <w:rPr>
          <w:color w:val="000000"/>
        </w:rPr>
        <w:t xml:space="preserve">is the Charter of Understanding between </w:t>
      </w:r>
      <w:r w:rsidRPr="00472578">
        <w:t>Ngāi Tahu ki Murihiku (</w:t>
      </w:r>
      <w:r w:rsidRPr="00472578">
        <w:rPr>
          <w:rFonts w:cs="Times New Roman"/>
        </w:rPr>
        <w:t>Awarua Rūnanga, Waihopai Rūnanga, Ōraka-Aparima Rūnanga and Hokonui R</w:t>
      </w:r>
      <w:r w:rsidRPr="00472578">
        <w:t>ū</w:t>
      </w:r>
      <w:r w:rsidRPr="00472578">
        <w:rPr>
          <w:rFonts w:cs="Times New Roman"/>
        </w:rPr>
        <w:t>nanga)</w:t>
      </w:r>
      <w:r w:rsidRPr="00472578">
        <w:rPr>
          <w:color w:val="000000"/>
        </w:rPr>
        <w:t xml:space="preserve"> </w:t>
      </w:r>
      <w:r w:rsidRPr="639E38F9">
        <w:t xml:space="preserve">and </w:t>
      </w:r>
      <w:r w:rsidRPr="639E38F9">
        <w:rPr>
          <w:strike/>
        </w:rPr>
        <w:t>the</w:t>
      </w:r>
      <w:r w:rsidRPr="639E38F9">
        <w:t xml:space="preserve"> local authorities</w:t>
      </w:r>
      <w:r w:rsidRPr="639E38F9">
        <w:rPr>
          <w:strike/>
        </w:rPr>
        <w:t>.</w:t>
      </w:r>
      <w:r w:rsidRPr="639E38F9">
        <w:rPr>
          <w:u w:val="single"/>
        </w:rPr>
        <w:t xml:space="preserve">, including </w:t>
      </w:r>
      <w:r w:rsidRPr="639E38F9">
        <w:t>Otago Regional Council</w:t>
      </w:r>
      <w:r w:rsidRPr="639E38F9">
        <w:rPr>
          <w:u w:val="single"/>
        </w:rPr>
        <w:t xml:space="preserve">, </w:t>
      </w:r>
      <w:r w:rsidRPr="639E38F9">
        <w:rPr>
          <w:strike/>
        </w:rPr>
        <w:t xml:space="preserve">and </w:t>
      </w:r>
      <w:r w:rsidR="00387799">
        <w:t>QLDC</w:t>
      </w:r>
      <w:r w:rsidRPr="639E38F9">
        <w:rPr>
          <w:u w:val="single"/>
        </w:rPr>
        <w:t xml:space="preserve"> and Clutha District Council.</w:t>
      </w:r>
      <w:r w:rsidRPr="639E38F9">
        <w:rPr>
          <w:strike/>
        </w:rPr>
        <w:t xml:space="preserve"> are signatories to Huarahi mō Ngā Uri Whakatupu as it applies in their areas of jurisdiction.</w:t>
      </w:r>
      <w:r w:rsidRPr="639E38F9">
        <w:rPr>
          <w:vertAlign w:val="superscript"/>
        </w:rPr>
        <w:footnoteReference w:id="232"/>
      </w:r>
    </w:p>
    <w:p w14:paraId="6F27F83D" w14:textId="77777777" w:rsidR="009A1120" w:rsidRPr="00472578" w:rsidRDefault="009A1120" w:rsidP="00E92686">
      <w:pPr>
        <w:pStyle w:val="Heading4"/>
        <w:jc w:val="both"/>
      </w:pPr>
      <w:r w:rsidRPr="00472578">
        <w:rPr>
          <w:strike/>
        </w:rPr>
        <w:t xml:space="preserve">Hapu </w:t>
      </w:r>
      <w:r w:rsidRPr="00472578">
        <w:rPr>
          <w:u w:val="single"/>
        </w:rPr>
        <w:t>Hapū</w:t>
      </w:r>
      <w:r w:rsidRPr="00472578">
        <w:rPr>
          <w:b w:val="0"/>
          <w:bCs/>
          <w:vertAlign w:val="superscript"/>
        </w:rPr>
        <w:footnoteReference w:id="233"/>
      </w:r>
      <w:r w:rsidRPr="00472578">
        <w:t xml:space="preserve"> and </w:t>
      </w:r>
      <w:r w:rsidRPr="00472578" w:rsidDel="00843278">
        <w:t xml:space="preserve">iwi </w:t>
      </w:r>
      <w:r w:rsidRPr="00472578">
        <w:t>planning documents</w:t>
      </w:r>
    </w:p>
    <w:p w14:paraId="6B6B3ED5" w14:textId="77777777" w:rsidR="009A1120" w:rsidRPr="00472578" w:rsidRDefault="009A1120" w:rsidP="00E92686">
      <w:pPr>
        <w:spacing w:line="256" w:lineRule="auto"/>
        <w:jc w:val="both"/>
        <w:rPr>
          <w:rFonts w:cs="Times New Roman"/>
        </w:rPr>
      </w:pPr>
      <w:r w:rsidRPr="00472578">
        <w:rPr>
          <w:rFonts w:cs="Times New Roman"/>
        </w:rPr>
        <w:t xml:space="preserve">There are four iwi planning documents lodged with the </w:t>
      </w:r>
      <w:r w:rsidRPr="00472578">
        <w:rPr>
          <w:rFonts w:cs="Times New Roman"/>
          <w:i/>
          <w:iCs/>
        </w:rPr>
        <w:t>local authorities</w:t>
      </w:r>
      <w:r w:rsidRPr="00472578">
        <w:rPr>
          <w:rFonts w:cs="Times New Roman"/>
        </w:rPr>
        <w:t xml:space="preserve"> in the </w:t>
      </w:r>
      <w:r w:rsidRPr="00472578">
        <w:rPr>
          <w:color w:val="000000"/>
        </w:rPr>
        <w:t>Otago</w:t>
      </w:r>
      <w:r w:rsidRPr="00472578">
        <w:rPr>
          <w:rFonts w:cs="Times New Roman"/>
        </w:rPr>
        <w:t xml:space="preserve"> Region: </w:t>
      </w:r>
    </w:p>
    <w:p w14:paraId="0C566931" w14:textId="77777777" w:rsidR="009A1120" w:rsidRPr="00472578" w:rsidRDefault="009A1120" w:rsidP="00E92686">
      <w:pPr>
        <w:numPr>
          <w:ilvl w:val="0"/>
          <w:numId w:val="28"/>
        </w:numPr>
        <w:spacing w:line="256" w:lineRule="auto"/>
        <w:ind w:left="567" w:hanging="567"/>
        <w:contextualSpacing/>
        <w:jc w:val="both"/>
      </w:pPr>
      <w:r w:rsidRPr="00472578">
        <w:t>Te R</w:t>
      </w:r>
      <w:r w:rsidRPr="00472578">
        <w:rPr>
          <w:rFonts w:cstheme="minorHAnsi"/>
        </w:rPr>
        <w:t>ū</w:t>
      </w:r>
      <w:r w:rsidRPr="00472578">
        <w:t>nanga o Ng</w:t>
      </w:r>
      <w:r w:rsidRPr="00472578">
        <w:rPr>
          <w:rFonts w:cstheme="minorHAnsi"/>
        </w:rPr>
        <w:t>ā</w:t>
      </w:r>
      <w:r w:rsidRPr="00472578">
        <w:t>i Tahu Freshwater Policy 1999</w:t>
      </w:r>
    </w:p>
    <w:p w14:paraId="6A0E415C" w14:textId="77777777" w:rsidR="009A1120" w:rsidRPr="00472578" w:rsidRDefault="009A1120" w:rsidP="00E92686">
      <w:pPr>
        <w:numPr>
          <w:ilvl w:val="0"/>
          <w:numId w:val="28"/>
        </w:numPr>
        <w:spacing w:line="256" w:lineRule="auto"/>
        <w:ind w:left="567" w:hanging="567"/>
        <w:contextualSpacing/>
        <w:jc w:val="both"/>
      </w:pPr>
      <w:r w:rsidRPr="00472578">
        <w:t>Kāi Tahu ki Otago Natural Resources Management Plan 2005</w:t>
      </w:r>
    </w:p>
    <w:p w14:paraId="3FEE47FB" w14:textId="77777777" w:rsidR="009A1120" w:rsidRPr="00472578" w:rsidRDefault="009A1120" w:rsidP="00E92686">
      <w:pPr>
        <w:numPr>
          <w:ilvl w:val="0"/>
          <w:numId w:val="28"/>
        </w:numPr>
        <w:spacing w:line="256" w:lineRule="auto"/>
        <w:ind w:left="567" w:hanging="567"/>
        <w:contextualSpacing/>
        <w:jc w:val="both"/>
      </w:pPr>
      <w:r w:rsidRPr="00472578">
        <w:t>Te Tangi a Tauira: Ngāi Tahu ki Murihiku Natural Resource and Environmental Iwi Management Plan 2008</w:t>
      </w:r>
    </w:p>
    <w:p w14:paraId="334C2EB1" w14:textId="77777777" w:rsidR="009A1120" w:rsidRPr="00472578" w:rsidRDefault="009A1120" w:rsidP="00E92686">
      <w:pPr>
        <w:numPr>
          <w:ilvl w:val="0"/>
          <w:numId w:val="28"/>
        </w:numPr>
        <w:spacing w:line="256" w:lineRule="auto"/>
        <w:ind w:left="567" w:hanging="567"/>
        <w:contextualSpacing/>
        <w:jc w:val="both"/>
      </w:pPr>
      <w:r w:rsidRPr="00472578">
        <w:t>Waitaki Iwi Management Plan 2019</w:t>
      </w:r>
    </w:p>
    <w:p w14:paraId="0CA81339" w14:textId="77777777" w:rsidR="009A1120" w:rsidRPr="00472578" w:rsidRDefault="009A1120" w:rsidP="00E92686">
      <w:pPr>
        <w:pStyle w:val="Heading5"/>
        <w:jc w:val="both"/>
      </w:pPr>
      <w:r w:rsidRPr="00472578">
        <w:t xml:space="preserve">How the iwi planning documents have been </w:t>
      </w:r>
      <w:proofErr w:type="gramStart"/>
      <w:r w:rsidRPr="00472578">
        <w:t>taken into account</w:t>
      </w:r>
      <w:proofErr w:type="gramEnd"/>
      <w:r w:rsidRPr="00472578">
        <w:t xml:space="preserve"> in this Regional Policy Statement</w:t>
      </w:r>
    </w:p>
    <w:p w14:paraId="26F619CC" w14:textId="77777777" w:rsidR="009A1120" w:rsidRPr="00472578" w:rsidRDefault="009A1120" w:rsidP="00E92686">
      <w:pPr>
        <w:spacing w:line="256" w:lineRule="auto"/>
        <w:jc w:val="both"/>
        <w:rPr>
          <w:rFonts w:cs="Times New Roman"/>
        </w:rPr>
      </w:pPr>
      <w:r w:rsidRPr="00472578">
        <w:rPr>
          <w:rFonts w:cs="Times New Roman"/>
        </w:rPr>
        <w:t>Objectives and policies of the iwi management plans are reflected in the Resource Management Issues of Significance to K</w:t>
      </w:r>
      <w:r w:rsidRPr="00472578">
        <w:t>ā</w:t>
      </w:r>
      <w:r w:rsidRPr="00472578">
        <w:rPr>
          <w:rFonts w:cs="Times New Roman"/>
        </w:rPr>
        <w:t xml:space="preserve">i Tahu and have been </w:t>
      </w:r>
      <w:proofErr w:type="gramStart"/>
      <w:r w:rsidRPr="00472578">
        <w:rPr>
          <w:rFonts w:cs="Times New Roman"/>
        </w:rPr>
        <w:t>taken into account</w:t>
      </w:r>
      <w:proofErr w:type="gramEnd"/>
      <w:r w:rsidRPr="00472578">
        <w:rPr>
          <w:rFonts w:cs="Times New Roman"/>
        </w:rPr>
        <w:t xml:space="preserve"> in the development of provisions across the whole of this Regional Policy Statement.</w:t>
      </w:r>
    </w:p>
    <w:p w14:paraId="4A486167" w14:textId="77777777" w:rsidR="009A1120" w:rsidRPr="00472578" w:rsidRDefault="009A1120" w:rsidP="00E92686">
      <w:pPr>
        <w:pStyle w:val="Heading4"/>
        <w:jc w:val="both"/>
      </w:pPr>
      <w:r w:rsidRPr="00472578">
        <w:lastRenderedPageBreak/>
        <w:t>How iwi planning documents are used in Otago</w:t>
      </w:r>
    </w:p>
    <w:p w14:paraId="55CD9265" w14:textId="70E876F7" w:rsidR="009A1120" w:rsidRPr="00472578" w:rsidRDefault="009A1120" w:rsidP="00E92686">
      <w:pPr>
        <w:spacing w:line="256" w:lineRule="auto"/>
        <w:jc w:val="both"/>
        <w:rPr>
          <w:rFonts w:cs="Times New Roman"/>
        </w:rPr>
      </w:pPr>
      <w:r w:rsidRPr="00472578">
        <w:rPr>
          <w:rFonts w:cs="Times New Roman"/>
        </w:rPr>
        <w:t xml:space="preserve">The iwi management plans are used to provide cultural context and guidance as to the natural resource values, </w:t>
      </w:r>
      <w:proofErr w:type="gramStart"/>
      <w:r w:rsidRPr="00472578">
        <w:rPr>
          <w:rFonts w:cs="Times New Roman"/>
        </w:rPr>
        <w:t>concerns</w:t>
      </w:r>
      <w:proofErr w:type="gramEnd"/>
      <w:r w:rsidRPr="00472578">
        <w:rPr>
          <w:rFonts w:cs="Times New Roman"/>
        </w:rPr>
        <w:t xml:space="preserve"> and issues of K</w:t>
      </w:r>
      <w:r w:rsidRPr="00472578">
        <w:t>ā</w:t>
      </w:r>
      <w:r w:rsidRPr="00472578">
        <w:rPr>
          <w:rFonts w:cs="Times New Roman"/>
        </w:rPr>
        <w:t>i Tahu ki Otago and Ngāi Tahu ki Murihiku.</w:t>
      </w:r>
    </w:p>
    <w:p w14:paraId="4A760EB3" w14:textId="77777777" w:rsidR="009A1120" w:rsidRPr="00472578" w:rsidRDefault="009A1120" w:rsidP="00E92686">
      <w:pPr>
        <w:spacing w:line="256" w:lineRule="auto"/>
        <w:jc w:val="both"/>
        <w:rPr>
          <w:rFonts w:cs="Times New Roman"/>
        </w:rPr>
      </w:pPr>
      <w:r w:rsidRPr="00472578">
        <w:rPr>
          <w:rFonts w:cs="Times New Roman"/>
        </w:rPr>
        <w:t xml:space="preserve">The iwi planning documents are to be used in the development of planning policy and assist decision-makers to make informed decisions, recognising the local knowledge of the </w:t>
      </w:r>
      <w:r w:rsidRPr="00472578">
        <w:rPr>
          <w:rFonts w:cs="Times New Roman"/>
          <w:i/>
          <w:iCs/>
        </w:rPr>
        <w:t>environment</w:t>
      </w:r>
      <w:r w:rsidRPr="00472578">
        <w:rPr>
          <w:rFonts w:cs="Times New Roman"/>
        </w:rPr>
        <w:t xml:space="preserve"> held by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234"/>
      </w:r>
      <w:r w:rsidRPr="00472578">
        <w:rPr>
          <w:rFonts w:cs="Times New Roman"/>
        </w:rPr>
        <w:t xml:space="preserve"> and the significance of the natural resource values to Kāi Tahu. </w:t>
      </w:r>
    </w:p>
    <w:p w14:paraId="2E1EB2FC" w14:textId="77777777" w:rsidR="009A1120" w:rsidRPr="00472578" w:rsidRDefault="009A1120" w:rsidP="00E92686">
      <w:pPr>
        <w:spacing w:line="256" w:lineRule="auto"/>
        <w:jc w:val="both"/>
        <w:rPr>
          <w:rFonts w:cs="Times New Roman"/>
          <w:b/>
          <w:bCs/>
          <w:u w:val="single"/>
        </w:rPr>
      </w:pPr>
      <w:r w:rsidRPr="00472578">
        <w:rPr>
          <w:rFonts w:cs="Times New Roman"/>
        </w:rPr>
        <w:t xml:space="preserve">The iwi planning documents are also used to guide consultation with </w:t>
      </w:r>
      <w:r w:rsidRPr="00472578">
        <w:rPr>
          <w:strike/>
        </w:rPr>
        <w:t>Rūnaka</w:t>
      </w:r>
      <w:r w:rsidRPr="00472578">
        <w:rPr>
          <w:rFonts w:cs="Times New Roman"/>
        </w:rPr>
        <w:t xml:space="preserve"> </w:t>
      </w:r>
      <w:r w:rsidRPr="00472578">
        <w:rPr>
          <w:u w:val="single"/>
        </w:rPr>
        <w:t>rūnaka</w:t>
      </w:r>
      <w:r w:rsidRPr="00472578">
        <w:rPr>
          <w:rStyle w:val="FootnoteReference"/>
        </w:rPr>
        <w:footnoteReference w:id="235"/>
      </w:r>
      <w:r w:rsidRPr="00472578">
        <w:rPr>
          <w:rFonts w:cs="Times New Roman"/>
        </w:rPr>
        <w:t xml:space="preserve"> and set out the expectations for consultation. The iwi management plans are not a substitute for direct communication with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236"/>
      </w:r>
      <w:r w:rsidRPr="00472578">
        <w:rPr>
          <w:rFonts w:cs="Times New Roman"/>
        </w:rPr>
        <w:t xml:space="preserve">. </w:t>
      </w:r>
    </w:p>
    <w:p w14:paraId="6AC52BBC" w14:textId="77777777" w:rsidR="009A1120" w:rsidRPr="00472578" w:rsidRDefault="009A1120" w:rsidP="00E92686">
      <w:pPr>
        <w:pStyle w:val="Heading3"/>
        <w:jc w:val="both"/>
      </w:pPr>
      <w:r w:rsidRPr="00472578">
        <w:t xml:space="preserve">Involvement and participation with </w:t>
      </w:r>
      <w:r w:rsidRPr="00472578">
        <w:rPr>
          <w:i/>
          <w:iCs/>
        </w:rPr>
        <w:t>mana whenua</w:t>
      </w:r>
      <w:r w:rsidRPr="00472578">
        <w:t xml:space="preserve"> </w:t>
      </w:r>
    </w:p>
    <w:p w14:paraId="292BC25C" w14:textId="77777777" w:rsidR="009A1120" w:rsidRPr="00472578" w:rsidRDefault="009A1120" w:rsidP="00E92686">
      <w:pPr>
        <w:spacing w:line="256" w:lineRule="auto"/>
        <w:jc w:val="both"/>
        <w:rPr>
          <w:color w:val="000000"/>
        </w:rPr>
      </w:pPr>
      <w:r w:rsidRPr="00472578">
        <w:rPr>
          <w:rFonts w:cs="Times New Roman"/>
        </w:rPr>
        <w:t xml:space="preserve">ORC and the </w:t>
      </w:r>
      <w:r w:rsidRPr="00472578">
        <w:rPr>
          <w:rFonts w:cs="Times New Roman"/>
          <w:i/>
          <w:iCs/>
        </w:rPr>
        <w:t>local authorities</w:t>
      </w:r>
      <w:r w:rsidRPr="00472578">
        <w:rPr>
          <w:rFonts w:cs="Times New Roman"/>
        </w:rPr>
        <w:t xml:space="preserve"> will e</w:t>
      </w:r>
      <w:r w:rsidRPr="00472578">
        <w:rPr>
          <w:color w:val="000000"/>
        </w:rPr>
        <w:t xml:space="preserve">stablish and maintain effective resource </w:t>
      </w:r>
      <w:r w:rsidRPr="00472578">
        <w:t xml:space="preserve">management relationships with Kāi Tahu based on a mutual obligation to act reasonably and in good faith. </w:t>
      </w:r>
      <w:r w:rsidRPr="00472578">
        <w:rPr>
          <w:color w:val="000000"/>
        </w:rPr>
        <w:t xml:space="preserve">The </w:t>
      </w:r>
      <w:r w:rsidRPr="00472578">
        <w:rPr>
          <w:i/>
          <w:iCs/>
          <w:color w:val="000000"/>
        </w:rPr>
        <w:t>local authorities</w:t>
      </w:r>
      <w:r w:rsidRPr="00472578">
        <w:rPr>
          <w:color w:val="000000"/>
        </w:rPr>
        <w:t xml:space="preserve"> and Otago Regional Council will consult Kāi Tahu at an early stage in resource management processes and </w:t>
      </w:r>
      <w:proofErr w:type="gramStart"/>
      <w:r w:rsidRPr="00472578">
        <w:rPr>
          <w:rFonts w:cs="Times New Roman"/>
        </w:rPr>
        <w:t>implementation,</w:t>
      </w:r>
      <w:r w:rsidRPr="00472578">
        <w:rPr>
          <w:color w:val="000000"/>
        </w:rPr>
        <w:t xml:space="preserve"> and</w:t>
      </w:r>
      <w:proofErr w:type="gramEnd"/>
      <w:r w:rsidRPr="00472578">
        <w:rPr>
          <w:color w:val="000000"/>
        </w:rPr>
        <w:t xml:space="preserve"> facilitate efficient and effective processes for applicants to consult Kāi Tahu on </w:t>
      </w:r>
      <w:r w:rsidRPr="00472578">
        <w:rPr>
          <w:i/>
          <w:iCs/>
          <w:color w:val="000000"/>
        </w:rPr>
        <w:t>resource consent</w:t>
      </w:r>
      <w:r w:rsidRPr="00472578">
        <w:rPr>
          <w:color w:val="000000"/>
        </w:rPr>
        <w:t xml:space="preserve"> applications and private plan change requests.</w:t>
      </w:r>
    </w:p>
    <w:p w14:paraId="0ECC0F07" w14:textId="51042748" w:rsidR="009A1120" w:rsidRPr="00472578" w:rsidRDefault="009A1120" w:rsidP="00E92686">
      <w:pPr>
        <w:spacing w:line="256" w:lineRule="auto"/>
        <w:jc w:val="both"/>
        <w:rPr>
          <w:color w:val="000000"/>
        </w:rPr>
      </w:pPr>
      <w:r w:rsidRPr="00472578">
        <w:rPr>
          <w:i/>
          <w:iCs/>
          <w:color w:val="000000"/>
        </w:rPr>
        <w:t>Local authorities</w:t>
      </w:r>
      <w:r w:rsidRPr="00472578">
        <w:rPr>
          <w:color w:val="000000"/>
        </w:rPr>
        <w:t xml:space="preserve"> may also </w:t>
      </w:r>
      <w:r w:rsidRPr="00472578">
        <w:rPr>
          <w:strike/>
          <w:color w:val="000000"/>
        </w:rPr>
        <w:t>delegate and transfer</w:t>
      </w:r>
      <w:r w:rsidRPr="00472578">
        <w:rPr>
          <w:color w:val="000000"/>
        </w:rPr>
        <w:t xml:space="preserve"> </w:t>
      </w:r>
      <w:r w:rsidRPr="00472578">
        <w:rPr>
          <w:color w:val="000000"/>
          <w:u w:val="single"/>
        </w:rPr>
        <w:t>transfer and delegate</w:t>
      </w:r>
      <w:r w:rsidRPr="00472578">
        <w:rPr>
          <w:rStyle w:val="FootnoteReference"/>
          <w:color w:val="000000"/>
        </w:rPr>
        <w:footnoteReference w:id="237"/>
      </w:r>
      <w:r w:rsidRPr="00472578">
        <w:rPr>
          <w:color w:val="000000"/>
        </w:rPr>
        <w:t xml:space="preserve"> any one or more of their functions, </w:t>
      </w:r>
      <w:proofErr w:type="gramStart"/>
      <w:r w:rsidRPr="00472578">
        <w:rPr>
          <w:color w:val="000000"/>
        </w:rPr>
        <w:t>powers</w:t>
      </w:r>
      <w:proofErr w:type="gramEnd"/>
      <w:r w:rsidRPr="00472578">
        <w:rPr>
          <w:color w:val="000000"/>
        </w:rPr>
        <w:t xml:space="preserve"> or duties to an iwi authority in accordance </w:t>
      </w:r>
      <w:r w:rsidRPr="00472578">
        <w:t>with</w:t>
      </w:r>
      <w:r w:rsidRPr="00472578">
        <w:rPr>
          <w:color w:val="000000"/>
        </w:rPr>
        <w:t xml:space="preserve"> </w:t>
      </w:r>
      <w:r w:rsidRPr="00472578">
        <w:rPr>
          <w:strike/>
        </w:rPr>
        <w:t>section</w:t>
      </w:r>
      <w:r w:rsidRPr="00472578">
        <w:t xml:space="preserve"> </w:t>
      </w:r>
      <w:r w:rsidRPr="00472578">
        <w:rPr>
          <w:u w:val="single"/>
        </w:rPr>
        <w:t>sections</w:t>
      </w:r>
      <w:r w:rsidRPr="00472578">
        <w:t xml:space="preserve"> 33 </w:t>
      </w:r>
      <w:r w:rsidRPr="00472578">
        <w:rPr>
          <w:u w:val="single"/>
        </w:rPr>
        <w:t>(</w:t>
      </w:r>
      <w:r w:rsidR="00924CCF" w:rsidRPr="00472578">
        <w:rPr>
          <w:u w:val="single"/>
        </w:rPr>
        <w:t>transfer)</w:t>
      </w:r>
      <w:r w:rsidR="00924CCF" w:rsidRPr="00472578">
        <w:rPr>
          <w:color w:val="000000"/>
          <w:u w:val="single"/>
        </w:rPr>
        <w:t xml:space="preserve"> </w:t>
      </w:r>
      <w:r w:rsidR="00924CCF" w:rsidRPr="00472578">
        <w:rPr>
          <w:u w:val="single"/>
        </w:rPr>
        <w:t>and</w:t>
      </w:r>
      <w:r w:rsidRPr="00472578">
        <w:rPr>
          <w:u w:val="single"/>
        </w:rPr>
        <w:t xml:space="preserve"> 34A (delegation)</w:t>
      </w:r>
      <w:r w:rsidRPr="00472578">
        <w:rPr>
          <w:u w:val="single"/>
          <w:vertAlign w:val="superscript"/>
        </w:rPr>
        <w:t xml:space="preserve"> </w:t>
      </w:r>
      <w:r w:rsidRPr="00472578">
        <w:rPr>
          <w:vertAlign w:val="superscript"/>
        </w:rPr>
        <w:footnoteReference w:id="238"/>
      </w:r>
      <w:r w:rsidRPr="00472578">
        <w:t xml:space="preserve"> </w:t>
      </w:r>
      <w:r w:rsidRPr="00472578">
        <w:rPr>
          <w:color w:val="000000"/>
        </w:rPr>
        <w:t>of the RMA</w:t>
      </w:r>
      <w:r w:rsidRPr="00472578">
        <w:t xml:space="preserve">, and </w:t>
      </w:r>
      <w:r w:rsidRPr="00472578">
        <w:rPr>
          <w:color w:val="000000"/>
        </w:rPr>
        <w:t>where this provides an effective service.</w:t>
      </w:r>
    </w:p>
    <w:p w14:paraId="45693D95" w14:textId="77777777" w:rsidR="009A1120" w:rsidRPr="00472578" w:rsidRDefault="009A1120" w:rsidP="00E92686">
      <w:pPr>
        <w:pStyle w:val="Heading4"/>
        <w:jc w:val="both"/>
      </w:pPr>
      <w:r w:rsidRPr="00472578">
        <w:rPr>
          <w:i/>
        </w:rPr>
        <w:t>Mana whenua</w:t>
      </w:r>
      <w:r w:rsidRPr="00472578">
        <w:t xml:space="preserve"> consultancy services</w:t>
      </w:r>
    </w:p>
    <w:p w14:paraId="716C6640" w14:textId="77777777" w:rsidR="009A1120" w:rsidRPr="00472578" w:rsidRDefault="009A1120" w:rsidP="00E92686">
      <w:pPr>
        <w:spacing w:line="256" w:lineRule="auto"/>
        <w:jc w:val="both"/>
      </w:pPr>
      <w:r w:rsidRPr="00472578">
        <w:t xml:space="preserve">The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239"/>
      </w:r>
      <w:r w:rsidRPr="00472578">
        <w:rPr>
          <w:rFonts w:cs="Times New Roman"/>
        </w:rPr>
        <w:t xml:space="preserve"> </w:t>
      </w:r>
      <w:r w:rsidRPr="00472578">
        <w:t xml:space="preserve">consultancy services, Aukaha, representing Kāi Tahu ki Otago, and Te Ao Marama Inc, representing Ngāi Tahu ki Murihiku, facilitate Kāi Tahu engagement in resource management processes and provide a first point of contact for the public seeking to engage with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240"/>
      </w:r>
      <w:r w:rsidRPr="00472578">
        <w:t>.</w:t>
      </w:r>
    </w:p>
    <w:p w14:paraId="669B9F62" w14:textId="77777777" w:rsidR="009A1120" w:rsidRPr="00472578" w:rsidRDefault="009A1120" w:rsidP="00E92686">
      <w:pPr>
        <w:pStyle w:val="Heading3"/>
        <w:jc w:val="both"/>
      </w:pPr>
      <w:proofErr w:type="gramStart"/>
      <w:r w:rsidRPr="00472578">
        <w:t>Other</w:t>
      </w:r>
      <w:proofErr w:type="gramEnd"/>
      <w:r w:rsidRPr="00472578">
        <w:t xml:space="preserve"> iwi, hapū and mātāwaka</w:t>
      </w:r>
    </w:p>
    <w:p w14:paraId="7B3E4F6F" w14:textId="77777777" w:rsidR="009A1120" w:rsidRPr="00472578" w:rsidRDefault="009A1120" w:rsidP="00E92686">
      <w:pPr>
        <w:spacing w:before="60" w:after="60" w:line="256" w:lineRule="auto"/>
        <w:jc w:val="both"/>
      </w:pPr>
      <w:r w:rsidRPr="00472578">
        <w:t xml:space="preserve">Otago is also home to Māori from </w:t>
      </w:r>
      <w:proofErr w:type="gramStart"/>
      <w:r w:rsidRPr="00472578">
        <w:t>other</w:t>
      </w:r>
      <w:proofErr w:type="gramEnd"/>
      <w:r w:rsidRPr="00472578">
        <w:t xml:space="preserve"> iwi, hapū, and mātāwaka. The Araiteuru marae in Dunedin and Te Whare Koa in </w:t>
      </w:r>
      <w:r w:rsidRPr="00472578">
        <w:rPr>
          <w:strike/>
        </w:rPr>
        <w:t>Oamaru</w:t>
      </w:r>
      <w:r w:rsidRPr="00472578">
        <w:t xml:space="preserve"> </w:t>
      </w:r>
      <w:r w:rsidRPr="00472578">
        <w:rPr>
          <w:u w:val="single"/>
        </w:rPr>
        <w:t>Ōamaru</w:t>
      </w:r>
      <w:r w:rsidRPr="00472578">
        <w:rPr>
          <w:vertAlign w:val="superscript"/>
        </w:rPr>
        <w:footnoteReference w:id="241"/>
      </w:r>
      <w:r w:rsidRPr="00472578">
        <w:t xml:space="preserve"> are important pan-tribal cultural centres for mātāwaka and sit within the manaakitaka of </w:t>
      </w:r>
      <w:r w:rsidRPr="00472578">
        <w:rPr>
          <w:i/>
        </w:rPr>
        <w:t>takata whenua</w:t>
      </w:r>
      <w:r w:rsidRPr="00472578">
        <w:t>.</w:t>
      </w:r>
    </w:p>
    <w:p w14:paraId="207A578D" w14:textId="77777777" w:rsidR="009A1120" w:rsidRPr="00472578" w:rsidRDefault="009A1120" w:rsidP="00E92686">
      <w:pPr>
        <w:pStyle w:val="Heading3"/>
        <w:jc w:val="both"/>
      </w:pPr>
      <w:r w:rsidRPr="00472578">
        <w:lastRenderedPageBreak/>
        <w:t>Provisions</w:t>
      </w:r>
    </w:p>
    <w:p w14:paraId="107D8A60" w14:textId="77777777" w:rsidR="009A1120" w:rsidRPr="00472578" w:rsidRDefault="009A1120" w:rsidP="00E92686">
      <w:pPr>
        <w:pStyle w:val="Heading4"/>
        <w:jc w:val="both"/>
      </w:pPr>
      <w:r w:rsidRPr="00472578">
        <w:t>Objectives</w:t>
      </w:r>
    </w:p>
    <w:p w14:paraId="3B3249A9" w14:textId="5FEBCCF6" w:rsidR="009A1120" w:rsidRPr="00472578" w:rsidRDefault="00B208D6" w:rsidP="00E92686">
      <w:pPr>
        <w:pStyle w:val="Heading5"/>
        <w:jc w:val="both"/>
      </w:pPr>
      <w:r w:rsidRPr="00472578">
        <w:t>MW-O</w:t>
      </w:r>
      <w:r w:rsidR="009A1120" w:rsidRPr="00472578">
        <w:t>1 – Principles of Te Tiriti o Waitangi</w:t>
      </w:r>
    </w:p>
    <w:p w14:paraId="1340A87F" w14:textId="77777777" w:rsidR="009A1120" w:rsidRPr="00472578" w:rsidRDefault="009A1120" w:rsidP="00E92686">
      <w:pPr>
        <w:spacing w:line="256" w:lineRule="auto"/>
        <w:jc w:val="both"/>
        <w:rPr>
          <w:rFonts w:cs="Times New Roman"/>
        </w:rPr>
      </w:pPr>
      <w:r w:rsidRPr="00472578">
        <w:rPr>
          <w:rFonts w:cs="Times New Roman"/>
        </w:rPr>
        <w:t xml:space="preserve">The principles of Te </w:t>
      </w:r>
      <w:r w:rsidRPr="00472578">
        <w:rPr>
          <w:color w:val="000000"/>
        </w:rPr>
        <w:t>Tiriti</w:t>
      </w:r>
      <w:r w:rsidRPr="00472578">
        <w:rPr>
          <w:rFonts w:cs="Times New Roman"/>
        </w:rPr>
        <w:t xml:space="preserve"> o Waitangi are given effect in resource management processes and decisions, utilising a partnership approach between councils and </w:t>
      </w:r>
      <w:r w:rsidRPr="00472578">
        <w:rPr>
          <w:rFonts w:cs="Times New Roman"/>
          <w:strike/>
        </w:rPr>
        <w:t>Papatipu Rūnaka</w:t>
      </w:r>
      <w:r w:rsidRPr="00472578">
        <w:rPr>
          <w:rFonts w:cs="Times New Roman"/>
        </w:rPr>
        <w:t xml:space="preserve"> </w:t>
      </w:r>
      <w:r w:rsidRPr="00472578">
        <w:rPr>
          <w:rFonts w:cs="Times New Roman"/>
          <w:u w:val="single"/>
        </w:rPr>
        <w:t>papatipu rūnaka</w:t>
      </w:r>
      <w:r w:rsidRPr="00472578">
        <w:rPr>
          <w:rFonts w:cs="Times New Roman"/>
          <w:vertAlign w:val="superscript"/>
        </w:rPr>
        <w:footnoteReference w:id="242"/>
      </w:r>
      <w:r w:rsidRPr="00472578">
        <w:rPr>
          <w:rFonts w:cs="Times New Roman"/>
        </w:rPr>
        <w:t xml:space="preserve"> to ensure that what is valued by </w:t>
      </w:r>
      <w:r w:rsidRPr="00472578">
        <w:rPr>
          <w:rFonts w:cs="Times New Roman"/>
          <w:i/>
          <w:iCs/>
        </w:rPr>
        <w:t>mana whenua</w:t>
      </w:r>
      <w:r w:rsidRPr="00472578">
        <w:rPr>
          <w:rFonts w:cs="Times New Roman"/>
        </w:rPr>
        <w:t xml:space="preserve"> </w:t>
      </w:r>
      <w:r w:rsidRPr="639E38F9">
        <w:rPr>
          <w:u w:val="single"/>
        </w:rPr>
        <w:t>in relation to their taoka tuku iho</w:t>
      </w:r>
      <w:r w:rsidRPr="00472578">
        <w:rPr>
          <w:vertAlign w:val="superscript"/>
        </w:rPr>
        <w:footnoteReference w:id="243"/>
      </w:r>
      <w:r w:rsidRPr="639E38F9">
        <w:t xml:space="preserve"> </w:t>
      </w:r>
      <w:r w:rsidRPr="00472578">
        <w:rPr>
          <w:rFonts w:cs="Times New Roman"/>
        </w:rPr>
        <w:t>is actively protected in the region.</w:t>
      </w:r>
    </w:p>
    <w:p w14:paraId="328CCA48" w14:textId="77777777" w:rsidR="009A1120" w:rsidRPr="00472578" w:rsidRDefault="009A1120" w:rsidP="00E92686">
      <w:pPr>
        <w:pStyle w:val="Heading4"/>
        <w:jc w:val="both"/>
      </w:pPr>
      <w:r w:rsidRPr="00472578">
        <w:t>Policies</w:t>
      </w:r>
    </w:p>
    <w:p w14:paraId="5E390432" w14:textId="3D7F037A" w:rsidR="009A1120" w:rsidRPr="00472578" w:rsidRDefault="00B208D6" w:rsidP="00E92686">
      <w:pPr>
        <w:pStyle w:val="Heading5"/>
        <w:jc w:val="both"/>
      </w:pPr>
      <w:r w:rsidRPr="00472578">
        <w:t>MW-P</w:t>
      </w:r>
      <w:r w:rsidR="009A1120" w:rsidRPr="00472578">
        <w:t>1 – Treaty obligations</w:t>
      </w:r>
      <w:r w:rsidR="009A1120" w:rsidRPr="00472578">
        <w:tab/>
      </w:r>
    </w:p>
    <w:p w14:paraId="4C62DC69" w14:textId="77777777" w:rsidR="009A1120" w:rsidRPr="00472578" w:rsidRDefault="009A1120" w:rsidP="00E92686">
      <w:pPr>
        <w:spacing w:line="256" w:lineRule="auto"/>
        <w:jc w:val="both"/>
        <w:rPr>
          <w:rFonts w:cs="Times New Roman"/>
        </w:rPr>
      </w:pPr>
      <w:r w:rsidRPr="00472578">
        <w:rPr>
          <w:rFonts w:cs="Times New Roman"/>
        </w:rPr>
        <w:t xml:space="preserve">Promote awareness and understanding of the obligations of </w:t>
      </w:r>
      <w:r w:rsidRPr="00472578">
        <w:rPr>
          <w:rFonts w:cs="Times New Roman"/>
          <w:i/>
          <w:iCs/>
        </w:rPr>
        <w:t>local authorities</w:t>
      </w:r>
      <w:r w:rsidRPr="00472578">
        <w:rPr>
          <w:rFonts w:cs="Times New Roman"/>
        </w:rPr>
        <w:t xml:space="preserve"> </w:t>
      </w:r>
      <w:proofErr w:type="gramStart"/>
      <w:r w:rsidRPr="00472578">
        <w:rPr>
          <w:rFonts w:cs="Times New Roman"/>
        </w:rPr>
        <w:t>in regard to</w:t>
      </w:r>
      <w:proofErr w:type="gramEnd"/>
      <w:r w:rsidRPr="00472578">
        <w:rPr>
          <w:rFonts w:cs="Times New Roman"/>
        </w:rPr>
        <w:t xml:space="preserve"> the principles of Te Tiriti o Waitangi, tikaka Māori and kaupapa Māori.</w:t>
      </w:r>
    </w:p>
    <w:p w14:paraId="07AE97B7" w14:textId="5FD48643" w:rsidR="009A1120" w:rsidRPr="00472578" w:rsidRDefault="00B208D6" w:rsidP="00E92686">
      <w:pPr>
        <w:pStyle w:val="Heading5"/>
        <w:jc w:val="both"/>
      </w:pPr>
      <w:r w:rsidRPr="00472578">
        <w:t>MW-P</w:t>
      </w:r>
      <w:r w:rsidR="009A1120" w:rsidRPr="00472578">
        <w:t>2 – Treaty principles</w:t>
      </w:r>
    </w:p>
    <w:p w14:paraId="4FFF0CB7" w14:textId="77777777" w:rsidR="009A1120" w:rsidRPr="00472578" w:rsidRDefault="009A1120" w:rsidP="00E92686">
      <w:pPr>
        <w:spacing w:line="256" w:lineRule="auto"/>
        <w:jc w:val="both"/>
        <w:rPr>
          <w:rFonts w:cs="Times New Roman"/>
        </w:rPr>
      </w:pPr>
      <w:r w:rsidRPr="00472578">
        <w:rPr>
          <w:rFonts w:cs="Times New Roman"/>
          <w:i/>
          <w:iCs/>
        </w:rPr>
        <w:t>Local authorities</w:t>
      </w:r>
      <w:r w:rsidRPr="00472578">
        <w:rPr>
          <w:rFonts w:cs="Times New Roman"/>
        </w:rPr>
        <w:t xml:space="preserve"> exercise their functions and powers in accordance with </w:t>
      </w:r>
      <w:r w:rsidRPr="00472578">
        <w:rPr>
          <w:rFonts w:cs="Times New Roman"/>
          <w:u w:val="single"/>
        </w:rPr>
        <w:t xml:space="preserve">the </w:t>
      </w:r>
      <w:r w:rsidRPr="639E38F9">
        <w:rPr>
          <w:u w:val="single"/>
        </w:rPr>
        <w:t>principles of Te Tiriti o Waitangi</w:t>
      </w:r>
      <w:r w:rsidRPr="639E38F9">
        <w:t xml:space="preserve"> </w:t>
      </w:r>
      <w:r w:rsidRPr="00472578">
        <w:rPr>
          <w:strike/>
        </w:rPr>
        <w:t>Treaty principles</w:t>
      </w:r>
      <w:r w:rsidRPr="00472578">
        <w:rPr>
          <w:vertAlign w:val="superscript"/>
        </w:rPr>
        <w:footnoteReference w:id="244"/>
      </w:r>
      <w:r w:rsidRPr="00472578">
        <w:rPr>
          <w:rFonts w:cs="Times New Roman"/>
        </w:rPr>
        <w:t>, by:</w:t>
      </w:r>
    </w:p>
    <w:p w14:paraId="06979C08" w14:textId="688A2D83" w:rsidR="009A1120" w:rsidRPr="00472578" w:rsidRDefault="009A1120" w:rsidP="00E92686">
      <w:pPr>
        <w:ind w:left="567" w:hanging="567"/>
        <w:jc w:val="both"/>
      </w:pPr>
      <w:r w:rsidRPr="00472578">
        <w:rPr>
          <w:rFonts w:cs="Times New Roman"/>
        </w:rPr>
        <w:t xml:space="preserve">(1) </w:t>
      </w:r>
      <w:r w:rsidRPr="00472578">
        <w:rPr>
          <w:rFonts w:cs="Times New Roman"/>
        </w:rPr>
        <w:tab/>
      </w:r>
      <w:r w:rsidRPr="00472578">
        <w:t xml:space="preserve">recognising the status of Kāi Tahu </w:t>
      </w:r>
      <w:r w:rsidRPr="639E38F9">
        <w:rPr>
          <w:u w:val="single"/>
        </w:rPr>
        <w:t>as mana whenua</w:t>
      </w:r>
      <w:r w:rsidRPr="639E38F9">
        <w:rPr>
          <w:vertAlign w:val="superscript"/>
        </w:rPr>
        <w:footnoteReference w:id="245"/>
      </w:r>
      <w:r w:rsidRPr="00472578">
        <w:t xml:space="preserve">and facilitating Kāi Tahu involvement in decision-making as a </w:t>
      </w:r>
      <w:r w:rsidRPr="639E38F9">
        <w:rPr>
          <w:strike/>
        </w:rPr>
        <w:t xml:space="preserve">Treaty </w:t>
      </w:r>
      <w:r w:rsidRPr="639E38F9">
        <w:t xml:space="preserve">partner </w:t>
      </w:r>
      <w:r w:rsidRPr="639E38F9">
        <w:rPr>
          <w:u w:val="single"/>
        </w:rPr>
        <w:t>under Te Tiriti o Waitangi</w:t>
      </w:r>
      <w:r w:rsidR="00010666" w:rsidRPr="00472578">
        <w:t>,</w:t>
      </w:r>
      <w:r w:rsidRPr="639E38F9">
        <w:rPr>
          <w:vertAlign w:val="superscript"/>
        </w:rPr>
        <w:footnoteReference w:id="246"/>
      </w:r>
    </w:p>
    <w:p w14:paraId="01498054" w14:textId="7CD65FD7" w:rsidR="009A1120" w:rsidRPr="00472578" w:rsidRDefault="009A1120" w:rsidP="00E92686">
      <w:pPr>
        <w:ind w:left="567" w:hanging="567"/>
        <w:jc w:val="both"/>
      </w:pPr>
      <w:r w:rsidRPr="00472578">
        <w:t xml:space="preserve">(2) </w:t>
      </w:r>
      <w:r w:rsidRPr="00472578">
        <w:tab/>
      </w:r>
      <w:r w:rsidRPr="639E38F9">
        <w:t>including Kāi Tahu in resource management processes</w:t>
      </w:r>
      <w:r w:rsidRPr="639E38F9">
        <w:rPr>
          <w:u w:val="single"/>
        </w:rPr>
        <w:t>,</w:t>
      </w:r>
      <w:r w:rsidRPr="639E38F9">
        <w:t xml:space="preserve"> </w:t>
      </w:r>
      <w:r w:rsidRPr="639E38F9">
        <w:rPr>
          <w:strike/>
        </w:rPr>
        <w:t>and</w:t>
      </w:r>
      <w:r w:rsidRPr="639E38F9">
        <w:t xml:space="preserve"> implementation</w:t>
      </w:r>
      <w:r w:rsidRPr="639E38F9">
        <w:rPr>
          <w:u w:val="single"/>
        </w:rPr>
        <w:t xml:space="preserve"> and decision</w:t>
      </w:r>
      <w:r w:rsidR="006C4400" w:rsidRPr="639E38F9">
        <w:rPr>
          <w:u w:val="single"/>
        </w:rPr>
        <w:t>-</w:t>
      </w:r>
      <w:r w:rsidRPr="639E38F9">
        <w:rPr>
          <w:u w:val="single"/>
        </w:rPr>
        <w:t>making</w:t>
      </w:r>
      <w:r w:rsidRPr="639E38F9">
        <w:t xml:space="preserve"> to the extent desired by mana whenua,</w:t>
      </w:r>
      <w:r w:rsidRPr="639E38F9">
        <w:rPr>
          <w:vertAlign w:val="superscript"/>
        </w:rPr>
        <w:footnoteReference w:id="247"/>
      </w:r>
    </w:p>
    <w:p w14:paraId="7BCCCA70" w14:textId="77777777" w:rsidR="009A1120" w:rsidRPr="00472578" w:rsidRDefault="009A1120" w:rsidP="00E92686">
      <w:pPr>
        <w:ind w:left="567" w:hanging="567"/>
        <w:jc w:val="both"/>
      </w:pPr>
      <w:r w:rsidRPr="00472578">
        <w:t xml:space="preserve">(3) </w:t>
      </w:r>
      <w:r w:rsidRPr="00472578">
        <w:tab/>
      </w:r>
      <w:r w:rsidRPr="639E38F9">
        <w:t>recognising and providing for Kai Tahu values</w:t>
      </w:r>
      <w:r w:rsidRPr="639E38F9">
        <w:rPr>
          <w:u w:val="single"/>
        </w:rPr>
        <w:t>,</w:t>
      </w:r>
      <w:r w:rsidRPr="639E38F9">
        <w:t xml:space="preserve"> and </w:t>
      </w:r>
      <w:r w:rsidRPr="639E38F9">
        <w:rPr>
          <w:u w:val="single"/>
        </w:rPr>
        <w:t>addressing</w:t>
      </w:r>
      <w:r w:rsidRPr="639E38F9">
        <w:t xml:space="preserve"> resource management issues </w:t>
      </w:r>
      <w:r w:rsidRPr="639E38F9">
        <w:rPr>
          <w:u w:val="single"/>
        </w:rPr>
        <w:t>of significance to Kāi Tahu</w:t>
      </w:r>
      <w:r w:rsidRPr="639E38F9">
        <w:t xml:space="preserve">, as identified by </w:t>
      </w:r>
      <w:r w:rsidRPr="639E38F9">
        <w:rPr>
          <w:i/>
        </w:rPr>
        <w:t>mana whenua</w:t>
      </w:r>
      <w:r w:rsidRPr="639E38F9">
        <w:t>, in resource management processes and plan implementation</w:t>
      </w:r>
      <w:r w:rsidRPr="00472578">
        <w:t>,</w:t>
      </w:r>
      <w:r w:rsidRPr="00472578">
        <w:rPr>
          <w:vertAlign w:val="superscript"/>
        </w:rPr>
        <w:footnoteReference w:id="248"/>
      </w:r>
    </w:p>
    <w:p w14:paraId="7A7F262B" w14:textId="67C44E35" w:rsidR="009A1120" w:rsidRPr="00472578" w:rsidRDefault="009A1120" w:rsidP="00E92686">
      <w:pPr>
        <w:ind w:left="567" w:hanging="567"/>
        <w:jc w:val="both"/>
      </w:pPr>
      <w:r w:rsidRPr="00472578">
        <w:t xml:space="preserve">(4) </w:t>
      </w:r>
      <w:r w:rsidRPr="00472578">
        <w:tab/>
      </w:r>
      <w:r w:rsidRPr="639E38F9">
        <w:t xml:space="preserve">recognising and providing for the relationship of Kāi Tahu culture and traditions with their ancestral lands, </w:t>
      </w:r>
      <w:r w:rsidRPr="639E38F9">
        <w:rPr>
          <w:i/>
          <w:strike/>
        </w:rPr>
        <w:t>wa</w:t>
      </w:r>
      <w:r w:rsidR="00995687" w:rsidRPr="639E38F9">
        <w:rPr>
          <w:i/>
          <w:strike/>
        </w:rPr>
        <w:t>ter,</w:t>
      </w:r>
      <w:r w:rsidRPr="639E38F9">
        <w:t xml:space="preserve"> </w:t>
      </w:r>
      <w:r w:rsidRPr="639E38F9">
        <w:rPr>
          <w:u w:val="single"/>
        </w:rPr>
        <w:t xml:space="preserve">encompassing wai māori and wai tai, significant </w:t>
      </w:r>
      <w:r w:rsidRPr="639E38F9">
        <w:t xml:space="preserve">sites, </w:t>
      </w:r>
      <w:r w:rsidRPr="639E38F9">
        <w:rPr>
          <w:u w:val="single"/>
        </w:rPr>
        <w:t xml:space="preserve">wāhi tūpuna, </w:t>
      </w:r>
      <w:r w:rsidRPr="639E38F9">
        <w:t>wāhi tapu</w:t>
      </w:r>
      <w:r w:rsidRPr="639E38F9">
        <w:rPr>
          <w:u w:val="single"/>
        </w:rPr>
        <w:t xml:space="preserve"> and wāhi taoka</w:t>
      </w:r>
      <w:r w:rsidRPr="639E38F9">
        <w:t xml:space="preserve">, and other taoka by ensuring that Kāi Tahu </w:t>
      </w:r>
      <w:proofErr w:type="gramStart"/>
      <w:r w:rsidRPr="639E38F9">
        <w:t>have the ability to</w:t>
      </w:r>
      <w:proofErr w:type="gramEnd"/>
      <w:r w:rsidRPr="639E38F9">
        <w:t xml:space="preserve"> identify these relationships and determine how best to express them</w:t>
      </w:r>
      <w:r w:rsidRPr="00472578">
        <w:t>,</w:t>
      </w:r>
      <w:r w:rsidRPr="00472578">
        <w:rPr>
          <w:vertAlign w:val="superscript"/>
        </w:rPr>
        <w:footnoteReference w:id="249"/>
      </w:r>
    </w:p>
    <w:p w14:paraId="7AE8322F" w14:textId="24E296AD" w:rsidR="009A1120" w:rsidRPr="00472578" w:rsidRDefault="009A1120" w:rsidP="00E92686">
      <w:pPr>
        <w:ind w:left="567" w:hanging="567"/>
        <w:jc w:val="both"/>
      </w:pPr>
      <w:r w:rsidRPr="00472578">
        <w:t xml:space="preserve">(5) </w:t>
      </w:r>
      <w:r w:rsidRPr="00472578">
        <w:tab/>
        <w:t xml:space="preserve">ensuring that </w:t>
      </w:r>
      <w:r w:rsidRPr="00472578">
        <w:rPr>
          <w:i/>
          <w:iCs/>
        </w:rPr>
        <w:t xml:space="preserve">regional </w:t>
      </w:r>
      <w:r w:rsidR="000E3841" w:rsidRPr="00472578">
        <w:rPr>
          <w:i/>
          <w:iCs/>
          <w:u w:val="single"/>
        </w:rPr>
        <w:t>plans</w:t>
      </w:r>
      <w:r w:rsidR="00DB5091" w:rsidRPr="00472578">
        <w:rPr>
          <w:rStyle w:val="FootnoteReference"/>
          <w:i/>
          <w:iCs/>
        </w:rPr>
        <w:footnoteReference w:id="250"/>
      </w:r>
      <w:r w:rsidR="00936B46" w:rsidRPr="00472578">
        <w:rPr>
          <w:i/>
          <w:iCs/>
        </w:rPr>
        <w:t xml:space="preserve"> </w:t>
      </w:r>
      <w:r w:rsidRPr="00472578">
        <w:t>and</w:t>
      </w:r>
      <w:r w:rsidRPr="00472578">
        <w:rPr>
          <w:i/>
          <w:iCs/>
        </w:rPr>
        <w:t xml:space="preserve"> district plans</w:t>
      </w:r>
      <w:r w:rsidRPr="00472578">
        <w:t xml:space="preserve"> recognise and provide for Kāi Tahu relationships with Statutory Acknowledgement Areas, tōpuni, </w:t>
      </w:r>
      <w:r w:rsidRPr="00472578">
        <w:rPr>
          <w:i/>
          <w:iCs/>
        </w:rPr>
        <w:t>nohoaka</w:t>
      </w:r>
      <w:r w:rsidRPr="00472578">
        <w:t xml:space="preserve"> and customary fisheries identified in the NTCSA</w:t>
      </w:r>
      <w:r w:rsidR="00495457" w:rsidRPr="00EF1863">
        <w:rPr>
          <w:rFonts w:cs="Times New Roman"/>
          <w:strike/>
        </w:rPr>
        <w:t xml:space="preserve"> 1998</w:t>
      </w:r>
      <w:r w:rsidR="00495457">
        <w:rPr>
          <w:rStyle w:val="FootnoteReference"/>
          <w:rFonts w:cs="Times New Roman"/>
        </w:rPr>
        <w:footnoteReference w:id="251"/>
      </w:r>
      <w:r w:rsidRPr="00472578">
        <w:t>, including by actively protecting the mauri of these areas,</w:t>
      </w:r>
    </w:p>
    <w:p w14:paraId="38DA2AF0" w14:textId="70F92CB4" w:rsidR="009A1120" w:rsidRPr="00472578" w:rsidRDefault="009A1120" w:rsidP="00E92686">
      <w:pPr>
        <w:ind w:left="567" w:hanging="567"/>
        <w:jc w:val="both"/>
      </w:pPr>
      <w:r w:rsidRPr="00472578">
        <w:lastRenderedPageBreak/>
        <w:t xml:space="preserve">(6) </w:t>
      </w:r>
      <w:r w:rsidRPr="00472578">
        <w:tab/>
      </w:r>
      <w:r w:rsidRPr="639E38F9">
        <w:t xml:space="preserve">having </w:t>
      </w:r>
      <w:proofErr w:type="gramStart"/>
      <w:r w:rsidRPr="639E38F9">
        <w:t>particular regard</w:t>
      </w:r>
      <w:proofErr w:type="gramEnd"/>
      <w:r w:rsidRPr="639E38F9">
        <w:t xml:space="preserve"> to</w:t>
      </w:r>
      <w:r w:rsidRPr="639E38F9">
        <w:rPr>
          <w:u w:val="single"/>
        </w:rPr>
        <w:t xml:space="preserve"> the responsibility</w:t>
      </w:r>
      <w:r w:rsidRPr="639E38F9">
        <w:t xml:space="preserve"> </w:t>
      </w:r>
      <w:r w:rsidRPr="639E38F9">
        <w:rPr>
          <w:strike/>
        </w:rPr>
        <w:t>ability</w:t>
      </w:r>
      <w:r w:rsidRPr="639E38F9">
        <w:t xml:space="preserve"> of Kāi Tahu to exercise </w:t>
      </w:r>
      <w:r w:rsidRPr="639E38F9">
        <w:rPr>
          <w:u w:val="single"/>
        </w:rPr>
        <w:t>their role as kaitiaki</w:t>
      </w:r>
      <w:r w:rsidRPr="639E38F9">
        <w:t xml:space="preserve"> </w:t>
      </w:r>
      <w:r w:rsidRPr="639E38F9">
        <w:rPr>
          <w:strike/>
        </w:rPr>
        <w:t>kaitiakitaka</w:t>
      </w:r>
      <w:r w:rsidRPr="639E38F9">
        <w:rPr>
          <w:u w:val="single"/>
        </w:rPr>
        <w:t xml:space="preserve"> as an expression of mana and rakatirataka</w:t>
      </w:r>
      <w:r w:rsidRPr="00472578">
        <w:t>,</w:t>
      </w:r>
      <w:r w:rsidRPr="00472578">
        <w:rPr>
          <w:vertAlign w:val="superscript"/>
        </w:rPr>
        <w:footnoteReference w:id="252"/>
      </w:r>
    </w:p>
    <w:p w14:paraId="24AE0864" w14:textId="77777777" w:rsidR="009A1120" w:rsidRPr="00472578" w:rsidRDefault="009A1120" w:rsidP="00E92686">
      <w:pPr>
        <w:ind w:left="567" w:hanging="567"/>
        <w:jc w:val="both"/>
      </w:pPr>
      <w:r w:rsidRPr="00472578">
        <w:t xml:space="preserve">(7) </w:t>
      </w:r>
      <w:r w:rsidRPr="00472578">
        <w:tab/>
        <w:t>actively pursuing opportunities for:</w:t>
      </w:r>
    </w:p>
    <w:p w14:paraId="43849794" w14:textId="77777777" w:rsidR="009A1120" w:rsidRPr="00472578" w:rsidRDefault="009A1120" w:rsidP="00E92686">
      <w:pPr>
        <w:ind w:left="1134" w:hanging="567"/>
        <w:jc w:val="both"/>
      </w:pPr>
      <w:r w:rsidRPr="00472578">
        <w:t xml:space="preserve">(a) </w:t>
      </w:r>
      <w:r w:rsidRPr="00472578">
        <w:tab/>
        <w:t>delegation or transfer of functions to Kāi Tahu, and</w:t>
      </w:r>
    </w:p>
    <w:p w14:paraId="50B7EBE5" w14:textId="77777777" w:rsidR="009A1120" w:rsidRPr="00472578" w:rsidRDefault="009A1120" w:rsidP="00E92686">
      <w:pPr>
        <w:ind w:left="1134" w:hanging="567"/>
        <w:jc w:val="both"/>
      </w:pPr>
      <w:r w:rsidRPr="00472578">
        <w:t xml:space="preserve">(b) </w:t>
      </w:r>
      <w:r w:rsidRPr="00472578">
        <w:tab/>
        <w:t xml:space="preserve">partnership or joint management arrangements, </w:t>
      </w:r>
      <w:r w:rsidRPr="00472578">
        <w:rPr>
          <w:strike/>
        </w:rPr>
        <w:t>and</w:t>
      </w:r>
      <w:r w:rsidRPr="00472578">
        <w:t xml:space="preserve"> </w:t>
      </w:r>
      <w:r w:rsidRPr="00472578">
        <w:rPr>
          <w:rStyle w:val="FootnoteReference"/>
        </w:rPr>
        <w:footnoteReference w:id="253"/>
      </w:r>
    </w:p>
    <w:p w14:paraId="3AE195F2" w14:textId="77777777" w:rsidR="009A1120" w:rsidRPr="00472578" w:rsidRDefault="009A1120" w:rsidP="00E92686">
      <w:pPr>
        <w:ind w:left="567" w:hanging="567"/>
        <w:jc w:val="both"/>
      </w:pPr>
      <w:r w:rsidRPr="00472578">
        <w:t xml:space="preserve">(8) </w:t>
      </w:r>
      <w:r w:rsidRPr="00472578">
        <w:tab/>
      </w:r>
      <w:proofErr w:type="gramStart"/>
      <w:r w:rsidRPr="00472578">
        <w:t>taking into account</w:t>
      </w:r>
      <w:proofErr w:type="gramEnd"/>
      <w:r w:rsidRPr="00472578">
        <w:t xml:space="preserve"> iwi management plans when making resource management decisions</w:t>
      </w:r>
      <w:r w:rsidRPr="00472578">
        <w:rPr>
          <w:strike/>
        </w:rPr>
        <w:t>.</w:t>
      </w:r>
      <w:r w:rsidRPr="00472578">
        <w:rPr>
          <w:u w:val="single"/>
        </w:rPr>
        <w:t>, and</w:t>
      </w:r>
      <w:r w:rsidRPr="00472578">
        <w:rPr>
          <w:rStyle w:val="FootnoteReference"/>
        </w:rPr>
        <w:footnoteReference w:id="254"/>
      </w:r>
    </w:p>
    <w:p w14:paraId="7B423203" w14:textId="51241613" w:rsidR="009A1120" w:rsidRPr="00472578" w:rsidRDefault="009A1120" w:rsidP="00E92686">
      <w:pPr>
        <w:ind w:left="567" w:hanging="567"/>
        <w:jc w:val="both"/>
        <w:rPr>
          <w:rFonts w:cs="Times New Roman"/>
          <w:b/>
          <w:bCs/>
          <w:color w:val="1F3864" w:themeColor="accent1" w:themeShade="80"/>
        </w:rPr>
      </w:pPr>
      <w:r w:rsidRPr="00472578">
        <w:rPr>
          <w:u w:val="single"/>
        </w:rPr>
        <w:t>(8A)</w:t>
      </w:r>
      <w:r w:rsidRPr="00472578">
        <w:rPr>
          <w:u w:val="single"/>
        </w:rPr>
        <w:tab/>
      </w:r>
      <w:r w:rsidRPr="639E38F9">
        <w:rPr>
          <w:i/>
          <w:u w:val="single"/>
          <w:lang w:val="en-US"/>
        </w:rPr>
        <w:t>regional</w:t>
      </w:r>
      <w:r w:rsidRPr="639E38F9">
        <w:rPr>
          <w:u w:val="single"/>
          <w:lang w:val="en-US"/>
        </w:rPr>
        <w:t xml:space="preserve"> </w:t>
      </w:r>
      <w:r w:rsidR="00DB5091" w:rsidRPr="639E38F9">
        <w:rPr>
          <w:i/>
          <w:u w:val="single"/>
          <w:lang w:val="en-US"/>
        </w:rPr>
        <w:t xml:space="preserve">plans </w:t>
      </w:r>
      <w:r w:rsidRPr="639E38F9">
        <w:rPr>
          <w:u w:val="single"/>
          <w:lang w:val="en-US"/>
        </w:rPr>
        <w:t xml:space="preserve">and </w:t>
      </w:r>
      <w:r w:rsidRPr="639E38F9">
        <w:rPr>
          <w:i/>
          <w:u w:val="single"/>
          <w:lang w:val="en-US"/>
        </w:rPr>
        <w:t>district plans</w:t>
      </w:r>
      <w:r w:rsidRPr="639E38F9">
        <w:rPr>
          <w:u w:val="single"/>
          <w:lang w:val="en-US"/>
        </w:rPr>
        <w:t xml:space="preserve"> recognising and providing for aquaculture settlement outcomes identified under the Māori Commercial Aquaculture Claims Settlement Act 2004.</w:t>
      </w:r>
      <w:r w:rsidRPr="639E38F9">
        <w:rPr>
          <w:vertAlign w:val="superscript"/>
          <w:lang w:val="en-US"/>
        </w:rPr>
        <w:footnoteReference w:id="255"/>
      </w:r>
    </w:p>
    <w:p w14:paraId="358599C5" w14:textId="7A6339B6" w:rsidR="009A1120" w:rsidRPr="00472578" w:rsidRDefault="00B208D6" w:rsidP="00E92686">
      <w:pPr>
        <w:pStyle w:val="Heading5"/>
        <w:jc w:val="both"/>
      </w:pPr>
      <w:r w:rsidRPr="00472578">
        <w:t>MW-P</w:t>
      </w:r>
      <w:r w:rsidR="009A1120" w:rsidRPr="00472578">
        <w:t>3 – Supporting Kāi Tahu well-being</w:t>
      </w:r>
    </w:p>
    <w:p w14:paraId="6168FDFF" w14:textId="77777777" w:rsidR="009A1120" w:rsidRPr="00472578" w:rsidRDefault="009A1120" w:rsidP="00E92686">
      <w:pPr>
        <w:spacing w:line="256" w:lineRule="auto"/>
        <w:jc w:val="both"/>
        <w:rPr>
          <w:rFonts w:cs="Times New Roman"/>
        </w:rPr>
      </w:pPr>
      <w:r w:rsidRPr="00472578">
        <w:rPr>
          <w:rFonts w:cs="Times New Roman"/>
        </w:rPr>
        <w:t>The natural environment is managed to support Kāi Tahu well-being by:</w:t>
      </w:r>
    </w:p>
    <w:p w14:paraId="13E4FAE7" w14:textId="2F29F292" w:rsidR="009A1120" w:rsidRPr="00472578" w:rsidRDefault="009A1120" w:rsidP="00E92686">
      <w:pPr>
        <w:pStyle w:val="JustifiedSpacing"/>
        <w:ind w:left="567" w:hanging="567"/>
      </w:pPr>
      <w:r w:rsidRPr="00472578">
        <w:t>(</w:t>
      </w:r>
      <w:r w:rsidR="00FD41A3" w:rsidRPr="00472578">
        <w:t>1</w:t>
      </w:r>
      <w:r w:rsidRPr="00472578">
        <w:t>A)</w:t>
      </w:r>
      <w:r w:rsidRPr="00472578">
        <w:tab/>
      </w:r>
      <w:r w:rsidRPr="639E38F9">
        <w:rPr>
          <w:rFonts w:cstheme="minorBidi"/>
          <w:u w:val="single"/>
        </w:rPr>
        <w:t>recognising that Kāi Tahu hold an ancestral and enduring relationship with all whenua, wai māori and coastal waters within their takiwā,</w:t>
      </w:r>
      <w:bookmarkStart w:id="50" w:name="_Hlk95432563"/>
      <w:r w:rsidRPr="639E38F9">
        <w:rPr>
          <w:rStyle w:val="FootnoteReference"/>
          <w:rFonts w:cstheme="minorBidi"/>
        </w:rPr>
        <w:footnoteReference w:id="256"/>
      </w:r>
      <w:bookmarkEnd w:id="50"/>
    </w:p>
    <w:p w14:paraId="527A2C89" w14:textId="2447A290" w:rsidR="009A1120" w:rsidRPr="00472578" w:rsidRDefault="009A1120" w:rsidP="00E92686">
      <w:pPr>
        <w:ind w:left="567" w:hanging="567"/>
        <w:jc w:val="both"/>
      </w:pPr>
      <w:r w:rsidRPr="00472578">
        <w:t xml:space="preserve">(1) </w:t>
      </w:r>
      <w:r w:rsidRPr="00472578">
        <w:tab/>
      </w:r>
      <w:r w:rsidRPr="639E38F9">
        <w:t xml:space="preserve">protecting customary uses, Kāi Tahu values and relationships of Kāi Tahu </w:t>
      </w:r>
      <w:r w:rsidRPr="639E38F9">
        <w:rPr>
          <w:u w:val="single"/>
        </w:rPr>
        <w:t>as identified by Kāi Tahu</w:t>
      </w:r>
      <w:r w:rsidRPr="639E38F9">
        <w:rPr>
          <w:vertAlign w:val="superscript"/>
        </w:rPr>
        <w:footnoteReference w:id="257"/>
      </w:r>
      <w:r w:rsidRPr="639E38F9">
        <w:t xml:space="preserve"> to resources and areas of significance, and restoring these uses and values where they have been degraded by human activities</w:t>
      </w:r>
      <w:r w:rsidRPr="00472578">
        <w:t xml:space="preserve">, </w:t>
      </w:r>
    </w:p>
    <w:p w14:paraId="340B5B96" w14:textId="77777777" w:rsidR="009A1120" w:rsidRPr="00472578" w:rsidRDefault="009A1120" w:rsidP="00E92686">
      <w:pPr>
        <w:ind w:left="567" w:hanging="567"/>
        <w:jc w:val="both"/>
      </w:pPr>
      <w:r w:rsidRPr="00472578">
        <w:t xml:space="preserve">(2) </w:t>
      </w:r>
      <w:r w:rsidRPr="00472578">
        <w:tab/>
      </w:r>
      <w:r w:rsidRPr="639E38F9">
        <w:t>safeguarding the mauri and life-supporting capacity of natural resources,</w:t>
      </w:r>
      <w:r w:rsidRPr="639E38F9">
        <w:rPr>
          <w:u w:val="single"/>
        </w:rPr>
        <w:t xml:space="preserve"> recognising the whakapapa connections of Kāi Tahu with these resources as taoka, and the connections to practices such as </w:t>
      </w:r>
      <w:r w:rsidRPr="639E38F9">
        <w:rPr>
          <w:i/>
          <w:u w:val="single"/>
        </w:rPr>
        <w:t>mahika kai</w:t>
      </w:r>
      <w:r w:rsidRPr="639E38F9">
        <w:rPr>
          <w:u w:val="single"/>
        </w:rPr>
        <w:t>,</w:t>
      </w:r>
      <w:r w:rsidRPr="639E38F9">
        <w:t xml:space="preserve"> and</w:t>
      </w:r>
      <w:r w:rsidRPr="639E38F9">
        <w:rPr>
          <w:vertAlign w:val="superscript"/>
        </w:rPr>
        <w:footnoteReference w:id="258"/>
      </w:r>
    </w:p>
    <w:p w14:paraId="32C55ED6" w14:textId="78082E48" w:rsidR="009A1120" w:rsidRPr="00472578" w:rsidRDefault="009A1120" w:rsidP="00E92686">
      <w:pPr>
        <w:ind w:left="567" w:hanging="567"/>
        <w:jc w:val="both"/>
      </w:pPr>
      <w:r w:rsidRPr="00472578">
        <w:t>(3)</w:t>
      </w:r>
      <w:r w:rsidRPr="00472578">
        <w:tab/>
        <w:t xml:space="preserve">working with Kāi Tahu to incorporate mātauraka </w:t>
      </w:r>
      <w:r w:rsidRPr="00472578">
        <w:rPr>
          <w:strike/>
        </w:rPr>
        <w:t>in</w:t>
      </w:r>
      <w:r w:rsidRPr="00472578">
        <w:t xml:space="preserve"> </w:t>
      </w:r>
      <w:r w:rsidRPr="00472578">
        <w:rPr>
          <w:u w:val="single"/>
        </w:rPr>
        <w:t>into</w:t>
      </w:r>
      <w:r w:rsidRPr="00472578">
        <w:rPr>
          <w:vertAlign w:val="superscript"/>
        </w:rPr>
        <w:footnoteReference w:id="259"/>
      </w:r>
      <w:r w:rsidRPr="00472578">
        <w:t xml:space="preserve"> resource management </w:t>
      </w:r>
      <w:r w:rsidRPr="639E38F9">
        <w:rPr>
          <w:u w:val="single"/>
        </w:rPr>
        <w:t>processes and decision</w:t>
      </w:r>
      <w:r w:rsidR="000C3FA3" w:rsidRPr="639E38F9">
        <w:rPr>
          <w:u w:val="single"/>
        </w:rPr>
        <w:t>-</w:t>
      </w:r>
      <w:r w:rsidRPr="639E38F9">
        <w:rPr>
          <w:u w:val="single"/>
        </w:rPr>
        <w:t>making</w:t>
      </w:r>
      <w:r w:rsidRPr="00472578">
        <w:t>.</w:t>
      </w:r>
      <w:r w:rsidRPr="00472578">
        <w:rPr>
          <w:vertAlign w:val="superscript"/>
        </w:rPr>
        <w:footnoteReference w:id="260"/>
      </w:r>
    </w:p>
    <w:p w14:paraId="58D40D4F" w14:textId="525D9312" w:rsidR="009A1120" w:rsidRPr="00472578" w:rsidRDefault="00B208D6" w:rsidP="00E92686">
      <w:pPr>
        <w:pStyle w:val="Heading5"/>
        <w:jc w:val="both"/>
      </w:pPr>
      <w:r w:rsidRPr="00472578">
        <w:t>MW-P</w:t>
      </w:r>
      <w:r w:rsidR="009A1120" w:rsidRPr="00472578">
        <w:t>4 – Sustainable use of Māori land</w:t>
      </w:r>
    </w:p>
    <w:p w14:paraId="5A0F7A2C" w14:textId="77777777" w:rsidR="009A1120" w:rsidRPr="00472578" w:rsidRDefault="009A1120" w:rsidP="00E92686">
      <w:pPr>
        <w:spacing w:line="256" w:lineRule="auto"/>
        <w:jc w:val="both"/>
        <w:rPr>
          <w:rFonts w:cs="Times New Roman"/>
        </w:rPr>
      </w:pPr>
      <w:r w:rsidRPr="00472578">
        <w:rPr>
          <w:rFonts w:cs="Times New Roman"/>
        </w:rPr>
        <w:t xml:space="preserve">Kāi Tahu </w:t>
      </w:r>
      <w:proofErr w:type="gramStart"/>
      <w:r w:rsidRPr="00472578">
        <w:rPr>
          <w:rFonts w:cs="Times New Roman"/>
        </w:rPr>
        <w:t>are able to</w:t>
      </w:r>
      <w:proofErr w:type="gramEnd"/>
      <w:r w:rsidRPr="00472578">
        <w:rPr>
          <w:rFonts w:cs="Times New Roman"/>
        </w:rPr>
        <w:t xml:space="preserve"> protect, develop and use </w:t>
      </w:r>
      <w:r w:rsidRPr="00472578">
        <w:rPr>
          <w:rFonts w:cs="Times New Roman"/>
          <w:i/>
          <w:iCs/>
        </w:rPr>
        <w:t>land</w:t>
      </w:r>
      <w:r w:rsidRPr="00472578">
        <w:rPr>
          <w:rFonts w:cs="Times New Roman"/>
        </w:rPr>
        <w:t xml:space="preserve"> and resources within native reserves and </w:t>
      </w:r>
      <w:r w:rsidRPr="00472578">
        <w:rPr>
          <w:rFonts w:cs="Times New Roman"/>
          <w:i/>
          <w:iCs/>
        </w:rPr>
        <w:t>land</w:t>
      </w:r>
      <w:r w:rsidRPr="00472578">
        <w:rPr>
          <w:rFonts w:cs="Times New Roman"/>
        </w:rPr>
        <w:t xml:space="preserve"> held under Te Ture Whenua Māori Act 1993 in</w:t>
      </w:r>
      <w:r w:rsidRPr="00472578">
        <w:t xml:space="preserve"> </w:t>
      </w:r>
      <w:r w:rsidRPr="639E38F9">
        <w:rPr>
          <w:u w:val="single"/>
        </w:rPr>
        <w:t>accordance with matauraka and tikaka</w:t>
      </w:r>
      <w:r w:rsidRPr="00472578">
        <w:t xml:space="preserve"> </w:t>
      </w:r>
      <w:r w:rsidRPr="00472578">
        <w:rPr>
          <w:strike/>
        </w:rPr>
        <w:t>a way consistent with their culture and traditions</w:t>
      </w:r>
      <w:r w:rsidRPr="00472578">
        <w:t xml:space="preserve"> </w:t>
      </w:r>
      <w:r w:rsidRPr="00472578">
        <w:rPr>
          <w:strike/>
        </w:rPr>
        <w:t>and</w:t>
      </w:r>
      <w:r w:rsidRPr="00472578">
        <w:t xml:space="preserve"> </w:t>
      </w:r>
      <w:r w:rsidRPr="00472578">
        <w:rPr>
          <w:u w:val="single"/>
        </w:rPr>
        <w:t xml:space="preserve">to </w:t>
      </w:r>
      <w:r w:rsidRPr="639E38F9">
        <w:rPr>
          <w:u w:val="single"/>
        </w:rPr>
        <w:t xml:space="preserve">provide for their </w:t>
      </w:r>
      <w:r w:rsidRPr="639E38F9">
        <w:rPr>
          <w:vertAlign w:val="superscript"/>
        </w:rPr>
        <w:footnoteReference w:id="261"/>
      </w:r>
      <w:r w:rsidRPr="639E38F9">
        <w:t xml:space="preserve"> </w:t>
      </w:r>
      <w:r w:rsidRPr="00472578">
        <w:rPr>
          <w:rFonts w:cs="Times New Roman"/>
        </w:rPr>
        <w:t xml:space="preserve">economic, cultural and social aspirations, including for </w:t>
      </w:r>
      <w:r w:rsidRPr="00472578">
        <w:rPr>
          <w:rFonts w:cs="Times New Roman"/>
          <w:i/>
          <w:iCs/>
        </w:rPr>
        <w:t>papakāika</w:t>
      </w:r>
      <w:r w:rsidRPr="00472578">
        <w:rPr>
          <w:rFonts w:cs="Times New Roman"/>
        </w:rPr>
        <w:t>, marae and marae related activities, while:</w:t>
      </w:r>
    </w:p>
    <w:p w14:paraId="1ECEC819" w14:textId="77777777" w:rsidR="009A1120" w:rsidRPr="00472578" w:rsidRDefault="009A1120" w:rsidP="00E92686">
      <w:pPr>
        <w:ind w:left="567" w:hanging="567"/>
        <w:jc w:val="both"/>
        <w:rPr>
          <w:rFonts w:cs="Times New Roman"/>
        </w:rPr>
      </w:pPr>
      <w:r w:rsidRPr="00472578">
        <w:rPr>
          <w:rFonts w:cs="Times New Roman"/>
        </w:rPr>
        <w:t xml:space="preserve">(1) </w:t>
      </w:r>
      <w:r w:rsidRPr="00472578">
        <w:rPr>
          <w:rFonts w:cs="Times New Roman"/>
        </w:rPr>
        <w:tab/>
      </w:r>
      <w:r w:rsidRPr="00472578">
        <w:t>avoiding</w:t>
      </w:r>
      <w:r w:rsidRPr="00472578">
        <w:rPr>
          <w:rFonts w:cs="Times New Roman"/>
        </w:rPr>
        <w:t xml:space="preserve"> adverse </w:t>
      </w:r>
      <w:r w:rsidRPr="00472578">
        <w:rPr>
          <w:rFonts w:cs="Times New Roman"/>
          <w:i/>
          <w:iCs/>
        </w:rPr>
        <w:t>effects</w:t>
      </w:r>
      <w:r w:rsidRPr="00472578">
        <w:rPr>
          <w:rFonts w:cs="Times New Roman"/>
        </w:rPr>
        <w:t xml:space="preserve"> on the health and safety of people,</w:t>
      </w:r>
    </w:p>
    <w:p w14:paraId="7DDF1FF3" w14:textId="77777777" w:rsidR="009A1120" w:rsidRPr="00472578" w:rsidRDefault="009A1120" w:rsidP="00E92686">
      <w:pPr>
        <w:ind w:left="567" w:hanging="567"/>
        <w:jc w:val="both"/>
        <w:rPr>
          <w:rFonts w:cs="Times New Roman"/>
        </w:rPr>
      </w:pPr>
      <w:r w:rsidRPr="00472578">
        <w:rPr>
          <w:rFonts w:cs="Times New Roman"/>
        </w:rPr>
        <w:t xml:space="preserve">(2) </w:t>
      </w:r>
      <w:r w:rsidRPr="00472578">
        <w:rPr>
          <w:rFonts w:cs="Times New Roman"/>
        </w:rPr>
        <w:tab/>
      </w:r>
      <w:r w:rsidRPr="00472578">
        <w:t>avoiding</w:t>
      </w:r>
      <w:r w:rsidRPr="00472578">
        <w:rPr>
          <w:rFonts w:cs="Times New Roman"/>
        </w:rPr>
        <w:t xml:space="preserve"> significant adverse </w:t>
      </w:r>
      <w:r w:rsidRPr="00472578">
        <w:rPr>
          <w:rFonts w:cs="Times New Roman"/>
          <w:i/>
        </w:rPr>
        <w:t>effects</w:t>
      </w:r>
      <w:r w:rsidRPr="00472578">
        <w:rPr>
          <w:rFonts w:cs="Times New Roman"/>
        </w:rPr>
        <w:t xml:space="preserve"> on matters of national importance, and</w:t>
      </w:r>
    </w:p>
    <w:p w14:paraId="73D9A84F" w14:textId="77777777" w:rsidR="009A1120" w:rsidRPr="00472578" w:rsidRDefault="009A1120" w:rsidP="00E92686">
      <w:pPr>
        <w:ind w:left="567" w:hanging="567"/>
        <w:jc w:val="both"/>
        <w:rPr>
          <w:rFonts w:cs="Times New Roman"/>
        </w:rPr>
      </w:pPr>
      <w:r w:rsidRPr="00472578">
        <w:rPr>
          <w:rFonts w:cs="Times New Roman"/>
        </w:rPr>
        <w:t>(3)</w:t>
      </w:r>
      <w:r w:rsidRPr="00472578">
        <w:rPr>
          <w:rFonts w:cs="Times New Roman"/>
        </w:rPr>
        <w:tab/>
      </w:r>
      <w:r w:rsidRPr="00472578">
        <w:t>avoiding</w:t>
      </w:r>
      <w:r w:rsidRPr="00472578">
        <w:rPr>
          <w:rFonts w:cs="Times New Roman"/>
        </w:rPr>
        <w:t xml:space="preserve">, remedying, or mitigating other adverse </w:t>
      </w:r>
      <w:r w:rsidRPr="00472578">
        <w:rPr>
          <w:rFonts w:cs="Times New Roman"/>
          <w:i/>
          <w:iCs/>
        </w:rPr>
        <w:t>effects</w:t>
      </w:r>
      <w:r w:rsidRPr="00472578">
        <w:rPr>
          <w:rFonts w:cs="Times New Roman"/>
        </w:rPr>
        <w:t>.</w:t>
      </w:r>
    </w:p>
    <w:p w14:paraId="001AC26F" w14:textId="77777777" w:rsidR="009A1120" w:rsidRPr="00472578" w:rsidRDefault="009A1120" w:rsidP="00E92686">
      <w:pPr>
        <w:pStyle w:val="Heading4"/>
        <w:jc w:val="both"/>
      </w:pPr>
      <w:r w:rsidRPr="00472578">
        <w:lastRenderedPageBreak/>
        <w:t>Methods</w:t>
      </w:r>
    </w:p>
    <w:p w14:paraId="1DA1C6D0" w14:textId="284E5917" w:rsidR="009A1120" w:rsidRPr="00472578" w:rsidRDefault="00B208D6" w:rsidP="00E92686">
      <w:pPr>
        <w:pStyle w:val="Heading5"/>
        <w:jc w:val="both"/>
      </w:pPr>
      <w:r w:rsidRPr="00472578">
        <w:t>MW-M</w:t>
      </w:r>
      <w:r w:rsidR="009A1120" w:rsidRPr="00472578">
        <w:t>1 – Collaboration with Kāi Tahu</w:t>
      </w:r>
    </w:p>
    <w:p w14:paraId="6254CCAA" w14:textId="77777777" w:rsidR="009A1120" w:rsidRPr="00472578" w:rsidRDefault="009A1120" w:rsidP="00E92686">
      <w:pPr>
        <w:spacing w:line="256" w:lineRule="auto"/>
        <w:jc w:val="both"/>
      </w:pPr>
      <w:r w:rsidRPr="00472578">
        <w:rPr>
          <w:i/>
          <w:iCs/>
        </w:rPr>
        <w:t>Local authorities</w:t>
      </w:r>
      <w:r w:rsidRPr="00472578">
        <w:t xml:space="preserve"> must collaborate with Kāi Tahu to:</w:t>
      </w:r>
    </w:p>
    <w:p w14:paraId="6A3C7956" w14:textId="4987292A" w:rsidR="009A1120" w:rsidRPr="00472578" w:rsidRDefault="009A1120" w:rsidP="00E92686">
      <w:pPr>
        <w:ind w:left="567" w:hanging="567"/>
        <w:jc w:val="both"/>
      </w:pPr>
      <w:r w:rsidRPr="00472578">
        <w:t xml:space="preserve">(1) </w:t>
      </w:r>
      <w:r w:rsidRPr="00472578">
        <w:tab/>
        <w:t xml:space="preserve">identify, </w:t>
      </w:r>
      <w:r w:rsidRPr="639E38F9">
        <w:rPr>
          <w:strike/>
        </w:rPr>
        <w:t>and map</w:t>
      </w:r>
      <w:r w:rsidRPr="639E38F9">
        <w:rPr>
          <w:u w:val="single"/>
        </w:rPr>
        <w:t xml:space="preserve"> record (including by mapping),</w:t>
      </w:r>
      <w:r w:rsidRPr="639E38F9">
        <w:rPr>
          <w:vertAlign w:val="superscript"/>
        </w:rPr>
        <w:footnoteReference w:id="262"/>
      </w:r>
      <w:r w:rsidRPr="639E38F9">
        <w:t xml:space="preserve"> </w:t>
      </w:r>
      <w:r w:rsidRPr="639E38F9">
        <w:rPr>
          <w:u w:val="single"/>
        </w:rPr>
        <w:t>and protect</w:t>
      </w:r>
      <w:r w:rsidRPr="639E38F9">
        <w:rPr>
          <w:vertAlign w:val="superscript"/>
        </w:rPr>
        <w:footnoteReference w:id="263"/>
      </w:r>
      <w:r w:rsidRPr="639E38F9">
        <w:t xml:space="preserve"> </w:t>
      </w:r>
      <w:r w:rsidRPr="00472578">
        <w:t>places, areas</w:t>
      </w:r>
      <w:r w:rsidRPr="00472578">
        <w:rPr>
          <w:u w:val="single"/>
        </w:rPr>
        <w:t>,</w:t>
      </w:r>
      <w:r w:rsidRPr="00472578">
        <w:t xml:space="preserve"> </w:t>
      </w:r>
      <w:r w:rsidRPr="00472578">
        <w:rPr>
          <w:strike/>
        </w:rPr>
        <w:t>or</w:t>
      </w:r>
      <w:r w:rsidRPr="00472578">
        <w:t xml:space="preserve"> </w:t>
      </w:r>
      <w:r w:rsidR="00924CCF" w:rsidRPr="00472578">
        <w:t>landscapes</w:t>
      </w:r>
      <w:r w:rsidR="00924CCF" w:rsidRPr="00472578">
        <w:rPr>
          <w:u w:val="single"/>
        </w:rPr>
        <w:t xml:space="preserve">, </w:t>
      </w:r>
      <w:r w:rsidRPr="639E38F9">
        <w:rPr>
          <w:u w:val="single"/>
        </w:rPr>
        <w:t>waters, taoka and other elements</w:t>
      </w:r>
      <w:r w:rsidRPr="639E38F9">
        <w:t xml:space="preserve"> of cultural, </w:t>
      </w:r>
      <w:proofErr w:type="gramStart"/>
      <w:r w:rsidRPr="639E38F9">
        <w:t>spiritual</w:t>
      </w:r>
      <w:proofErr w:type="gramEnd"/>
      <w:r w:rsidRPr="639E38F9">
        <w:t xml:space="preserve"> or traditional significance to </w:t>
      </w:r>
      <w:r w:rsidRPr="639E38F9">
        <w:rPr>
          <w:strike/>
        </w:rPr>
        <w:t>them</w:t>
      </w:r>
      <w:r w:rsidRPr="639E38F9">
        <w:t xml:space="preserve"> </w:t>
      </w:r>
      <w:r w:rsidRPr="639E38F9">
        <w:rPr>
          <w:u w:val="single"/>
        </w:rPr>
        <w:t>mana whenua</w:t>
      </w:r>
      <w:r w:rsidRPr="639E38F9">
        <w:t>,</w:t>
      </w:r>
      <w:r w:rsidRPr="639E38F9">
        <w:rPr>
          <w:vertAlign w:val="superscript"/>
        </w:rPr>
        <w:footnoteReference w:id="264"/>
      </w:r>
    </w:p>
    <w:p w14:paraId="2D07C171" w14:textId="77777777" w:rsidR="009A1120" w:rsidRPr="00472578" w:rsidRDefault="009A1120" w:rsidP="00E92686">
      <w:pPr>
        <w:ind w:left="567" w:hanging="567"/>
        <w:jc w:val="both"/>
      </w:pPr>
      <w:r w:rsidRPr="00472578">
        <w:rPr>
          <w:strike/>
        </w:rPr>
        <w:t xml:space="preserve">(2) </w:t>
      </w:r>
      <w:r w:rsidRPr="00472578">
        <w:rPr>
          <w:strike/>
        </w:rPr>
        <w:tab/>
        <w:t>protect such places, areas, or landscapes, and the values that contribute to their significance</w:t>
      </w:r>
      <w:r w:rsidRPr="00472578">
        <w:t xml:space="preserve">, </w:t>
      </w:r>
    </w:p>
    <w:p w14:paraId="1D94E6CB" w14:textId="1F7117DB" w:rsidR="009A1120" w:rsidRPr="00472578" w:rsidRDefault="009A1120" w:rsidP="00E92686">
      <w:pPr>
        <w:ind w:left="567" w:hanging="567"/>
        <w:jc w:val="both"/>
        <w:rPr>
          <w:strike/>
        </w:rPr>
      </w:pPr>
      <w:bookmarkStart w:id="51" w:name="_Hlk72399487"/>
      <w:r w:rsidRPr="00472578">
        <w:t>(3)</w:t>
      </w:r>
      <w:r w:rsidRPr="00472578">
        <w:tab/>
        <w:t xml:space="preserve">identify indigenous species and ecosystems that are taoka in accordance with </w:t>
      </w:r>
      <w:r w:rsidR="00080A9A">
        <w:t>ECO-</w:t>
      </w:r>
      <w:r w:rsidRPr="00472578">
        <w:t>M3,</w:t>
      </w:r>
      <w:r w:rsidRPr="00472578">
        <w:rPr>
          <w:strike/>
        </w:rPr>
        <w:t xml:space="preserve"> and</w:t>
      </w:r>
      <w:r w:rsidRPr="639E38F9">
        <w:rPr>
          <w:vertAlign w:val="superscript"/>
        </w:rPr>
        <w:footnoteReference w:id="265"/>
      </w:r>
    </w:p>
    <w:bookmarkEnd w:id="51"/>
    <w:p w14:paraId="7466ABF2" w14:textId="77777777" w:rsidR="009A1120" w:rsidRPr="00472578" w:rsidRDefault="009A1120" w:rsidP="00E92686">
      <w:pPr>
        <w:ind w:left="567" w:hanging="567"/>
        <w:jc w:val="both"/>
        <w:rPr>
          <w:rFonts w:cs="Times New Roman"/>
          <w:strike/>
        </w:rPr>
      </w:pPr>
      <w:r w:rsidRPr="00472578">
        <w:rPr>
          <w:strike/>
        </w:rPr>
        <w:t xml:space="preserve">(4) </w:t>
      </w:r>
      <w:r w:rsidRPr="00472578">
        <w:rPr>
          <w:strike/>
        </w:rPr>
        <w:tab/>
        <w:t>identify</w:t>
      </w:r>
      <w:r w:rsidRPr="00472578">
        <w:rPr>
          <w:rFonts w:cs="Times New Roman"/>
          <w:strike/>
        </w:rPr>
        <w:t xml:space="preserve"> and map outstanding natural features, landscapes and seascapes, and highly valued natural features, landscapes and seascapes and record their values.</w:t>
      </w:r>
    </w:p>
    <w:p w14:paraId="21DF5794" w14:textId="4BF5BC5B" w:rsidR="009A1120" w:rsidRPr="00472578" w:rsidRDefault="009A1120" w:rsidP="00E92686">
      <w:pPr>
        <w:ind w:left="567" w:hanging="567"/>
        <w:jc w:val="both"/>
        <w:rPr>
          <w:rFonts w:cstheme="minorHAnsi"/>
          <w:iCs/>
          <w:u w:val="single"/>
        </w:rPr>
      </w:pPr>
      <w:r w:rsidRPr="00472578">
        <w:rPr>
          <w:u w:val="single"/>
        </w:rPr>
        <w:t>(</w:t>
      </w:r>
      <w:r w:rsidR="00BD389C" w:rsidRPr="00472578">
        <w:rPr>
          <w:u w:val="single"/>
        </w:rPr>
        <w:t>4</w:t>
      </w:r>
      <w:r w:rsidRPr="00472578">
        <w:rPr>
          <w:u w:val="single"/>
        </w:rPr>
        <w:t>A)</w:t>
      </w:r>
      <w:r w:rsidRPr="00472578">
        <w:rPr>
          <w:u w:val="single"/>
        </w:rPr>
        <w:tab/>
      </w:r>
      <w:r w:rsidRPr="00472578">
        <w:rPr>
          <w:rFonts w:cstheme="minorHAnsi"/>
          <w:iCs/>
          <w:u w:val="single"/>
        </w:rPr>
        <w:t>determine appropriate naming for places of significance in Otago, and</w:t>
      </w:r>
    </w:p>
    <w:p w14:paraId="102F9B91" w14:textId="348BA165" w:rsidR="009A1120" w:rsidRPr="00472578" w:rsidRDefault="009A1120" w:rsidP="00E92686">
      <w:pPr>
        <w:ind w:left="567" w:hanging="567"/>
        <w:jc w:val="both"/>
        <w:rPr>
          <w:rFonts w:cstheme="minorHAnsi"/>
          <w:iCs/>
          <w:u w:val="single"/>
        </w:rPr>
      </w:pPr>
      <w:r w:rsidRPr="639E38F9">
        <w:rPr>
          <w:u w:val="single"/>
        </w:rPr>
        <w:t>(4</w:t>
      </w:r>
      <w:r w:rsidR="00BD389C" w:rsidRPr="639E38F9">
        <w:rPr>
          <w:u w:val="single"/>
        </w:rPr>
        <w:t>B</w:t>
      </w:r>
      <w:r w:rsidRPr="639E38F9">
        <w:rPr>
          <w:u w:val="single"/>
        </w:rPr>
        <w:t>)</w:t>
      </w:r>
      <w:r w:rsidRPr="00472578">
        <w:rPr>
          <w:rFonts w:cstheme="minorHAnsi"/>
          <w:iCs/>
          <w:u w:val="single"/>
        </w:rPr>
        <w:tab/>
      </w:r>
      <w:r w:rsidRPr="639E38F9">
        <w:rPr>
          <w:u w:val="single"/>
        </w:rPr>
        <w:t>share information relevant to Kāi Tahu interests.</w:t>
      </w:r>
      <w:r w:rsidRPr="639E38F9">
        <w:rPr>
          <w:vertAlign w:val="superscript"/>
        </w:rPr>
        <w:footnoteReference w:id="266"/>
      </w:r>
    </w:p>
    <w:p w14:paraId="1111C5DB" w14:textId="24331ECC" w:rsidR="009A1120" w:rsidRPr="00472578" w:rsidRDefault="00B208D6" w:rsidP="00E92686">
      <w:pPr>
        <w:pStyle w:val="Heading5"/>
        <w:jc w:val="both"/>
      </w:pPr>
      <w:r w:rsidRPr="00472578">
        <w:t>MW-M</w:t>
      </w:r>
      <w:r w:rsidR="009A1120" w:rsidRPr="00472578">
        <w:t xml:space="preserve">2 – </w:t>
      </w:r>
      <w:r w:rsidR="009A1120" w:rsidRPr="00472578">
        <w:rPr>
          <w:strike/>
        </w:rPr>
        <w:t>Work with Kāi Tahu</w:t>
      </w:r>
      <w:r w:rsidR="009A1120" w:rsidRPr="00472578">
        <w:t xml:space="preserve"> </w:t>
      </w:r>
      <w:r w:rsidR="009A1120" w:rsidRPr="00472578">
        <w:rPr>
          <w:u w:val="single"/>
        </w:rPr>
        <w:t>Mātauraka Māori</w:t>
      </w:r>
      <w:r w:rsidR="00FB55DA" w:rsidRPr="639E38F9">
        <w:rPr>
          <w:rFonts w:cstheme="minorBidi"/>
          <w:b w:val="0"/>
          <w:vertAlign w:val="superscript"/>
        </w:rPr>
        <w:footnoteReference w:id="267"/>
      </w:r>
    </w:p>
    <w:p w14:paraId="71E00D91" w14:textId="773FD1BE" w:rsidR="009A1120" w:rsidRPr="00472578" w:rsidRDefault="009A1120" w:rsidP="00E92686">
      <w:pPr>
        <w:spacing w:line="257" w:lineRule="auto"/>
        <w:jc w:val="both"/>
        <w:rPr>
          <w:rFonts w:cs="Times New Roman"/>
        </w:rPr>
      </w:pPr>
      <w:r w:rsidRPr="00472578">
        <w:rPr>
          <w:i/>
        </w:rPr>
        <w:t>Local authorities</w:t>
      </w:r>
      <w:r w:rsidRPr="00472578">
        <w:t xml:space="preserve"> must </w:t>
      </w:r>
      <w:r w:rsidRPr="639E38F9">
        <w:rPr>
          <w:u w:val="single"/>
        </w:rPr>
        <w:t>work in partnership</w:t>
      </w:r>
      <w:r w:rsidRPr="639E38F9">
        <w:t xml:space="preserve"> </w:t>
      </w:r>
      <w:r w:rsidRPr="639E38F9">
        <w:rPr>
          <w:strike/>
        </w:rPr>
        <w:t>consult</w:t>
      </w:r>
      <w:r w:rsidR="00FB55DA" w:rsidRPr="639E38F9">
        <w:rPr>
          <w:vertAlign w:val="superscript"/>
        </w:rPr>
        <w:footnoteReference w:id="268"/>
      </w:r>
      <w:r w:rsidRPr="00472578">
        <w:t xml:space="preserve"> with Kāi Tahu to:</w:t>
      </w:r>
      <w:r w:rsidR="000F38C7" w:rsidRPr="00472578">
        <w:t xml:space="preserve"> </w:t>
      </w:r>
    </w:p>
    <w:p w14:paraId="3B75578E" w14:textId="77777777" w:rsidR="009A1120" w:rsidRPr="00472578" w:rsidRDefault="009A1120" w:rsidP="00E92686">
      <w:pPr>
        <w:ind w:left="567" w:hanging="567"/>
        <w:jc w:val="both"/>
        <w:rPr>
          <w:rFonts w:cs="Times New Roman"/>
          <w:strike/>
        </w:rPr>
      </w:pPr>
      <w:r w:rsidRPr="00472578">
        <w:rPr>
          <w:rFonts w:cs="Times New Roman"/>
          <w:strike/>
        </w:rPr>
        <w:t xml:space="preserve">(1) </w:t>
      </w:r>
      <w:r w:rsidRPr="00472578">
        <w:rPr>
          <w:rFonts w:cs="Times New Roman"/>
          <w:strike/>
        </w:rPr>
        <w:tab/>
      </w:r>
      <w:r w:rsidRPr="00472578">
        <w:rPr>
          <w:strike/>
        </w:rPr>
        <w:t>determine</w:t>
      </w:r>
      <w:r w:rsidRPr="00472578">
        <w:rPr>
          <w:rFonts w:cs="Times New Roman"/>
          <w:strike/>
        </w:rPr>
        <w:t xml:space="preserve"> appropriate naming for places of significance in Otago,</w:t>
      </w:r>
    </w:p>
    <w:p w14:paraId="1FACC15F" w14:textId="77777777" w:rsidR="009A1120" w:rsidRPr="00472578" w:rsidRDefault="009A1120" w:rsidP="00E92686">
      <w:pPr>
        <w:ind w:left="567" w:hanging="567"/>
        <w:jc w:val="both"/>
        <w:rPr>
          <w:strike/>
        </w:rPr>
      </w:pPr>
      <w:r w:rsidRPr="00472578">
        <w:rPr>
          <w:rFonts w:cs="Times New Roman"/>
          <w:strike/>
        </w:rPr>
        <w:t xml:space="preserve">(2) </w:t>
      </w:r>
      <w:r w:rsidRPr="00472578">
        <w:rPr>
          <w:rFonts w:cs="Times New Roman"/>
          <w:strike/>
        </w:rPr>
        <w:tab/>
        <w:t>share</w:t>
      </w:r>
      <w:r w:rsidRPr="00472578">
        <w:rPr>
          <w:strike/>
        </w:rPr>
        <w:t xml:space="preserve"> information relevant to Kāi Tahu interests, and</w:t>
      </w:r>
    </w:p>
    <w:p w14:paraId="41832ABC" w14:textId="456BBB6E" w:rsidR="009A1120" w:rsidRPr="00472578" w:rsidRDefault="009A1120" w:rsidP="00E92686">
      <w:pPr>
        <w:ind w:left="567" w:hanging="567"/>
        <w:jc w:val="both"/>
        <w:rPr>
          <w:rFonts w:cstheme="minorHAnsi"/>
        </w:rPr>
      </w:pPr>
      <w:r w:rsidRPr="00472578">
        <w:rPr>
          <w:rFonts w:cstheme="minorHAnsi"/>
          <w:u w:val="single"/>
        </w:rPr>
        <w:t>(</w:t>
      </w:r>
      <w:r w:rsidR="00732391" w:rsidRPr="00472578">
        <w:rPr>
          <w:rFonts w:cstheme="minorHAnsi"/>
          <w:u w:val="single"/>
        </w:rPr>
        <w:t>2</w:t>
      </w:r>
      <w:r w:rsidRPr="00472578">
        <w:rPr>
          <w:rFonts w:cstheme="minorHAnsi"/>
          <w:u w:val="single"/>
        </w:rPr>
        <w:t>A)</w:t>
      </w:r>
      <w:r w:rsidRPr="00472578">
        <w:rPr>
          <w:rFonts w:cstheme="minorHAnsi"/>
          <w:u w:val="single"/>
        </w:rPr>
        <w:tab/>
        <w:t>incorporate mātauraka into resource management processes,</w:t>
      </w:r>
    </w:p>
    <w:p w14:paraId="600B443D" w14:textId="60668F03" w:rsidR="009A1120" w:rsidRPr="00472578" w:rsidRDefault="009A1120" w:rsidP="00E92686">
      <w:pPr>
        <w:ind w:left="567" w:hanging="567"/>
        <w:jc w:val="both"/>
        <w:rPr>
          <w:rFonts w:cstheme="minorHAnsi"/>
        </w:rPr>
      </w:pPr>
      <w:r w:rsidRPr="639E38F9">
        <w:rPr>
          <w:u w:val="single"/>
        </w:rPr>
        <w:t>(2</w:t>
      </w:r>
      <w:r w:rsidR="00732391" w:rsidRPr="639E38F9">
        <w:rPr>
          <w:u w:val="single"/>
        </w:rPr>
        <w:t>B</w:t>
      </w:r>
      <w:r w:rsidRPr="639E38F9">
        <w:rPr>
          <w:u w:val="single"/>
        </w:rPr>
        <w:t>)</w:t>
      </w:r>
      <w:r w:rsidRPr="00472578">
        <w:rPr>
          <w:rFonts w:cstheme="minorHAnsi"/>
          <w:u w:val="single"/>
        </w:rPr>
        <w:tab/>
      </w:r>
      <w:r w:rsidRPr="639E38F9">
        <w:rPr>
          <w:u w:val="single"/>
        </w:rPr>
        <w:t>enable use of mātauraka in decision-making where appropriate, and</w:t>
      </w:r>
      <w:r w:rsidRPr="639E38F9">
        <w:rPr>
          <w:vertAlign w:val="superscript"/>
        </w:rPr>
        <w:footnoteReference w:id="269"/>
      </w:r>
    </w:p>
    <w:p w14:paraId="2B45BF1D" w14:textId="77777777" w:rsidR="009A1120" w:rsidRPr="00472578" w:rsidRDefault="009A1120" w:rsidP="00E92686">
      <w:pPr>
        <w:ind w:left="567" w:hanging="567"/>
        <w:jc w:val="both"/>
      </w:pPr>
      <w:r w:rsidRPr="00472578">
        <w:t xml:space="preserve">(3) </w:t>
      </w:r>
      <w:r w:rsidRPr="00472578">
        <w:tab/>
        <w:t xml:space="preserve">develop research and monitoring programmes that incorporate mātauraka and are led by </w:t>
      </w:r>
      <w:r w:rsidRPr="00472578">
        <w:rPr>
          <w:i/>
          <w:iCs/>
        </w:rPr>
        <w:t>mana whenua</w:t>
      </w:r>
      <w:r w:rsidRPr="00472578">
        <w:t>.</w:t>
      </w:r>
    </w:p>
    <w:p w14:paraId="2DC1850B" w14:textId="1807DEE8" w:rsidR="009A1120" w:rsidRPr="00472578" w:rsidRDefault="00B208D6" w:rsidP="00E92686">
      <w:pPr>
        <w:pStyle w:val="Heading5"/>
        <w:jc w:val="both"/>
      </w:pPr>
      <w:r w:rsidRPr="00472578">
        <w:t>MW-M</w:t>
      </w:r>
      <w:r w:rsidR="009A1120" w:rsidRPr="00472578">
        <w:t>3 – Kāi Tahu relationships</w:t>
      </w:r>
    </w:p>
    <w:p w14:paraId="7419B1BD" w14:textId="77777777" w:rsidR="009A1120" w:rsidRPr="00472578" w:rsidRDefault="009A1120" w:rsidP="00E92686">
      <w:pPr>
        <w:spacing w:line="256" w:lineRule="auto"/>
        <w:jc w:val="both"/>
        <w:rPr>
          <w:rFonts w:ascii="Calibri-Bold" w:hAnsi="Calibri-Bold" w:cs="Calibri-Bold"/>
          <w:b/>
          <w:bCs/>
        </w:rPr>
      </w:pPr>
      <w:r w:rsidRPr="00472578">
        <w:rPr>
          <w:i/>
          <w:iCs/>
        </w:rPr>
        <w:t>Local authorities</w:t>
      </w:r>
      <w:r w:rsidRPr="00472578">
        <w:t xml:space="preserve"> must develop processes to:</w:t>
      </w:r>
    </w:p>
    <w:p w14:paraId="18C48916" w14:textId="77777777" w:rsidR="009A1120" w:rsidRPr="00472578" w:rsidRDefault="009A1120" w:rsidP="00E92686">
      <w:pPr>
        <w:ind w:left="567" w:hanging="567"/>
        <w:jc w:val="both"/>
        <w:rPr>
          <w:rFonts w:cs="Times New Roman"/>
        </w:rPr>
      </w:pPr>
      <w:r w:rsidRPr="00472578">
        <w:t xml:space="preserve">(1) </w:t>
      </w:r>
      <w:r w:rsidRPr="00472578">
        <w:tab/>
      </w:r>
      <w:r w:rsidRPr="00472578">
        <w:rPr>
          <w:rFonts w:cs="Times New Roman"/>
        </w:rPr>
        <w:t>establish and maintain effective resource management relationships with Kāi Tahu based on a mutual obligation to act reasonably and in good faith,</w:t>
      </w:r>
    </w:p>
    <w:p w14:paraId="46CBDA59" w14:textId="77777777" w:rsidR="009A1120" w:rsidRPr="00472578" w:rsidRDefault="009A1120" w:rsidP="00E92686">
      <w:pPr>
        <w:ind w:left="567" w:hanging="567"/>
        <w:jc w:val="both"/>
        <w:rPr>
          <w:rFonts w:cs="Times New Roman"/>
        </w:rPr>
      </w:pPr>
      <w:r w:rsidRPr="00472578">
        <w:rPr>
          <w:rFonts w:cs="Times New Roman"/>
        </w:rPr>
        <w:t xml:space="preserve">(2) </w:t>
      </w:r>
      <w:r w:rsidRPr="00472578">
        <w:rPr>
          <w:rFonts w:cs="Times New Roman"/>
        </w:rPr>
        <w:tab/>
        <w:t>involve Kāi Tahu at an early stage and throughout resource management processes</w:t>
      </w:r>
      <w:r w:rsidRPr="639E38F9">
        <w:rPr>
          <w:u w:val="single"/>
        </w:rPr>
        <w:t>, decision-making,</w:t>
      </w:r>
      <w:r w:rsidRPr="639E38F9">
        <w:rPr>
          <w:vertAlign w:val="superscript"/>
        </w:rPr>
        <w:footnoteReference w:id="270"/>
      </w:r>
      <w:r w:rsidRPr="00472578">
        <w:rPr>
          <w:rFonts w:cs="Times New Roman"/>
        </w:rPr>
        <w:t xml:space="preserve"> and implementation, and</w:t>
      </w:r>
    </w:p>
    <w:p w14:paraId="15845B81" w14:textId="77777777" w:rsidR="009A1120" w:rsidRPr="00472578" w:rsidRDefault="009A1120" w:rsidP="00E92686">
      <w:pPr>
        <w:ind w:left="567" w:hanging="567"/>
        <w:jc w:val="both"/>
      </w:pPr>
      <w:r w:rsidRPr="00472578">
        <w:rPr>
          <w:rFonts w:cs="Times New Roman"/>
        </w:rPr>
        <w:lastRenderedPageBreak/>
        <w:t xml:space="preserve">(3) </w:t>
      </w:r>
      <w:r w:rsidRPr="00472578">
        <w:rPr>
          <w:rFonts w:cs="Times New Roman"/>
        </w:rPr>
        <w:tab/>
        <w:t xml:space="preserve">facilitate efficient and effective processes for applicants to consult Kāi Tahu on </w:t>
      </w:r>
      <w:r w:rsidRPr="00472578">
        <w:rPr>
          <w:rFonts w:cs="Times New Roman"/>
          <w:i/>
          <w:iCs/>
        </w:rPr>
        <w:t>resource consent</w:t>
      </w:r>
      <w:r w:rsidRPr="00472578">
        <w:rPr>
          <w:rFonts w:cs="Times New Roman"/>
        </w:rPr>
        <w:t xml:space="preserve"> applications,</w:t>
      </w:r>
      <w:r w:rsidRPr="00472578">
        <w:t xml:space="preserve"> private plan </w:t>
      </w:r>
      <w:proofErr w:type="gramStart"/>
      <w:r w:rsidRPr="00472578">
        <w:t>change</w:t>
      </w:r>
      <w:proofErr w:type="gramEnd"/>
      <w:r w:rsidRPr="00472578">
        <w:t xml:space="preserve"> requests, notices of requirement, and notices of requirement for heritage orders.</w:t>
      </w:r>
    </w:p>
    <w:p w14:paraId="11B72F2B" w14:textId="580B374B" w:rsidR="009A1120" w:rsidRPr="00472578" w:rsidRDefault="00B208D6" w:rsidP="00E92686">
      <w:pPr>
        <w:pStyle w:val="Heading5"/>
        <w:jc w:val="both"/>
      </w:pPr>
      <w:r w:rsidRPr="00472578">
        <w:t>MW-M</w:t>
      </w:r>
      <w:r w:rsidR="009A1120" w:rsidRPr="00472578">
        <w:t xml:space="preserve">4 – Kāi Tahu </w:t>
      </w:r>
      <w:r w:rsidR="009A1120" w:rsidRPr="639E38F9">
        <w:rPr>
          <w:rFonts w:cstheme="minorBidi"/>
          <w:u w:val="single"/>
        </w:rPr>
        <w:t>rakatirataka</w:t>
      </w:r>
      <w:r w:rsidR="009A1120" w:rsidRPr="00472578">
        <w:t xml:space="preserve"> </w:t>
      </w:r>
      <w:r w:rsidR="009A1120" w:rsidRPr="00472578">
        <w:rPr>
          <w:strike/>
        </w:rPr>
        <w:t>involvement in resource management</w:t>
      </w:r>
      <w:r w:rsidR="009A1120" w:rsidRPr="00472578">
        <w:rPr>
          <w:vertAlign w:val="superscript"/>
        </w:rPr>
        <w:footnoteReference w:id="271"/>
      </w:r>
    </w:p>
    <w:p w14:paraId="3B994D27" w14:textId="77777777" w:rsidR="009A1120" w:rsidRPr="00472578" w:rsidRDefault="009A1120" w:rsidP="00E92686">
      <w:pPr>
        <w:jc w:val="both"/>
      </w:pPr>
      <w:r w:rsidRPr="00472578">
        <w:rPr>
          <w:i/>
          <w:iCs/>
        </w:rPr>
        <w:t>Local authorities</w:t>
      </w:r>
      <w:r w:rsidRPr="00472578">
        <w:t xml:space="preserve"> must facilitate Kāi Tahu involvement in resource management (including decision making) </w:t>
      </w:r>
      <w:r w:rsidRPr="639E38F9">
        <w:rPr>
          <w:u w:val="single"/>
        </w:rPr>
        <w:t>to the extent desired by mana whenua, including</w:t>
      </w:r>
      <w:r w:rsidRPr="639E38F9">
        <w:rPr>
          <w:vertAlign w:val="superscript"/>
        </w:rPr>
        <w:footnoteReference w:id="272"/>
      </w:r>
      <w:r w:rsidRPr="639E38F9">
        <w:t xml:space="preserve"> </w:t>
      </w:r>
      <w:r w:rsidRPr="00472578">
        <w:t>by:</w:t>
      </w:r>
    </w:p>
    <w:p w14:paraId="0331A46B" w14:textId="77777777" w:rsidR="009A1120" w:rsidRPr="00472578" w:rsidRDefault="009A1120" w:rsidP="00E92686">
      <w:pPr>
        <w:ind w:left="567" w:hanging="567"/>
        <w:jc w:val="both"/>
      </w:pPr>
      <w:r w:rsidRPr="00472578">
        <w:rPr>
          <w:rFonts w:cs="Times New Roman"/>
        </w:rPr>
        <w:t>(1)</w:t>
      </w:r>
      <w:r w:rsidRPr="00472578">
        <w:rPr>
          <w:rFonts w:cs="Times New Roman"/>
        </w:rPr>
        <w:tab/>
        <w:t>including</w:t>
      </w:r>
      <w:r w:rsidRPr="00472578">
        <w:t xml:space="preserve"> accredited K</w:t>
      </w:r>
      <w:bookmarkStart w:id="52" w:name="_Hlk71539646"/>
      <w:r w:rsidRPr="00472578">
        <w:t>ā</w:t>
      </w:r>
      <w:bookmarkEnd w:id="52"/>
      <w:r w:rsidRPr="00472578">
        <w:t xml:space="preserve">i Tahu commissioners on hearing panels for </w:t>
      </w:r>
      <w:r w:rsidRPr="00472578">
        <w:rPr>
          <w:i/>
          <w:iCs/>
        </w:rPr>
        <w:t>resource consent</w:t>
      </w:r>
      <w:r w:rsidRPr="00472578">
        <w:t xml:space="preserve"> applications, notices of requirement</w:t>
      </w:r>
      <w:r w:rsidRPr="00472578">
        <w:rPr>
          <w:strike/>
        </w:rPr>
        <w:t>s</w:t>
      </w:r>
      <w:r w:rsidRPr="00472578">
        <w:t>,</w:t>
      </w:r>
      <w:r w:rsidRPr="00472578">
        <w:rPr>
          <w:vertAlign w:val="superscript"/>
        </w:rPr>
        <w:footnoteReference w:id="273"/>
      </w:r>
      <w:r w:rsidRPr="00472578">
        <w:t xml:space="preserve"> plan changes or plans where Kāi Tahu values may be affected,</w:t>
      </w:r>
    </w:p>
    <w:p w14:paraId="227D48C8" w14:textId="77777777" w:rsidR="009A1120" w:rsidRPr="00472578" w:rsidRDefault="009A1120" w:rsidP="00E92686">
      <w:pPr>
        <w:ind w:left="567" w:hanging="567"/>
        <w:jc w:val="both"/>
      </w:pPr>
      <w:r w:rsidRPr="00472578">
        <w:rPr>
          <w:rFonts w:cs="Times New Roman"/>
        </w:rPr>
        <w:t>(2)</w:t>
      </w:r>
      <w:r w:rsidRPr="00472578">
        <w:rPr>
          <w:rFonts w:cs="Times New Roman"/>
        </w:rPr>
        <w:tab/>
        <w:t>resourcing</w:t>
      </w:r>
      <w:r w:rsidRPr="00472578">
        <w:t xml:space="preserve"> Kāi Tahu participation in resource management decision making, including funding, </w:t>
      </w:r>
    </w:p>
    <w:p w14:paraId="3B5DE512" w14:textId="75D6C703" w:rsidR="009A1120" w:rsidRPr="00472578" w:rsidRDefault="009A1120" w:rsidP="00E92686">
      <w:pPr>
        <w:ind w:left="567" w:hanging="567"/>
        <w:jc w:val="both"/>
      </w:pPr>
      <w:r w:rsidRPr="00472578">
        <w:t>(3)</w:t>
      </w:r>
      <w:r w:rsidRPr="00472578">
        <w:tab/>
        <w:t xml:space="preserve">joint </w:t>
      </w:r>
      <w:r w:rsidRPr="00472578">
        <w:rPr>
          <w:rFonts w:cs="Times New Roman"/>
        </w:rPr>
        <w:t>management</w:t>
      </w:r>
      <w:r w:rsidRPr="00472578">
        <w:t xml:space="preserve"> agreements and full or partial transfers of functions, </w:t>
      </w:r>
      <w:proofErr w:type="gramStart"/>
      <w:r w:rsidRPr="00472578">
        <w:t>duties</w:t>
      </w:r>
      <w:proofErr w:type="gramEnd"/>
      <w:r w:rsidRPr="00472578">
        <w:t xml:space="preserve"> or powers from </w:t>
      </w:r>
      <w:r w:rsidRPr="00472578">
        <w:rPr>
          <w:i/>
          <w:iCs/>
        </w:rPr>
        <w:t xml:space="preserve">local </w:t>
      </w:r>
      <w:r w:rsidRPr="00472578">
        <w:rPr>
          <w:rFonts w:cs="Times New Roman"/>
          <w:i/>
          <w:iCs/>
        </w:rPr>
        <w:t>authorities</w:t>
      </w:r>
      <w:r w:rsidRPr="00472578">
        <w:t xml:space="preserve"> to iwi authorities in accordance with section 33 of the RMA</w:t>
      </w:r>
      <w:r w:rsidRPr="00AD653C">
        <w:rPr>
          <w:strike/>
        </w:rPr>
        <w:t xml:space="preserve"> 1991</w:t>
      </w:r>
      <w:r w:rsidRPr="00472578">
        <w:t>,</w:t>
      </w:r>
      <w:r w:rsidR="00C021D1">
        <w:rPr>
          <w:rStyle w:val="FootnoteReference"/>
        </w:rPr>
        <w:footnoteReference w:id="274"/>
      </w:r>
      <w:r w:rsidRPr="00472578">
        <w:t xml:space="preserve"> and</w:t>
      </w:r>
    </w:p>
    <w:p w14:paraId="1C29A7CD" w14:textId="77777777" w:rsidR="009A1120" w:rsidRPr="00472578" w:rsidRDefault="009A1120" w:rsidP="00E92686">
      <w:pPr>
        <w:ind w:left="567" w:hanging="567"/>
        <w:jc w:val="both"/>
      </w:pPr>
      <w:r w:rsidRPr="00472578">
        <w:t>(4)</w:t>
      </w:r>
      <w:r w:rsidRPr="00472578">
        <w:tab/>
      </w:r>
      <w:proofErr w:type="gramStart"/>
      <w:r w:rsidRPr="00472578">
        <w:t>entering into</w:t>
      </w:r>
      <w:proofErr w:type="gramEnd"/>
      <w:r w:rsidRPr="00472578">
        <w:t xml:space="preserve"> a </w:t>
      </w:r>
      <w:r w:rsidRPr="00472578">
        <w:rPr>
          <w:rFonts w:cs="Times New Roman"/>
        </w:rPr>
        <w:t>Mana</w:t>
      </w:r>
      <w:r w:rsidRPr="00472578">
        <w:t xml:space="preserve"> Whakahono ā Rohe with one or more iwi authorities.</w:t>
      </w:r>
    </w:p>
    <w:p w14:paraId="05172929" w14:textId="1EF8B76F" w:rsidR="009A1120" w:rsidRPr="00472578" w:rsidRDefault="00B208D6" w:rsidP="00E92686">
      <w:pPr>
        <w:pStyle w:val="Heading5"/>
        <w:jc w:val="both"/>
      </w:pPr>
      <w:r w:rsidRPr="00472578">
        <w:t>MW-M</w:t>
      </w:r>
      <w:r w:rsidR="009A1120" w:rsidRPr="00472578">
        <w:t xml:space="preserve">5 – </w:t>
      </w:r>
      <w:r w:rsidR="009A1120" w:rsidRPr="00472578">
        <w:rPr>
          <w:i/>
        </w:rPr>
        <w:t>Regional</w:t>
      </w:r>
      <w:r w:rsidR="009A1120" w:rsidRPr="00472578">
        <w:t xml:space="preserve"> </w:t>
      </w:r>
      <w:r w:rsidR="00F86899" w:rsidRPr="00472578">
        <w:rPr>
          <w:i/>
          <w:iCs/>
          <w:u w:val="single"/>
        </w:rPr>
        <w:t>plans</w:t>
      </w:r>
      <w:r w:rsidR="00F86899" w:rsidRPr="00472578">
        <w:rPr>
          <w:rStyle w:val="FootnoteReference"/>
          <w:i/>
          <w:iCs/>
        </w:rPr>
        <w:footnoteReference w:id="275"/>
      </w:r>
      <w:r w:rsidR="00936B46" w:rsidRPr="00472578">
        <w:t xml:space="preserve"> a</w:t>
      </w:r>
      <w:r w:rsidR="009A1120" w:rsidRPr="00472578">
        <w:t xml:space="preserve">nd </w:t>
      </w:r>
      <w:r w:rsidR="009A1120" w:rsidRPr="00472578">
        <w:rPr>
          <w:i/>
          <w:iCs/>
        </w:rPr>
        <w:t>district plans</w:t>
      </w:r>
    </w:p>
    <w:p w14:paraId="6492BA85" w14:textId="2B2FF440" w:rsidR="009A1120" w:rsidRPr="00472578" w:rsidRDefault="009A1120" w:rsidP="00E92686">
      <w:pPr>
        <w:spacing w:line="256" w:lineRule="auto"/>
        <w:jc w:val="both"/>
      </w:pPr>
      <w:r w:rsidRPr="00472578">
        <w:rPr>
          <w:i/>
          <w:iCs/>
        </w:rPr>
        <w:t>Local authorities</w:t>
      </w:r>
      <w:r w:rsidRPr="00472578">
        <w:t xml:space="preserve"> must amend their </w:t>
      </w:r>
      <w:r w:rsidRPr="00472578">
        <w:rPr>
          <w:i/>
          <w:iCs/>
        </w:rPr>
        <w:t>regional</w:t>
      </w:r>
      <w:r w:rsidRPr="00472578">
        <w:t xml:space="preserve"> </w:t>
      </w:r>
      <w:r w:rsidR="00890C5F" w:rsidRPr="00472578">
        <w:rPr>
          <w:i/>
          <w:iCs/>
          <w:u w:val="single"/>
        </w:rPr>
        <w:t>plans</w:t>
      </w:r>
      <w:r w:rsidR="00890C5F" w:rsidRPr="00472578">
        <w:rPr>
          <w:rStyle w:val="FootnoteReference"/>
        </w:rPr>
        <w:footnoteReference w:id="276"/>
      </w:r>
      <w:r w:rsidR="008E1C07" w:rsidRPr="00472578">
        <w:t xml:space="preserve"> a</w:t>
      </w:r>
      <w:r w:rsidRPr="00472578">
        <w:t xml:space="preserve">nd </w:t>
      </w:r>
      <w:r w:rsidRPr="00472578">
        <w:rPr>
          <w:i/>
          <w:iCs/>
        </w:rPr>
        <w:t>district plans</w:t>
      </w:r>
      <w:r w:rsidRPr="00472578">
        <w:t xml:space="preserve"> to:</w:t>
      </w:r>
    </w:p>
    <w:p w14:paraId="6C0A7C18" w14:textId="77777777" w:rsidR="009A1120" w:rsidRPr="00472578" w:rsidRDefault="009A1120" w:rsidP="00E92686">
      <w:pPr>
        <w:ind w:left="567" w:hanging="567"/>
        <w:jc w:val="both"/>
        <w:rPr>
          <w:rFonts w:cs="Times New Roman"/>
        </w:rPr>
      </w:pPr>
      <w:r w:rsidRPr="00472578">
        <w:t xml:space="preserve">(1) </w:t>
      </w:r>
      <w:r w:rsidRPr="00472578">
        <w:tab/>
      </w:r>
      <w:proofErr w:type="gramStart"/>
      <w:r w:rsidRPr="639E38F9">
        <w:t xml:space="preserve">take </w:t>
      </w:r>
      <w:r w:rsidRPr="639E38F9">
        <w:rPr>
          <w:u w:val="single"/>
        </w:rPr>
        <w:t>into account</w:t>
      </w:r>
      <w:proofErr w:type="gramEnd"/>
      <w:r w:rsidRPr="639E38F9">
        <w:t xml:space="preserve"> </w:t>
      </w:r>
      <w:r w:rsidRPr="639E38F9">
        <w:rPr>
          <w:strike/>
        </w:rPr>
        <w:t>Iwi Management Plans</w:t>
      </w:r>
      <w:r w:rsidRPr="639E38F9">
        <w:t xml:space="preserve"> </w:t>
      </w:r>
      <w:r w:rsidRPr="639E38F9">
        <w:rPr>
          <w:u w:val="single"/>
        </w:rPr>
        <w:t>iwi management plans</w:t>
      </w:r>
      <w:r w:rsidRPr="639E38F9">
        <w:t xml:space="preserve"> and </w:t>
      </w:r>
      <w:r w:rsidRPr="639E38F9">
        <w:rPr>
          <w:u w:val="single"/>
        </w:rPr>
        <w:t>address</w:t>
      </w:r>
      <w:r w:rsidRPr="639E38F9">
        <w:t xml:space="preserve"> resource management issues of significance to Kāi Tahu</w:t>
      </w:r>
      <w:r w:rsidRPr="639E38F9">
        <w:rPr>
          <w:strike/>
        </w:rPr>
        <w:t xml:space="preserve"> (RMIA) into account</w:t>
      </w:r>
      <w:r w:rsidRPr="00472578">
        <w:rPr>
          <w:rFonts w:cs="Times New Roman"/>
        </w:rPr>
        <w:t>,</w:t>
      </w:r>
      <w:r w:rsidRPr="00472578">
        <w:rPr>
          <w:rFonts w:cs="Times New Roman"/>
          <w:vertAlign w:val="superscript"/>
        </w:rPr>
        <w:footnoteReference w:id="277"/>
      </w:r>
    </w:p>
    <w:p w14:paraId="6947A79E" w14:textId="2E06F0B6" w:rsidR="009A1120" w:rsidRPr="00472578" w:rsidRDefault="009A1120" w:rsidP="00E92686">
      <w:pPr>
        <w:ind w:left="567" w:hanging="567"/>
        <w:jc w:val="both"/>
        <w:rPr>
          <w:rFonts w:cs="Times New Roman"/>
        </w:rPr>
      </w:pPr>
      <w:r w:rsidRPr="00472578">
        <w:rPr>
          <w:rFonts w:cs="Times New Roman"/>
        </w:rPr>
        <w:t>(2)</w:t>
      </w:r>
      <w:r w:rsidRPr="00472578">
        <w:tab/>
      </w:r>
      <w:r w:rsidRPr="00472578">
        <w:rPr>
          <w:rFonts w:cs="Times New Roman"/>
        </w:rPr>
        <w:t xml:space="preserve">provide for the use of native reserves and </w:t>
      </w:r>
      <w:r w:rsidRPr="00472578">
        <w:rPr>
          <w:rFonts w:cs="Times New Roman"/>
          <w:i/>
          <w:iCs/>
        </w:rPr>
        <w:t>land</w:t>
      </w:r>
      <w:r w:rsidRPr="00472578">
        <w:rPr>
          <w:rFonts w:cs="Times New Roman"/>
        </w:rPr>
        <w:t xml:space="preserve"> held under Te Ture Whenua Māori Act 1993 in accordance with </w:t>
      </w:r>
      <w:r w:rsidR="00B208D6" w:rsidRPr="00472578">
        <w:rPr>
          <w:rFonts w:cs="Times New Roman"/>
        </w:rPr>
        <w:t>MW-P</w:t>
      </w:r>
      <w:r w:rsidRPr="00472578">
        <w:rPr>
          <w:rFonts w:cs="Times New Roman"/>
        </w:rPr>
        <w:t xml:space="preserve">4, </w:t>
      </w:r>
      <w:r w:rsidRPr="00472578">
        <w:rPr>
          <w:rFonts w:cs="Times New Roman"/>
          <w:strike/>
        </w:rPr>
        <w:t>and</w:t>
      </w:r>
      <w:r w:rsidRPr="639E38F9">
        <w:rPr>
          <w:vertAlign w:val="superscript"/>
          <w:lang w:val="en-US"/>
        </w:rPr>
        <w:footnoteReference w:id="278"/>
      </w:r>
    </w:p>
    <w:p w14:paraId="7CF63ED2" w14:textId="70AC3CBC" w:rsidR="009A1120" w:rsidRPr="00472578" w:rsidRDefault="009A1120" w:rsidP="00E92686">
      <w:pPr>
        <w:ind w:left="567" w:hanging="567"/>
        <w:jc w:val="both"/>
      </w:pPr>
      <w:r w:rsidRPr="00472578">
        <w:rPr>
          <w:rFonts w:cs="Times New Roman"/>
        </w:rPr>
        <w:t xml:space="preserve">(3) </w:t>
      </w:r>
      <w:r w:rsidRPr="00472578">
        <w:rPr>
          <w:rFonts w:cs="Times New Roman"/>
        </w:rPr>
        <w:tab/>
        <w:t>incorporate active protection of</w:t>
      </w:r>
      <w:r w:rsidRPr="00472578">
        <w:t xml:space="preserve"> areas and resources recognised in the NTCSA</w:t>
      </w:r>
      <w:r w:rsidR="00C54D9F" w:rsidRPr="00EF1863">
        <w:rPr>
          <w:rFonts w:cs="Times New Roman"/>
          <w:strike/>
        </w:rPr>
        <w:t xml:space="preserve"> 1998</w:t>
      </w:r>
      <w:r w:rsidR="00C54D9F">
        <w:rPr>
          <w:rStyle w:val="FootnoteReference"/>
          <w:rFonts w:cs="Times New Roman"/>
        </w:rPr>
        <w:footnoteReference w:id="279"/>
      </w:r>
      <w:r w:rsidRPr="00472578">
        <w:rPr>
          <w:strike/>
        </w:rPr>
        <w:softHyphen/>
      </w:r>
      <w:proofErr w:type="gramStart"/>
      <w:r w:rsidRPr="00472578">
        <w:rPr>
          <w:strike/>
        </w:rPr>
        <w:t xml:space="preserve">. </w:t>
      </w:r>
      <w:r w:rsidRPr="00472578">
        <w:rPr>
          <w:u w:val="single"/>
        </w:rPr>
        <w:t>,</w:t>
      </w:r>
      <w:proofErr w:type="gramEnd"/>
      <w:r w:rsidRPr="00472578">
        <w:rPr>
          <w:u w:val="single"/>
        </w:rPr>
        <w:t xml:space="preserve"> and</w:t>
      </w:r>
      <w:r w:rsidRPr="639E38F9">
        <w:rPr>
          <w:vertAlign w:val="superscript"/>
          <w:lang w:val="en-US"/>
        </w:rPr>
        <w:footnoteReference w:id="280"/>
      </w:r>
    </w:p>
    <w:p w14:paraId="0DD50A1C" w14:textId="001D4120" w:rsidR="009A1120" w:rsidRPr="00472578" w:rsidRDefault="009A1120" w:rsidP="00E92686">
      <w:pPr>
        <w:ind w:left="567" w:hanging="567"/>
        <w:jc w:val="both"/>
      </w:pPr>
      <w:r w:rsidRPr="00472578">
        <w:t>(</w:t>
      </w:r>
      <w:r w:rsidR="0023726C" w:rsidRPr="00472578">
        <w:t>3</w:t>
      </w:r>
      <w:r w:rsidRPr="00472578">
        <w:t xml:space="preserve">A) </w:t>
      </w:r>
      <w:r w:rsidRPr="00472578">
        <w:tab/>
      </w:r>
      <w:r w:rsidRPr="00472578">
        <w:rPr>
          <w:u w:val="single"/>
        </w:rPr>
        <w:t xml:space="preserve">provide for the outcomes of </w:t>
      </w:r>
      <w:r w:rsidRPr="639E38F9">
        <w:rPr>
          <w:u w:val="single"/>
          <w:lang w:val="en-US"/>
        </w:rPr>
        <w:t>settlements under the Māori Commercial Claims Aquaculture Settlement Act 2004.</w:t>
      </w:r>
      <w:r w:rsidRPr="639E38F9">
        <w:rPr>
          <w:u w:val="single"/>
          <w:vertAlign w:val="superscript"/>
          <w:lang w:val="en-US"/>
        </w:rPr>
        <w:t xml:space="preserve"> </w:t>
      </w:r>
      <w:r w:rsidRPr="639E38F9">
        <w:rPr>
          <w:vertAlign w:val="superscript"/>
          <w:lang w:val="en-US"/>
        </w:rPr>
        <w:footnoteReference w:id="281"/>
      </w:r>
    </w:p>
    <w:p w14:paraId="40F1858D" w14:textId="52D86E24" w:rsidR="009A1120" w:rsidRPr="00472578" w:rsidRDefault="00B208D6" w:rsidP="00E92686">
      <w:pPr>
        <w:pStyle w:val="Heading5"/>
        <w:jc w:val="both"/>
      </w:pPr>
      <w:r w:rsidRPr="00472578">
        <w:t>MW-M</w:t>
      </w:r>
      <w:r w:rsidR="009A1120" w:rsidRPr="00472578">
        <w:t>6 – Incentives and education</w:t>
      </w:r>
    </w:p>
    <w:p w14:paraId="0C9D409A" w14:textId="72C69490" w:rsidR="009A1120" w:rsidRPr="00472578" w:rsidRDefault="009A1120" w:rsidP="00E92686">
      <w:pPr>
        <w:spacing w:line="256" w:lineRule="auto"/>
        <w:jc w:val="both"/>
      </w:pPr>
      <w:r w:rsidRPr="00472578">
        <w:rPr>
          <w:rFonts w:cs="Times New Roman"/>
          <w:i/>
          <w:iCs/>
        </w:rPr>
        <w:t>Local authorities</w:t>
      </w:r>
      <w:r w:rsidRPr="00472578">
        <w:rPr>
          <w:rFonts w:cs="Times New Roman"/>
        </w:rPr>
        <w:t xml:space="preserve"> are </w:t>
      </w:r>
      <w:r w:rsidRPr="00472578">
        <w:t>encouraged</w:t>
      </w:r>
      <w:r w:rsidRPr="00472578">
        <w:rPr>
          <w:rFonts w:cs="Times New Roman"/>
        </w:rPr>
        <w:t xml:space="preserve"> to use other mechanisms or incentives to assist in achieving </w:t>
      </w:r>
      <w:r w:rsidRPr="00415CE4">
        <w:rPr>
          <w:rFonts w:cs="Times New Roman"/>
        </w:rPr>
        <w:t>Policies</w:t>
      </w:r>
      <w:r w:rsidRPr="00472578">
        <w:rPr>
          <w:rFonts w:cs="Times New Roman"/>
        </w:rPr>
        <w:t xml:space="preserve"> </w:t>
      </w:r>
      <w:r w:rsidR="00B208D6" w:rsidRPr="00472578">
        <w:rPr>
          <w:rFonts w:cs="Times New Roman"/>
        </w:rPr>
        <w:t>MW-P</w:t>
      </w:r>
      <w:r w:rsidRPr="00472578">
        <w:rPr>
          <w:rFonts w:cs="Times New Roman"/>
        </w:rPr>
        <w:t xml:space="preserve">1 to </w:t>
      </w:r>
      <w:r w:rsidR="00B208D6" w:rsidRPr="00472578">
        <w:rPr>
          <w:rFonts w:cs="Times New Roman"/>
        </w:rPr>
        <w:t>MW-P</w:t>
      </w:r>
      <w:r w:rsidRPr="00472578">
        <w:rPr>
          <w:rFonts w:cs="Times New Roman"/>
        </w:rPr>
        <w:t>4, promoting</w:t>
      </w:r>
      <w:r w:rsidRPr="00472578">
        <w:t xml:space="preserve"> awareness and improving knowledge of tikaka and the principles of Te Tiriti o Waitangi among staff and stakeholders, including through hiring practices, induction programmes, key performance indicators and training activities.</w:t>
      </w:r>
    </w:p>
    <w:p w14:paraId="07C40746" w14:textId="0DCCC5AD" w:rsidR="009A1120" w:rsidRPr="00472578" w:rsidRDefault="00B208D6" w:rsidP="00E92686">
      <w:pPr>
        <w:pStyle w:val="Heading5"/>
        <w:jc w:val="both"/>
        <w:rPr>
          <w:rFonts w:ascii="Calibri-Bold" w:hAnsi="Calibri-Bold" w:cs="Calibri-Bold"/>
        </w:rPr>
      </w:pPr>
      <w:r w:rsidRPr="00472578">
        <w:t>MW-M</w:t>
      </w:r>
      <w:r w:rsidR="009A1120" w:rsidRPr="00472578">
        <w:t xml:space="preserve">7 – Advocacy and facilitation </w:t>
      </w:r>
    </w:p>
    <w:p w14:paraId="0657CC2B" w14:textId="77777777" w:rsidR="009A1120" w:rsidRPr="00472578" w:rsidRDefault="009A1120" w:rsidP="00E92686">
      <w:pPr>
        <w:spacing w:line="256" w:lineRule="auto"/>
        <w:jc w:val="both"/>
      </w:pPr>
      <w:r w:rsidRPr="00472578">
        <w:rPr>
          <w:i/>
          <w:iCs/>
        </w:rPr>
        <w:lastRenderedPageBreak/>
        <w:t xml:space="preserve">Local </w:t>
      </w:r>
      <w:r w:rsidRPr="00472578">
        <w:rPr>
          <w:rFonts w:cs="Times New Roman"/>
          <w:i/>
          <w:iCs/>
        </w:rPr>
        <w:t>authorities</w:t>
      </w:r>
      <w:r w:rsidRPr="00472578">
        <w:t xml:space="preserve"> may facilitate negotiations with landowners to provide Kāi Tahu access to sites of significance to Kāi Tahu that do not have suitable access.</w:t>
      </w:r>
    </w:p>
    <w:p w14:paraId="714048E3" w14:textId="77777777" w:rsidR="009A1120" w:rsidRPr="00472578" w:rsidRDefault="009A1120" w:rsidP="00E92686">
      <w:pPr>
        <w:pStyle w:val="Heading4"/>
        <w:jc w:val="both"/>
      </w:pPr>
      <w:r w:rsidRPr="00472578">
        <w:t>Explanation</w:t>
      </w:r>
    </w:p>
    <w:p w14:paraId="4A39204E" w14:textId="0BA48944" w:rsidR="009A1120" w:rsidRPr="00472578" w:rsidRDefault="00B208D6" w:rsidP="00E92686">
      <w:pPr>
        <w:pStyle w:val="Heading5"/>
        <w:jc w:val="both"/>
      </w:pPr>
      <w:r w:rsidRPr="00472578">
        <w:t>MW-E</w:t>
      </w:r>
      <w:r w:rsidR="009A1120" w:rsidRPr="00472578">
        <w:t>1 – Explanation</w:t>
      </w:r>
    </w:p>
    <w:p w14:paraId="0C992349" w14:textId="771049CB" w:rsidR="009A1120" w:rsidRPr="00472578" w:rsidRDefault="009A1120" w:rsidP="00E92686">
      <w:pPr>
        <w:spacing w:line="256" w:lineRule="auto"/>
        <w:jc w:val="both"/>
      </w:pPr>
      <w:r w:rsidRPr="00472578">
        <w:rPr>
          <w:rFonts w:cs="Times New Roman"/>
        </w:rPr>
        <w:t xml:space="preserve">The policies in this section are designed to achieve </w:t>
      </w:r>
      <w:r w:rsidR="00B208D6" w:rsidRPr="00472578">
        <w:rPr>
          <w:rFonts w:cs="Times New Roman"/>
        </w:rPr>
        <w:t>MW-O</w:t>
      </w:r>
      <w:r w:rsidRPr="00472578">
        <w:rPr>
          <w:rFonts w:cs="Times New Roman"/>
        </w:rPr>
        <w:t xml:space="preserve">1 by setting out the actions that must be undertaken by </w:t>
      </w:r>
      <w:r w:rsidRPr="00472578">
        <w:rPr>
          <w:rFonts w:cs="Times New Roman"/>
          <w:i/>
          <w:iCs/>
        </w:rPr>
        <w:t>local authorities</w:t>
      </w:r>
      <w:r w:rsidRPr="00472578">
        <w:rPr>
          <w:rFonts w:cs="Times New Roman"/>
        </w:rPr>
        <w:t xml:space="preserve"> to ensure </w:t>
      </w:r>
      <w:r w:rsidRPr="639E38F9">
        <w:t>the principles of Te Tiriti o Waitangi are given effect in resource management processes and decisions</w:t>
      </w:r>
      <w:r w:rsidRPr="639E38F9">
        <w:rPr>
          <w:u w:val="single"/>
        </w:rPr>
        <w:t>, and mana whenua values and taoka tuku iho are actively protected, supporting Kāi Tahu wellbeing</w:t>
      </w:r>
      <w:r w:rsidRPr="639E38F9">
        <w:t>.</w:t>
      </w:r>
      <w:r w:rsidRPr="639E38F9">
        <w:rPr>
          <w:rStyle w:val="FootnoteReference"/>
        </w:rPr>
        <w:footnoteReference w:id="282"/>
      </w:r>
      <w:r w:rsidRPr="639E38F9">
        <w:t xml:space="preserve"> The policies also require the development and implementation of planning tools </w:t>
      </w:r>
      <w:r w:rsidRPr="639E38F9">
        <w:rPr>
          <w:u w:val="single"/>
        </w:rPr>
        <w:t>and other mechanisms that</w:t>
      </w:r>
      <w:r w:rsidRPr="639E38F9">
        <w:rPr>
          <w:rStyle w:val="FootnoteReference"/>
        </w:rPr>
        <w:footnoteReference w:id="283"/>
      </w:r>
      <w:r w:rsidRPr="639E38F9">
        <w:t xml:space="preserve"> </w:t>
      </w:r>
      <w:r w:rsidRPr="639E38F9">
        <w:rPr>
          <w:strike/>
        </w:rPr>
        <w:t>which</w:t>
      </w:r>
      <w:r w:rsidRPr="639E38F9">
        <w:t xml:space="preserve"> recognise the role of Kāi Tahu in resource management and ensure mana whenua engagement with and participation in resource management</w:t>
      </w:r>
      <w:r w:rsidRPr="639E38F9">
        <w:rPr>
          <w:u w:val="single"/>
        </w:rPr>
        <w:t xml:space="preserve"> in partnership with local authorities</w:t>
      </w:r>
      <w:r w:rsidRPr="00472578">
        <w:t>.</w:t>
      </w:r>
      <w:r w:rsidRPr="639E38F9">
        <w:rPr>
          <w:vertAlign w:val="superscript"/>
        </w:rPr>
        <w:t xml:space="preserve"> </w:t>
      </w:r>
      <w:r w:rsidRPr="639E38F9">
        <w:rPr>
          <w:vertAlign w:val="superscript"/>
        </w:rPr>
        <w:footnoteReference w:id="284"/>
      </w:r>
    </w:p>
    <w:p w14:paraId="69EB5DEA" w14:textId="77777777" w:rsidR="009A1120" w:rsidRPr="00472578" w:rsidRDefault="009A1120" w:rsidP="00E92686">
      <w:pPr>
        <w:pStyle w:val="Heading4"/>
        <w:jc w:val="both"/>
      </w:pPr>
      <w:r w:rsidRPr="00472578">
        <w:t>Principal reasons</w:t>
      </w:r>
    </w:p>
    <w:p w14:paraId="057ED545" w14:textId="3B752D1E" w:rsidR="009A1120" w:rsidRPr="00472578" w:rsidRDefault="00B208D6" w:rsidP="00E92686">
      <w:pPr>
        <w:pStyle w:val="Heading5"/>
        <w:jc w:val="both"/>
      </w:pPr>
      <w:r w:rsidRPr="00472578">
        <w:t>MW-P</w:t>
      </w:r>
      <w:r w:rsidR="009A1120" w:rsidRPr="00472578">
        <w:t>R1 – Principal reasons</w:t>
      </w:r>
    </w:p>
    <w:p w14:paraId="6DC863D2" w14:textId="4900B20B" w:rsidR="009A1120" w:rsidRPr="00472578" w:rsidRDefault="009A1120" w:rsidP="00E92686">
      <w:pPr>
        <w:spacing w:line="256" w:lineRule="auto"/>
        <w:jc w:val="both"/>
        <w:rPr>
          <w:rFonts w:cs="Times New Roman"/>
        </w:rPr>
      </w:pPr>
      <w:r w:rsidRPr="00472578">
        <w:rPr>
          <w:rFonts w:cs="Times New Roman"/>
        </w:rPr>
        <w:t xml:space="preserve">Te Tiriti o Waitangi creates a special relationship between </w:t>
      </w:r>
      <w:r w:rsidRPr="00472578">
        <w:rPr>
          <w:rFonts w:cs="Times New Roman"/>
          <w:i/>
        </w:rPr>
        <w:t>takata whenua</w:t>
      </w:r>
      <w:r w:rsidRPr="00472578">
        <w:rPr>
          <w:rFonts w:cs="Times New Roman"/>
        </w:rPr>
        <w:t xml:space="preserve"> and the Crown</w:t>
      </w:r>
      <w:r w:rsidRPr="639E38F9">
        <w:rPr>
          <w:u w:val="single"/>
        </w:rPr>
        <w:t xml:space="preserve">, which the Crown expresses in part through the provisions of the RMA and national instruments created in accordance with the </w:t>
      </w:r>
      <w:r w:rsidR="000C6E9F" w:rsidRPr="639E38F9">
        <w:rPr>
          <w:u w:val="single"/>
        </w:rPr>
        <w:t>RMA</w:t>
      </w:r>
      <w:r w:rsidRPr="639E38F9">
        <w:rPr>
          <w:u w:val="single"/>
        </w:rPr>
        <w:t xml:space="preserve">. This, in turn, creates responsibilities for </w:t>
      </w:r>
      <w:r w:rsidRPr="639E38F9">
        <w:rPr>
          <w:i/>
          <w:u w:val="single"/>
        </w:rPr>
        <w:t>local authorities</w:t>
      </w:r>
      <w:r w:rsidRPr="639E38F9">
        <w:rPr>
          <w:u w:val="single"/>
        </w:rPr>
        <w:t>.</w:t>
      </w:r>
      <w:r w:rsidRPr="00472578">
        <w:rPr>
          <w:rFonts w:cs="Times New Roman"/>
          <w:u w:val="single"/>
        </w:rPr>
        <w:t xml:space="preserve"> </w:t>
      </w:r>
      <w:r w:rsidRPr="639E38F9">
        <w:rPr>
          <w:u w:val="single"/>
        </w:rPr>
        <w:t xml:space="preserve">Providing for cultural well-being is a feature of the sustainable management purpose of the </w:t>
      </w:r>
      <w:r w:rsidR="008A1FE7" w:rsidRPr="639E38F9">
        <w:rPr>
          <w:u w:val="single"/>
        </w:rPr>
        <w:t>RMA</w:t>
      </w:r>
      <w:r w:rsidRPr="00472578">
        <w:rPr>
          <w:rFonts w:cs="Times New Roman"/>
        </w:rPr>
        <w:t>.</w:t>
      </w:r>
      <w:r w:rsidRPr="00472578">
        <w:rPr>
          <w:rFonts w:cs="Times New Roman"/>
          <w:vertAlign w:val="superscript"/>
        </w:rPr>
        <w:footnoteReference w:id="285"/>
      </w:r>
      <w:r w:rsidRPr="00472578">
        <w:rPr>
          <w:rFonts w:cs="Times New Roman"/>
        </w:rPr>
        <w:t xml:space="preserve"> Section 8 of the </w:t>
      </w:r>
      <w:r w:rsidRPr="00C021D1">
        <w:rPr>
          <w:rFonts w:cs="Times New Roman"/>
        </w:rPr>
        <w:t>RMA</w:t>
      </w:r>
      <w:r w:rsidRPr="00472578">
        <w:rPr>
          <w:rFonts w:cs="Times New Roman"/>
          <w:strike/>
        </w:rPr>
        <w:t xml:space="preserve"> 1991</w:t>
      </w:r>
      <w:r w:rsidR="00C021D1">
        <w:rPr>
          <w:rStyle w:val="FootnoteReference"/>
          <w:rFonts w:cs="Times New Roman"/>
        </w:rPr>
        <w:footnoteReference w:id="286"/>
      </w:r>
      <w:r w:rsidR="0068219A">
        <w:rPr>
          <w:rFonts w:cs="Times New Roman"/>
        </w:rPr>
        <w:t xml:space="preserve"> </w:t>
      </w:r>
      <w:r w:rsidRPr="00472578">
        <w:rPr>
          <w:rFonts w:cs="Times New Roman"/>
        </w:rPr>
        <w:t xml:space="preserve">requires </w:t>
      </w:r>
      <w:r w:rsidRPr="00472578">
        <w:rPr>
          <w:rFonts w:cs="Times New Roman"/>
          <w:i/>
          <w:iCs/>
        </w:rPr>
        <w:t>local authorities</w:t>
      </w:r>
      <w:r w:rsidRPr="00472578">
        <w:rPr>
          <w:rFonts w:cs="Times New Roman"/>
        </w:rPr>
        <w:t xml:space="preserve"> to take the principles of Te Tiriti o Waitangi into account. These principles include kāwanataka, rakatirataka, partnership, participatory decision making and active protection of Kāi Tahu resources. Section 7(a) of the RMA</w:t>
      </w:r>
      <w:r w:rsidRPr="0068219A">
        <w:rPr>
          <w:rFonts w:cs="Times New Roman"/>
          <w:strike/>
        </w:rPr>
        <w:t xml:space="preserve"> 1991</w:t>
      </w:r>
      <w:r w:rsidR="0068219A" w:rsidRPr="0068219A">
        <w:rPr>
          <w:rStyle w:val="FootnoteReference"/>
          <w:rFonts w:cs="Times New Roman"/>
        </w:rPr>
        <w:footnoteReference w:id="287"/>
      </w:r>
      <w:r w:rsidRPr="0068219A">
        <w:rPr>
          <w:rFonts w:cs="Times New Roman"/>
        </w:rPr>
        <w:t xml:space="preserve"> </w:t>
      </w:r>
      <w:r w:rsidRPr="00472578">
        <w:rPr>
          <w:rFonts w:cs="Times New Roman"/>
        </w:rPr>
        <w:t xml:space="preserve">requires decision makers to have </w:t>
      </w:r>
      <w:proofErr w:type="gramStart"/>
      <w:r w:rsidRPr="00472578">
        <w:rPr>
          <w:rFonts w:cs="Times New Roman"/>
        </w:rPr>
        <w:t>particular regard</w:t>
      </w:r>
      <w:proofErr w:type="gramEnd"/>
      <w:r w:rsidRPr="00472578">
        <w:rPr>
          <w:rFonts w:cs="Times New Roman"/>
        </w:rPr>
        <w:t xml:space="preserve"> to </w:t>
      </w:r>
      <w:r w:rsidRPr="00472578">
        <w:rPr>
          <w:rFonts w:cs="Times New Roman"/>
          <w:i/>
          <w:iCs/>
        </w:rPr>
        <w:t>kaitiakitaka</w:t>
      </w:r>
      <w:r w:rsidRPr="00472578">
        <w:rPr>
          <w:rFonts w:cs="Times New Roman"/>
        </w:rPr>
        <w:t xml:space="preserve">. Effective </w:t>
      </w:r>
      <w:r w:rsidRPr="00472578">
        <w:rPr>
          <w:rFonts w:cs="Times New Roman"/>
          <w:i/>
          <w:iCs/>
        </w:rPr>
        <w:t>kaitiakitaka</w:t>
      </w:r>
      <w:r w:rsidRPr="00472578">
        <w:rPr>
          <w:rFonts w:cs="Times New Roman"/>
        </w:rPr>
        <w:t xml:space="preserve"> is dependent upon the extent to which Kāi Tahu can exercise rakatirataka, which requires the authority and ability to make decisions relating to management of resources. </w:t>
      </w:r>
    </w:p>
    <w:p w14:paraId="3BAA727D" w14:textId="77777777" w:rsidR="009A1120" w:rsidRPr="00472578" w:rsidRDefault="009A1120" w:rsidP="00E92686">
      <w:pPr>
        <w:spacing w:line="256" w:lineRule="auto"/>
        <w:jc w:val="both"/>
      </w:pPr>
      <w:r w:rsidRPr="00472578">
        <w:rPr>
          <w:rFonts w:cs="Times New Roman"/>
          <w:i/>
          <w:iCs/>
        </w:rPr>
        <w:t>Local authorities</w:t>
      </w:r>
      <w:r w:rsidRPr="00472578">
        <w:rPr>
          <w:rFonts w:cs="Times New Roman"/>
        </w:rPr>
        <w:t xml:space="preserve"> need to incorporate Treaty principles into their decision making and ensure they are properly applied, to account for the </w:t>
      </w:r>
      <w:r w:rsidRPr="00472578">
        <w:rPr>
          <w:rFonts w:cs="Times New Roman"/>
          <w:i/>
          <w:iCs/>
        </w:rPr>
        <w:t>effects</w:t>
      </w:r>
      <w:r w:rsidRPr="00472578">
        <w:rPr>
          <w:rFonts w:cs="Times New Roman"/>
        </w:rPr>
        <w:t xml:space="preserve"> of resource management decisions on Kāi Tahu values, including those described in iwi resource management plans</w:t>
      </w:r>
      <w:r w:rsidRPr="00472578">
        <w:t xml:space="preserve">. Deliberate </w:t>
      </w:r>
      <w:r w:rsidRPr="00472578">
        <w:rPr>
          <w:rFonts w:cs="Times New Roman"/>
        </w:rPr>
        <w:t>measures</w:t>
      </w:r>
      <w:r w:rsidRPr="00472578">
        <w:t xml:space="preserve"> need to be taken to ensure the principles are </w:t>
      </w:r>
      <w:r w:rsidRPr="639E38F9">
        <w:rPr>
          <w:strike/>
        </w:rPr>
        <w:t>well</w:t>
      </w:r>
      <w:r w:rsidRPr="639E38F9">
        <w:t xml:space="preserve"> </w:t>
      </w:r>
      <w:r w:rsidRPr="639E38F9">
        <w:rPr>
          <w:u w:val="single"/>
        </w:rPr>
        <w:t>clearly articulated and readily</w:t>
      </w:r>
      <w:r w:rsidRPr="639E38F9">
        <w:rPr>
          <w:vertAlign w:val="superscript"/>
        </w:rPr>
        <w:footnoteReference w:id="288"/>
      </w:r>
      <w:r w:rsidRPr="00472578">
        <w:t xml:space="preserve"> understood. The principles are broadly expressed, so a measure of flexibility is needed in applying them. </w:t>
      </w:r>
    </w:p>
    <w:p w14:paraId="14F7015A" w14:textId="06AA13A0" w:rsidR="009A1120" w:rsidRPr="00472578" w:rsidRDefault="009A1120" w:rsidP="00E92686">
      <w:pPr>
        <w:spacing w:line="256" w:lineRule="auto"/>
        <w:jc w:val="both"/>
      </w:pPr>
      <w:r w:rsidRPr="00472578">
        <w:rPr>
          <w:rFonts w:cs="Times New Roman"/>
        </w:rPr>
        <w:t>The provisions in this chapter assist in implementing sections 6(e), 7(a) and 8 of the RMA</w:t>
      </w:r>
      <w:r w:rsidRPr="0068219A">
        <w:rPr>
          <w:rFonts w:cs="Times New Roman"/>
          <w:strike/>
        </w:rPr>
        <w:t xml:space="preserve"> 1991</w:t>
      </w:r>
      <w:r w:rsidR="0068219A">
        <w:rPr>
          <w:rStyle w:val="FootnoteReference"/>
          <w:rFonts w:cs="Times New Roman"/>
        </w:rPr>
        <w:footnoteReference w:id="289"/>
      </w:r>
      <w:r w:rsidRPr="00472578">
        <w:rPr>
          <w:rFonts w:cs="Times New Roman"/>
        </w:rPr>
        <w:t xml:space="preserve"> by requiring</w:t>
      </w:r>
      <w:r w:rsidRPr="00472578">
        <w:t xml:space="preserve"> a partnership </w:t>
      </w:r>
      <w:r w:rsidRPr="00472578">
        <w:rPr>
          <w:rFonts w:cs="Times New Roman"/>
        </w:rPr>
        <w:t>approach</w:t>
      </w:r>
      <w:r w:rsidRPr="00472578">
        <w:t xml:space="preserve"> which involves Kāi Tahu and considers </w:t>
      </w:r>
      <w:r w:rsidRPr="00472578">
        <w:rPr>
          <w:i/>
          <w:iCs/>
        </w:rPr>
        <w:t>mana whenua</w:t>
      </w:r>
      <w:r w:rsidRPr="00472578">
        <w:t xml:space="preserve"> rights, interests and values in decision making </w:t>
      </w:r>
      <w:r w:rsidRPr="00472578" w:rsidDel="00843278">
        <w:t xml:space="preserve">processes, </w:t>
      </w:r>
      <w:r w:rsidRPr="00472578">
        <w:t xml:space="preserve">and enables Treaty principles to be </w:t>
      </w:r>
      <w:proofErr w:type="gramStart"/>
      <w:r w:rsidRPr="00472578">
        <w:rPr>
          <w:strike/>
        </w:rPr>
        <w:t>taken into account</w:t>
      </w:r>
      <w:proofErr w:type="gramEnd"/>
      <w:r w:rsidRPr="00472578">
        <w:t xml:space="preserve"> </w:t>
      </w:r>
      <w:r w:rsidRPr="00472578">
        <w:rPr>
          <w:u w:val="single"/>
        </w:rPr>
        <w:t>applied</w:t>
      </w:r>
      <w:r w:rsidRPr="00472578">
        <w:rPr>
          <w:vertAlign w:val="superscript"/>
        </w:rPr>
        <w:footnoteReference w:id="290"/>
      </w:r>
      <w:r w:rsidRPr="00472578">
        <w:t xml:space="preserve"> in an appropriate way.</w:t>
      </w:r>
    </w:p>
    <w:p w14:paraId="62FB884D" w14:textId="07087564" w:rsidR="009A1120" w:rsidRPr="00472578" w:rsidRDefault="009A1120" w:rsidP="00E92686">
      <w:pPr>
        <w:spacing w:line="256" w:lineRule="auto"/>
        <w:jc w:val="both"/>
        <w:rPr>
          <w:rFonts w:cs="Times New Roman"/>
        </w:rPr>
      </w:pPr>
      <w:r w:rsidRPr="639E38F9">
        <w:lastRenderedPageBreak/>
        <w:t>Implementation of the provisions in this chapter will occur primarily</w:t>
      </w:r>
      <w:r w:rsidRPr="639E38F9">
        <w:rPr>
          <w:u w:val="single"/>
        </w:rPr>
        <w:t>, but not exclusively,</w:t>
      </w:r>
      <w:r w:rsidRPr="639E38F9">
        <w:rPr>
          <w:vertAlign w:val="superscript"/>
        </w:rPr>
        <w:footnoteReference w:id="291"/>
      </w:r>
      <w:r w:rsidRPr="00472578">
        <w:rPr>
          <w:rFonts w:cs="Times New Roman"/>
        </w:rPr>
        <w:t xml:space="preserve"> through </w:t>
      </w:r>
      <w:r w:rsidRPr="00472578">
        <w:rPr>
          <w:rFonts w:cs="Times New Roman"/>
          <w:i/>
          <w:iCs/>
        </w:rPr>
        <w:t>regional</w:t>
      </w:r>
      <w:r w:rsidRPr="00472578">
        <w:rPr>
          <w:rFonts w:cs="Times New Roman"/>
        </w:rPr>
        <w:t xml:space="preserve"> </w:t>
      </w:r>
      <w:r w:rsidR="008A6397" w:rsidRPr="00472578">
        <w:rPr>
          <w:rFonts w:cs="Times New Roman"/>
          <w:i/>
          <w:iCs/>
          <w:u w:val="single"/>
        </w:rPr>
        <w:t>plans</w:t>
      </w:r>
      <w:r w:rsidR="008A6397" w:rsidRPr="00472578">
        <w:rPr>
          <w:rStyle w:val="FootnoteReference"/>
          <w:rFonts w:cs="Times New Roman"/>
        </w:rPr>
        <w:footnoteReference w:id="292"/>
      </w:r>
      <w:r w:rsidR="003A0A9B" w:rsidRPr="00472578">
        <w:rPr>
          <w:rFonts w:cs="Times New Roman"/>
          <w:i/>
          <w:iCs/>
        </w:rPr>
        <w:t xml:space="preserve"> </w:t>
      </w:r>
      <w:r w:rsidRPr="00472578">
        <w:rPr>
          <w:rFonts w:cs="Times New Roman"/>
        </w:rPr>
        <w:t>and</w:t>
      </w:r>
      <w:r w:rsidRPr="00472578">
        <w:rPr>
          <w:rFonts w:cs="Times New Roman"/>
          <w:i/>
          <w:iCs/>
        </w:rPr>
        <w:t xml:space="preserve"> district plan</w:t>
      </w:r>
      <w:r w:rsidRPr="00472578">
        <w:rPr>
          <w:rFonts w:cs="Times New Roman"/>
        </w:rPr>
        <w:t xml:space="preserve"> provisions. </w:t>
      </w:r>
      <w:proofErr w:type="gramStart"/>
      <w:r w:rsidRPr="639E38F9">
        <w:rPr>
          <w:strike/>
        </w:rPr>
        <w:t>However</w:t>
      </w:r>
      <w:proofErr w:type="gramEnd"/>
      <w:r w:rsidRPr="639E38F9">
        <w:rPr>
          <w:strike/>
        </w:rPr>
        <w:t xml:space="preserve"> </w:t>
      </w:r>
      <w:r w:rsidRPr="639E38F9">
        <w:rPr>
          <w:i/>
          <w:strike/>
        </w:rPr>
        <w:t>l</w:t>
      </w:r>
      <w:r w:rsidRPr="639E38F9">
        <w:rPr>
          <w:i/>
          <w:u w:val="single"/>
        </w:rPr>
        <w:t>L</w:t>
      </w:r>
      <w:r w:rsidRPr="639E38F9">
        <w:rPr>
          <w:i/>
        </w:rPr>
        <w:t>ocal authorities</w:t>
      </w:r>
      <w:r w:rsidRPr="639E38F9">
        <w:t xml:space="preserve"> may </w:t>
      </w:r>
      <w:r w:rsidRPr="639E38F9">
        <w:rPr>
          <w:strike/>
        </w:rPr>
        <w:t>also</w:t>
      </w:r>
      <w:r w:rsidRPr="639E38F9">
        <w:t xml:space="preserve"> adopt </w:t>
      </w:r>
      <w:r w:rsidRPr="639E38F9">
        <w:rPr>
          <w:strike/>
        </w:rPr>
        <w:t>additional</w:t>
      </w:r>
      <w:r w:rsidRPr="639E38F9">
        <w:t xml:space="preserve"> </w:t>
      </w:r>
      <w:r w:rsidRPr="639E38F9">
        <w:rPr>
          <w:u w:val="single"/>
        </w:rPr>
        <w:t>a range of methods, utilising statutory mechanisms and</w:t>
      </w:r>
      <w:r w:rsidRPr="639E38F9">
        <w:rPr>
          <w:vertAlign w:val="superscript"/>
        </w:rPr>
        <w:footnoteReference w:id="293"/>
      </w:r>
      <w:r w:rsidRPr="639E38F9">
        <w:t xml:space="preserve"> </w:t>
      </w:r>
      <w:r w:rsidRPr="00472578">
        <w:rPr>
          <w:rFonts w:cs="Times New Roman"/>
        </w:rPr>
        <w:t>non-regulatory methods to implement the policies and support achievement of the objective.</w:t>
      </w:r>
    </w:p>
    <w:p w14:paraId="66A8CB0F" w14:textId="77777777" w:rsidR="009A1120" w:rsidRPr="00472578" w:rsidRDefault="009A1120" w:rsidP="00E92686">
      <w:pPr>
        <w:pStyle w:val="Heading4"/>
        <w:jc w:val="both"/>
      </w:pPr>
      <w:r w:rsidRPr="00472578">
        <w:t>Anticipated environmental results</w:t>
      </w:r>
    </w:p>
    <w:p w14:paraId="7482FD86" w14:textId="5C60346C" w:rsidR="009A1120" w:rsidRPr="00472578" w:rsidRDefault="00B208D6" w:rsidP="00E92686">
      <w:pPr>
        <w:adjustRightInd w:val="0"/>
        <w:spacing w:before="240" w:line="256" w:lineRule="auto"/>
        <w:ind w:left="1418" w:hanging="1418"/>
        <w:jc w:val="both"/>
        <w:outlineLvl w:val="4"/>
        <w:rPr>
          <w:rFonts w:cs="Times New Roman"/>
          <w:b/>
          <w:bCs/>
          <w:color w:val="1F3864" w:themeColor="accent1" w:themeShade="80"/>
        </w:rPr>
      </w:pPr>
      <w:r w:rsidRPr="00472578">
        <w:rPr>
          <w:rFonts w:cs="Times New Roman"/>
          <w:b/>
          <w:bCs/>
          <w:color w:val="1F3864" w:themeColor="accent1" w:themeShade="80"/>
        </w:rPr>
        <w:t>MW-A</w:t>
      </w:r>
      <w:r w:rsidR="009A1120" w:rsidRPr="00472578">
        <w:rPr>
          <w:rFonts w:cs="Times New Roman"/>
          <w:b/>
          <w:bCs/>
          <w:color w:val="1F3864" w:themeColor="accent1" w:themeShade="80"/>
        </w:rPr>
        <w:t>ER1</w:t>
      </w:r>
      <w:r w:rsidR="009A1120" w:rsidRPr="00472578">
        <w:rPr>
          <w:rFonts w:cs="Times New Roman"/>
          <w:b/>
          <w:bCs/>
          <w:color w:val="1F3864" w:themeColor="accent1" w:themeShade="80"/>
        </w:rPr>
        <w:tab/>
      </w:r>
      <w:r w:rsidR="009A1120" w:rsidRPr="00472578">
        <w:rPr>
          <w:rFonts w:cs="Times New Roman"/>
        </w:rPr>
        <w:t>Resource management processes and decisions reflect the principles of Te Tiriti o Waitangi.</w:t>
      </w:r>
      <w:r w:rsidR="009A1120" w:rsidRPr="00472578">
        <w:rPr>
          <w:rFonts w:cs="Times New Roman"/>
          <w:b/>
          <w:bCs/>
        </w:rPr>
        <w:t xml:space="preserve"> </w:t>
      </w:r>
    </w:p>
    <w:p w14:paraId="60450047" w14:textId="7A9B5B10" w:rsidR="009A1120" w:rsidRPr="00472578" w:rsidRDefault="00B208D6" w:rsidP="00E92686">
      <w:pPr>
        <w:ind w:left="1418" w:hanging="1418"/>
        <w:jc w:val="both"/>
      </w:pPr>
      <w:bookmarkStart w:id="54" w:name="_Hlk45693750"/>
      <w:bookmarkEnd w:id="39"/>
      <w:bookmarkEnd w:id="54"/>
      <w:r w:rsidRPr="00472578">
        <w:rPr>
          <w:rFonts w:cs="Times New Roman"/>
          <w:b/>
          <w:color w:val="1F3864" w:themeColor="accent1" w:themeShade="80"/>
        </w:rPr>
        <w:t>MW-A</w:t>
      </w:r>
      <w:r w:rsidR="009A1120" w:rsidRPr="00472578">
        <w:rPr>
          <w:rFonts w:cs="Times New Roman"/>
          <w:b/>
          <w:color w:val="1F3864" w:themeColor="accent1" w:themeShade="80"/>
        </w:rPr>
        <w:t>ER2</w:t>
      </w:r>
      <w:r w:rsidR="009A1120" w:rsidRPr="00472578">
        <w:tab/>
      </w:r>
      <w:r w:rsidR="009A1120" w:rsidRPr="00472578">
        <w:rPr>
          <w:rFonts w:cs="Times New Roman"/>
        </w:rPr>
        <w:t xml:space="preserve">Strong relationships between Kāi Tahu and </w:t>
      </w:r>
      <w:r w:rsidR="009A1120" w:rsidRPr="00472578">
        <w:rPr>
          <w:rFonts w:cs="Times New Roman"/>
          <w:i/>
          <w:iCs/>
        </w:rPr>
        <w:t>local authorities</w:t>
      </w:r>
      <w:r w:rsidR="009A1120" w:rsidRPr="00472578">
        <w:rPr>
          <w:rFonts w:cs="Times New Roman"/>
        </w:rPr>
        <w:t xml:space="preserve"> facilitate the exercise of rakatirataka and </w:t>
      </w:r>
      <w:r w:rsidR="009A1120" w:rsidRPr="00472578">
        <w:rPr>
          <w:rFonts w:cs="Times New Roman"/>
          <w:i/>
          <w:iCs/>
        </w:rPr>
        <w:t>kaitiakitaka</w:t>
      </w:r>
      <w:r w:rsidR="009A1120" w:rsidRPr="00472578">
        <w:rPr>
          <w:rFonts w:cs="Times New Roman"/>
        </w:rPr>
        <w:t xml:space="preserve"> by </w:t>
      </w:r>
      <w:r w:rsidR="009A1120" w:rsidRPr="00472578">
        <w:rPr>
          <w:rFonts w:cs="Times New Roman"/>
          <w:i/>
          <w:iCs/>
        </w:rPr>
        <w:t>mana</w:t>
      </w:r>
      <w:r w:rsidR="009A1120" w:rsidRPr="00472578">
        <w:rPr>
          <w:rFonts w:cs="Times New Roman"/>
        </w:rPr>
        <w:t xml:space="preserve"> </w:t>
      </w:r>
      <w:r w:rsidR="009A1120" w:rsidRPr="00472578">
        <w:rPr>
          <w:rFonts w:cs="Times New Roman"/>
          <w:i/>
          <w:iCs/>
        </w:rPr>
        <w:t>whenua</w:t>
      </w:r>
      <w:r w:rsidR="009A1120" w:rsidRPr="00472578">
        <w:rPr>
          <w:rFonts w:cs="Times New Roman"/>
        </w:rPr>
        <w:t xml:space="preserve"> in relation to their taoka tuku iho.</w:t>
      </w:r>
    </w:p>
    <w:p w14:paraId="522894B6" w14:textId="77777777" w:rsidR="009A1120" w:rsidRPr="00472578" w:rsidRDefault="009A1120" w:rsidP="00E92686">
      <w:pPr>
        <w:jc w:val="both"/>
      </w:pPr>
    </w:p>
    <w:p w14:paraId="7FD30949" w14:textId="186179AF" w:rsidR="00B02DBF" w:rsidRPr="00472578" w:rsidRDefault="00B02DBF" w:rsidP="00E92686">
      <w:pPr>
        <w:jc w:val="both"/>
      </w:pPr>
      <w:r w:rsidRPr="00472578">
        <w:br w:type="page"/>
      </w:r>
    </w:p>
    <w:p w14:paraId="458A5199" w14:textId="77777777" w:rsidR="00B02DBF" w:rsidRPr="00472578" w:rsidRDefault="00B02DBF" w:rsidP="00CD28EB">
      <w:pPr>
        <w:pStyle w:val="Heading1"/>
      </w:pPr>
      <w:bookmarkStart w:id="55" w:name="_Toc102551274"/>
      <w:r w:rsidRPr="00472578">
        <w:lastRenderedPageBreak/>
        <w:t>PART 2 – RESOURCE MANAGEMENT OVERVIEW</w:t>
      </w:r>
      <w:bookmarkEnd w:id="55"/>
    </w:p>
    <w:p w14:paraId="45EB63AD" w14:textId="52E8E021" w:rsidR="00B02DBF" w:rsidRPr="00472578" w:rsidRDefault="00B02DBF" w:rsidP="00E92686">
      <w:pPr>
        <w:pStyle w:val="Heading2"/>
        <w:jc w:val="both"/>
      </w:pPr>
      <w:bookmarkStart w:id="56" w:name="_Toc102551275"/>
      <w:r w:rsidRPr="00472578">
        <w:t>SRMR – Significant resource management issues for the region</w:t>
      </w:r>
      <w:bookmarkEnd w:id="56"/>
    </w:p>
    <w:p w14:paraId="725BBBBC" w14:textId="77777777" w:rsidR="00B02DBF" w:rsidRPr="00472578" w:rsidRDefault="00B02DBF" w:rsidP="00E92686">
      <w:pPr>
        <w:pStyle w:val="Heading3"/>
        <w:jc w:val="both"/>
      </w:pPr>
      <w:r w:rsidRPr="00472578">
        <w:t>Introduction</w:t>
      </w:r>
    </w:p>
    <w:p w14:paraId="3ABD0E8F" w14:textId="238CAE3B" w:rsidR="004E5E99" w:rsidRPr="00472578" w:rsidRDefault="00B02DBF" w:rsidP="00E92686">
      <w:pPr>
        <w:pStyle w:val="BodyText"/>
        <w:rPr>
          <w:color w:val="333333"/>
        </w:rPr>
      </w:pPr>
      <w:r w:rsidRPr="00472578">
        <w:t xml:space="preserve">Otago’s people and communities rely on the natural resources that Otago’s </w:t>
      </w:r>
      <w:r w:rsidRPr="00472578">
        <w:rPr>
          <w:i/>
          <w:iCs/>
        </w:rPr>
        <w:t xml:space="preserve">environment </w:t>
      </w:r>
      <w:r w:rsidRPr="00472578">
        <w:t xml:space="preserve">provides to enable their social, economic, and cultural well-being. Natural resources include </w:t>
      </w:r>
      <w:r w:rsidRPr="00472578">
        <w:rPr>
          <w:i/>
          <w:iCs/>
        </w:rPr>
        <w:t xml:space="preserve">freshwater </w:t>
      </w:r>
      <w:r w:rsidRPr="00472578">
        <w:t>(</w:t>
      </w:r>
      <w:proofErr w:type="gramStart"/>
      <w:r w:rsidRPr="00472578">
        <w:t>i.e.</w:t>
      </w:r>
      <w:proofErr w:type="gramEnd"/>
      <w:r w:rsidRPr="00472578">
        <w:t xml:space="preserve"> surface and </w:t>
      </w:r>
      <w:r w:rsidRPr="00472578">
        <w:rPr>
          <w:i/>
          <w:iCs/>
        </w:rPr>
        <w:t>groundwater</w:t>
      </w:r>
      <w:r w:rsidRPr="00472578">
        <w:t xml:space="preserve">, </w:t>
      </w:r>
      <w:r w:rsidRPr="00472578">
        <w:rPr>
          <w:i/>
          <w:iCs/>
        </w:rPr>
        <w:t>wetlands</w:t>
      </w:r>
      <w:r w:rsidRPr="00472578">
        <w:t xml:space="preserve">, estuaries), </w:t>
      </w:r>
      <w:r w:rsidRPr="00472578">
        <w:rPr>
          <w:i/>
          <w:iCs/>
        </w:rPr>
        <w:t>land</w:t>
      </w:r>
      <w:r w:rsidR="001704BD">
        <w:rPr>
          <w:i/>
          <w:iCs/>
          <w:u w:val="single"/>
        </w:rPr>
        <w:t xml:space="preserve"> and soil</w:t>
      </w:r>
      <w:r w:rsidR="001704BD" w:rsidRPr="00472578">
        <w:rPr>
          <w:rStyle w:val="FootnoteReference"/>
        </w:rPr>
        <w:footnoteReference w:id="294"/>
      </w:r>
      <w:r w:rsidRPr="00472578">
        <w:t>, terrestrial</w:t>
      </w:r>
      <w:r w:rsidRPr="001704BD">
        <w:t xml:space="preserve">, </w:t>
      </w:r>
      <w:r w:rsidRPr="00472578">
        <w:t xml:space="preserve">and </w:t>
      </w:r>
      <w:r w:rsidRPr="00472578">
        <w:rPr>
          <w:i/>
          <w:iCs/>
        </w:rPr>
        <w:t xml:space="preserve">freshwater </w:t>
      </w:r>
      <w:r w:rsidRPr="00472578">
        <w:t>ecosystems, coastal and marine ecosystems, and air, landscapes, vegetation and natural landforms.</w:t>
      </w:r>
      <w:r w:rsidRPr="00472578">
        <w:rPr>
          <w:rFonts w:ascii="Segoe UI" w:hAnsi="Segoe UI" w:cs="Segoe UI"/>
          <w:color w:val="333333"/>
          <w:sz w:val="18"/>
          <w:szCs w:val="18"/>
        </w:rPr>
        <w:t xml:space="preserve"> </w:t>
      </w:r>
    </w:p>
    <w:p w14:paraId="443E1DF9" w14:textId="6A8C3380" w:rsidR="00B02DBF" w:rsidRDefault="00B02DBF" w:rsidP="00E92686">
      <w:pPr>
        <w:pStyle w:val="BodyText"/>
      </w:pPr>
      <w:r w:rsidRPr="00472578">
        <w:t>From an economic perspective natural resources support, and are impacted by, agricultural industries</w:t>
      </w:r>
      <w:r w:rsidR="00B74840" w:rsidRPr="00472578">
        <w:t xml:space="preserve"> </w:t>
      </w:r>
      <w:r w:rsidRPr="00472578">
        <w:t>(</w:t>
      </w:r>
      <w:proofErr w:type="gramStart"/>
      <w:r w:rsidRPr="00472578">
        <w:t>e.g.</w:t>
      </w:r>
      <w:proofErr w:type="gramEnd"/>
      <w:r w:rsidRPr="00472578">
        <w:t xml:space="preserve"> grazing, cropping, horticulture, viticulture), urban development, industrial development, </w:t>
      </w:r>
      <w:r w:rsidRPr="00472578">
        <w:rPr>
          <w:i/>
        </w:rPr>
        <w:t>infrastructure</w:t>
      </w:r>
      <w:r w:rsidRPr="00472578">
        <w:t xml:space="preserve">, energy generation, transport, marine industries (fishing and aquaculture), tourism and mineral extraction. From a social and cultural perspective natural resources support and are impacted by recreation, housing, and cultural activities (Refer </w:t>
      </w:r>
      <w:hyperlink w:anchor="_bookmark0" w:history="1">
        <w:r w:rsidRPr="00472578">
          <w:t>Figure 2</w:t>
        </w:r>
      </w:hyperlink>
      <w:r w:rsidRPr="00472578">
        <w:t>).</w:t>
      </w:r>
    </w:p>
    <w:p w14:paraId="3B115776" w14:textId="77777777" w:rsidR="00377C9E" w:rsidRPr="00472578" w:rsidRDefault="00377C9E" w:rsidP="00E92686">
      <w:pPr>
        <w:pStyle w:val="BodyText"/>
      </w:pPr>
    </w:p>
    <w:p w14:paraId="4777CB5B" w14:textId="77777777" w:rsidR="00377C9E" w:rsidRDefault="00377C9E" w:rsidP="00377C9E">
      <w:pPr>
        <w:pStyle w:val="Caption"/>
        <w:ind w:left="1134"/>
      </w:pPr>
      <w:bookmarkStart w:id="57" w:name="_bookmark0"/>
      <w:bookmarkEnd w:id="57"/>
      <w:r>
        <w:rPr>
          <w:noProof/>
        </w:rPr>
        <w:lastRenderedPageBreak/>
        <mc:AlternateContent>
          <mc:Choice Requires="wpg">
            <w:drawing>
              <wp:inline distT="0" distB="0" distL="0" distR="0" wp14:anchorId="7DEB78FB" wp14:editId="76017ADE">
                <wp:extent cx="4486910" cy="4544060"/>
                <wp:effectExtent l="0" t="0" r="8890" b="8890"/>
                <wp:docPr id="1265821830" name="Group 1265821830"/>
                <wp:cNvGraphicFramePr/>
                <a:graphic xmlns:a="http://schemas.openxmlformats.org/drawingml/2006/main">
                  <a:graphicData uri="http://schemas.microsoft.com/office/word/2010/wordprocessingGroup">
                    <wpg:wgp>
                      <wpg:cNvGrpSpPr/>
                      <wpg:grpSpPr>
                        <a:xfrm>
                          <a:off x="0" y="0"/>
                          <a:ext cx="4486910" cy="4544060"/>
                          <a:chOff x="0" y="0"/>
                          <a:chExt cx="4486910" cy="4544060"/>
                        </a:xfrm>
                      </wpg:grpSpPr>
                      <pic:pic xmlns:pic="http://schemas.openxmlformats.org/drawingml/2006/picture">
                        <pic:nvPicPr>
                          <pic:cNvPr id="1265821826" name="docshape3" descr="Diagram  Description automatically generated"/>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6910" cy="4544060"/>
                          </a:xfrm>
                          <a:prstGeom prst="rect">
                            <a:avLst/>
                          </a:prstGeom>
                          <a:noFill/>
                        </pic:spPr>
                      </pic:pic>
                      <wps:wsp>
                        <wps:cNvPr id="1265821828" name="Text Box 2"/>
                        <wps:cNvSpPr txBox="1">
                          <a:spLocks noChangeArrowheads="1"/>
                        </wps:cNvSpPr>
                        <wps:spPr bwMode="auto">
                          <a:xfrm>
                            <a:off x="2380891" y="232913"/>
                            <a:ext cx="724535" cy="284480"/>
                          </a:xfrm>
                          <a:prstGeom prst="rect">
                            <a:avLst/>
                          </a:prstGeom>
                          <a:noFill/>
                          <a:ln w="9525">
                            <a:noFill/>
                            <a:miter lim="800000"/>
                            <a:headEnd/>
                            <a:tailEnd/>
                          </a:ln>
                        </wps:spPr>
                        <wps:txbx>
                          <w:txbxContent>
                            <w:p w14:paraId="0C1B214C" w14:textId="2E5E9550" w:rsidR="009779ED" w:rsidRPr="00377C9E" w:rsidRDefault="00377C9E">
                              <w:pPr>
                                <w:rPr>
                                  <w:b/>
                                  <w:bCs/>
                                  <w:u w:val="single"/>
                                </w:rPr>
                              </w:pPr>
                              <w:r w:rsidRPr="00377C9E">
                                <w:rPr>
                                  <w:b/>
                                  <w:bCs/>
                                  <w:u w:val="single"/>
                                </w:rPr>
                                <w:t>Minerals</w:t>
                              </w:r>
                            </w:p>
                          </w:txbxContent>
                        </wps:txbx>
                        <wps:bodyPr rot="0" vert="horz" wrap="square" lIns="91440" tIns="45720" rIns="91440" bIns="45720" anchor="t" anchorCtr="0">
                          <a:noAutofit/>
                        </wps:bodyPr>
                      </wps:wsp>
                      <wps:wsp>
                        <wps:cNvPr id="1265821829" name="Text Box 2"/>
                        <wps:cNvSpPr txBox="1">
                          <a:spLocks noChangeArrowheads="1"/>
                        </wps:cNvSpPr>
                        <wps:spPr bwMode="auto">
                          <a:xfrm>
                            <a:off x="1561382" y="992037"/>
                            <a:ext cx="845185" cy="499745"/>
                          </a:xfrm>
                          <a:prstGeom prst="rect">
                            <a:avLst/>
                          </a:prstGeom>
                          <a:noFill/>
                          <a:ln w="9525">
                            <a:noFill/>
                            <a:miter lim="800000"/>
                            <a:headEnd/>
                            <a:tailEnd/>
                          </a:ln>
                        </wps:spPr>
                        <wps:txbx>
                          <w:txbxContent>
                            <w:p w14:paraId="4FFFF943" w14:textId="43B9BF92" w:rsidR="00377C9E" w:rsidRPr="00377C9E" w:rsidRDefault="00377C9E" w:rsidP="00377C9E">
                              <w:pPr>
                                <w:rPr>
                                  <w:b/>
                                  <w:bCs/>
                                  <w:u w:val="single"/>
                                  <w:lang w:val="en-GB"/>
                                </w:rPr>
                              </w:pPr>
                              <w:r>
                                <w:rPr>
                                  <w:b/>
                                  <w:bCs/>
                                  <w:u w:val="single"/>
                                  <w:lang w:val="en-GB"/>
                                </w:rPr>
                                <w:t>Plantation forestry</w:t>
                              </w:r>
                            </w:p>
                          </w:txbxContent>
                        </wps:txbx>
                        <wps:bodyPr rot="0" vert="horz" wrap="square" lIns="91440" tIns="45720" rIns="91440" bIns="45720" anchor="t" anchorCtr="0">
                          <a:noAutofit/>
                        </wps:bodyPr>
                      </wps:wsp>
                    </wpg:wgp>
                  </a:graphicData>
                </a:graphic>
              </wp:inline>
            </w:drawing>
          </mc:Choice>
          <mc:Fallback>
            <w:pict>
              <v:group w14:anchorId="7DEB78FB" id="Group 1265821830" o:spid="_x0000_s1145" style="width:353.3pt;height:357.8pt;mso-position-horizontal-relative:char;mso-position-vertical-relative:line" coordsize="44869,45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46" type="#_x0000_t75" alt="Diagram  Description automatically generated" style="position:absolute;width:44869;height:4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">
                  <v:imagedata r:id="rId50" o:title="Diagram  Description automatically generated"/>
                </v:shape>
                <v:shape id="_x0000_s1147" type="#_x0000_t202" style="position:absolute;left:23808;top:2329;width:724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" filled="f" stroked="f">
                  <v:textbox>
                    <w:txbxContent>
                      <w:p w14:paraId="0C1B214C" w14:textId="2E5E9550" w:rsidR="009779ED" w:rsidRPr="00377C9E" w:rsidRDefault="00377C9E">
                        <w:pPr>
                          <w:rPr>
                            <w:b/>
                            <w:bCs/>
                            <w:u w:val="single"/>
                          </w:rPr>
                        </w:pPr>
                        <w:r w:rsidRPr="00377C9E">
                          <w:rPr>
                            <w:b/>
                            <w:bCs/>
                            <w:u w:val="single"/>
                          </w:rPr>
                          <w:t>Minerals</w:t>
                        </w:r>
                      </w:p>
                    </w:txbxContent>
                  </v:textbox>
                </v:shape>
                <v:shape id="_x0000_s1148" type="#_x0000_t202" style="position:absolute;left:15613;top:9920;width:8452;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" filled="f" stroked="f">
                  <v:textbox>
                    <w:txbxContent>
                      <w:p w14:paraId="4FFFF943" w14:textId="43B9BF92" w:rsidR="00377C9E" w:rsidRPr="00377C9E" w:rsidRDefault="00377C9E" w:rsidP="00377C9E">
                        <w:pPr>
                          <w:rPr>
                            <w:b/>
                            <w:bCs/>
                            <w:u w:val="single"/>
                            <w:lang w:val="en-GB"/>
                          </w:rPr>
                        </w:pPr>
                        <w:r>
                          <w:rPr>
                            <w:b/>
                            <w:bCs/>
                            <w:u w:val="single"/>
                            <w:lang w:val="en-GB"/>
                          </w:rPr>
                          <w:t>Plantation forestry</w:t>
                        </w:r>
                      </w:p>
                    </w:txbxContent>
                  </v:textbox>
                </v:shape>
                <w10:anchorlock/>
              </v:group>
            </w:pict>
          </mc:Fallback>
        </mc:AlternateContent>
      </w:r>
    </w:p>
    <w:p w14:paraId="0AC5B160" w14:textId="19449162" w:rsidR="008B1814" w:rsidRDefault="00B02DBF" w:rsidP="00377C9E">
      <w:pPr>
        <w:pStyle w:val="Caption"/>
        <w:jc w:val="center"/>
      </w:pPr>
      <w:r w:rsidRPr="639E38F9">
        <w:t>Figure 2 - Relationships between natural resources, resource use and strategies</w:t>
      </w:r>
      <w:r w:rsidR="001F535C" w:rsidRPr="639E38F9">
        <w:rPr>
          <w:rStyle w:val="FootnoteReference"/>
          <w:color w:val="44536A"/>
        </w:rPr>
        <w:footnoteReference w:id="295"/>
      </w:r>
    </w:p>
    <w:p w14:paraId="71CF5D38" w14:textId="77777777" w:rsidR="008B1814" w:rsidRDefault="008B1814" w:rsidP="008B1814">
      <w:pPr>
        <w:spacing w:before="162"/>
        <w:jc w:val="both"/>
        <w:rPr>
          <w:color w:val="44536A"/>
          <w:sz w:val="18"/>
          <w:szCs w:val="18"/>
        </w:rPr>
      </w:pPr>
    </w:p>
    <w:p w14:paraId="2D3C15E2" w14:textId="5D326812" w:rsidR="00B02DBF" w:rsidRPr="00472578" w:rsidRDefault="00B02DBF" w:rsidP="008B1814">
      <w:pPr>
        <w:spacing w:before="162"/>
        <w:jc w:val="both"/>
      </w:pPr>
      <w:r w:rsidRPr="00472578">
        <w:t xml:space="preserve">This RPS identifies the eleven most significant issues impacting the Otago region. Issues firstly considered include </w:t>
      </w:r>
      <w:r w:rsidRPr="00472578">
        <w:rPr>
          <w:i/>
        </w:rPr>
        <w:t>natural hazards</w:t>
      </w:r>
      <w:r w:rsidRPr="00472578">
        <w:t xml:space="preserve">, </w:t>
      </w:r>
      <w:r w:rsidRPr="00472578">
        <w:rPr>
          <w:i/>
        </w:rPr>
        <w:t>climate change</w:t>
      </w:r>
      <w:r w:rsidRPr="00472578">
        <w:t xml:space="preserve">, pest species, </w:t>
      </w:r>
      <w:r w:rsidRPr="00472578">
        <w:rPr>
          <w:i/>
        </w:rPr>
        <w:t xml:space="preserve">water </w:t>
      </w:r>
      <w:r w:rsidRPr="00472578">
        <w:t xml:space="preserve">quantity and quality, and biodiversity loss, collectively the “natural asset-based issues”. Two “place-based issues” of regional significance are then addressed - being Otago’s coast and </w:t>
      </w:r>
      <w:proofErr w:type="gramStart"/>
      <w:r w:rsidRPr="00472578">
        <w:t xml:space="preserve">Otago’s </w:t>
      </w:r>
      <w:r w:rsidRPr="00472578">
        <w:rPr>
          <w:i/>
        </w:rPr>
        <w:t>lake</w:t>
      </w:r>
      <w:proofErr w:type="gramEnd"/>
      <w:r w:rsidRPr="00472578">
        <w:rPr>
          <w:i/>
        </w:rPr>
        <w:t xml:space="preserve"> </w:t>
      </w:r>
      <w:r w:rsidRPr="00472578">
        <w:t xml:space="preserve">areas. Finally, issues of economic and domestic pressures, cumulative impacts and </w:t>
      </w:r>
      <w:r w:rsidRPr="00472578">
        <w:rPr>
          <w:i/>
        </w:rPr>
        <w:t xml:space="preserve">resilience </w:t>
      </w:r>
      <w:r w:rsidRPr="00472578">
        <w:t>are considered.</w:t>
      </w:r>
    </w:p>
    <w:p w14:paraId="7520490E" w14:textId="666CA3EF" w:rsidR="00B02DBF" w:rsidRPr="00472578" w:rsidRDefault="00B02DBF" w:rsidP="00E92686">
      <w:pPr>
        <w:pStyle w:val="BodyText"/>
      </w:pPr>
      <w:r w:rsidRPr="00472578">
        <w:t xml:space="preserve">While the issues in this section are considered individually, this RPS considers and responds to them in a joined-up manner as part of a complex system with </w:t>
      </w:r>
      <w:r w:rsidRPr="00472578">
        <w:rPr>
          <w:strike/>
        </w:rPr>
        <w:t>biophysical</w:t>
      </w:r>
      <w:r w:rsidRPr="00472578">
        <w:rPr>
          <w:u w:val="single"/>
        </w:rPr>
        <w:t xml:space="preserve"> </w:t>
      </w:r>
      <w:r w:rsidRPr="00472578">
        <w:rPr>
          <w:i/>
          <w:iCs/>
          <w:u w:val="single"/>
        </w:rPr>
        <w:t>environmental</w:t>
      </w:r>
      <w:r w:rsidRPr="00472578">
        <w:rPr>
          <w:i/>
          <w:iCs/>
        </w:rPr>
        <w:t xml:space="preserve"> limits</w:t>
      </w:r>
      <w:r w:rsidRPr="00472578">
        <w:rPr>
          <w:rStyle w:val="FootnoteReference"/>
        </w:rPr>
        <w:footnoteReference w:id="296"/>
      </w:r>
      <w:r w:rsidRPr="00472578">
        <w:t>, inherent uncertainty, potentially irreversible and sometimes catastrophic impacts, and interdependent behaviours.</w:t>
      </w:r>
    </w:p>
    <w:p w14:paraId="729F82A3" w14:textId="77777777" w:rsidR="00B02DBF" w:rsidRPr="00472578" w:rsidRDefault="00B02DBF" w:rsidP="00E92686">
      <w:pPr>
        <w:pStyle w:val="BodyText"/>
      </w:pPr>
      <w:r w:rsidRPr="00472578">
        <w:t>Each issue is considered in the following manner:</w:t>
      </w:r>
    </w:p>
    <w:p w14:paraId="6C639E6C" w14:textId="77777777" w:rsidR="00B02DBF" w:rsidRPr="00472578" w:rsidRDefault="00B02DBF" w:rsidP="00E92686">
      <w:pPr>
        <w:pStyle w:val="ListParagraph"/>
        <w:widowControl w:val="0"/>
        <w:numPr>
          <w:ilvl w:val="0"/>
          <w:numId w:val="35"/>
        </w:numPr>
        <w:autoSpaceDE w:val="0"/>
        <w:autoSpaceDN w:val="0"/>
        <w:spacing w:before="159"/>
        <w:ind w:left="567"/>
        <w:contextualSpacing w:val="0"/>
        <w:jc w:val="both"/>
      </w:pPr>
      <w:r w:rsidRPr="00472578">
        <w:t xml:space="preserve">an issue </w:t>
      </w:r>
      <w:proofErr w:type="gramStart"/>
      <w:r w:rsidRPr="00472578">
        <w:t>statement</w:t>
      </w:r>
      <w:proofErr w:type="gramEnd"/>
    </w:p>
    <w:p w14:paraId="44C19523" w14:textId="77777777" w:rsidR="00B02DBF" w:rsidRPr="00472578" w:rsidRDefault="00B02DBF" w:rsidP="00E92686">
      <w:pPr>
        <w:pStyle w:val="ListParagraph"/>
        <w:widowControl w:val="0"/>
        <w:numPr>
          <w:ilvl w:val="0"/>
          <w:numId w:val="35"/>
        </w:numPr>
        <w:autoSpaceDE w:val="0"/>
        <w:autoSpaceDN w:val="0"/>
        <w:spacing w:before="1"/>
        <w:ind w:left="567"/>
        <w:contextualSpacing w:val="0"/>
        <w:jc w:val="both"/>
      </w:pPr>
      <w:r w:rsidRPr="00472578">
        <w:t>context</w:t>
      </w:r>
    </w:p>
    <w:p w14:paraId="51833BF3" w14:textId="77777777" w:rsidR="00B02DBF" w:rsidRPr="00472578" w:rsidRDefault="00B02DBF" w:rsidP="00E92686">
      <w:pPr>
        <w:pStyle w:val="ListParagraph"/>
        <w:widowControl w:val="0"/>
        <w:numPr>
          <w:ilvl w:val="0"/>
          <w:numId w:val="35"/>
        </w:numPr>
        <w:autoSpaceDE w:val="0"/>
        <w:autoSpaceDN w:val="0"/>
        <w:ind w:left="567"/>
        <w:contextualSpacing w:val="0"/>
        <w:jc w:val="both"/>
      </w:pPr>
      <w:r w:rsidRPr="00472578">
        <w:t xml:space="preserve">impacts on the </w:t>
      </w:r>
      <w:r w:rsidRPr="00472578">
        <w:rPr>
          <w:i/>
        </w:rPr>
        <w:t>environment</w:t>
      </w:r>
      <w:r w:rsidRPr="00472578">
        <w:t>, economy, and society</w:t>
      </w:r>
    </w:p>
    <w:p w14:paraId="3719CFDE" w14:textId="371A759D" w:rsidR="00B02DBF" w:rsidRPr="00472578" w:rsidRDefault="00B208D6" w:rsidP="00E92686">
      <w:pPr>
        <w:pStyle w:val="Heading3"/>
        <w:jc w:val="both"/>
      </w:pPr>
      <w:r w:rsidRPr="00472578">
        <w:lastRenderedPageBreak/>
        <w:t>SRMR-I</w:t>
      </w:r>
      <w:r w:rsidR="00B02DBF" w:rsidRPr="00472578">
        <w:t xml:space="preserve">1 – </w:t>
      </w:r>
      <w:r w:rsidR="00B02DBF" w:rsidRPr="00472578">
        <w:rPr>
          <w:i/>
        </w:rPr>
        <w:t xml:space="preserve">Natural hazards </w:t>
      </w:r>
      <w:r w:rsidR="00B02DBF" w:rsidRPr="00472578">
        <w:t xml:space="preserve">pose a </w:t>
      </w:r>
      <w:r w:rsidR="00B02DBF" w:rsidRPr="00472578">
        <w:rPr>
          <w:i/>
        </w:rPr>
        <w:t xml:space="preserve">risk </w:t>
      </w:r>
      <w:r w:rsidR="00B02DBF" w:rsidRPr="00472578">
        <w:t>to many Otago communities</w:t>
      </w:r>
    </w:p>
    <w:p w14:paraId="15795970" w14:textId="77777777" w:rsidR="00B02DBF" w:rsidRPr="00472578" w:rsidRDefault="00B02DBF" w:rsidP="00E92686">
      <w:pPr>
        <w:pStyle w:val="Heading4"/>
        <w:jc w:val="both"/>
      </w:pPr>
      <w:r w:rsidRPr="00472578">
        <w:t>Statement</w:t>
      </w:r>
    </w:p>
    <w:p w14:paraId="6B68E28B" w14:textId="248D46E0" w:rsidR="00B02DBF" w:rsidRPr="00E945C7" w:rsidRDefault="00B02DBF" w:rsidP="00E92686">
      <w:pPr>
        <w:pStyle w:val="BodyText"/>
        <w:rPr>
          <w:u w:val="single"/>
        </w:rPr>
      </w:pPr>
      <w:r w:rsidRPr="00472578">
        <w:rPr>
          <w:strike/>
        </w:rPr>
        <w:t>An earthquake on the Alpine Fault would cause potentially catastrophic impacts on the entire region.</w:t>
      </w:r>
      <w:r w:rsidR="00741F42" w:rsidRPr="00472578">
        <w:rPr>
          <w:strike/>
        </w:rPr>
        <w:t xml:space="preserve"> </w:t>
      </w:r>
      <w:proofErr w:type="gramStart"/>
      <w:r w:rsidRPr="00472578">
        <w:rPr>
          <w:strike/>
        </w:rPr>
        <w:t>Particular areas</w:t>
      </w:r>
      <w:proofErr w:type="gramEnd"/>
      <w:r w:rsidRPr="00472578">
        <w:rPr>
          <w:strike/>
        </w:rPr>
        <w:t xml:space="preserve"> in Otago are prone to flooding. A major hazard event could isolate all or parts of Otago for an extended time.</w:t>
      </w:r>
      <w:r w:rsidR="007410FC" w:rsidRPr="00472578">
        <w:t xml:space="preserve"> </w:t>
      </w:r>
      <w:r w:rsidR="007410FC" w:rsidRPr="00472578">
        <w:rPr>
          <w:u w:val="single"/>
        </w:rPr>
        <w:t xml:space="preserve">Otago is prone to a range of natural hazards that pose a risk to Otago communities, property, infrastructure, and the wider environment. A major event could cause severe damage and may isolate Otago communities for an extended time. </w:t>
      </w:r>
      <w:r w:rsidR="00252B43">
        <w:rPr>
          <w:u w:val="single"/>
        </w:rPr>
        <w:t>Major events of concern include flooding</w:t>
      </w:r>
      <w:r w:rsidR="007410FC" w:rsidRPr="00472578">
        <w:rPr>
          <w:u w:val="single"/>
        </w:rPr>
        <w:t>, an earthquake on the Alpine fault</w:t>
      </w:r>
      <w:r w:rsidR="00E945C7">
        <w:rPr>
          <w:u w:val="single"/>
        </w:rPr>
        <w:t xml:space="preserve">, </w:t>
      </w:r>
      <w:r w:rsidR="007410FC" w:rsidRPr="00472578">
        <w:rPr>
          <w:u w:val="single"/>
        </w:rPr>
        <w:t xml:space="preserve">tsunami, </w:t>
      </w:r>
      <w:r w:rsidR="007410FC" w:rsidRPr="00163CC9">
        <w:rPr>
          <w:u w:val="single"/>
        </w:rPr>
        <w:t>coastal erosion</w:t>
      </w:r>
      <w:r w:rsidR="007410FC" w:rsidRPr="00472578">
        <w:rPr>
          <w:u w:val="single"/>
        </w:rPr>
        <w:t>, wildfires, and extreme weather events.</w:t>
      </w:r>
      <w:r w:rsidR="007410FC" w:rsidRPr="00472578">
        <w:rPr>
          <w:rStyle w:val="FootnoteReference"/>
        </w:rPr>
        <w:footnoteReference w:id="297"/>
      </w:r>
    </w:p>
    <w:p w14:paraId="31C7EBED" w14:textId="77777777" w:rsidR="00B02DBF" w:rsidRPr="00472578" w:rsidRDefault="00B02DBF" w:rsidP="00E92686">
      <w:pPr>
        <w:pStyle w:val="Heading4"/>
        <w:jc w:val="both"/>
      </w:pPr>
      <w:r w:rsidRPr="00472578">
        <w:t>Context</w:t>
      </w:r>
    </w:p>
    <w:p w14:paraId="5DB2BFA2" w14:textId="627CA2FE" w:rsidR="00B02DBF" w:rsidRPr="00472578" w:rsidRDefault="00B02DBF" w:rsidP="00E92686">
      <w:pPr>
        <w:pStyle w:val="BodyText"/>
      </w:pPr>
      <w:r w:rsidRPr="00472578">
        <w:t xml:space="preserve">The Otago region is exposed to a wide variety of </w:t>
      </w:r>
      <w:r w:rsidRPr="00472578">
        <w:rPr>
          <w:i/>
        </w:rPr>
        <w:t xml:space="preserve">natural hazards </w:t>
      </w:r>
      <w:r w:rsidRPr="00472578">
        <w:t xml:space="preserve">that impact on people, property, </w:t>
      </w:r>
      <w:r w:rsidRPr="00472578">
        <w:rPr>
          <w:i/>
        </w:rPr>
        <w:t>infrastructure</w:t>
      </w:r>
      <w:r w:rsidRPr="00472578">
        <w:t xml:space="preserve">, historic </w:t>
      </w:r>
      <w:proofErr w:type="gramStart"/>
      <w:r w:rsidRPr="00472578">
        <w:t>heritage</w:t>
      </w:r>
      <w:proofErr w:type="gramEnd"/>
      <w:r w:rsidRPr="00472578">
        <w:t xml:space="preserve"> and the wider </w:t>
      </w:r>
      <w:r w:rsidRPr="00472578">
        <w:rPr>
          <w:i/>
        </w:rPr>
        <w:t>environment</w:t>
      </w:r>
      <w:r w:rsidRPr="00472578">
        <w:t xml:space="preserve">. When a </w:t>
      </w:r>
      <w:r w:rsidRPr="00472578">
        <w:rPr>
          <w:i/>
        </w:rPr>
        <w:t xml:space="preserve">natural hazard </w:t>
      </w:r>
      <w:r w:rsidRPr="00472578">
        <w:t xml:space="preserve">event occurs, it is </w:t>
      </w:r>
      <w:r w:rsidRPr="00226C58">
        <w:rPr>
          <w:strike/>
        </w:rPr>
        <w:t>usually</w:t>
      </w:r>
      <w:r w:rsidRPr="00472578">
        <w:t xml:space="preserve"> </w:t>
      </w:r>
      <w:r w:rsidR="00226C58" w:rsidRPr="00226C58">
        <w:rPr>
          <w:u w:val="single"/>
        </w:rPr>
        <w:t>sometimes</w:t>
      </w:r>
      <w:r w:rsidR="00EE2454" w:rsidRPr="00C736D4">
        <w:rPr>
          <w:rStyle w:val="FootnoteReference"/>
        </w:rPr>
        <w:footnoteReference w:id="298"/>
      </w:r>
      <w:r w:rsidR="00226C58">
        <w:t xml:space="preserve"> </w:t>
      </w:r>
      <w:r w:rsidRPr="00472578">
        <w:t xml:space="preserve">difficult and costly for a community to recover. The </w:t>
      </w:r>
      <w:r w:rsidRPr="00472578">
        <w:rPr>
          <w:i/>
        </w:rPr>
        <w:t xml:space="preserve">natural hazard </w:t>
      </w:r>
      <w:r w:rsidRPr="00472578">
        <w:t xml:space="preserve">threats range from coastal erosion and flooding in lowland coastal areas to alluvial fan deposition, landslip, rock fall, seismic events (earthquake and tsunami), wind, snow, </w:t>
      </w:r>
      <w:proofErr w:type="gramStart"/>
      <w:r w:rsidRPr="00472578">
        <w:t>drought</w:t>
      </w:r>
      <w:proofErr w:type="gramEnd"/>
      <w:r w:rsidRPr="00472578">
        <w:t xml:space="preserve"> and riverbank breaches. </w:t>
      </w:r>
      <w:r w:rsidRPr="00472578">
        <w:rPr>
          <w:u w:val="single"/>
        </w:rPr>
        <w:t xml:space="preserve">The risk resulting from natural hazards is not </w:t>
      </w:r>
      <w:r w:rsidR="002F03D1" w:rsidRPr="00472578">
        <w:rPr>
          <w:u w:val="single"/>
        </w:rPr>
        <w:t>only</w:t>
      </w:r>
      <w:r w:rsidRPr="00472578">
        <w:rPr>
          <w:u w:val="single"/>
        </w:rPr>
        <w:t xml:space="preserve"> due to the hazards themselves, but also </w:t>
      </w:r>
      <w:r w:rsidR="002F03D1" w:rsidRPr="00472578">
        <w:rPr>
          <w:u w:val="single"/>
        </w:rPr>
        <w:t xml:space="preserve">to </w:t>
      </w:r>
      <w:r w:rsidRPr="00472578">
        <w:rPr>
          <w:u w:val="single"/>
        </w:rPr>
        <w:t>whether human activities are located and operated in ways which make them vulnerable to those hazards.</w:t>
      </w:r>
      <w:r w:rsidRPr="00472578">
        <w:rPr>
          <w:rStyle w:val="FootnoteReference"/>
        </w:rPr>
        <w:footnoteReference w:id="299"/>
      </w:r>
    </w:p>
    <w:p w14:paraId="2D6E9034" w14:textId="397DFA5E" w:rsidR="00B02DBF" w:rsidRPr="00472578" w:rsidRDefault="00B02DBF" w:rsidP="00E92686">
      <w:pPr>
        <w:pStyle w:val="BodyText"/>
      </w:pPr>
      <w:r w:rsidRPr="00472578">
        <w:t xml:space="preserve">Frequent heavy rainstorms, the steep gradients of many </w:t>
      </w:r>
      <w:r w:rsidRPr="00472578">
        <w:rPr>
          <w:i/>
        </w:rPr>
        <w:t xml:space="preserve">river </w:t>
      </w:r>
      <w:r w:rsidRPr="00472578">
        <w:t xml:space="preserve">catchments and human occupation of floodplains combine to make flooding the most frequently occurring </w:t>
      </w:r>
      <w:r w:rsidRPr="00472578">
        <w:rPr>
          <w:i/>
        </w:rPr>
        <w:t xml:space="preserve">natural hazard </w:t>
      </w:r>
      <w:r w:rsidRPr="00472578">
        <w:t xml:space="preserve">event in the Otago region. For example, flooding can affect Otago's main urban centres causing damage to </w:t>
      </w:r>
      <w:proofErr w:type="gramStart"/>
      <w:r w:rsidRPr="00472578">
        <w:t>housing</w:t>
      </w:r>
      <w:proofErr w:type="gramEnd"/>
      <w:r w:rsidRPr="00472578">
        <w:t xml:space="preserve"> and business disruption, and </w:t>
      </w:r>
      <w:r w:rsidRPr="0079166B">
        <w:rPr>
          <w:strike/>
        </w:rPr>
        <w:t>agriculture</w:t>
      </w:r>
      <w:r>
        <w:rPr>
          <w:strike/>
        </w:rPr>
        <w:t xml:space="preserve"> </w:t>
      </w:r>
      <w:r w:rsidR="0079166B" w:rsidRPr="0079166B">
        <w:rPr>
          <w:u w:val="single"/>
        </w:rPr>
        <w:t>primary production</w:t>
      </w:r>
      <w:r w:rsidR="00BB7D9B" w:rsidRPr="00AB6DC0">
        <w:rPr>
          <w:rStyle w:val="FootnoteReference"/>
        </w:rPr>
        <w:footnoteReference w:id="300"/>
      </w:r>
      <w:r w:rsidR="0079166B" w:rsidRPr="00AB6DC0">
        <w:t xml:space="preserve"> </w:t>
      </w:r>
      <w:r w:rsidRPr="00472578">
        <w:t>can be disrupted in Otago's floodplains (</w:t>
      </w:r>
      <w:r w:rsidR="00DF6723" w:rsidRPr="00C736D4">
        <w:rPr>
          <w:u w:val="single"/>
        </w:rPr>
        <w:t>in</w:t>
      </w:r>
      <w:r w:rsidR="00B93E26" w:rsidRPr="00C736D4">
        <w:rPr>
          <w:u w:val="single"/>
        </w:rPr>
        <w:t>cluding</w:t>
      </w:r>
      <w:r w:rsidR="00C86BFA">
        <w:rPr>
          <w:rStyle w:val="FootnoteReference"/>
        </w:rPr>
        <w:footnoteReference w:id="301"/>
      </w:r>
      <w:r w:rsidR="00B93E26">
        <w:t xml:space="preserve"> </w:t>
      </w:r>
      <w:r w:rsidRPr="00472578">
        <w:t>lower Clutha</w:t>
      </w:r>
      <w:r w:rsidR="00097A1C" w:rsidRPr="00097A1C">
        <w:rPr>
          <w:u w:val="single"/>
        </w:rPr>
        <w:t xml:space="preserve">, </w:t>
      </w:r>
      <w:r w:rsidR="003A3E4D">
        <w:rPr>
          <w:u w:val="single"/>
        </w:rPr>
        <w:t xml:space="preserve">Lower </w:t>
      </w:r>
      <w:r w:rsidR="00097A1C" w:rsidRPr="00097A1C">
        <w:rPr>
          <w:u w:val="single"/>
        </w:rPr>
        <w:t>Waitaki</w:t>
      </w:r>
      <w:r w:rsidR="00444F47" w:rsidRPr="00D24E70">
        <w:rPr>
          <w:rStyle w:val="FootnoteReference"/>
        </w:rPr>
        <w:footnoteReference w:id="302"/>
      </w:r>
      <w:r w:rsidRPr="00472578">
        <w:t xml:space="preserve"> and Taieri).</w:t>
      </w:r>
    </w:p>
    <w:p w14:paraId="059EF961" w14:textId="4DB41189" w:rsidR="00B02DBF" w:rsidRPr="00472578" w:rsidRDefault="00B02DBF" w:rsidP="00E92686">
      <w:pPr>
        <w:pStyle w:val="BodyText"/>
      </w:pPr>
      <w:r w:rsidRPr="00472578">
        <w:t xml:space="preserve">Seismic </w:t>
      </w:r>
      <w:r w:rsidRPr="00472578">
        <w:rPr>
          <w:i/>
        </w:rPr>
        <w:t xml:space="preserve">risks </w:t>
      </w:r>
      <w:r w:rsidRPr="00472578">
        <w:t>are widespread in Otago as evidenced by the region's active faults, being the Cardrona, Dunstan, Rough Ridge, Hyde, Taieri Ridge, Waihemo and Akatore faults. The Alpine Fault in the Queenstown Lakes District has an estimated 75% probability of causing a major earthquake in the next</w:t>
      </w:r>
      <w:r w:rsidR="00126EB6">
        <w:t xml:space="preserve"> </w:t>
      </w:r>
      <w:r w:rsidRPr="00472578">
        <w:t>50 years with associated large-scale destruction.</w:t>
      </w:r>
    </w:p>
    <w:p w14:paraId="3ED1B396" w14:textId="4223EC61" w:rsidR="00B02DBF" w:rsidRPr="00472578" w:rsidRDefault="00B02DBF" w:rsidP="00E92686">
      <w:pPr>
        <w:pStyle w:val="BodyText"/>
      </w:pPr>
      <w:r w:rsidRPr="00472578">
        <w:t>Otago's coastline is exposed to tsunamis, from local offshore faults and nearby subduction zones, such</w:t>
      </w:r>
      <w:r w:rsidR="00B8492C">
        <w:t xml:space="preserve"> </w:t>
      </w:r>
      <w:r w:rsidRPr="00472578">
        <w:t>as the Puysegur Trench (south of the South Island). The stretch of the Otago coastline north of the Otago Peninsula has a greater level of exposure to tsunamis generated from South America.</w:t>
      </w:r>
    </w:p>
    <w:p w14:paraId="0DE367EC" w14:textId="3D670264" w:rsidR="00B02DBF" w:rsidRPr="00472578" w:rsidRDefault="00B02DBF" w:rsidP="00E92686">
      <w:pPr>
        <w:pStyle w:val="BodyText"/>
      </w:pPr>
      <w:r w:rsidRPr="00472578">
        <w:rPr>
          <w:i/>
        </w:rPr>
        <w:t xml:space="preserve">Natural hazards </w:t>
      </w:r>
      <w:r w:rsidRPr="00472578">
        <w:t xml:space="preserve">may be exacerbated by the </w:t>
      </w:r>
      <w:r w:rsidRPr="00472578">
        <w:rPr>
          <w:i/>
        </w:rPr>
        <w:t xml:space="preserve">effects </w:t>
      </w:r>
      <w:r w:rsidRPr="00472578">
        <w:t xml:space="preserve">of </w:t>
      </w:r>
      <w:r w:rsidRPr="00472578">
        <w:rPr>
          <w:i/>
        </w:rPr>
        <w:t>climate change</w:t>
      </w:r>
      <w:r w:rsidRPr="00472578">
        <w:t xml:space="preserve">, which include sea level rise, and greater frequency and intensity of extreme weather events. Elevated sea levels resulting in flooding can occur </w:t>
      </w:r>
      <w:proofErr w:type="gramStart"/>
      <w:r w:rsidRPr="00472578">
        <w:t>as a result of</w:t>
      </w:r>
      <w:proofErr w:type="gramEnd"/>
      <w:r w:rsidRPr="00472578">
        <w:t xml:space="preserve"> a combination of tides, storm surge, and waves. There are several low-lying areas in relatively </w:t>
      </w:r>
      <w:proofErr w:type="gramStart"/>
      <w:r w:rsidRPr="00472578">
        <w:t>close proximity</w:t>
      </w:r>
      <w:proofErr w:type="gramEnd"/>
      <w:r w:rsidRPr="00472578">
        <w:t xml:space="preserve"> to the coast that have been identified as being at </w:t>
      </w:r>
      <w:r w:rsidRPr="00472578">
        <w:rPr>
          <w:i/>
        </w:rPr>
        <w:t>risk</w:t>
      </w:r>
      <w:r w:rsidRPr="00472578">
        <w:t>, such as South Dunedin.</w:t>
      </w:r>
    </w:p>
    <w:p w14:paraId="4365813E" w14:textId="2E31F188" w:rsidR="00B02DBF" w:rsidRPr="00472578" w:rsidRDefault="00B02DBF" w:rsidP="00E92686">
      <w:pPr>
        <w:pStyle w:val="BodyText"/>
      </w:pPr>
      <w:r w:rsidRPr="00472578">
        <w:lastRenderedPageBreak/>
        <w:t xml:space="preserve">Parts of the Otago coastline (which is a soft coast formed by material such as sand or gravel) are also prone to significant coastal erosion. Coastal erosion is </w:t>
      </w:r>
      <w:proofErr w:type="gramStart"/>
      <w:r w:rsidRPr="00472578">
        <w:t>a</w:t>
      </w:r>
      <w:r w:rsidR="0076116B" w:rsidRPr="0076116B">
        <w:rPr>
          <w:u w:val="single"/>
        </w:rPr>
        <w:t>n</w:t>
      </w:r>
      <w:proofErr w:type="gramEnd"/>
      <w:r w:rsidRPr="00472578">
        <w:t xml:space="preserve"> </w:t>
      </w:r>
      <w:r w:rsidRPr="0076116B">
        <w:rPr>
          <w:i/>
          <w:strike/>
        </w:rPr>
        <w:t>risk</w:t>
      </w:r>
      <w:r w:rsidR="00AA3D9B" w:rsidRPr="00AA3D9B">
        <w:rPr>
          <w:i/>
        </w:rPr>
        <w:t xml:space="preserve"> </w:t>
      </w:r>
      <w:r w:rsidR="0076116B" w:rsidRPr="0076116B">
        <w:rPr>
          <w:iCs/>
          <w:u w:val="single"/>
        </w:rPr>
        <w:t>issue</w:t>
      </w:r>
      <w:r w:rsidR="006F3D09" w:rsidRPr="00406A2B">
        <w:rPr>
          <w:rStyle w:val="FootnoteReference"/>
          <w:iCs/>
        </w:rPr>
        <w:footnoteReference w:id="303"/>
      </w:r>
      <w:r w:rsidRPr="00472578">
        <w:rPr>
          <w:i/>
        </w:rPr>
        <w:t xml:space="preserve"> </w:t>
      </w:r>
      <w:r w:rsidRPr="00472578">
        <w:t xml:space="preserve">in Waitaki District, Dunedin City and along the Clutha River Delta, </w:t>
      </w:r>
      <w:r w:rsidRPr="0076116B">
        <w:rPr>
          <w:strike/>
        </w:rPr>
        <w:t xml:space="preserve">potentially </w:t>
      </w:r>
      <w:r w:rsidR="006F3D09" w:rsidRPr="00FD5C9A">
        <w:rPr>
          <w:rStyle w:val="FootnoteReference"/>
        </w:rPr>
        <w:footnoteReference w:id="304"/>
      </w:r>
      <w:r w:rsidRPr="00472578">
        <w:t xml:space="preserve">affecting communities and </w:t>
      </w:r>
      <w:r w:rsidRPr="00472578">
        <w:rPr>
          <w:i/>
        </w:rPr>
        <w:t xml:space="preserve">infrastructure </w:t>
      </w:r>
      <w:r w:rsidRPr="00472578">
        <w:t>near the coast.</w:t>
      </w:r>
    </w:p>
    <w:p w14:paraId="575E6815" w14:textId="77777777" w:rsidR="00B02DBF" w:rsidRPr="00472578" w:rsidRDefault="00B02DBF" w:rsidP="00E92686">
      <w:pPr>
        <w:pStyle w:val="Heading4"/>
        <w:jc w:val="both"/>
      </w:pPr>
      <w:r w:rsidRPr="00472578">
        <w:t>Impact snapshot</w:t>
      </w:r>
    </w:p>
    <w:p w14:paraId="36031D7F" w14:textId="77777777" w:rsidR="00B02DBF" w:rsidRPr="00472578" w:rsidRDefault="00B02DBF" w:rsidP="00E92686">
      <w:pPr>
        <w:pStyle w:val="Heading5"/>
        <w:jc w:val="both"/>
      </w:pPr>
      <w:r w:rsidRPr="00472578">
        <w:t>Environmental</w:t>
      </w:r>
    </w:p>
    <w:p w14:paraId="308F6176" w14:textId="205CCF26" w:rsidR="00B02DBF" w:rsidRPr="00472578" w:rsidRDefault="00B02DBF" w:rsidP="00E92686">
      <w:pPr>
        <w:pStyle w:val="BodyText"/>
      </w:pPr>
      <w:r w:rsidRPr="00472578">
        <w:t xml:space="preserve">Ecosystems (from the mountains to the coast), </w:t>
      </w:r>
      <w:r w:rsidRPr="00472578">
        <w:rPr>
          <w:i/>
        </w:rPr>
        <w:t xml:space="preserve">water bodies </w:t>
      </w:r>
      <w:r w:rsidRPr="00472578">
        <w:t xml:space="preserve">and </w:t>
      </w:r>
      <w:r w:rsidRPr="00472578">
        <w:rPr>
          <w:i/>
        </w:rPr>
        <w:t xml:space="preserve">water </w:t>
      </w:r>
      <w:r w:rsidRPr="00472578">
        <w:t>quality (</w:t>
      </w:r>
      <w:r w:rsidRPr="00472578">
        <w:rPr>
          <w:i/>
        </w:rPr>
        <w:t xml:space="preserve">rivers, lakes, </w:t>
      </w:r>
      <w:proofErr w:type="gramStart"/>
      <w:r w:rsidRPr="00472578">
        <w:rPr>
          <w:i/>
        </w:rPr>
        <w:t>wetlands</w:t>
      </w:r>
      <w:proofErr w:type="gramEnd"/>
      <w:r w:rsidRPr="00472578">
        <w:rPr>
          <w:i/>
        </w:rPr>
        <w:t xml:space="preserve"> </w:t>
      </w:r>
      <w:r w:rsidRPr="00472578">
        <w:t xml:space="preserve">and </w:t>
      </w:r>
      <w:r w:rsidRPr="00472578">
        <w:rPr>
          <w:i/>
        </w:rPr>
        <w:t>ground water</w:t>
      </w:r>
      <w:r w:rsidRPr="00472578">
        <w:t xml:space="preserve">) are variously at </w:t>
      </w:r>
      <w:r w:rsidRPr="00472578">
        <w:rPr>
          <w:i/>
        </w:rPr>
        <w:t xml:space="preserve">risk </w:t>
      </w:r>
      <w:r w:rsidRPr="00472578">
        <w:t>of increased frequency and intensity of flooding and landslides. Seismic events result in liquefaction of land and associated soil disturbance, elevated sea levels and associated flooding, potential permanent inundation and coast</w:t>
      </w:r>
      <w:r w:rsidR="0038022E" w:rsidRPr="0038022E">
        <w:rPr>
          <w:u w:val="single"/>
        </w:rPr>
        <w:t>al</w:t>
      </w:r>
      <w:r w:rsidR="008E135E" w:rsidRPr="00C34ECF">
        <w:rPr>
          <w:rStyle w:val="FootnoteReference"/>
        </w:rPr>
        <w:footnoteReference w:id="305"/>
      </w:r>
      <w:r w:rsidRPr="00472578">
        <w:t xml:space="preserve"> erosion. While </w:t>
      </w:r>
      <w:r w:rsidRPr="00472578">
        <w:rPr>
          <w:i/>
        </w:rPr>
        <w:t xml:space="preserve">effects </w:t>
      </w:r>
      <w:r w:rsidRPr="00472578">
        <w:t xml:space="preserve">are localised, </w:t>
      </w:r>
      <w:r w:rsidRPr="00472578">
        <w:rPr>
          <w:i/>
        </w:rPr>
        <w:t xml:space="preserve">natural hazard </w:t>
      </w:r>
      <w:r w:rsidRPr="00472578">
        <w:t>impacts can be significant where threatened ecosystems or species are involved.</w:t>
      </w:r>
    </w:p>
    <w:p w14:paraId="5601950C" w14:textId="77777777" w:rsidR="00B02DBF" w:rsidRPr="00472578" w:rsidRDefault="00B02DBF" w:rsidP="00E92686">
      <w:pPr>
        <w:pStyle w:val="Heading5"/>
        <w:jc w:val="both"/>
      </w:pPr>
      <w:r w:rsidRPr="00472578">
        <w:t>Economic</w:t>
      </w:r>
    </w:p>
    <w:p w14:paraId="15BFD8BC" w14:textId="7C36E866" w:rsidR="00B02DBF" w:rsidRPr="00472578" w:rsidRDefault="00B02DBF" w:rsidP="00E92686">
      <w:pPr>
        <w:pStyle w:val="BodyText"/>
      </w:pPr>
      <w:r w:rsidRPr="00472578">
        <w:t xml:space="preserve">Otago's primary industries, </w:t>
      </w:r>
      <w:r w:rsidRPr="00472578">
        <w:rPr>
          <w:i/>
        </w:rPr>
        <w:t>infrastructure</w:t>
      </w:r>
      <w:r w:rsidRPr="00472578">
        <w:t xml:space="preserve">, energy and transport systems, and urban areas are exposed to the full range of hazards noted above, with potential for major-to-catastrophic economic consequences, including damage to production, </w:t>
      </w:r>
      <w:r w:rsidRPr="00472578">
        <w:rPr>
          <w:i/>
        </w:rPr>
        <w:t xml:space="preserve">infrastructure </w:t>
      </w:r>
      <w:r w:rsidRPr="00472578">
        <w:t>such as transport routes (highways, bridges), the built environment and communications, and often resulting in supply chain disruptions. Natural hazards could also impact on renewable electricity generation in the region with subsequent impact on electricity generation capacity.</w:t>
      </w:r>
      <w:r w:rsidR="00637457">
        <w:t xml:space="preserve"> </w:t>
      </w:r>
    </w:p>
    <w:p w14:paraId="7BEA62EF" w14:textId="09963A2D" w:rsidR="00B02DBF" w:rsidRPr="00472578" w:rsidRDefault="00B02DBF" w:rsidP="00E92686">
      <w:pPr>
        <w:pStyle w:val="BodyText"/>
      </w:pPr>
      <w:r w:rsidRPr="00472578">
        <w:t>For individuals and households this can result in changes to employment, income, assets and consumption patterns, disruption to social protection, services, social safety net mechanisms and institutions</w:t>
      </w:r>
      <w:r w:rsidR="000550DC">
        <w:rPr>
          <w:u w:val="single"/>
        </w:rPr>
        <w:t>.</w:t>
      </w:r>
    </w:p>
    <w:p w14:paraId="69E26554" w14:textId="36186167" w:rsidR="00B02DBF" w:rsidRPr="00472578" w:rsidRDefault="00B02DBF" w:rsidP="00E92686">
      <w:pPr>
        <w:pStyle w:val="BodyText"/>
      </w:pPr>
      <w:r w:rsidRPr="00472578">
        <w:t xml:space="preserve">For industry, hazards can damage production assets and </w:t>
      </w:r>
      <w:r w:rsidRPr="00472578">
        <w:rPr>
          <w:i/>
        </w:rPr>
        <w:t xml:space="preserve">infrastructure </w:t>
      </w:r>
      <w:r w:rsidRPr="00472578">
        <w:t xml:space="preserve">with associated costs, disrupt service delivery and limit availability and access to goods and services, and cause decline in sales and increased costs. Loss or changes in production flows can be either temporary or permanent depending on financial </w:t>
      </w:r>
      <w:r w:rsidRPr="00472578">
        <w:rPr>
          <w:i/>
        </w:rPr>
        <w:t xml:space="preserve">resilience </w:t>
      </w:r>
      <w:r w:rsidRPr="00472578">
        <w:t xml:space="preserve">of businesses, which is a function of their existing loan commitments, credit worthiness and insurance cover. Food security can also be affected. </w:t>
      </w:r>
      <w:r w:rsidRPr="00472578">
        <w:rPr>
          <w:u w:val="single"/>
        </w:rPr>
        <w:t>Whilst the community and its businesses have substantial resilience to severe weather events and supply chain disruptions, the</w:t>
      </w:r>
      <w:r w:rsidR="00417299" w:rsidRPr="00472578">
        <w:rPr>
          <w:u w:val="single"/>
        </w:rPr>
        <w:t>re can be</w:t>
      </w:r>
      <w:r w:rsidRPr="00472578">
        <w:rPr>
          <w:u w:val="single"/>
        </w:rPr>
        <w:t xml:space="preserve"> cumulative impact</w:t>
      </w:r>
      <w:r w:rsidR="00417299" w:rsidRPr="00472578">
        <w:rPr>
          <w:u w:val="single"/>
        </w:rPr>
        <w:t>s</w:t>
      </w:r>
      <w:r w:rsidRPr="00472578">
        <w:rPr>
          <w:u w:val="single"/>
        </w:rPr>
        <w:t xml:space="preserve"> f</w:t>
      </w:r>
      <w:r w:rsidR="00417299" w:rsidRPr="00472578">
        <w:rPr>
          <w:u w:val="single"/>
        </w:rPr>
        <w:t>rom</w:t>
      </w:r>
      <w:r w:rsidRPr="00472578">
        <w:rPr>
          <w:u w:val="single"/>
        </w:rPr>
        <w:t xml:space="preserve"> repeated events.</w:t>
      </w:r>
      <w:r w:rsidRPr="00472578">
        <w:t xml:space="preserve"> </w:t>
      </w:r>
      <w:r w:rsidRPr="00472578">
        <w:rPr>
          <w:rStyle w:val="FootnoteReference"/>
        </w:rPr>
        <w:footnoteReference w:id="306"/>
      </w:r>
    </w:p>
    <w:p w14:paraId="61F3308C" w14:textId="77777777" w:rsidR="00B02DBF" w:rsidRPr="00472578" w:rsidRDefault="00B02DBF" w:rsidP="00E92686">
      <w:pPr>
        <w:pStyle w:val="Heading5"/>
        <w:jc w:val="both"/>
      </w:pPr>
      <w:r w:rsidRPr="00472578">
        <w:t>Social</w:t>
      </w:r>
    </w:p>
    <w:p w14:paraId="499A6538" w14:textId="4F0C67C4" w:rsidR="00B02DBF" w:rsidRPr="00472578" w:rsidRDefault="00B02DBF" w:rsidP="00E92686">
      <w:pPr>
        <w:pStyle w:val="BodyText"/>
      </w:pPr>
      <w:r w:rsidRPr="00472578">
        <w:t>Social impacts can be direct (</w:t>
      </w:r>
      <w:proofErr w:type="gramStart"/>
      <w:r w:rsidRPr="00472578">
        <w:t>e.g.</w:t>
      </w:r>
      <w:proofErr w:type="gramEnd"/>
      <w:r w:rsidRPr="00472578">
        <w:t xml:space="preserve"> physical destruction of housing or transport route, human physical harm) but equally important are indirect </w:t>
      </w:r>
      <w:r w:rsidRPr="00986C7A">
        <w:rPr>
          <w:strike/>
        </w:rPr>
        <w:t>and secondary</w:t>
      </w:r>
      <w:r w:rsidR="00986C7A" w:rsidRPr="008E62E6">
        <w:rPr>
          <w:rStyle w:val="FootnoteReference"/>
        </w:rPr>
        <w:footnoteReference w:id="307"/>
      </w:r>
      <w:r w:rsidRPr="00472578">
        <w:t xml:space="preserve"> impacts of disasters, including the destruction of communities and the negative impacts on people. Physical impacts and community dislocation can also cause long term psychological stresses affecting people’s coping mechanisms, recovery sources and capacity which can test the </w:t>
      </w:r>
      <w:r w:rsidRPr="00472578">
        <w:rPr>
          <w:i/>
        </w:rPr>
        <w:t xml:space="preserve">resilience </w:t>
      </w:r>
      <w:r w:rsidRPr="00472578">
        <w:t xml:space="preserve">of a community. </w:t>
      </w:r>
      <w:r w:rsidR="00A65BD8" w:rsidRPr="00472578">
        <w:rPr>
          <w:u w:val="single"/>
        </w:rPr>
        <w:t>There can also be cumulative impacts from events on physical and mental health.</w:t>
      </w:r>
      <w:r w:rsidR="00A65BD8" w:rsidRPr="00472578">
        <w:rPr>
          <w:rStyle w:val="FootnoteReference"/>
        </w:rPr>
        <w:footnoteReference w:id="308"/>
      </w:r>
    </w:p>
    <w:p w14:paraId="4329E092" w14:textId="77777777" w:rsidR="00B02DBF" w:rsidRPr="00472578" w:rsidRDefault="00B02DBF" w:rsidP="00E92686">
      <w:pPr>
        <w:pStyle w:val="BodyText"/>
      </w:pPr>
      <w:r w:rsidRPr="00472578">
        <w:lastRenderedPageBreak/>
        <w:t xml:space="preserve">Social impacts of events can result in immediate impacts on livelihoods for individuals and families, particularly for lower socio-economic groups. Health services disruptions can occur, including access to and changes in demand for services. Similarly, there can be disruptions to education service delivery. Housing impacts may require urgent provision for basic human needs including replacement shelter and housing, and food and </w:t>
      </w:r>
      <w:r w:rsidRPr="00472578">
        <w:rPr>
          <w:i/>
        </w:rPr>
        <w:t xml:space="preserve">water </w:t>
      </w:r>
      <w:r w:rsidRPr="00472578">
        <w:t>immediately following an event.</w:t>
      </w:r>
    </w:p>
    <w:p w14:paraId="506F2802" w14:textId="3D28D147" w:rsidR="00B02DBF" w:rsidRPr="00472578" w:rsidRDefault="00B02DBF" w:rsidP="00E92686">
      <w:pPr>
        <w:pStyle w:val="BodyText"/>
        <w:rPr>
          <w:u w:val="single"/>
        </w:rPr>
      </w:pPr>
      <w:r w:rsidRPr="00472578">
        <w:t xml:space="preserve">Damage to </w:t>
      </w:r>
      <w:r w:rsidRPr="00472578">
        <w:rPr>
          <w:i/>
        </w:rPr>
        <w:t xml:space="preserve">infrastructure </w:t>
      </w:r>
      <w:r w:rsidRPr="00472578">
        <w:t xml:space="preserve">and assets may have varying impacts on different groups, for example those with less resources may have less capacity to respond to hazard events and be more impacted as a result. The relationship between affected people and their cultural assets may also be affected, for example customs and traditions related to housing, health, livelihoods, and nutrition. </w:t>
      </w:r>
    </w:p>
    <w:p w14:paraId="3D7787FB" w14:textId="1B3F1D92" w:rsidR="00B02DBF" w:rsidRPr="00472578" w:rsidRDefault="00B208D6" w:rsidP="00E92686">
      <w:pPr>
        <w:pStyle w:val="Heading3"/>
        <w:jc w:val="both"/>
        <w:rPr>
          <w:i/>
        </w:rPr>
      </w:pPr>
      <w:r w:rsidRPr="00472578">
        <w:t>SRMR-I</w:t>
      </w:r>
      <w:r w:rsidR="00B02DBF" w:rsidRPr="00472578">
        <w:t xml:space="preserve">2 – </w:t>
      </w:r>
      <w:r w:rsidR="00B02DBF" w:rsidRPr="00472578">
        <w:rPr>
          <w:i/>
        </w:rPr>
        <w:t xml:space="preserve">Climate change </w:t>
      </w:r>
      <w:r w:rsidR="00B02DBF" w:rsidRPr="00472578">
        <w:rPr>
          <w:strike/>
        </w:rPr>
        <w:t xml:space="preserve">is likely to </w:t>
      </w:r>
      <w:r w:rsidR="00B02DBF" w:rsidRPr="00472578">
        <w:rPr>
          <w:u w:val="single"/>
        </w:rPr>
        <w:t>will</w:t>
      </w:r>
      <w:r w:rsidR="00B02DBF" w:rsidRPr="00472578">
        <w:rPr>
          <w:rStyle w:val="FootnoteReference"/>
          <w:color w:val="1F3863"/>
        </w:rPr>
        <w:footnoteReference w:id="309"/>
      </w:r>
      <w:r w:rsidR="00B02DBF" w:rsidRPr="00472578">
        <w:t xml:space="preserve"> impact our economy and </w:t>
      </w:r>
      <w:r w:rsidR="00B02DBF" w:rsidRPr="00472578">
        <w:rPr>
          <w:i/>
        </w:rPr>
        <w:t>environment</w:t>
      </w:r>
    </w:p>
    <w:p w14:paraId="2DA8701E" w14:textId="77777777" w:rsidR="00B02DBF" w:rsidRPr="00472578" w:rsidRDefault="00B02DBF" w:rsidP="00E92686">
      <w:pPr>
        <w:pStyle w:val="Heading4"/>
        <w:jc w:val="both"/>
      </w:pPr>
      <w:r w:rsidRPr="00472578">
        <w:t>Statement</w:t>
      </w:r>
    </w:p>
    <w:p w14:paraId="31E1F0C3" w14:textId="22C9AD6C" w:rsidR="00B02DBF" w:rsidRPr="00472578" w:rsidRDefault="00B02DBF" w:rsidP="00E92686">
      <w:pPr>
        <w:pStyle w:val="BodyText"/>
        <w:rPr>
          <w:u w:val="single"/>
        </w:rPr>
      </w:pPr>
      <w:r w:rsidRPr="00472578">
        <w:t>Otago’s climate is changing, and these changes will continue for the foreseeable future. Central Otago</w:t>
      </w:r>
      <w:r w:rsidR="00D75A94" w:rsidRPr="00472578">
        <w:t xml:space="preserve"> </w:t>
      </w:r>
      <w:r w:rsidRPr="00472578">
        <w:t xml:space="preserve">is likely to see more varied precipitation, leading to increased flooding and reduced </w:t>
      </w:r>
      <w:r w:rsidRPr="00472578">
        <w:rPr>
          <w:i/>
        </w:rPr>
        <w:t xml:space="preserve">water </w:t>
      </w:r>
      <w:r w:rsidRPr="00472578">
        <w:t xml:space="preserve">reliability. This will be compounded by stronger winds, increased </w:t>
      </w:r>
      <w:proofErr w:type="gramStart"/>
      <w:r w:rsidRPr="00472578">
        <w:t>temperatures</w:t>
      </w:r>
      <w:proofErr w:type="gramEnd"/>
      <w:r w:rsidRPr="00472578">
        <w:t xml:space="preserve"> and longer dry periods, which may affect the number and types of crops and animals that the land can sustain</w:t>
      </w:r>
      <w:r w:rsidR="0085464B" w:rsidRPr="002403C7">
        <w:rPr>
          <w:u w:val="single"/>
        </w:rPr>
        <w:t>, and the potential for renewable electricity generation</w:t>
      </w:r>
      <w:r w:rsidRPr="00472578">
        <w:t>.</w:t>
      </w:r>
      <w:r w:rsidR="002403C7">
        <w:rPr>
          <w:rStyle w:val="FootnoteReference"/>
        </w:rPr>
        <w:footnoteReference w:id="310"/>
      </w:r>
      <w:r w:rsidRPr="00472578">
        <w:t xml:space="preserve"> On the coast, low lying areas like South Dunedin are at </w:t>
      </w:r>
      <w:r w:rsidRPr="00472578">
        <w:rPr>
          <w:i/>
        </w:rPr>
        <w:t xml:space="preserve">risk </w:t>
      </w:r>
      <w:r w:rsidRPr="00472578">
        <w:t xml:space="preserve">of inundation from rising sea levels. This will also exacerbate coastal erosion, which could damage coastal </w:t>
      </w:r>
      <w:r w:rsidRPr="00472578">
        <w:rPr>
          <w:i/>
        </w:rPr>
        <w:t xml:space="preserve">infrastructure </w:t>
      </w:r>
      <w:r w:rsidRPr="00472578">
        <w:t xml:space="preserve">(including </w:t>
      </w:r>
      <w:r w:rsidRPr="00472578">
        <w:rPr>
          <w:i/>
        </w:rPr>
        <w:t>roads</w:t>
      </w:r>
      <w:r w:rsidRPr="00472578">
        <w:t xml:space="preserve">), damage historic heritage, particularly </w:t>
      </w:r>
      <w:r w:rsidRPr="00472578">
        <w:rPr>
          <w:i/>
          <w:color w:val="1F2023"/>
        </w:rPr>
        <w:t>wāhi tūpuna</w:t>
      </w:r>
      <w:r w:rsidRPr="00472578">
        <w:rPr>
          <w:color w:val="1F2023"/>
        </w:rPr>
        <w:t xml:space="preserve">, </w:t>
      </w:r>
      <w:r w:rsidRPr="00472578">
        <w:t>and expose old waste dumps (</w:t>
      </w:r>
      <w:proofErr w:type="gramStart"/>
      <w:r w:rsidRPr="00472578">
        <w:t>e.g.</w:t>
      </w:r>
      <w:proofErr w:type="gramEnd"/>
      <w:r w:rsidRPr="00472578">
        <w:t xml:space="preserve"> at Middle Beach). </w:t>
      </w:r>
      <w:r w:rsidRPr="00472578">
        <w:rPr>
          <w:i/>
        </w:rPr>
        <w:t xml:space="preserve">Climate change </w:t>
      </w:r>
      <w:r w:rsidRPr="00472578">
        <w:t xml:space="preserve">will also affect native animals and plants, compounding the impacts of existing pests and stresses and providing opportunities for new pests to establish themselves due to changed conditions. The impact of other </w:t>
      </w:r>
      <w:r w:rsidRPr="00472578">
        <w:rPr>
          <w:i/>
        </w:rPr>
        <w:t xml:space="preserve">climate change </w:t>
      </w:r>
      <w:r w:rsidRPr="00472578">
        <w:t>threats is unpredictable.</w:t>
      </w:r>
      <w:r w:rsidRPr="00472578">
        <w:rPr>
          <w:u w:val="single"/>
        </w:rPr>
        <w:t xml:space="preserve"> </w:t>
      </w:r>
    </w:p>
    <w:p w14:paraId="3EBF9542" w14:textId="77777777" w:rsidR="00B02DBF" w:rsidRPr="00472578" w:rsidRDefault="00B02DBF" w:rsidP="00E92686">
      <w:pPr>
        <w:pStyle w:val="Heading4"/>
        <w:jc w:val="both"/>
      </w:pPr>
      <w:r w:rsidRPr="00472578">
        <w:t>Context</w:t>
      </w:r>
    </w:p>
    <w:p w14:paraId="56CDCE68" w14:textId="73E4631B" w:rsidR="00B02DBF" w:rsidRPr="00472578" w:rsidRDefault="00B02DBF" w:rsidP="00E92686">
      <w:pPr>
        <w:pStyle w:val="BodyText"/>
      </w:pPr>
      <w:r w:rsidRPr="00472578">
        <w:t xml:space="preserve">The rate of future </w:t>
      </w:r>
      <w:r w:rsidRPr="00472578">
        <w:rPr>
          <w:i/>
        </w:rPr>
        <w:t xml:space="preserve">climate change </w:t>
      </w:r>
      <w:r w:rsidRPr="00472578">
        <w:t xml:space="preserve">depends on how fast </w:t>
      </w:r>
      <w:r w:rsidRPr="00472578">
        <w:rPr>
          <w:i/>
        </w:rPr>
        <w:t xml:space="preserve">greenhouse gas </w:t>
      </w:r>
      <w:r w:rsidRPr="00472578">
        <w:t xml:space="preserve">concentrations increase. These changes are expected to result in higher temperatures, changes in precipitation, drought, fire weather, extreme weather events, inland and coastal flooding, landslides and soil erosion, salinity, sea level rise, erosion, reduced snow and ice, and marine heatwaves. </w:t>
      </w:r>
    </w:p>
    <w:p w14:paraId="307445EC" w14:textId="245CC17D" w:rsidR="00B02DBF" w:rsidRPr="00472578" w:rsidRDefault="00B02DBF" w:rsidP="00E92686">
      <w:pPr>
        <w:pStyle w:val="BodyText"/>
      </w:pPr>
      <w:r w:rsidRPr="00472578">
        <w:t>It is expected temperatures will increase across Otago, and by 2090, Otago is projected to have from 4 to 25 extra days per year where maximum temperatures exceed 25˚C, with around 13 to 45 fewer frosts per year (and consequently less snow). Precipitation overall will increase slightly (by up to 10%),</w:t>
      </w:r>
      <w:r w:rsidR="00F77EBC" w:rsidRPr="00472578">
        <w:t xml:space="preserve"> </w:t>
      </w:r>
      <w:r w:rsidRPr="00472578">
        <w:t>more so in the western part of the region, with less precipitation in central and eastern Otago. There</w:t>
      </w:r>
      <w:r w:rsidR="000F709C" w:rsidRPr="00472578">
        <w:t xml:space="preserve"> </w:t>
      </w:r>
      <w:r w:rsidRPr="00472578">
        <w:t>will be an increase in average annual flows across the region, apart from the Taieri and North Otago, and flooding will be more severe – there will be an increase in the mean annual flood by 100% in some locations by the end of the century.</w:t>
      </w:r>
    </w:p>
    <w:p w14:paraId="6C7009E0" w14:textId="2137C007" w:rsidR="00583783" w:rsidRPr="00472578" w:rsidRDefault="00583783" w:rsidP="00E92686">
      <w:pPr>
        <w:pStyle w:val="BodyText"/>
      </w:pPr>
      <w:r w:rsidRPr="00472578">
        <w:rPr>
          <w:u w:val="single"/>
        </w:rPr>
        <w:t xml:space="preserve">Rainfall and temperature change may result in drier soils and changes to river flow (low flow and floods), as well as increased occurrence of slips/landslides. Sea level rise will have impacts on coastal communities, </w:t>
      </w:r>
      <w:proofErr w:type="gramStart"/>
      <w:r w:rsidRPr="00472578">
        <w:rPr>
          <w:u w:val="single"/>
        </w:rPr>
        <w:lastRenderedPageBreak/>
        <w:t>infrastructure</w:t>
      </w:r>
      <w:proofErr w:type="gramEnd"/>
      <w:r w:rsidRPr="00472578">
        <w:rPr>
          <w:u w:val="single"/>
        </w:rPr>
        <w:t xml:space="preserve"> and habitats, while the risk of wildfire will also increase. Changing climate also risks increased biosecurity issues of increased plant, fungal and animal </w:t>
      </w:r>
      <w:r w:rsidRPr="00472578">
        <w:rPr>
          <w:i/>
          <w:iCs/>
          <w:u w:val="single"/>
        </w:rPr>
        <w:t>pests</w:t>
      </w:r>
      <w:r w:rsidRPr="00472578">
        <w:rPr>
          <w:u w:val="single"/>
        </w:rPr>
        <w:t xml:space="preserve"> and diseases.</w:t>
      </w:r>
      <w:r w:rsidRPr="00472578">
        <w:rPr>
          <w:rStyle w:val="FootnoteReference"/>
        </w:rPr>
        <w:footnoteReference w:id="311"/>
      </w:r>
    </w:p>
    <w:p w14:paraId="7E404146" w14:textId="77777777" w:rsidR="00B02DBF" w:rsidRPr="00472578" w:rsidRDefault="00B02DBF" w:rsidP="00E92686">
      <w:pPr>
        <w:pStyle w:val="Heading4"/>
        <w:jc w:val="both"/>
      </w:pPr>
      <w:r w:rsidRPr="00472578">
        <w:t>Impact snapshot</w:t>
      </w:r>
    </w:p>
    <w:p w14:paraId="7AAB1734" w14:textId="00D10EBD" w:rsidR="00112EB5" w:rsidRDefault="00B02DBF" w:rsidP="00AC10DA">
      <w:pPr>
        <w:pStyle w:val="BodyText"/>
      </w:pPr>
      <w:r w:rsidRPr="00472578">
        <w:rPr>
          <w:i/>
        </w:rPr>
        <w:t xml:space="preserve">Climate change </w:t>
      </w:r>
      <w:r w:rsidRPr="00472578">
        <w:t xml:space="preserve">impacts arising from changes in temperature, rainfall, </w:t>
      </w:r>
      <w:r w:rsidRPr="00472578">
        <w:rPr>
          <w:i/>
        </w:rPr>
        <w:t xml:space="preserve">river </w:t>
      </w:r>
      <w:r w:rsidRPr="00472578">
        <w:t xml:space="preserve">flows and flooding have been assessed in the Otago Regional Council’s commissioned report: Otago Climate Change Risk Assessment Phase 1 report </w:t>
      </w:r>
      <w:r w:rsidRPr="00E10270">
        <w:rPr>
          <w:strike/>
        </w:rPr>
        <w:t>(OCCRA</w:t>
      </w:r>
      <w:r w:rsidRPr="00472578">
        <w:t xml:space="preserve"> </w:t>
      </w:r>
      <w:r w:rsidRPr="00FB3D01">
        <w:rPr>
          <w:strike/>
        </w:rPr>
        <w:t>repo</w:t>
      </w:r>
      <w:r w:rsidRPr="001D349A">
        <w:rPr>
          <w:strike/>
        </w:rPr>
        <w:t>rt)</w:t>
      </w:r>
      <w:r w:rsidR="00E10270" w:rsidRPr="00E10270">
        <w:rPr>
          <w:rStyle w:val="FootnoteReference"/>
        </w:rPr>
        <w:footnoteReference w:id="312"/>
      </w:r>
      <w:r w:rsidR="00861269" w:rsidRPr="00472578">
        <w:t>.</w:t>
      </w:r>
      <w:r w:rsidR="009F0F2E" w:rsidRPr="009F0F2E">
        <w:rPr>
          <w:rStyle w:val="FootnoteReference"/>
          <w:shd w:val="clear" w:color="auto" w:fill="D9D9D9" w:themeFill="background1" w:themeFillShade="D9"/>
        </w:rPr>
        <w:footnoteReference w:id="313"/>
      </w:r>
      <w:r w:rsidRPr="00472578">
        <w:t xml:space="preserve"> The following discussion is based on potential </w:t>
      </w:r>
      <w:r w:rsidRPr="00472578">
        <w:rPr>
          <w:i/>
        </w:rPr>
        <w:t xml:space="preserve">climate change </w:t>
      </w:r>
      <w:r w:rsidRPr="00472578">
        <w:t xml:space="preserve">impacts </w:t>
      </w:r>
      <w:proofErr w:type="gramStart"/>
      <w:r w:rsidRPr="00472578">
        <w:t>at</w:t>
      </w:r>
      <w:proofErr w:type="gramEnd"/>
      <w:r w:rsidRPr="00472578">
        <w:t xml:space="preserve"> 2050.</w:t>
      </w:r>
    </w:p>
    <w:p w14:paraId="5D158298" w14:textId="77777777" w:rsidR="00B02DBF" w:rsidRPr="00472578" w:rsidRDefault="00B02DBF" w:rsidP="00E92686">
      <w:pPr>
        <w:pStyle w:val="Heading5"/>
        <w:jc w:val="both"/>
      </w:pPr>
      <w:r w:rsidRPr="00472578">
        <w:t>Environment</w:t>
      </w:r>
    </w:p>
    <w:p w14:paraId="1D3FD691" w14:textId="1AAC1ED3" w:rsidR="00B02DBF" w:rsidRPr="00472578" w:rsidRDefault="00B02DBF" w:rsidP="00E92686">
      <w:pPr>
        <w:pStyle w:val="BodyText"/>
      </w:pPr>
      <w:r w:rsidRPr="00472578">
        <w:t xml:space="preserve">For terrestrial </w:t>
      </w:r>
      <w:r w:rsidRPr="00472578">
        <w:rPr>
          <w:strike/>
        </w:rPr>
        <w:t>native</w:t>
      </w:r>
      <w:r w:rsidR="00CF3728">
        <w:rPr>
          <w:rStyle w:val="FootnoteReference"/>
          <w:strike/>
        </w:rPr>
        <w:footnoteReference w:id="314"/>
      </w:r>
      <w:r w:rsidRPr="00472578">
        <w:t xml:space="preserve"> ecosystems and species, higher frequency of severe events (</w:t>
      </w:r>
      <w:proofErr w:type="gramStart"/>
      <w:r w:rsidRPr="00472578">
        <w:t>e.g.</w:t>
      </w:r>
      <w:proofErr w:type="gramEnd"/>
      <w:r w:rsidRPr="00472578">
        <w:t xml:space="preserve"> high/low temperatures, intense rainfall, drought, fire weather) could reduce </w:t>
      </w:r>
      <w:r w:rsidRPr="00472578">
        <w:rPr>
          <w:i/>
        </w:rPr>
        <w:t xml:space="preserve">resilience </w:t>
      </w:r>
      <w:r w:rsidRPr="00472578">
        <w:t xml:space="preserve">of </w:t>
      </w:r>
      <w:r w:rsidRPr="00472578">
        <w:rPr>
          <w:strike/>
        </w:rPr>
        <w:t>native</w:t>
      </w:r>
      <w:r w:rsidRPr="00472578">
        <w:rPr>
          <w:rStyle w:val="FootnoteReference"/>
        </w:rPr>
        <w:footnoteReference w:id="315"/>
      </w:r>
      <w:r w:rsidRPr="00472578">
        <w:t xml:space="preserve"> terrestrial ecosystems and species over time with adverse impacts on biodiversity. </w:t>
      </w:r>
      <w:r w:rsidRPr="00472578" w:rsidDel="008F563B">
        <w:t>Native species</w:t>
      </w:r>
      <w:r w:rsidRPr="00472578">
        <w:t xml:space="preserve"> (including </w:t>
      </w:r>
      <w:r w:rsidRPr="00472578">
        <w:rPr>
          <w:i/>
        </w:rPr>
        <w:t>threatened species</w:t>
      </w:r>
      <w:r w:rsidRPr="00472578">
        <w:t xml:space="preserve">) and ecosystems are also likely to be affected by increased competition with invasive species/pests favoured by warmer temperatures, particularly with milder winters. This could be a contributory </w:t>
      </w:r>
      <w:r w:rsidRPr="00472578">
        <w:rPr>
          <w:i/>
        </w:rPr>
        <w:t xml:space="preserve">risk </w:t>
      </w:r>
      <w:r w:rsidRPr="00472578">
        <w:t xml:space="preserve">factor (but not sole cause) for </w:t>
      </w:r>
      <w:r w:rsidRPr="00472578" w:rsidDel="008F563B">
        <w:t xml:space="preserve">native </w:t>
      </w:r>
      <w:r w:rsidRPr="00472578">
        <w:t>species that are threatened or close to extinction.</w:t>
      </w:r>
    </w:p>
    <w:p w14:paraId="4B9FFEFE" w14:textId="7C00B9E9" w:rsidR="00B02DBF" w:rsidRPr="00472578" w:rsidRDefault="00B02DBF" w:rsidP="00E92686">
      <w:pPr>
        <w:pStyle w:val="BodyText"/>
      </w:pPr>
      <w:r w:rsidRPr="00472578">
        <w:t>For marine and coastal ecosystems and species, potential climate impacts include lower ocean productivity and impacts on feeding grounds (</w:t>
      </w:r>
      <w:proofErr w:type="gramStart"/>
      <w:r w:rsidRPr="00472578">
        <w:t>e.g.</w:t>
      </w:r>
      <w:proofErr w:type="gramEnd"/>
      <w:r w:rsidR="005F7C66" w:rsidRPr="00472578">
        <w:t xml:space="preserve"> </w:t>
      </w:r>
      <w:r w:rsidRPr="00472578">
        <w:t>decreasing the population of yellow-eyed</w:t>
      </w:r>
      <w:r w:rsidR="005F7C66" w:rsidRPr="00472578">
        <w:t xml:space="preserve"> </w:t>
      </w:r>
      <w:r w:rsidRPr="00472578">
        <w:t xml:space="preserve">penguins); ocean acidification; and changes in species diversity/distribution (e.g. reducing kelp forests). Increased intensity of flooding would result in an increase in sediment which will change the physical composition of </w:t>
      </w:r>
      <w:r w:rsidRPr="00472578">
        <w:rPr>
          <w:i/>
        </w:rPr>
        <w:t xml:space="preserve">freshwater </w:t>
      </w:r>
      <w:r w:rsidRPr="00472578">
        <w:t>and marine waters and, for example, may reduce light availability, smother fragile habitats, or impact on the foraging ability of some species, particular those that rely on vision (</w:t>
      </w:r>
      <w:proofErr w:type="gramStart"/>
      <w:r w:rsidRPr="00472578">
        <w:t>e.g.</w:t>
      </w:r>
      <w:proofErr w:type="gramEnd"/>
      <w:r w:rsidRPr="00472578">
        <w:t xml:space="preserve"> yellow-eyed penguins). New pests and disease threats may arise from marine heatwaves/warmer ocean temperatures. Warmer temperatures could also reduce oxygen and cause stratification in shallow bays (resulting in </w:t>
      </w:r>
      <w:r w:rsidRPr="00472578">
        <w:rPr>
          <w:i/>
        </w:rPr>
        <w:t xml:space="preserve">water </w:t>
      </w:r>
      <w:r w:rsidRPr="00472578">
        <w:t xml:space="preserve">quality impacts). Sea level rise will also affect coastal habitats and ecosystems (inter-tidal zones, sand dunes). </w:t>
      </w:r>
      <w:r w:rsidRPr="00472578">
        <w:rPr>
          <w:i/>
        </w:rPr>
        <w:t xml:space="preserve">Groundwater </w:t>
      </w:r>
      <w:r w:rsidRPr="00472578">
        <w:t xml:space="preserve">impacts will include coastal aquifers being affected by salinisation, and reduced rainfall in some areas will affect </w:t>
      </w:r>
      <w:r w:rsidRPr="00472578">
        <w:rPr>
          <w:i/>
        </w:rPr>
        <w:t xml:space="preserve">groundwater </w:t>
      </w:r>
      <w:r w:rsidRPr="00472578">
        <w:t xml:space="preserve">recharge, </w:t>
      </w:r>
      <w:proofErr w:type="gramStart"/>
      <w:r w:rsidRPr="00472578">
        <w:t>flow</w:t>
      </w:r>
      <w:proofErr w:type="gramEnd"/>
      <w:r w:rsidRPr="00472578">
        <w:t xml:space="preserve"> and surface </w:t>
      </w:r>
      <w:r w:rsidRPr="00472578">
        <w:rPr>
          <w:i/>
        </w:rPr>
        <w:t>water discharges</w:t>
      </w:r>
      <w:r w:rsidRPr="00472578">
        <w:t xml:space="preserve">, with potential adverse impacts on ecosystems and species dependent on </w:t>
      </w:r>
      <w:r w:rsidRPr="00472578">
        <w:rPr>
          <w:i/>
        </w:rPr>
        <w:t>groundwater</w:t>
      </w:r>
      <w:r w:rsidRPr="00472578">
        <w:t>.</w:t>
      </w:r>
    </w:p>
    <w:p w14:paraId="540628C5" w14:textId="1DBAF742" w:rsidR="00B02DBF" w:rsidRPr="00472578" w:rsidRDefault="00B02DBF" w:rsidP="00E92686">
      <w:pPr>
        <w:pStyle w:val="BodyText"/>
      </w:pPr>
      <w:r w:rsidRPr="00472578">
        <w:t xml:space="preserve">By 2090, the time spent in drought ranges from minimal change through to more than double, depending on the climate model and emissions scenario considered. More frequent droughts are likely to lead to </w:t>
      </w:r>
      <w:r w:rsidRPr="00472578">
        <w:rPr>
          <w:i/>
        </w:rPr>
        <w:t xml:space="preserve">water </w:t>
      </w:r>
      <w:r w:rsidRPr="00472578">
        <w:t xml:space="preserve">shortages, increased demand for irrigation and increased </w:t>
      </w:r>
      <w:r w:rsidRPr="00472578">
        <w:rPr>
          <w:i/>
        </w:rPr>
        <w:t xml:space="preserve">risk </w:t>
      </w:r>
      <w:r w:rsidRPr="00472578">
        <w:t xml:space="preserve">of wildfires. Reduced snowfalls may affect </w:t>
      </w:r>
      <w:r w:rsidRPr="00472578">
        <w:rPr>
          <w:i/>
        </w:rPr>
        <w:t xml:space="preserve">water </w:t>
      </w:r>
      <w:r w:rsidRPr="00472578">
        <w:t xml:space="preserve">availability since snow acts as a storage mechanism until the </w:t>
      </w:r>
      <w:r w:rsidRPr="00472578">
        <w:rPr>
          <w:i/>
        </w:rPr>
        <w:t xml:space="preserve">water </w:t>
      </w:r>
      <w:r w:rsidRPr="00472578">
        <w:t>is required in summer</w:t>
      </w:r>
      <w:r w:rsidR="005F7C66" w:rsidRPr="00472578">
        <w:t>.</w:t>
      </w:r>
      <w:r w:rsidR="00433F8D">
        <w:rPr>
          <w:rStyle w:val="FootnoteReference"/>
        </w:rPr>
        <w:footnoteReference w:id="316"/>
      </w:r>
      <w:r w:rsidR="00433F8D">
        <w:rPr>
          <w:vertAlign w:val="superscript"/>
        </w:rPr>
        <w:t xml:space="preserve"> </w:t>
      </w:r>
      <w:r w:rsidRPr="00472578">
        <w:t xml:space="preserve">As a result, </w:t>
      </w:r>
      <w:r w:rsidRPr="00472578">
        <w:rPr>
          <w:i/>
        </w:rPr>
        <w:t xml:space="preserve">river </w:t>
      </w:r>
      <w:r w:rsidRPr="00472578">
        <w:t xml:space="preserve">ecosystems could be altered through reduced flows during drought periods with associated declining </w:t>
      </w:r>
      <w:r w:rsidRPr="00472578">
        <w:rPr>
          <w:i/>
        </w:rPr>
        <w:t xml:space="preserve">water </w:t>
      </w:r>
      <w:r w:rsidRPr="00472578">
        <w:t xml:space="preserve">quality, reduced food resources, and availability of habitats. This would affect ecosystems for key species, such as </w:t>
      </w:r>
      <w:r w:rsidRPr="00472578">
        <w:rPr>
          <w:i/>
        </w:rPr>
        <w:t xml:space="preserve">river </w:t>
      </w:r>
      <w:r w:rsidRPr="00472578">
        <w:t xml:space="preserve">nesting birds and endemic </w:t>
      </w:r>
      <w:r w:rsidRPr="00472578">
        <w:rPr>
          <w:i/>
        </w:rPr>
        <w:t xml:space="preserve">freshwater </w:t>
      </w:r>
      <w:r w:rsidRPr="00472578">
        <w:t>fish species.</w:t>
      </w:r>
    </w:p>
    <w:p w14:paraId="0B56E6E2" w14:textId="6FE94E54" w:rsidR="00B02DBF" w:rsidRPr="00472578" w:rsidRDefault="00B02DBF" w:rsidP="00E92686">
      <w:pPr>
        <w:pStyle w:val="BodyText"/>
      </w:pPr>
      <w:r w:rsidRPr="00472578">
        <w:rPr>
          <w:i/>
        </w:rPr>
        <w:t xml:space="preserve">Lakes </w:t>
      </w:r>
      <w:r w:rsidRPr="00472578">
        <w:t xml:space="preserve">could be subject to temperature increases. This can impact on the health of </w:t>
      </w:r>
      <w:r w:rsidRPr="00472578">
        <w:rPr>
          <w:i/>
        </w:rPr>
        <w:t xml:space="preserve">lake </w:t>
      </w:r>
      <w:r w:rsidRPr="00472578">
        <w:t xml:space="preserve">ecosystems, for example algal blooms. </w:t>
      </w:r>
      <w:r w:rsidRPr="00472578">
        <w:rPr>
          <w:i/>
        </w:rPr>
        <w:t xml:space="preserve">Wetland </w:t>
      </w:r>
      <w:r w:rsidRPr="00472578">
        <w:t xml:space="preserve">plant species and </w:t>
      </w:r>
      <w:r w:rsidRPr="00472578">
        <w:rPr>
          <w:i/>
        </w:rPr>
        <w:t xml:space="preserve">wetland </w:t>
      </w:r>
      <w:r w:rsidRPr="00472578">
        <w:t xml:space="preserve">habitats, and other species reliant on </w:t>
      </w:r>
      <w:r w:rsidRPr="00472578">
        <w:rPr>
          <w:i/>
        </w:rPr>
        <w:t xml:space="preserve">wetlands </w:t>
      </w:r>
      <w:r w:rsidRPr="00472578">
        <w:lastRenderedPageBreak/>
        <w:t xml:space="preserve">(including threatened bird species) are at </w:t>
      </w:r>
      <w:r w:rsidRPr="00472578">
        <w:rPr>
          <w:i/>
        </w:rPr>
        <w:t xml:space="preserve">risk </w:t>
      </w:r>
      <w:r w:rsidRPr="00472578">
        <w:t xml:space="preserve">of being negatively impacted. There are also likely to be cascading impacts on surrounding </w:t>
      </w:r>
      <w:r w:rsidRPr="00472578">
        <w:rPr>
          <w:i/>
        </w:rPr>
        <w:t xml:space="preserve">environments </w:t>
      </w:r>
      <w:r w:rsidRPr="00472578">
        <w:t>and ecosystems from hydrological changes (</w:t>
      </w:r>
      <w:proofErr w:type="gramStart"/>
      <w:r w:rsidRPr="00472578">
        <w:t>e.g.</w:t>
      </w:r>
      <w:proofErr w:type="gramEnd"/>
      <w:r w:rsidRPr="00472578">
        <w:t xml:space="preserve"> increased flood </w:t>
      </w:r>
      <w:r w:rsidRPr="00472578">
        <w:rPr>
          <w:i/>
        </w:rPr>
        <w:t>risk</w:t>
      </w:r>
      <w:r w:rsidRPr="00472578">
        <w:t xml:space="preserve">/changing </w:t>
      </w:r>
      <w:r w:rsidRPr="00472578">
        <w:rPr>
          <w:i/>
        </w:rPr>
        <w:t xml:space="preserve">water </w:t>
      </w:r>
      <w:r w:rsidRPr="00472578">
        <w:t xml:space="preserve">flows due to </w:t>
      </w:r>
      <w:r w:rsidRPr="00472578">
        <w:rPr>
          <w:i/>
        </w:rPr>
        <w:t xml:space="preserve">wetland </w:t>
      </w:r>
      <w:r w:rsidRPr="00472578">
        <w:t xml:space="preserve">loss). Coastal </w:t>
      </w:r>
      <w:r w:rsidRPr="00472578">
        <w:rPr>
          <w:i/>
        </w:rPr>
        <w:t xml:space="preserve">wetlands </w:t>
      </w:r>
      <w:r w:rsidRPr="00472578">
        <w:t xml:space="preserve">are particularly at </w:t>
      </w:r>
      <w:r w:rsidRPr="00472578">
        <w:rPr>
          <w:i/>
        </w:rPr>
        <w:t xml:space="preserve">risk </w:t>
      </w:r>
      <w:r w:rsidRPr="00472578">
        <w:t>due to salinisation from sea level rise and coastal flooding.</w:t>
      </w:r>
      <w:r w:rsidRPr="00472578">
        <w:rPr>
          <w:u w:val="single"/>
        </w:rPr>
        <w:t xml:space="preserve"> Human adaptation to climate change, such as building or expanding dams or flood protection schemes, may give rise to adverse impacts on ecosystems, in addition to those imposed by climate change itself, and may also exacerbate the original risk</w:t>
      </w:r>
      <w:r w:rsidR="005F7C66" w:rsidRPr="00472578">
        <w:rPr>
          <w:u w:val="single"/>
        </w:rPr>
        <w:t>.</w:t>
      </w:r>
      <w:r w:rsidRPr="00472578">
        <w:rPr>
          <w:rStyle w:val="FootnoteReference"/>
        </w:rPr>
        <w:footnoteReference w:id="317"/>
      </w:r>
    </w:p>
    <w:p w14:paraId="1093204C" w14:textId="77777777" w:rsidR="00B02DBF" w:rsidRPr="00472578" w:rsidRDefault="00B02DBF" w:rsidP="00E92686">
      <w:pPr>
        <w:pStyle w:val="Heading5"/>
        <w:jc w:val="both"/>
      </w:pPr>
      <w:r w:rsidRPr="00472578">
        <w:t>Economy</w:t>
      </w:r>
    </w:p>
    <w:p w14:paraId="0BFC2F06" w14:textId="77777777" w:rsidR="00B02DBF" w:rsidRPr="00472578" w:rsidRDefault="00B02DBF" w:rsidP="00E92686">
      <w:pPr>
        <w:pStyle w:val="Heading6"/>
        <w:jc w:val="both"/>
      </w:pPr>
      <w:r w:rsidRPr="00472578">
        <w:t>Regional industry</w:t>
      </w:r>
    </w:p>
    <w:p w14:paraId="64A4BBF0" w14:textId="76EAEB14" w:rsidR="00B02DBF" w:rsidRPr="00472578" w:rsidRDefault="00B02DBF" w:rsidP="00E92686">
      <w:pPr>
        <w:pStyle w:val="BodyText"/>
      </w:pPr>
      <w:r w:rsidRPr="00472578">
        <w:rPr>
          <w:i/>
        </w:rPr>
        <w:t xml:space="preserve">Climate change </w:t>
      </w:r>
      <w:r w:rsidRPr="00472578">
        <w:t xml:space="preserve">impacts will result in both impacts and opportunities for regional industry in terms of jobs, business income and profitability. Key industries likely to be impacted include sheep, beef, </w:t>
      </w:r>
      <w:proofErr w:type="gramStart"/>
      <w:r w:rsidRPr="00472578">
        <w:t>dairy</w:t>
      </w:r>
      <w:proofErr w:type="gramEnd"/>
      <w:r w:rsidRPr="00472578">
        <w:t xml:space="preserve"> and deer farming, cropping and viticulture, forestry, fisheries and aquaculture, as well as tourism. For example, agriculture may benefit from warmer temperatures, longer growing seasons and elevated carbon dioxide concentrations leading to better pasture and crop growth. </w:t>
      </w:r>
      <w:r w:rsidRPr="00472578">
        <w:rPr>
          <w:i/>
        </w:rPr>
        <w:t xml:space="preserve">Climate change </w:t>
      </w:r>
      <w:r w:rsidRPr="00472578">
        <w:t>may also result in shifting land-use activities to adapt to altered climate conditions, which will incur costs, and potentially enable resources previously unviable to come into production.</w:t>
      </w:r>
    </w:p>
    <w:p w14:paraId="1ECAE053" w14:textId="77777777" w:rsidR="00B02DBF" w:rsidRPr="00472578" w:rsidRDefault="00B02DBF" w:rsidP="00E92686">
      <w:pPr>
        <w:pStyle w:val="BodyText"/>
      </w:pPr>
      <w:r w:rsidRPr="00472578">
        <w:t xml:space="preserve">However, these benefits may be limited by negative </w:t>
      </w:r>
      <w:r w:rsidRPr="00472578">
        <w:rPr>
          <w:i/>
        </w:rPr>
        <w:t xml:space="preserve">effects </w:t>
      </w:r>
      <w:r w:rsidRPr="00472578">
        <w:t xml:space="preserve">of </w:t>
      </w:r>
      <w:r w:rsidRPr="00472578">
        <w:rPr>
          <w:i/>
        </w:rPr>
        <w:t xml:space="preserve">climate change </w:t>
      </w:r>
      <w:r w:rsidRPr="00472578">
        <w:t xml:space="preserve">such as prolonged drought and increased flood </w:t>
      </w:r>
      <w:r w:rsidRPr="00472578">
        <w:rPr>
          <w:i/>
        </w:rPr>
        <w:t>risk</w:t>
      </w:r>
      <w:r w:rsidRPr="00472578">
        <w:t xml:space="preserve">. Some of these impacts can be mitigated by adaptation, for example, planting new crops that are better suited to new climatic conditions or through changes in crop intensification, or </w:t>
      </w:r>
      <w:r w:rsidRPr="00472578">
        <w:rPr>
          <w:i/>
        </w:rPr>
        <w:t xml:space="preserve">water </w:t>
      </w:r>
      <w:r w:rsidRPr="00472578">
        <w:t>harvesting practices. Pests and diseases could spread in range and severity, and pasture composition is likely to change with uncertain impacts on animal productivity and nutrient balances.</w:t>
      </w:r>
    </w:p>
    <w:p w14:paraId="368DE363" w14:textId="3D4834F9" w:rsidR="00B02DBF" w:rsidRPr="00472578" w:rsidRDefault="00B02DBF" w:rsidP="00E92686">
      <w:pPr>
        <w:pStyle w:val="BodyText"/>
      </w:pPr>
      <w:r w:rsidRPr="00472578">
        <w:t>For tourism, there will be negative impacts on skiing where the number of snow days experienced annually could decrease by as much as 30-40 days in some parts of the region. The duration of snow</w:t>
      </w:r>
      <w:r w:rsidR="005F7C66" w:rsidRPr="00472578">
        <w:t xml:space="preserve"> </w:t>
      </w:r>
      <w:r w:rsidRPr="00472578">
        <w:t>cover is also likely to decrease, particularly at lower elevations. This will also lead to reduced summer waterflows.</w:t>
      </w:r>
    </w:p>
    <w:p w14:paraId="01A5D05C" w14:textId="77777777" w:rsidR="00B02DBF" w:rsidRPr="00472578" w:rsidRDefault="00B02DBF" w:rsidP="00E92686">
      <w:pPr>
        <w:pStyle w:val="Heading6"/>
        <w:jc w:val="both"/>
      </w:pPr>
      <w:r w:rsidRPr="00472578">
        <w:t>Built environment</w:t>
      </w:r>
    </w:p>
    <w:p w14:paraId="513705B4" w14:textId="77777777" w:rsidR="00B02DBF" w:rsidRPr="00472578" w:rsidRDefault="00B02DBF" w:rsidP="00E92686">
      <w:pPr>
        <w:pStyle w:val="BodyText"/>
      </w:pPr>
      <w:r w:rsidRPr="00472578">
        <w:t xml:space="preserve">For Otago, by 2050, the built environment will experience high to extreme impact </w:t>
      </w:r>
      <w:r w:rsidRPr="00472578">
        <w:rPr>
          <w:i/>
        </w:rPr>
        <w:t xml:space="preserve">risks </w:t>
      </w:r>
      <w:r w:rsidRPr="00472578">
        <w:t xml:space="preserve">to </w:t>
      </w:r>
      <w:r w:rsidRPr="00472578">
        <w:rPr>
          <w:i/>
        </w:rPr>
        <w:t xml:space="preserve">wastewater </w:t>
      </w:r>
      <w:r w:rsidRPr="00472578">
        <w:t xml:space="preserve">and </w:t>
      </w:r>
      <w:r w:rsidRPr="00472578">
        <w:rPr>
          <w:i/>
        </w:rPr>
        <w:t>stormwater infrastructure</w:t>
      </w:r>
      <w:r w:rsidRPr="00472578">
        <w:t xml:space="preserve">, </w:t>
      </w:r>
      <w:r w:rsidRPr="00472578">
        <w:rPr>
          <w:i/>
        </w:rPr>
        <w:t xml:space="preserve">roads </w:t>
      </w:r>
      <w:r w:rsidRPr="00472578">
        <w:t xml:space="preserve">and bridges, airports, stop banks and flood management schemes, and rural drainage. Medium to extreme impact </w:t>
      </w:r>
      <w:r w:rsidRPr="00472578">
        <w:rPr>
          <w:i/>
        </w:rPr>
        <w:t xml:space="preserve">risks </w:t>
      </w:r>
      <w:r w:rsidRPr="00472578">
        <w:t xml:space="preserve">are expected to affect urban and rural housing, </w:t>
      </w:r>
      <w:r w:rsidRPr="00472578">
        <w:rPr>
          <w:i/>
        </w:rPr>
        <w:t xml:space="preserve">water </w:t>
      </w:r>
      <w:r w:rsidRPr="00472578">
        <w:t xml:space="preserve">supply, </w:t>
      </w:r>
      <w:r w:rsidRPr="00472578">
        <w:rPr>
          <w:i/>
        </w:rPr>
        <w:t xml:space="preserve">landfill </w:t>
      </w:r>
      <w:r w:rsidRPr="00472578">
        <w:t xml:space="preserve">areas; and medium level </w:t>
      </w:r>
      <w:r w:rsidRPr="00472578">
        <w:rPr>
          <w:i/>
        </w:rPr>
        <w:t xml:space="preserve">risks </w:t>
      </w:r>
      <w:r w:rsidRPr="00472578">
        <w:t xml:space="preserve">are likely for commercial and public </w:t>
      </w:r>
      <w:r w:rsidRPr="00472578">
        <w:rPr>
          <w:i/>
        </w:rPr>
        <w:t>buildings</w:t>
      </w:r>
      <w:r w:rsidRPr="00472578">
        <w:t>, open space, rail, and ports.</w:t>
      </w:r>
    </w:p>
    <w:p w14:paraId="46E2B1A5" w14:textId="77777777" w:rsidR="00B02DBF" w:rsidRPr="00472578" w:rsidRDefault="00B02DBF" w:rsidP="00E92686">
      <w:pPr>
        <w:pStyle w:val="BodyText"/>
      </w:pPr>
      <w:r w:rsidRPr="00472578">
        <w:t xml:space="preserve">The main threat to the </w:t>
      </w:r>
      <w:r w:rsidRPr="00472578">
        <w:rPr>
          <w:i/>
        </w:rPr>
        <w:t xml:space="preserve">urban environment </w:t>
      </w:r>
      <w:r w:rsidRPr="00472578">
        <w:t xml:space="preserve">comes from possible increases in heavy rainfall, which would put pressure on drainage and </w:t>
      </w:r>
      <w:r w:rsidRPr="00472578">
        <w:rPr>
          <w:i/>
        </w:rPr>
        <w:t xml:space="preserve">stormwater </w:t>
      </w:r>
      <w:r w:rsidRPr="00472578">
        <w:t xml:space="preserve">systems and increase the </w:t>
      </w:r>
      <w:r w:rsidRPr="00472578">
        <w:rPr>
          <w:i/>
        </w:rPr>
        <w:t xml:space="preserve">risk </w:t>
      </w:r>
      <w:r w:rsidRPr="00472578">
        <w:t xml:space="preserve">of flooding in some areas. Erosion could also increase </w:t>
      </w:r>
      <w:r w:rsidRPr="00472578">
        <w:rPr>
          <w:i/>
        </w:rPr>
        <w:t xml:space="preserve">road </w:t>
      </w:r>
      <w:r w:rsidRPr="00472578">
        <w:t>maintenance costs. There is greater risk of wastewater network overflows, and wastewater treatment plants being compromised.</w:t>
      </w:r>
    </w:p>
    <w:p w14:paraId="01C5D16D" w14:textId="6EBA28BB" w:rsidR="00B02DBF" w:rsidRPr="00472578" w:rsidRDefault="00B02DBF" w:rsidP="00E92686">
      <w:pPr>
        <w:pStyle w:val="BodyText"/>
      </w:pPr>
      <w:r w:rsidRPr="00472578">
        <w:t xml:space="preserve">Warmer conditions will substantially reduce home heating costs, leading to reduced electricity demand during the peak winter season, but possibly increase demand for air conditioning during summer. A reduced winter demand for electricity, combined with an increased availability of </w:t>
      </w:r>
      <w:r w:rsidRPr="00472578">
        <w:rPr>
          <w:i/>
        </w:rPr>
        <w:t xml:space="preserve">water </w:t>
      </w:r>
      <w:r w:rsidRPr="00472578">
        <w:t xml:space="preserve">in hydroelectric </w:t>
      </w:r>
      <w:r w:rsidRPr="00472578">
        <w:lastRenderedPageBreak/>
        <w:t xml:space="preserve">storage </w:t>
      </w:r>
      <w:r w:rsidRPr="00472578">
        <w:rPr>
          <w:i/>
        </w:rPr>
        <w:t xml:space="preserve">lakes </w:t>
      </w:r>
      <w:r w:rsidRPr="00472578">
        <w:t>from projected rainfall increases over the Main Divide, would provide the opportunity for a more balanced annual cycle in electricity supply and demand</w:t>
      </w:r>
      <w:r w:rsidR="007C71F9">
        <w:t>.</w:t>
      </w:r>
      <w:r w:rsidR="007C71F9" w:rsidRPr="00B64595">
        <w:rPr>
          <w:rStyle w:val="FootnoteReference"/>
          <w:shd w:val="clear" w:color="auto" w:fill="D9D9D9" w:themeFill="background1" w:themeFillShade="D9"/>
        </w:rPr>
        <w:footnoteReference w:id="318"/>
      </w:r>
    </w:p>
    <w:p w14:paraId="1FFAE653" w14:textId="32F0F01F" w:rsidR="00B02DBF" w:rsidRPr="00472578" w:rsidRDefault="00B02DBF" w:rsidP="00E92686">
      <w:pPr>
        <w:pStyle w:val="BodyText"/>
      </w:pPr>
      <w:r w:rsidRPr="00472578">
        <w:t xml:space="preserve">Areas of particular concern include inland areas of flooding </w:t>
      </w:r>
      <w:r w:rsidRPr="00472578">
        <w:rPr>
          <w:i/>
          <w:iCs/>
        </w:rPr>
        <w:t xml:space="preserve">risk </w:t>
      </w:r>
      <w:r w:rsidRPr="00472578">
        <w:t xml:space="preserve">including South Dunedin, Mosgiel, and Milton; coastal erosion </w:t>
      </w:r>
      <w:r w:rsidRPr="00472578">
        <w:rPr>
          <w:i/>
          <w:iCs/>
        </w:rPr>
        <w:t xml:space="preserve">risk </w:t>
      </w:r>
      <w:r w:rsidRPr="00472578">
        <w:t xml:space="preserve">areas including St Kilda, St Clair, Clutha Delta, Moeraki, and </w:t>
      </w:r>
      <w:r w:rsidRPr="00472578">
        <w:rPr>
          <w:strike/>
        </w:rPr>
        <w:t>Oamaru</w:t>
      </w:r>
      <w:r w:rsidRPr="00472578">
        <w:rPr>
          <w:sz w:val="20"/>
          <w:szCs w:val="20"/>
        </w:rPr>
        <w:t xml:space="preserve"> </w:t>
      </w:r>
      <w:r w:rsidRPr="00472578">
        <w:rPr>
          <w:u w:val="single"/>
        </w:rPr>
        <w:t>Ōamaru</w:t>
      </w:r>
      <w:r w:rsidR="006C54C2" w:rsidRPr="00472578">
        <w:t>;</w:t>
      </w:r>
      <w:r w:rsidRPr="00472578">
        <w:rPr>
          <w:rStyle w:val="FootnoteReference"/>
        </w:rPr>
        <w:footnoteReference w:id="319"/>
      </w:r>
      <w:r w:rsidR="006C54C2" w:rsidRPr="00472578">
        <w:t xml:space="preserve"> </w:t>
      </w:r>
      <w:r w:rsidRPr="00472578">
        <w:t xml:space="preserve">sea level rise and salinity </w:t>
      </w:r>
      <w:r w:rsidRPr="00472578">
        <w:rPr>
          <w:i/>
          <w:iCs/>
        </w:rPr>
        <w:t xml:space="preserve">risk </w:t>
      </w:r>
      <w:r w:rsidRPr="00472578">
        <w:t>areas including South Dunedin, Harbo</w:t>
      </w:r>
      <w:r w:rsidR="005528E5" w:rsidRPr="00472578">
        <w:rPr>
          <w:u w:val="single"/>
        </w:rPr>
        <w:t>u</w:t>
      </w:r>
      <w:r w:rsidRPr="00472578">
        <w:t>r</w:t>
      </w:r>
      <w:r w:rsidR="00671595" w:rsidRPr="00472578">
        <w:rPr>
          <w:rStyle w:val="FootnoteReference"/>
        </w:rPr>
        <w:footnoteReference w:id="320"/>
      </w:r>
      <w:r w:rsidRPr="00472578">
        <w:t xml:space="preserve"> Basin, Aramoana, and Kaka Point.</w:t>
      </w:r>
    </w:p>
    <w:p w14:paraId="7762BCF0" w14:textId="77777777" w:rsidR="00B02DBF" w:rsidRPr="00472578" w:rsidRDefault="00B02DBF" w:rsidP="00E92686">
      <w:pPr>
        <w:pStyle w:val="Heading5"/>
        <w:jc w:val="both"/>
      </w:pPr>
      <w:r w:rsidRPr="00472578">
        <w:t>Social</w:t>
      </w:r>
    </w:p>
    <w:p w14:paraId="21F74BA2" w14:textId="79C89B2A" w:rsidR="00B02DBF" w:rsidRPr="00472578" w:rsidRDefault="00B02DBF" w:rsidP="00E92686">
      <w:pPr>
        <w:pStyle w:val="BodyText"/>
      </w:pPr>
      <w:r w:rsidRPr="00472578">
        <w:t xml:space="preserve">Changes to the economy generally and in relation to local shift in economic activity because of </w:t>
      </w:r>
      <w:r w:rsidRPr="00472578">
        <w:rPr>
          <w:i/>
        </w:rPr>
        <w:t xml:space="preserve">climate change </w:t>
      </w:r>
      <w:r w:rsidRPr="00472578">
        <w:t xml:space="preserve">may impact on community cohesion and </w:t>
      </w:r>
      <w:r w:rsidRPr="00472578">
        <w:rPr>
          <w:i/>
        </w:rPr>
        <w:t>resilience</w:t>
      </w:r>
      <w:r w:rsidRPr="00472578">
        <w:t xml:space="preserve">, and mental well-being and health. Higher temperatures could reduce illness in winter but can increase heat stress in summer. Higher levels and duration of ultraviolet radiation could increase skin cancer </w:t>
      </w:r>
      <w:r w:rsidRPr="00472578">
        <w:rPr>
          <w:i/>
        </w:rPr>
        <w:t>risks</w:t>
      </w:r>
      <w:r w:rsidRPr="00472578">
        <w:t xml:space="preserve">. Insect pests could increase, adversely impacting outdoor recreation experiences. </w:t>
      </w:r>
      <w:r w:rsidRPr="00472578">
        <w:rPr>
          <w:u w:val="single"/>
        </w:rPr>
        <w:t>Additionally, the visual and recreational values of Otago’s landscape may be adversely impacted by the effects of climate change.</w:t>
      </w:r>
      <w:r w:rsidRPr="00472578">
        <w:rPr>
          <w:rStyle w:val="FootnoteReference"/>
        </w:rPr>
        <w:footnoteReference w:id="321"/>
      </w:r>
    </w:p>
    <w:p w14:paraId="41248CC0" w14:textId="30B50277" w:rsidR="00B02DBF" w:rsidRPr="00472578" w:rsidRDefault="00B02DBF" w:rsidP="00E92686">
      <w:pPr>
        <w:pStyle w:val="BodyText"/>
      </w:pPr>
      <w:r w:rsidRPr="00472578">
        <w:t xml:space="preserve">Differentiation may occur between highly </w:t>
      </w:r>
      <w:r w:rsidRPr="00472578">
        <w:rPr>
          <w:i/>
        </w:rPr>
        <w:t xml:space="preserve">resilient </w:t>
      </w:r>
      <w:r w:rsidRPr="00472578">
        <w:t>(high social capital, high income and politically empowered) and non-</w:t>
      </w:r>
      <w:r w:rsidRPr="00472578">
        <w:rPr>
          <w:i/>
        </w:rPr>
        <w:t xml:space="preserve">resilient </w:t>
      </w:r>
      <w:r w:rsidRPr="00472578">
        <w:t>communities (especially those with low adaptive capacity, such as low- income and marginalised groups) which has the potential to increase socio-economic</w:t>
      </w:r>
      <w:r w:rsidRPr="00EB7879">
        <w:rPr>
          <w:strike/>
        </w:rPr>
        <w:t xml:space="preserve"> </w:t>
      </w:r>
      <w:r w:rsidRPr="00D833AB">
        <w:rPr>
          <w:strike/>
        </w:rPr>
        <w:t>and intergeneration</w:t>
      </w:r>
      <w:r w:rsidR="00EB7879">
        <w:rPr>
          <w:rStyle w:val="FootnoteReference"/>
          <w:strike/>
        </w:rPr>
        <w:footnoteReference w:id="322"/>
      </w:r>
      <w:r w:rsidRPr="00472578">
        <w:t xml:space="preserve"> and intrageneration inequality.</w:t>
      </w:r>
    </w:p>
    <w:p w14:paraId="394C5FA9" w14:textId="390C5DB6" w:rsidR="00B02DBF" w:rsidRPr="00472578" w:rsidRDefault="00B208D6" w:rsidP="00E92686">
      <w:pPr>
        <w:pStyle w:val="Heading3"/>
        <w:jc w:val="both"/>
      </w:pPr>
      <w:r w:rsidRPr="00472578">
        <w:t>SRMR-I</w:t>
      </w:r>
      <w:r w:rsidR="00B02DBF" w:rsidRPr="00472578">
        <w:t xml:space="preserve">3 – Pest species pose an ongoing threat to indigenous biodiversity, economic </w:t>
      </w:r>
      <w:proofErr w:type="gramStart"/>
      <w:r w:rsidR="00B02DBF" w:rsidRPr="00472578">
        <w:t>activities</w:t>
      </w:r>
      <w:proofErr w:type="gramEnd"/>
      <w:r w:rsidR="00B02DBF" w:rsidRPr="00472578">
        <w:t xml:space="preserve"> and landscapes</w:t>
      </w:r>
    </w:p>
    <w:p w14:paraId="41FEB0E8" w14:textId="77777777" w:rsidR="00B02DBF" w:rsidRPr="00472578" w:rsidRDefault="00B02DBF" w:rsidP="00E92686">
      <w:pPr>
        <w:pStyle w:val="Heading4"/>
        <w:jc w:val="both"/>
      </w:pPr>
      <w:r w:rsidRPr="00472578">
        <w:t>Statement</w:t>
      </w:r>
    </w:p>
    <w:p w14:paraId="39C71A82" w14:textId="10BAFD1B" w:rsidR="00B02DBF" w:rsidRPr="00472578" w:rsidRDefault="00B02DBF" w:rsidP="00E92686">
      <w:pPr>
        <w:pStyle w:val="BodyText"/>
      </w:pPr>
      <w:bookmarkStart w:id="58" w:name="_Hlk100674327"/>
      <w:r w:rsidRPr="00472578">
        <w:t xml:space="preserve">Pest species can be found throughout Otago, from alpine to marine environments. </w:t>
      </w:r>
      <w:r w:rsidRPr="00190778">
        <w:t>R</w:t>
      </w:r>
      <w:r w:rsidRPr="00472578">
        <w:t>abbit</w:t>
      </w:r>
      <w:r w:rsidR="00190778">
        <w:t>s</w:t>
      </w:r>
      <w:r w:rsidRPr="00472578">
        <w:t xml:space="preserve"> are changing Central Otago’s landscape, eroding </w:t>
      </w:r>
      <w:proofErr w:type="gramStart"/>
      <w:r w:rsidRPr="00472578">
        <w:t>soils</w:t>
      </w:r>
      <w:proofErr w:type="gramEnd"/>
      <w:r w:rsidRPr="00472578">
        <w:t xml:space="preserve"> and affecting agriculture. </w:t>
      </w:r>
      <w:r w:rsidRPr="00472578">
        <w:rPr>
          <w:rStyle w:val="normaltextrun"/>
          <w:u w:val="single"/>
          <w:shd w:val="clear" w:color="auto" w:fill="FFFFFF"/>
        </w:rPr>
        <w:t>Wallabies are an increasing risk with incursion beyond their containment zone and illegal liberations resulting in an expanding range within Otago, particularly Waitaki, Central Otago and Queenstown Lakes.</w:t>
      </w:r>
      <w:r w:rsidRPr="00472578">
        <w:rPr>
          <w:rStyle w:val="FootnoteReference"/>
          <w:shd w:val="clear" w:color="auto" w:fill="FFFFFF"/>
        </w:rPr>
        <w:footnoteReference w:id="323"/>
      </w:r>
      <w:r w:rsidRPr="00472578">
        <w:rPr>
          <w:rStyle w:val="normaltextrun"/>
          <w:shd w:val="clear" w:color="auto" w:fill="FFFFFF"/>
        </w:rPr>
        <w:t xml:space="preserve"> </w:t>
      </w:r>
      <w:r w:rsidRPr="00472578">
        <w:rPr>
          <w:i/>
        </w:rPr>
        <w:t xml:space="preserve">Wilding conifers </w:t>
      </w:r>
      <w:r w:rsidRPr="00472578">
        <w:t xml:space="preserve">threaten high country and tussock grassland, changing the landscape and impacting </w:t>
      </w:r>
      <w:r w:rsidR="009E5561" w:rsidRPr="00472578">
        <w:rPr>
          <w:strike/>
        </w:rPr>
        <w:t>on</w:t>
      </w:r>
      <w:r w:rsidR="009E5561" w:rsidRPr="00472578">
        <w:t xml:space="preserve"> </w:t>
      </w:r>
      <w:r w:rsidRPr="00472578">
        <w:rPr>
          <w:u w:val="single"/>
        </w:rPr>
        <w:t>primary production,</w:t>
      </w:r>
      <w:r w:rsidR="00D12DB1" w:rsidRPr="00CA3B80">
        <w:rPr>
          <w:rStyle w:val="FootnoteReference"/>
        </w:rPr>
        <w:footnoteReference w:id="324"/>
      </w:r>
      <w:r w:rsidRPr="00472578">
        <w:t xml:space="preserve"> recreational, hydrological and conservation values. Aquatic pests and weeds such as didymo, lake snow and </w:t>
      </w:r>
      <w:r w:rsidRPr="00472578">
        <w:rPr>
          <w:i/>
        </w:rPr>
        <w:t xml:space="preserve">lagarosiphon </w:t>
      </w:r>
      <w:r w:rsidRPr="00472578">
        <w:t xml:space="preserve">affect our </w:t>
      </w:r>
      <w:r w:rsidRPr="00472578">
        <w:rPr>
          <w:i/>
        </w:rPr>
        <w:t xml:space="preserve">lakes </w:t>
      </w:r>
      <w:r w:rsidRPr="00472578">
        <w:t xml:space="preserve">and </w:t>
      </w:r>
      <w:r w:rsidRPr="00472578">
        <w:rPr>
          <w:i/>
        </w:rPr>
        <w:t xml:space="preserve">rivers. </w:t>
      </w:r>
      <w:r w:rsidRPr="00472578">
        <w:t>Invasive marine species affect our marine waters. Native</w:t>
      </w:r>
      <w:r w:rsidR="006C54C2" w:rsidRPr="00472578">
        <w:t xml:space="preserve"> a</w:t>
      </w:r>
      <w:r w:rsidRPr="00472578">
        <w:t>quatic plants are displaced, impacting ecosystem and indigenous biodiversity health and recreation</w:t>
      </w:r>
      <w:r w:rsidR="005C7520" w:rsidRPr="00472578">
        <w:t xml:space="preserve"> </w:t>
      </w:r>
      <w:r w:rsidRPr="00472578">
        <w:t>activities.</w:t>
      </w:r>
    </w:p>
    <w:bookmarkEnd w:id="58"/>
    <w:p w14:paraId="01B88275" w14:textId="77777777" w:rsidR="00B02DBF" w:rsidRPr="00472578" w:rsidRDefault="00B02DBF" w:rsidP="00E92686">
      <w:pPr>
        <w:pStyle w:val="Heading4"/>
        <w:jc w:val="both"/>
      </w:pPr>
      <w:r w:rsidRPr="00472578">
        <w:lastRenderedPageBreak/>
        <w:t>Context</w:t>
      </w:r>
    </w:p>
    <w:p w14:paraId="1E717FDF" w14:textId="44B5B159" w:rsidR="00B02DBF" w:rsidRPr="00472578" w:rsidRDefault="00B02DBF" w:rsidP="00E92686">
      <w:pPr>
        <w:pStyle w:val="BodyText"/>
      </w:pPr>
      <w:bookmarkStart w:id="59" w:name="_Hlk100674438"/>
      <w:r w:rsidRPr="00472578">
        <w:t>Otago’s landscape</w:t>
      </w:r>
      <w:r w:rsidR="00837B38" w:rsidRPr="00837B38">
        <w:rPr>
          <w:u w:val="single"/>
        </w:rPr>
        <w:t xml:space="preserve">, </w:t>
      </w:r>
      <w:r w:rsidR="00837B38" w:rsidRPr="00E9513E">
        <w:rPr>
          <w:u w:val="single"/>
        </w:rPr>
        <w:t>water</w:t>
      </w:r>
      <w:r w:rsidR="00C81754" w:rsidRPr="00C81754">
        <w:rPr>
          <w:rStyle w:val="FootnoteReference"/>
        </w:rPr>
        <w:footnoteReference w:id="325"/>
      </w:r>
      <w:r w:rsidRPr="00472578">
        <w:t xml:space="preserve"> and climate support many plants and animals considered to be pests. This includes weeds, vertebrate pests (</w:t>
      </w:r>
      <w:proofErr w:type="gramStart"/>
      <w:r w:rsidRPr="00472578">
        <w:t>e.g.</w:t>
      </w:r>
      <w:proofErr w:type="gramEnd"/>
      <w:r w:rsidRPr="00472578">
        <w:t xml:space="preserve"> rabbits), invertebrate pests</w:t>
      </w:r>
      <w:r w:rsidR="00263E35" w:rsidRPr="00E9513E">
        <w:rPr>
          <w:u w:val="single"/>
        </w:rPr>
        <w:t>, and diseases</w:t>
      </w:r>
      <w:r w:rsidR="00C81754" w:rsidRPr="00C81754">
        <w:rPr>
          <w:rStyle w:val="FootnoteReference"/>
        </w:rPr>
        <w:footnoteReference w:id="326"/>
      </w:r>
      <w:r w:rsidRPr="00E9513E">
        <w:t xml:space="preserve"> (e.g. pathogenic pest diseases (e.g. foot and mouth disease, pine needle diseases)</w:t>
      </w:r>
      <w:r w:rsidRPr="00BA7B47">
        <w:t>)</w:t>
      </w:r>
      <w:r w:rsidRPr="00E9513E">
        <w:t>,</w:t>
      </w:r>
      <w:r w:rsidRPr="00472578">
        <w:t xml:space="preserve"> and </w:t>
      </w:r>
      <w:r w:rsidRPr="00472578">
        <w:rPr>
          <w:i/>
        </w:rPr>
        <w:t xml:space="preserve">freshwater </w:t>
      </w:r>
      <w:r w:rsidRPr="00472578">
        <w:t>and marine pests which are all biosecurity threats in the Otago region.</w:t>
      </w:r>
    </w:p>
    <w:bookmarkEnd w:id="59"/>
    <w:p w14:paraId="03435ECA" w14:textId="77777777" w:rsidR="00B02DBF" w:rsidRPr="00472578" w:rsidRDefault="00B02DBF" w:rsidP="00E92686">
      <w:pPr>
        <w:pStyle w:val="BodyText"/>
      </w:pPr>
      <w:r w:rsidRPr="00472578">
        <w:t>There are 35 listed weed species in Otago, and 11 listed animal pests. Pest management approaches include exclusion and surveillance (</w:t>
      </w:r>
      <w:proofErr w:type="gramStart"/>
      <w:r w:rsidRPr="00472578">
        <w:t>e.g.</w:t>
      </w:r>
      <w:proofErr w:type="gramEnd"/>
      <w:r w:rsidRPr="00472578">
        <w:t xml:space="preserve"> African feather grass), attempted eradication (e.g. wallabies and rooks), containment (e.g. </w:t>
      </w:r>
      <w:r w:rsidRPr="00472578">
        <w:rPr>
          <w:i/>
        </w:rPr>
        <w:t>bomarea</w:t>
      </w:r>
      <w:r w:rsidRPr="00472578">
        <w:t>) and sustained control (e.g. rabbits, gorse and broom). The approach deployed depends on the degree to which species are entrenched.</w:t>
      </w:r>
    </w:p>
    <w:p w14:paraId="4A982E85" w14:textId="5B333E07" w:rsidR="00B02DBF" w:rsidRPr="00472578" w:rsidRDefault="00B02DBF" w:rsidP="00E92686">
      <w:pPr>
        <w:pStyle w:val="BodyText"/>
      </w:pPr>
      <w:r w:rsidRPr="00472578">
        <w:t>The Otago Pest Management Plan 2019-202</w:t>
      </w:r>
      <w:r w:rsidR="00B64595">
        <w:t>9</w:t>
      </w:r>
      <w:r w:rsidR="00B64595" w:rsidRPr="007A13CF">
        <w:rPr>
          <w:rStyle w:val="FootnoteReference"/>
          <w:shd w:val="clear" w:color="auto" w:fill="D9D9D9" w:themeFill="background1" w:themeFillShade="D9"/>
        </w:rPr>
        <w:footnoteReference w:id="327"/>
      </w:r>
      <w:r w:rsidRPr="00472578">
        <w:t xml:space="preserve"> seeks to meet ORC’s responsibilities under Part 2 of the Biosecurity Act 1992 to provide regional leadership through activities that prevent, reduce, or eliminate adverse </w:t>
      </w:r>
      <w:r w:rsidRPr="00472578">
        <w:rPr>
          <w:i/>
        </w:rPr>
        <w:t xml:space="preserve">effects </w:t>
      </w:r>
      <w:r w:rsidRPr="00472578">
        <w:t>resulting from harmful species that are present in the region. That plan details which approaches are to be used for which pest species, and the methods to be used for control.</w:t>
      </w:r>
    </w:p>
    <w:p w14:paraId="4B3D7491" w14:textId="78231F36" w:rsidR="00B02DBF" w:rsidRPr="00472578" w:rsidRDefault="00B02DBF" w:rsidP="00E92686">
      <w:pPr>
        <w:pStyle w:val="BodyText"/>
      </w:pPr>
      <w:r w:rsidRPr="00472578">
        <w:t xml:space="preserve">In conjunction with that Plan, ORC has also established a Biosecurity Strategy (the Strategy) which sets out ORC’s objectives for biosecurity management in the region using the full range of statutory and non-statutory tools available. Strategy priorities provide for protection of indigenous biodiversity, protection of landscape, recreation, cultural and </w:t>
      </w:r>
      <w:r w:rsidRPr="00472578">
        <w:rPr>
          <w:i/>
        </w:rPr>
        <w:t xml:space="preserve">amenity values </w:t>
      </w:r>
      <w:r w:rsidRPr="00472578">
        <w:t>and minimising the impact on agricultural production. The Strategy also supports pest management and seeks to integrate the regulatory and non-regulatory programmes. Collaborative partnership models of pest management are increasingly being developed and adopted in conjunction with community groups and land holders.</w:t>
      </w:r>
      <w:r w:rsidR="00627D2E">
        <w:t xml:space="preserve"> </w:t>
      </w:r>
    </w:p>
    <w:p w14:paraId="1755A893" w14:textId="77777777" w:rsidR="00B02DBF" w:rsidRPr="00472578" w:rsidRDefault="00B02DBF" w:rsidP="00E92686">
      <w:pPr>
        <w:pStyle w:val="Heading4"/>
        <w:jc w:val="both"/>
      </w:pPr>
      <w:r w:rsidRPr="00472578">
        <w:t>Impact snapshot</w:t>
      </w:r>
    </w:p>
    <w:p w14:paraId="0862E460" w14:textId="77777777" w:rsidR="00B02DBF" w:rsidRPr="00472578" w:rsidRDefault="00B02DBF" w:rsidP="00E92686">
      <w:pPr>
        <w:pStyle w:val="Heading5"/>
        <w:jc w:val="both"/>
      </w:pPr>
      <w:r w:rsidRPr="00472578">
        <w:t>Environmental</w:t>
      </w:r>
    </w:p>
    <w:p w14:paraId="54DFF24B" w14:textId="77777777" w:rsidR="00B02DBF" w:rsidRPr="00472578" w:rsidRDefault="00B02DBF" w:rsidP="00E92686">
      <w:pPr>
        <w:pStyle w:val="BodyText"/>
      </w:pPr>
      <w:bookmarkStart w:id="60" w:name="_Hlk100674730"/>
      <w:r w:rsidRPr="00472578">
        <w:t xml:space="preserve">Otago is one of the most biodiverse regions in New Zealand, with high levels of endemism. It is also one of the most modified regions in New Zealand. Both plant and animal species pests have significant impacts on biodiversity. Pests can also adversely impact </w:t>
      </w:r>
      <w:r w:rsidRPr="00472578">
        <w:rPr>
          <w:u w:val="single"/>
        </w:rPr>
        <w:t>waterways,</w:t>
      </w:r>
      <w:r w:rsidRPr="00472578">
        <w:rPr>
          <w:rStyle w:val="FootnoteReference"/>
        </w:rPr>
        <w:footnoteReference w:id="328"/>
      </w:r>
      <w:r w:rsidRPr="00472578">
        <w:t xml:space="preserve"> natural features and landscapes.</w:t>
      </w:r>
    </w:p>
    <w:p w14:paraId="2E5F02A9" w14:textId="365F3A30" w:rsidR="00B02DBF" w:rsidRPr="00472578" w:rsidRDefault="00B02DBF" w:rsidP="00E92686">
      <w:pPr>
        <w:pStyle w:val="BodyText"/>
      </w:pPr>
      <w:bookmarkStart w:id="61" w:name="_Hlk96609545"/>
      <w:r w:rsidRPr="00472578">
        <w:t xml:space="preserve">Vertebrate browsing pests such as rabbits, </w:t>
      </w:r>
      <w:r w:rsidR="00B409E4" w:rsidRPr="00472578">
        <w:rPr>
          <w:strike/>
        </w:rPr>
        <w:t>and</w:t>
      </w:r>
      <w:r w:rsidR="00B409E4" w:rsidRPr="00472578">
        <w:t xml:space="preserve"> </w:t>
      </w:r>
      <w:r w:rsidRPr="00472578">
        <w:t xml:space="preserve">wallabies </w:t>
      </w:r>
      <w:r w:rsidRPr="00472578">
        <w:rPr>
          <w:u w:val="single"/>
        </w:rPr>
        <w:t>and goats</w:t>
      </w:r>
      <w:r w:rsidRPr="00472578">
        <w:rPr>
          <w:rStyle w:val="FootnoteReference"/>
        </w:rPr>
        <w:footnoteReference w:id="329"/>
      </w:r>
      <w:r w:rsidR="00B409E4" w:rsidRPr="00472578">
        <w:t xml:space="preserve"> </w:t>
      </w:r>
      <w:r w:rsidRPr="00472578">
        <w:t>cause erosion and damage to land in both introduced pastures and native tussock communities</w:t>
      </w:r>
      <w:r w:rsidRPr="00472578">
        <w:rPr>
          <w:u w:val="single"/>
        </w:rPr>
        <w:t>, impacting significant lands and taoka species</w:t>
      </w:r>
      <w:r w:rsidRPr="00472578">
        <w:rPr>
          <w:rStyle w:val="FootnoteReference"/>
        </w:rPr>
        <w:footnoteReference w:id="330"/>
      </w:r>
      <w:r w:rsidRPr="00472578">
        <w:t xml:space="preserve">. </w:t>
      </w:r>
      <w:bookmarkEnd w:id="61"/>
      <w:r w:rsidRPr="00472578">
        <w:t xml:space="preserve">Severe erosion can have adverse </w:t>
      </w:r>
      <w:r w:rsidRPr="00472578">
        <w:rPr>
          <w:i/>
        </w:rPr>
        <w:t xml:space="preserve">effects </w:t>
      </w:r>
      <w:r w:rsidRPr="00472578">
        <w:t xml:space="preserve">on </w:t>
      </w:r>
      <w:r w:rsidRPr="00472578">
        <w:rPr>
          <w:i/>
        </w:rPr>
        <w:t xml:space="preserve">water </w:t>
      </w:r>
      <w:r w:rsidRPr="00472578">
        <w:t>quality. Rats and stoats predate on native birds, while deer destroy native vegetation, and possums compete with native birds for hollows and have also been known to predate on chicks. Possums spread viruses and diseases such as bovine tuberculosis, which can have severe impacts on stock.</w:t>
      </w:r>
    </w:p>
    <w:p w14:paraId="394046E8" w14:textId="78972164" w:rsidR="00B02DBF" w:rsidRPr="00472578" w:rsidRDefault="00B02DBF" w:rsidP="00E92686">
      <w:pPr>
        <w:pStyle w:val="BodyText"/>
      </w:pPr>
      <w:bookmarkStart w:id="62" w:name="_Hlk100674871"/>
      <w:bookmarkEnd w:id="60"/>
      <w:r w:rsidRPr="00472578">
        <w:t xml:space="preserve">Weeds smother and compete with native vegetation, taking up available nutrients, </w:t>
      </w:r>
      <w:r w:rsidRPr="00472578">
        <w:rPr>
          <w:i/>
        </w:rPr>
        <w:t>water</w:t>
      </w:r>
      <w:r w:rsidRPr="00472578">
        <w:t xml:space="preserve">, </w:t>
      </w:r>
      <w:proofErr w:type="gramStart"/>
      <w:r w:rsidRPr="00472578">
        <w:t>space</w:t>
      </w:r>
      <w:proofErr w:type="gramEnd"/>
      <w:r w:rsidRPr="00472578">
        <w:t xml:space="preserve"> and sunlight. They reduce natural diversity and prevent native plants growing back after clearing, fire and other disturbance. Nationally, weeds will potentially affect 7% of the conservation estate within a decade, </w:t>
      </w:r>
      <w:r w:rsidRPr="00472578">
        <w:lastRenderedPageBreak/>
        <w:t>corresponding to a loss of native biodiversity equivalent to $1.3 billion</w:t>
      </w:r>
      <w:r w:rsidR="00D0037E" w:rsidRPr="00472578">
        <w:t>.</w:t>
      </w:r>
      <w:r w:rsidR="00673841" w:rsidRPr="00673841">
        <w:rPr>
          <w:rStyle w:val="FootnoteReference"/>
          <w:shd w:val="clear" w:color="auto" w:fill="D9D9D9" w:themeFill="background1" w:themeFillShade="D9"/>
        </w:rPr>
        <w:footnoteReference w:id="331"/>
      </w:r>
      <w:r w:rsidR="00673841">
        <w:t xml:space="preserve"> </w:t>
      </w:r>
      <w:r w:rsidRPr="00472578">
        <w:t xml:space="preserve">For example, </w:t>
      </w:r>
      <w:r w:rsidRPr="00472578">
        <w:rPr>
          <w:i/>
          <w:iCs/>
        </w:rPr>
        <w:t>wilding</w:t>
      </w:r>
      <w:r w:rsidR="00D0037E" w:rsidRPr="00472578">
        <w:t xml:space="preserve"> </w:t>
      </w:r>
      <w:r w:rsidRPr="00472578">
        <w:rPr>
          <w:strike/>
        </w:rPr>
        <w:t>pines</w:t>
      </w:r>
      <w:r w:rsidR="00973CE7" w:rsidRPr="00472578">
        <w:rPr>
          <w:strike/>
        </w:rPr>
        <w:t xml:space="preserve"> </w:t>
      </w:r>
      <w:r w:rsidRPr="00472578">
        <w:rPr>
          <w:i/>
          <w:iCs/>
          <w:u w:val="single"/>
        </w:rPr>
        <w:t>conifers</w:t>
      </w:r>
      <w:r w:rsidRPr="00472578">
        <w:rPr>
          <w:rStyle w:val="FootnoteReference"/>
        </w:rPr>
        <w:footnoteReference w:id="332"/>
      </w:r>
      <w:r w:rsidRPr="00472578">
        <w:t xml:space="preserve"> are a significant issue for the Otago region as well as nationally, where they threaten high country and tussock grassland, increase fire </w:t>
      </w:r>
      <w:r w:rsidRPr="00472578">
        <w:rPr>
          <w:i/>
        </w:rPr>
        <w:t>risk</w:t>
      </w:r>
      <w:r w:rsidRPr="00472578">
        <w:t xml:space="preserve">, and reduce </w:t>
      </w:r>
      <w:r w:rsidRPr="00472578">
        <w:rPr>
          <w:i/>
        </w:rPr>
        <w:t xml:space="preserve">water </w:t>
      </w:r>
      <w:r w:rsidRPr="00472578">
        <w:t xml:space="preserve">yield in </w:t>
      </w:r>
      <w:r w:rsidRPr="00472578">
        <w:rPr>
          <w:i/>
        </w:rPr>
        <w:t xml:space="preserve">water </w:t>
      </w:r>
      <w:r w:rsidRPr="00472578">
        <w:t xml:space="preserve">short catchments, </w:t>
      </w:r>
      <w:r w:rsidRPr="00472578">
        <w:rPr>
          <w:u w:val="single"/>
        </w:rPr>
        <w:t xml:space="preserve">impact </w:t>
      </w:r>
      <w:bookmarkStart w:id="63" w:name="_Hlk100674884"/>
      <w:bookmarkEnd w:id="62"/>
      <w:r w:rsidRPr="00472578">
        <w:rPr>
          <w:u w:val="single"/>
        </w:rPr>
        <w:t>soil nutrient cycling</w:t>
      </w:r>
      <w:r w:rsidR="00973CE7" w:rsidRPr="00472578">
        <w:rPr>
          <w:u w:val="single"/>
        </w:rPr>
        <w:t>,</w:t>
      </w:r>
      <w:r w:rsidRPr="00472578">
        <w:rPr>
          <w:rStyle w:val="FootnoteReference"/>
        </w:rPr>
        <w:footnoteReference w:id="333"/>
      </w:r>
      <w:r w:rsidR="00973CE7" w:rsidRPr="00472578">
        <w:t xml:space="preserve"> </w:t>
      </w:r>
      <w:r w:rsidRPr="00472578">
        <w:t>change the landscape and negatively impact recreational, hydrological and conservation values.</w:t>
      </w:r>
      <w:bookmarkEnd w:id="63"/>
    </w:p>
    <w:p w14:paraId="71ED029A" w14:textId="6ED0A564" w:rsidR="00B02DBF" w:rsidRPr="00472578" w:rsidRDefault="00B02DBF" w:rsidP="00E92686">
      <w:pPr>
        <w:pStyle w:val="BodyText"/>
      </w:pPr>
      <w:r w:rsidRPr="00472578">
        <w:t xml:space="preserve">Pest species destabilise aquatic habitats and negatively modify </w:t>
      </w:r>
      <w:r w:rsidRPr="00472578">
        <w:rPr>
          <w:i/>
        </w:rPr>
        <w:t xml:space="preserve">water </w:t>
      </w:r>
      <w:r w:rsidRPr="00472578">
        <w:t xml:space="preserve">flow with consequences for drainage, irrigation, power generation and recreational activities. The introduction of the </w:t>
      </w:r>
      <w:r w:rsidRPr="00472578">
        <w:rPr>
          <w:i/>
        </w:rPr>
        <w:t xml:space="preserve">freshwater </w:t>
      </w:r>
      <w:r w:rsidRPr="00472578">
        <w:t>diatom didymo (</w:t>
      </w:r>
      <w:r w:rsidRPr="00472578">
        <w:rPr>
          <w:i/>
        </w:rPr>
        <w:t>Didymosphenia geminata</w:t>
      </w:r>
      <w:r w:rsidRPr="00472578">
        <w:t>) in South Island streams is an example</w:t>
      </w:r>
      <w:r w:rsidR="00491EA7">
        <w:t>.</w:t>
      </w:r>
      <w:r w:rsidR="00491EA7" w:rsidRPr="00491EA7">
        <w:rPr>
          <w:rStyle w:val="FootnoteReference"/>
          <w:shd w:val="clear" w:color="auto" w:fill="D9D9D9" w:themeFill="background1" w:themeFillShade="D9"/>
        </w:rPr>
        <w:footnoteReference w:id="334"/>
      </w:r>
    </w:p>
    <w:p w14:paraId="3C186C2D" w14:textId="77777777" w:rsidR="00B02DBF" w:rsidRPr="00472578" w:rsidRDefault="00B02DBF" w:rsidP="00E92686">
      <w:pPr>
        <w:pStyle w:val="Heading5"/>
        <w:jc w:val="both"/>
      </w:pPr>
      <w:r w:rsidRPr="00472578">
        <w:t>Economic</w:t>
      </w:r>
    </w:p>
    <w:p w14:paraId="0FFAC654" w14:textId="15BEF68D" w:rsidR="00B02DBF" w:rsidRPr="00472578" w:rsidRDefault="00B02DBF" w:rsidP="00E92686">
      <w:pPr>
        <w:pStyle w:val="BodyText"/>
      </w:pPr>
      <w:bookmarkStart w:id="64" w:name="_Hlk100674974"/>
      <w:r w:rsidRPr="00472578">
        <w:t xml:space="preserve">Pests can cause economic losses because of reduction in production, quality, efficiency and or functionality. This can include lost crop </w:t>
      </w:r>
      <w:r w:rsidRPr="00472578">
        <w:rPr>
          <w:u w:val="single"/>
        </w:rPr>
        <w:t>or animal</w:t>
      </w:r>
      <w:r w:rsidRPr="00472578">
        <w:rPr>
          <w:rStyle w:val="FootnoteReference"/>
        </w:rPr>
        <w:footnoteReference w:id="335"/>
      </w:r>
      <w:r w:rsidRPr="00472578">
        <w:t xml:space="preserve"> production, higher </w:t>
      </w:r>
      <w:r w:rsidRPr="00472578">
        <w:rPr>
          <w:i/>
        </w:rPr>
        <w:t xml:space="preserve">water </w:t>
      </w:r>
      <w:r w:rsidRPr="00472578">
        <w:t xml:space="preserve">requirements and reductions in animal health. Weeds can affect wool quality, </w:t>
      </w:r>
      <w:r w:rsidRPr="00472578">
        <w:rPr>
          <w:u w:val="single"/>
        </w:rPr>
        <w:t>impact the quality of leather,</w:t>
      </w:r>
      <w:r w:rsidR="00583D95" w:rsidRPr="00472578">
        <w:rPr>
          <w:rStyle w:val="FootnoteReference"/>
        </w:rPr>
        <w:footnoteReference w:id="336"/>
      </w:r>
      <w:r w:rsidRPr="00472578">
        <w:t xml:space="preserve"> taint meat and milk, damage the feet of stock and, in some instances, be toxic.</w:t>
      </w:r>
    </w:p>
    <w:bookmarkEnd w:id="64"/>
    <w:p w14:paraId="22973F09" w14:textId="70000187" w:rsidR="00B02DBF" w:rsidRPr="00472578" w:rsidRDefault="00B02DBF" w:rsidP="00E92686">
      <w:pPr>
        <w:pStyle w:val="BodyText"/>
      </w:pPr>
      <w:r w:rsidRPr="00472578">
        <w:t xml:space="preserve">Costs to agriculture, </w:t>
      </w:r>
      <w:proofErr w:type="gramStart"/>
      <w:r w:rsidRPr="00472578">
        <w:t>business</w:t>
      </w:r>
      <w:proofErr w:type="gramEnd"/>
      <w:r w:rsidRPr="00472578">
        <w:t xml:space="preserve"> and government to control pests and mitigate impacts are considerable, as are biosecurity costs to prevent pest incursion which are reflected in biosecurity fees and taxes. Biosecurity failure can have serious economic impacts on existing industries </w:t>
      </w:r>
      <w:proofErr w:type="gramStart"/>
      <w:r w:rsidRPr="00472578">
        <w:t>e.g.</w:t>
      </w:r>
      <w:proofErr w:type="gramEnd"/>
      <w:r w:rsidRPr="00472578">
        <w:t xml:space="preserve"> through the importation of fruit infected with fruitfly in a traveller’s bag. </w:t>
      </w:r>
      <w:bookmarkStart w:id="65" w:name="_Hlk100675419"/>
      <w:r w:rsidRPr="00472578">
        <w:t>Pests also adversely affect tourism through loss of landscape values (</w:t>
      </w:r>
      <w:proofErr w:type="gramStart"/>
      <w:r w:rsidRPr="00472578">
        <w:t>e.g.</w:t>
      </w:r>
      <w:proofErr w:type="gramEnd"/>
      <w:r w:rsidRPr="00472578">
        <w:t xml:space="preserve"> wilding </w:t>
      </w:r>
      <w:r w:rsidRPr="005E1A56">
        <w:rPr>
          <w:strike/>
        </w:rPr>
        <w:t>pines</w:t>
      </w:r>
      <w:r w:rsidR="005E1A56" w:rsidRPr="005E1A56">
        <w:rPr>
          <w:u w:val="single"/>
        </w:rPr>
        <w:t>conifers</w:t>
      </w:r>
      <w:r w:rsidR="00BE5FA1">
        <w:rPr>
          <w:rStyle w:val="FootnoteReference"/>
          <w:u w:val="single"/>
        </w:rPr>
        <w:footnoteReference w:id="337"/>
      </w:r>
      <w:r w:rsidRPr="009C35B5">
        <w:t>) and</w:t>
      </w:r>
      <w:r w:rsidRPr="00472578">
        <w:t xml:space="preserve"> </w:t>
      </w:r>
      <w:r w:rsidRPr="00472578">
        <w:rPr>
          <w:i/>
        </w:rPr>
        <w:t xml:space="preserve">amenity values </w:t>
      </w:r>
      <w:r w:rsidRPr="00472578">
        <w:t>(e.g. didymo compromising fishing) which lead to reduced visitor experiences.</w:t>
      </w:r>
      <w:bookmarkEnd w:id="65"/>
      <w:r w:rsidR="005674D8">
        <w:t xml:space="preserve"> </w:t>
      </w:r>
      <w:r w:rsidR="005674D8" w:rsidRPr="004F509A">
        <w:rPr>
          <w:u w:val="single"/>
        </w:rPr>
        <w:t>Human health problems caused by pests can have a</w:t>
      </w:r>
      <w:r w:rsidR="003F2014" w:rsidRPr="004F509A">
        <w:rPr>
          <w:u w:val="single"/>
        </w:rPr>
        <w:t xml:space="preserve"> related economic cost.</w:t>
      </w:r>
      <w:r w:rsidR="00DF0B41">
        <w:rPr>
          <w:rStyle w:val="FootnoteReference"/>
        </w:rPr>
        <w:footnoteReference w:id="338"/>
      </w:r>
      <w:r w:rsidR="003F2014">
        <w:t xml:space="preserve"> </w:t>
      </w:r>
    </w:p>
    <w:p w14:paraId="1F5A10CA" w14:textId="022174F5" w:rsidR="00B02DBF" w:rsidRPr="00472578" w:rsidRDefault="00B02DBF" w:rsidP="00E92686">
      <w:pPr>
        <w:pStyle w:val="BodyText"/>
      </w:pPr>
      <w:bookmarkStart w:id="66" w:name="_Hlk100675090"/>
      <w:r w:rsidRPr="00472578">
        <w:t>Weeds, for example, are conservatively estimated to cost the New Zealand economy $1.6 billion per annu</w:t>
      </w:r>
      <w:r w:rsidR="001349F9">
        <w:t>m</w:t>
      </w:r>
      <w:r w:rsidR="001349F9">
        <w:rPr>
          <w:rStyle w:val="FootnoteReference"/>
        </w:rPr>
        <w:footnoteReference w:id="339"/>
      </w:r>
      <w:r w:rsidR="00D0037E" w:rsidRPr="00472578">
        <w:rPr>
          <w:vertAlign w:val="superscript"/>
        </w:rPr>
        <w:t xml:space="preserve"> </w:t>
      </w:r>
      <w:r w:rsidRPr="00472578">
        <w:t xml:space="preserve">in terms of loss of economic production, </w:t>
      </w:r>
      <w:proofErr w:type="gramStart"/>
      <w:r w:rsidRPr="00472578">
        <w:t>management</w:t>
      </w:r>
      <w:proofErr w:type="gramEnd"/>
      <w:r w:rsidRPr="00472578">
        <w:t xml:space="preserve"> and control costs. They also affect landscape amenity value and tourism experiences relied upon by the tourism sector. Weeds</w:t>
      </w:r>
      <w:r w:rsidRPr="00472578">
        <w:rPr>
          <w:u w:val="single"/>
        </w:rPr>
        <w:t>, including didymo and lake snow</w:t>
      </w:r>
      <w:r w:rsidR="00D0037E" w:rsidRPr="00472578">
        <w:rPr>
          <w:u w:val="single"/>
        </w:rPr>
        <w:t>,</w:t>
      </w:r>
      <w:r w:rsidRPr="00472578">
        <w:rPr>
          <w:rStyle w:val="FootnoteReference"/>
        </w:rPr>
        <w:footnoteReference w:id="340"/>
      </w:r>
      <w:r w:rsidRPr="00472578">
        <w:t xml:space="preserve"> can also adversely impact </w:t>
      </w:r>
      <w:r w:rsidRPr="00472578">
        <w:rPr>
          <w:i/>
        </w:rPr>
        <w:t>infrastructure</w:t>
      </w:r>
      <w:r w:rsidRPr="00472578">
        <w:t xml:space="preserve">, for example, </w:t>
      </w:r>
      <w:r w:rsidRPr="00472578">
        <w:rPr>
          <w:i/>
        </w:rPr>
        <w:t xml:space="preserve">water </w:t>
      </w:r>
      <w:r w:rsidRPr="00472578">
        <w:t xml:space="preserve">systems including irrigation, dams, and levies; </w:t>
      </w:r>
      <w:r w:rsidRPr="00393B4D">
        <w:rPr>
          <w:strike/>
        </w:rPr>
        <w:t>power systems (</w:t>
      </w:r>
      <w:proofErr w:type="gramStart"/>
      <w:r w:rsidRPr="00393B4D">
        <w:rPr>
          <w:strike/>
        </w:rPr>
        <w:t>e.g.</w:t>
      </w:r>
      <w:proofErr w:type="gramEnd"/>
      <w:r w:rsidRPr="00393B4D">
        <w:rPr>
          <w:strike/>
        </w:rPr>
        <w:t xml:space="preserve"> generation penstock, gates, valves, surge tanks, transmission lines);</w:t>
      </w:r>
      <w:r w:rsidRPr="00472578">
        <w:t xml:space="preserve"> </w:t>
      </w:r>
      <w:r w:rsidR="00B85F27" w:rsidRPr="00B85F27">
        <w:rPr>
          <w:u w:val="single"/>
        </w:rPr>
        <w:t>electricity generation infrastructure</w:t>
      </w:r>
      <w:r w:rsidR="00590AEB" w:rsidRPr="000469E5">
        <w:rPr>
          <w:rStyle w:val="FootnoteReference"/>
        </w:rPr>
        <w:footnoteReference w:id="341"/>
      </w:r>
      <w:r w:rsidR="00B85F27">
        <w:t xml:space="preserve"> </w:t>
      </w:r>
      <w:r w:rsidRPr="00472578">
        <w:t xml:space="preserve">and transportation systems (e.g. </w:t>
      </w:r>
      <w:r w:rsidRPr="00472578">
        <w:rPr>
          <w:i/>
        </w:rPr>
        <w:t xml:space="preserve">road </w:t>
      </w:r>
      <w:r w:rsidRPr="00472578">
        <w:t xml:space="preserve">beds, </w:t>
      </w:r>
      <w:r w:rsidRPr="00472578">
        <w:rPr>
          <w:i/>
        </w:rPr>
        <w:t xml:space="preserve">lake </w:t>
      </w:r>
      <w:r w:rsidRPr="00472578">
        <w:t xml:space="preserve">and </w:t>
      </w:r>
      <w:r w:rsidRPr="00472578">
        <w:rPr>
          <w:i/>
        </w:rPr>
        <w:t xml:space="preserve">river </w:t>
      </w:r>
      <w:r w:rsidRPr="00472578">
        <w:t>transportation, airstrips).</w:t>
      </w:r>
    </w:p>
    <w:bookmarkEnd w:id="66"/>
    <w:p w14:paraId="6B3F369E" w14:textId="77777777" w:rsidR="00B02DBF" w:rsidRPr="00472578" w:rsidRDefault="00B02DBF" w:rsidP="00E92686">
      <w:pPr>
        <w:pStyle w:val="Heading5"/>
        <w:jc w:val="both"/>
      </w:pPr>
      <w:r w:rsidRPr="00472578">
        <w:t>Social</w:t>
      </w:r>
    </w:p>
    <w:p w14:paraId="1AAD4E84" w14:textId="0248A203" w:rsidR="00B02DBF" w:rsidRPr="00472578" w:rsidRDefault="00B02DBF" w:rsidP="00E92686">
      <w:pPr>
        <w:pStyle w:val="BodyText"/>
      </w:pPr>
      <w:r w:rsidRPr="00472578">
        <w:t xml:space="preserve">Recreation values can be impacted through loss of amenity, </w:t>
      </w:r>
      <w:proofErr w:type="gramStart"/>
      <w:r w:rsidRPr="00472578">
        <w:t>access</w:t>
      </w:r>
      <w:proofErr w:type="gramEnd"/>
      <w:r w:rsidRPr="00472578">
        <w:t xml:space="preserve"> or landscape values. Pests can also cause human health problems. For example, some weed pollens can induce asthma and cause allergies </w:t>
      </w:r>
      <w:r w:rsidRPr="00472578">
        <w:lastRenderedPageBreak/>
        <w:t>(</w:t>
      </w:r>
      <w:proofErr w:type="gramStart"/>
      <w:r w:rsidRPr="00472578">
        <w:t>e.g.</w:t>
      </w:r>
      <w:proofErr w:type="gramEnd"/>
      <w:r w:rsidRPr="00472578">
        <w:t xml:space="preserve"> hay fever</w:t>
      </w:r>
      <w:r w:rsidR="00D0037E" w:rsidRPr="00472578">
        <w:t>)</w:t>
      </w:r>
      <w:r w:rsidR="001349F9">
        <w:t>.</w:t>
      </w:r>
      <w:r w:rsidR="001349F9" w:rsidRPr="00350D8D">
        <w:rPr>
          <w:rStyle w:val="FootnoteReference"/>
          <w:shd w:val="clear" w:color="auto" w:fill="D9D9D9" w:themeFill="background1" w:themeFillShade="D9"/>
        </w:rPr>
        <w:footnoteReference w:id="342"/>
      </w:r>
      <w:r w:rsidR="00D0037E" w:rsidRPr="00472578">
        <w:t xml:space="preserve"> </w:t>
      </w:r>
      <w:r w:rsidRPr="00472578">
        <w:t>Zoonoses (bacterium, viruses, parasites, prions) can result in diseases being</w:t>
      </w:r>
      <w:r w:rsidR="005B014C" w:rsidRPr="00472578">
        <w:t xml:space="preserve"> </w:t>
      </w:r>
      <w:r w:rsidRPr="00472578">
        <w:t>transferred from animals to humans and include, for example, leptospirosis and campylobacter.</w:t>
      </w:r>
    </w:p>
    <w:p w14:paraId="63606641" w14:textId="3B32D6E2" w:rsidR="00B02DBF" w:rsidRPr="00472578" w:rsidRDefault="00B208D6" w:rsidP="00E92686">
      <w:pPr>
        <w:pStyle w:val="Heading3"/>
        <w:jc w:val="both"/>
        <w:rPr>
          <w:b w:val="0"/>
        </w:rPr>
      </w:pPr>
      <w:r w:rsidRPr="00472578">
        <w:t>SRMR-I</w:t>
      </w:r>
      <w:r w:rsidR="00B02DBF" w:rsidRPr="00472578">
        <w:t>4 – Poorly managed urban and residential growth affects productive</w:t>
      </w:r>
      <w:r w:rsidR="00D0037E" w:rsidRPr="00472578">
        <w:t xml:space="preserve"> </w:t>
      </w:r>
      <w:r w:rsidR="00B02DBF" w:rsidRPr="00472578">
        <w:rPr>
          <w:i/>
          <w:color w:val="1F3863"/>
        </w:rPr>
        <w:t>land</w:t>
      </w:r>
      <w:r w:rsidR="00B02DBF" w:rsidRPr="00472578">
        <w:rPr>
          <w:color w:val="1F3863"/>
        </w:rPr>
        <w:t xml:space="preserve">, treasured natural assets, </w:t>
      </w:r>
      <w:proofErr w:type="gramStart"/>
      <w:r w:rsidR="00B02DBF" w:rsidRPr="00472578">
        <w:rPr>
          <w:i/>
          <w:color w:val="1F3863"/>
        </w:rPr>
        <w:t>infrastructure</w:t>
      </w:r>
      <w:proofErr w:type="gramEnd"/>
      <w:r w:rsidR="00B02DBF" w:rsidRPr="00472578">
        <w:rPr>
          <w:i/>
          <w:color w:val="1F3863"/>
        </w:rPr>
        <w:t xml:space="preserve"> </w:t>
      </w:r>
      <w:r w:rsidR="00B02DBF" w:rsidRPr="00472578">
        <w:rPr>
          <w:color w:val="1F3863"/>
        </w:rPr>
        <w:t>and community well-being</w:t>
      </w:r>
    </w:p>
    <w:p w14:paraId="1B8124DF" w14:textId="77777777" w:rsidR="00B02DBF" w:rsidRPr="00472578" w:rsidRDefault="00B02DBF" w:rsidP="00E92686">
      <w:pPr>
        <w:pStyle w:val="Heading4"/>
        <w:jc w:val="both"/>
      </w:pPr>
      <w:r w:rsidRPr="00472578">
        <w:t>Statement</w:t>
      </w:r>
    </w:p>
    <w:p w14:paraId="6E7C8DD2" w14:textId="68B4029A" w:rsidR="00B02DBF" w:rsidRPr="00472578" w:rsidRDefault="00B02DBF" w:rsidP="00E92686">
      <w:pPr>
        <w:pStyle w:val="BodyText"/>
      </w:pPr>
      <w:r w:rsidRPr="00472578">
        <w:t xml:space="preserve">Natural resources used for urban development are permanently transformed – with the opportunity cost of removing urban activity being too high for land to revert to productive uses. Frequently, places that are attractive for urban growth also have landscape and productive values all of which must be balanced and where possible protected. The growth of </w:t>
      </w:r>
      <w:r w:rsidRPr="00472578">
        <w:rPr>
          <w:strike/>
        </w:rPr>
        <w:t>Wanaka</w:t>
      </w:r>
      <w:r w:rsidRPr="00472578">
        <w:t xml:space="preserve"> </w:t>
      </w:r>
      <w:r w:rsidRPr="00472578">
        <w:rPr>
          <w:u w:val="single"/>
        </w:rPr>
        <w:t>Wānaka</w:t>
      </w:r>
      <w:r w:rsidRPr="00472578">
        <w:rPr>
          <w:rStyle w:val="FootnoteReference"/>
        </w:rPr>
        <w:footnoteReference w:id="343"/>
      </w:r>
      <w:r w:rsidRPr="00472578">
        <w:t xml:space="preserve"> and Queenstown is changing the natural landscape. Mosgiel’s</w:t>
      </w:r>
      <w:r w:rsidR="00A6765D">
        <w:t xml:space="preserve"> </w:t>
      </w:r>
      <w:r w:rsidR="00A6765D" w:rsidRPr="00A6765D">
        <w:rPr>
          <w:u w:val="single"/>
        </w:rPr>
        <w:t>and Cromwell’s</w:t>
      </w:r>
      <w:r w:rsidR="00856210" w:rsidRPr="00856210">
        <w:rPr>
          <w:rStyle w:val="FootnoteReference"/>
        </w:rPr>
        <w:footnoteReference w:id="344"/>
      </w:r>
      <w:r w:rsidRPr="00472578">
        <w:t xml:space="preserve"> growth is occurring on some of Otago’s most highly productive soil, which</w:t>
      </w:r>
      <w:r w:rsidR="00842D9B" w:rsidRPr="00472578">
        <w:t xml:space="preserve"> </w:t>
      </w:r>
      <w:r w:rsidRPr="00472578">
        <w:t>removes the option for agriculture. Towns like Arrowtown, Clyde and Milton experience poor air quality in winter, while experiencing pressure to grow.</w:t>
      </w:r>
    </w:p>
    <w:p w14:paraId="782980E7" w14:textId="77777777" w:rsidR="00B02DBF" w:rsidRPr="00472578" w:rsidRDefault="00B02DBF" w:rsidP="00E92686">
      <w:pPr>
        <w:pStyle w:val="Heading4"/>
        <w:jc w:val="both"/>
      </w:pPr>
      <w:r w:rsidRPr="00472578">
        <w:t>Context</w:t>
      </w:r>
    </w:p>
    <w:p w14:paraId="6B431C3F" w14:textId="1ABC5C20" w:rsidR="00B02DBF" w:rsidRPr="00472578" w:rsidRDefault="00B02DBF" w:rsidP="00E92686">
      <w:pPr>
        <w:pStyle w:val="BodyText"/>
      </w:pPr>
      <w:r w:rsidRPr="00472578">
        <w:t xml:space="preserve">How urban areas function and grow now and in the future can directly impact on a significant proportion of the current and future urban population and correspondingly future environmental, economic, </w:t>
      </w:r>
      <w:proofErr w:type="gramStart"/>
      <w:r w:rsidRPr="00472578">
        <w:t>social</w:t>
      </w:r>
      <w:proofErr w:type="gramEnd"/>
      <w:r w:rsidRPr="00472578">
        <w:t xml:space="preserve"> and cultural outcomes and well-being. Most of Otago’s population (87% or 225,18</w:t>
      </w:r>
      <w:r w:rsidR="00350D8D">
        <w:t>6</w:t>
      </w:r>
      <w:r w:rsidR="00350D8D" w:rsidRPr="00350D8D">
        <w:rPr>
          <w:rStyle w:val="FootnoteReference"/>
          <w:shd w:val="clear" w:color="auto" w:fill="D9D9D9" w:themeFill="background1" w:themeFillShade="D9"/>
        </w:rPr>
        <w:footnoteReference w:id="345"/>
      </w:r>
      <w:r w:rsidR="00350D8D">
        <w:t xml:space="preserve"> </w:t>
      </w:r>
      <w:r w:rsidRPr="00472578">
        <w:t>in 2018) live in urban areas, while non-urban areas comprise 99% of the region</w:t>
      </w:r>
      <w:r w:rsidR="002C015E">
        <w:t>.</w:t>
      </w:r>
      <w:r w:rsidR="002C015E" w:rsidRPr="002C015E">
        <w:rPr>
          <w:rStyle w:val="FootnoteReference"/>
          <w:shd w:val="clear" w:color="auto" w:fill="D9D9D9" w:themeFill="background1" w:themeFillShade="D9"/>
        </w:rPr>
        <w:footnoteReference w:id="346"/>
      </w:r>
      <w:r w:rsidR="00842D9B" w:rsidRPr="00472578">
        <w:t xml:space="preserve"> </w:t>
      </w:r>
      <w:r w:rsidRPr="00472578">
        <w:t>Otago’s total population under a medium scenario is projected to increase by 20% between 2018 and 2048, with Queenstown-Lakes population projected to grow by 60%, Central Otago by 42%, Dunedin and Waitaki by 8%, and Clutha by 4% over the same period</w:t>
      </w:r>
      <w:r w:rsidR="00D51253">
        <w:t>.</w:t>
      </w:r>
      <w:r w:rsidR="00D51253" w:rsidRPr="00D51253">
        <w:rPr>
          <w:rStyle w:val="FootnoteReference"/>
          <w:shd w:val="clear" w:color="auto" w:fill="D9D9D9" w:themeFill="background1" w:themeFillShade="D9"/>
        </w:rPr>
        <w:footnoteReference w:id="347"/>
      </w:r>
    </w:p>
    <w:p w14:paraId="089F8052" w14:textId="77777777" w:rsidR="00B02DBF" w:rsidRPr="00472578" w:rsidRDefault="00B02DBF" w:rsidP="00E92686">
      <w:pPr>
        <w:pStyle w:val="BodyText"/>
      </w:pPr>
      <w:r w:rsidRPr="00472578">
        <w:t>Otago’s urban areas, like its people and landscapes, are also diverse. The attraction of urban areas results from the benefits of proximity and access to a variety of other people, experiences, goods, services (</w:t>
      </w:r>
      <w:proofErr w:type="gramStart"/>
      <w:r w:rsidRPr="00472578">
        <w:t>e.g.</w:t>
      </w:r>
      <w:proofErr w:type="gramEnd"/>
      <w:r w:rsidRPr="00472578">
        <w:t xml:space="preserve"> shopping, education, specialist service providers, recreation and leisure facilities and </w:t>
      </w:r>
      <w:r w:rsidRPr="00472578">
        <w:rPr>
          <w:i/>
        </w:rPr>
        <w:t xml:space="preserve">infrastructure </w:t>
      </w:r>
      <w:r w:rsidRPr="00472578">
        <w:t xml:space="preserve">(usually described as agglomeration effect)). These are generally considered to exceed the inconveniences such as congestion, pollution, and noise. Growth in some urban areas and demand for living in and visiting Otago can also be driven by proximity and access to highly valued natural features, such as the coast, mountains, </w:t>
      </w:r>
      <w:r w:rsidRPr="00472578">
        <w:rPr>
          <w:i/>
        </w:rPr>
        <w:t xml:space="preserve">lakes, </w:t>
      </w:r>
      <w:r w:rsidRPr="00472578">
        <w:t xml:space="preserve">and </w:t>
      </w:r>
      <w:r w:rsidRPr="00472578">
        <w:rPr>
          <w:i/>
        </w:rPr>
        <w:t>rivers</w:t>
      </w:r>
      <w:r w:rsidRPr="00472578">
        <w:t>. The open space and landscapes provided in rural areas also drives demand for rural residential living, particularly in areas with these qualities that are also in relative proximity to urban services.</w:t>
      </w:r>
    </w:p>
    <w:p w14:paraId="6A0A7EC3" w14:textId="77777777" w:rsidR="00B02DBF" w:rsidRPr="00472578" w:rsidRDefault="00B02DBF" w:rsidP="00E92686">
      <w:pPr>
        <w:pStyle w:val="BodyText"/>
      </w:pPr>
      <w:r w:rsidRPr="00472578">
        <w:t xml:space="preserve">Well-functioning urban places need to be dynamic and efficient, enable human social interactions and provide a wide variety of housing, employment, </w:t>
      </w:r>
      <w:proofErr w:type="gramStart"/>
      <w:r w:rsidRPr="00472578">
        <w:t>service</w:t>
      </w:r>
      <w:proofErr w:type="gramEnd"/>
      <w:r w:rsidRPr="00472578">
        <w:t xml:space="preserve"> and recreational opportunities that meet changing needs and preferences, in a way that maximises the well-being of all its present and future </w:t>
      </w:r>
      <w:r w:rsidRPr="00472578">
        <w:lastRenderedPageBreak/>
        <w:t xml:space="preserve">inhabitants, and respects its history and historic heritage, its setting and the </w:t>
      </w:r>
      <w:r w:rsidRPr="00472578">
        <w:rPr>
          <w:i/>
        </w:rPr>
        <w:t>environment</w:t>
      </w:r>
      <w:r w:rsidRPr="00472578">
        <w:t>. This requires well located development, supported by the necessary infrastructure.</w:t>
      </w:r>
    </w:p>
    <w:p w14:paraId="3DC86114" w14:textId="5B623B50" w:rsidR="00B02DBF" w:rsidRPr="00472578" w:rsidRDefault="00B02DBF" w:rsidP="00E92686">
      <w:pPr>
        <w:pStyle w:val="BodyText"/>
      </w:pPr>
      <w:r w:rsidRPr="00472578">
        <w:t xml:space="preserve">Urban growth, especially if it exceeds </w:t>
      </w:r>
      <w:r w:rsidRPr="00472578">
        <w:rPr>
          <w:i/>
        </w:rPr>
        <w:t xml:space="preserve">infrastructure </w:t>
      </w:r>
      <w:r w:rsidRPr="00472578">
        <w:t xml:space="preserve">capacity (either through sheer pace and scale or by lack of planning) or if it occurs in a way or at a rate that mean that appropriate </w:t>
      </w:r>
      <w:r w:rsidRPr="00472578">
        <w:rPr>
          <w:i/>
        </w:rPr>
        <w:t xml:space="preserve">infrastructure </w:t>
      </w:r>
      <w:r w:rsidRPr="00472578">
        <w:t xml:space="preserve">is not provided, is lagging or is inefficient, can result in adverse impacts on the </w:t>
      </w:r>
      <w:r w:rsidRPr="00472578">
        <w:rPr>
          <w:i/>
        </w:rPr>
        <w:t>environment</w:t>
      </w:r>
      <w:r w:rsidRPr="00472578">
        <w:t xml:space="preserve">, existing residents, </w:t>
      </w:r>
      <w:proofErr w:type="gramStart"/>
      <w:r w:rsidRPr="00472578">
        <w:t>business</w:t>
      </w:r>
      <w:proofErr w:type="gramEnd"/>
      <w:r w:rsidRPr="00472578">
        <w:t xml:space="preserve"> and wider society. </w:t>
      </w:r>
      <w:r w:rsidRPr="007D681D">
        <w:rPr>
          <w:strike/>
        </w:rPr>
        <w:t>Quality urban environments are those that maximise the positive aspects of urban areas and minimise the negative.</w:t>
      </w:r>
      <w:r w:rsidR="00CF515B" w:rsidRPr="00AD15D6">
        <w:rPr>
          <w:rStyle w:val="FootnoteReference"/>
        </w:rPr>
        <w:footnoteReference w:id="348"/>
      </w:r>
    </w:p>
    <w:p w14:paraId="3FF08FC1" w14:textId="16B11B09" w:rsidR="00DD5FBD" w:rsidRPr="00DD5FBD" w:rsidRDefault="0009779E" w:rsidP="00E92686">
      <w:pPr>
        <w:pStyle w:val="BodyText"/>
        <w:rPr>
          <w:u w:val="single"/>
        </w:rPr>
      </w:pPr>
      <w:r>
        <w:rPr>
          <w:u w:val="single"/>
        </w:rPr>
        <w:t>In addition, t</w:t>
      </w:r>
      <w:r w:rsidR="00DD5FBD" w:rsidRPr="00DD5FBD">
        <w:rPr>
          <w:u w:val="single"/>
        </w:rPr>
        <w:t xml:space="preserve">he productive land in Otago contributes to the social and economic wellbeing of the community through production of food and other rural production-based products. However, where development occurs in a place or manner that removes </w:t>
      </w:r>
      <w:r w:rsidR="00F00E12" w:rsidRPr="00F00E12">
        <w:rPr>
          <w:u w:val="single"/>
        </w:rPr>
        <w:t>or reduces the potential to use productive land</w:t>
      </w:r>
      <w:r w:rsidR="00DD5FBD" w:rsidRPr="00DD5FBD">
        <w:rPr>
          <w:u w:val="single"/>
        </w:rPr>
        <w:t>, including through reverse sensitivity effects, the productive capacity of the land is compromised</w:t>
      </w:r>
      <w:r w:rsidR="002005D4">
        <w:rPr>
          <w:u w:val="single"/>
        </w:rPr>
        <w:t>.</w:t>
      </w:r>
      <w:r w:rsidR="002005D4" w:rsidRPr="00EE3258">
        <w:rPr>
          <w:rStyle w:val="FootnoteReference"/>
        </w:rPr>
        <w:footnoteReference w:id="349"/>
      </w:r>
    </w:p>
    <w:p w14:paraId="1A5BC299" w14:textId="7168F38A" w:rsidR="00B02DBF" w:rsidRPr="00472578" w:rsidRDefault="00B02DBF" w:rsidP="00E92686">
      <w:pPr>
        <w:pStyle w:val="Heading4"/>
        <w:jc w:val="both"/>
      </w:pPr>
      <w:r w:rsidRPr="00472578">
        <w:t>Impact snapshot</w:t>
      </w:r>
    </w:p>
    <w:p w14:paraId="4D451716" w14:textId="77777777" w:rsidR="00B02DBF" w:rsidRPr="00472578" w:rsidRDefault="00B02DBF" w:rsidP="00E92686">
      <w:pPr>
        <w:pStyle w:val="Heading5"/>
        <w:jc w:val="both"/>
      </w:pPr>
      <w:r w:rsidRPr="00472578">
        <w:t>Environmental</w:t>
      </w:r>
    </w:p>
    <w:p w14:paraId="6E9386F9" w14:textId="087CC806" w:rsidR="00B02DBF" w:rsidRPr="00472578" w:rsidRDefault="00B02DBF" w:rsidP="00E92686">
      <w:pPr>
        <w:pStyle w:val="BodyText"/>
      </w:pPr>
      <w:r w:rsidRPr="00472578">
        <w:t xml:space="preserve">Urban areas and associated concentration of human activity result in adverse impacts on the natural environment, </w:t>
      </w:r>
      <w:proofErr w:type="gramStart"/>
      <w:r w:rsidRPr="00472578">
        <w:t>as a result of</w:t>
      </w:r>
      <w:proofErr w:type="gramEnd"/>
      <w:r w:rsidRPr="00472578">
        <w:t xml:space="preserve"> land consumption, landscape, waterway and vegetation modification for housing, industry, transport of goods and people and recreation areas, the diversion and use of </w:t>
      </w:r>
      <w:r w:rsidRPr="00472578">
        <w:rPr>
          <w:i/>
        </w:rPr>
        <w:t>water</w:t>
      </w:r>
      <w:r w:rsidRPr="00472578">
        <w:t xml:space="preserve">, and waste disposal and effluent and pollution </w:t>
      </w:r>
      <w:r w:rsidRPr="00472578">
        <w:rPr>
          <w:i/>
        </w:rPr>
        <w:t xml:space="preserve">discharges </w:t>
      </w:r>
      <w:r w:rsidRPr="00472578">
        <w:t xml:space="preserve">to air, </w:t>
      </w:r>
      <w:r w:rsidRPr="00472578">
        <w:rPr>
          <w:i/>
        </w:rPr>
        <w:t xml:space="preserve">land </w:t>
      </w:r>
      <w:r w:rsidRPr="00472578">
        <w:t xml:space="preserve">and </w:t>
      </w:r>
      <w:r w:rsidRPr="00472578">
        <w:rPr>
          <w:i/>
        </w:rPr>
        <w:t>water</w:t>
      </w:r>
      <w:r w:rsidRPr="00472578">
        <w:t xml:space="preserve">. All of these can also impact </w:t>
      </w:r>
      <w:r w:rsidRPr="00472578">
        <w:rPr>
          <w:i/>
        </w:rPr>
        <w:t xml:space="preserve">mana whenua </w:t>
      </w:r>
      <w:r w:rsidRPr="00472578">
        <w:t>values. These impacts can also result in loss or impediment of access to important resources including significant biodiversity or natural features and landscapes.</w:t>
      </w:r>
      <w:r w:rsidR="00C617EB">
        <w:t xml:space="preserve"> </w:t>
      </w:r>
      <w:r w:rsidR="00C72148" w:rsidRPr="00152B30">
        <w:rPr>
          <w:u w:val="single"/>
        </w:rPr>
        <w:t xml:space="preserve">Poorly managed </w:t>
      </w:r>
      <w:r w:rsidR="00C72148">
        <w:rPr>
          <w:u w:val="single"/>
        </w:rPr>
        <w:t>u</w:t>
      </w:r>
      <w:r w:rsidR="00C617EB" w:rsidRPr="00823DDC">
        <w:rPr>
          <w:u w:val="single"/>
        </w:rPr>
        <w:t>rban</w:t>
      </w:r>
      <w:r w:rsidR="00C617EB" w:rsidRPr="00C617EB">
        <w:rPr>
          <w:u w:val="single"/>
        </w:rPr>
        <w:t xml:space="preserve"> growth</w:t>
      </w:r>
      <w:r w:rsidR="00C617EB" w:rsidRPr="00823DDC">
        <w:rPr>
          <w:u w:val="single"/>
        </w:rPr>
        <w:t xml:space="preserve"> </w:t>
      </w:r>
      <w:r w:rsidR="00E07477" w:rsidRPr="00823DDC">
        <w:rPr>
          <w:u w:val="single"/>
        </w:rPr>
        <w:t xml:space="preserve">can </w:t>
      </w:r>
      <w:r w:rsidR="006C72B2">
        <w:rPr>
          <w:u w:val="single"/>
        </w:rPr>
        <w:t>lead to</w:t>
      </w:r>
      <w:r w:rsidR="008355D2">
        <w:rPr>
          <w:u w:val="single"/>
        </w:rPr>
        <w:t xml:space="preserve"> additional</w:t>
      </w:r>
      <w:r w:rsidR="00E07477" w:rsidRPr="00823DDC">
        <w:rPr>
          <w:u w:val="single"/>
        </w:rPr>
        <w:t xml:space="preserve"> </w:t>
      </w:r>
      <w:r w:rsidR="004F1819">
        <w:rPr>
          <w:u w:val="single"/>
        </w:rPr>
        <w:t>carbon</w:t>
      </w:r>
      <w:r w:rsidR="004416F5" w:rsidRPr="00823DDC">
        <w:rPr>
          <w:u w:val="single"/>
        </w:rPr>
        <w:t xml:space="preserve"> emissions</w:t>
      </w:r>
      <w:r w:rsidR="00444D0F">
        <w:rPr>
          <w:u w:val="single"/>
        </w:rPr>
        <w:t xml:space="preserve">, </w:t>
      </w:r>
      <w:r w:rsidR="008B1C3A">
        <w:rPr>
          <w:u w:val="single"/>
        </w:rPr>
        <w:t>this can create</w:t>
      </w:r>
      <w:r w:rsidR="00D22BDC" w:rsidRPr="0063712E">
        <w:rPr>
          <w:u w:val="single"/>
        </w:rPr>
        <w:t xml:space="preserve"> </w:t>
      </w:r>
      <w:r w:rsidR="00C322E0" w:rsidRPr="0063712E">
        <w:rPr>
          <w:u w:val="single"/>
        </w:rPr>
        <w:t xml:space="preserve">tensions between </w:t>
      </w:r>
      <w:r w:rsidR="008657C2" w:rsidRPr="0063712E">
        <w:rPr>
          <w:u w:val="single"/>
        </w:rPr>
        <w:t xml:space="preserve">the need to </w:t>
      </w:r>
      <w:r w:rsidR="004C23CA" w:rsidRPr="0063712E">
        <w:rPr>
          <w:u w:val="single"/>
        </w:rPr>
        <w:t xml:space="preserve">increase </w:t>
      </w:r>
      <w:r w:rsidR="00D122A6" w:rsidRPr="0063712E">
        <w:rPr>
          <w:u w:val="single"/>
        </w:rPr>
        <w:t>residential</w:t>
      </w:r>
      <w:r w:rsidR="004C23CA" w:rsidRPr="0063712E">
        <w:rPr>
          <w:u w:val="single"/>
        </w:rPr>
        <w:t xml:space="preserve"> housing stock and the need to meet </w:t>
      </w:r>
      <w:r w:rsidR="0063712E" w:rsidRPr="0063712E">
        <w:rPr>
          <w:u w:val="single"/>
        </w:rPr>
        <w:t>carbon reduction</w:t>
      </w:r>
      <w:r w:rsidR="0005497D">
        <w:rPr>
          <w:u w:val="single"/>
        </w:rPr>
        <w:t xml:space="preserve"> targets</w:t>
      </w:r>
      <w:r w:rsidR="0063712E" w:rsidRPr="0063712E">
        <w:rPr>
          <w:u w:val="single"/>
        </w:rPr>
        <w:t>.</w:t>
      </w:r>
      <w:r w:rsidR="001871B3">
        <w:rPr>
          <w:rStyle w:val="FootnoteReference"/>
          <w:u w:val="single"/>
        </w:rPr>
        <w:footnoteReference w:id="350"/>
      </w:r>
      <w:r w:rsidR="0063712E">
        <w:t xml:space="preserve"> </w:t>
      </w:r>
    </w:p>
    <w:p w14:paraId="59920B2E" w14:textId="554A6786" w:rsidR="00B02DBF" w:rsidRPr="00472578" w:rsidRDefault="00B02DBF" w:rsidP="00E92686">
      <w:pPr>
        <w:pStyle w:val="BodyText"/>
      </w:pPr>
      <w:r w:rsidRPr="00472578">
        <w:t xml:space="preserve">Urban </w:t>
      </w:r>
      <w:r w:rsidRPr="008B3CA3">
        <w:rPr>
          <w:strike/>
        </w:rPr>
        <w:t>development</w:t>
      </w:r>
      <w:r w:rsidRPr="00472578">
        <w:t xml:space="preserve"> </w:t>
      </w:r>
      <w:r w:rsidR="008B3CA3" w:rsidRPr="008B3CA3">
        <w:rPr>
          <w:u w:val="single"/>
        </w:rPr>
        <w:t>growth</w:t>
      </w:r>
      <w:r w:rsidR="008B3CA3">
        <w:rPr>
          <w:u w:val="single"/>
        </w:rPr>
        <w:t xml:space="preserve"> within</w:t>
      </w:r>
      <w:r w:rsidR="007A66F1">
        <w:rPr>
          <w:u w:val="single"/>
        </w:rPr>
        <w:t xml:space="preserve"> </w:t>
      </w:r>
      <w:r w:rsidR="0083177E">
        <w:rPr>
          <w:u w:val="single"/>
        </w:rPr>
        <w:t>rural areas</w:t>
      </w:r>
      <w:r w:rsidR="008B3CA3">
        <w:t xml:space="preserve"> </w:t>
      </w:r>
      <w:r w:rsidRPr="00472578">
        <w:t xml:space="preserve">can also lead to reverse-sensitivity </w:t>
      </w:r>
      <w:r w:rsidRPr="00472578">
        <w:rPr>
          <w:i/>
        </w:rPr>
        <w:t xml:space="preserve">effects </w:t>
      </w:r>
      <w:r w:rsidR="00115FFB" w:rsidRPr="000D4DA1">
        <w:rPr>
          <w:iCs/>
          <w:u w:val="single"/>
        </w:rPr>
        <w:t>on existing</w:t>
      </w:r>
      <w:r w:rsidR="00115FFB" w:rsidRPr="000D4DA1">
        <w:rPr>
          <w:i/>
          <w:u w:val="single"/>
        </w:rPr>
        <w:t xml:space="preserve"> </w:t>
      </w:r>
      <w:r w:rsidR="00DF24CB" w:rsidRPr="003E736C">
        <w:rPr>
          <w:i/>
          <w:u w:val="single"/>
        </w:rPr>
        <w:t>prima</w:t>
      </w:r>
      <w:r w:rsidR="00650CEA" w:rsidRPr="003E736C">
        <w:rPr>
          <w:i/>
          <w:u w:val="single"/>
        </w:rPr>
        <w:t>ry production</w:t>
      </w:r>
      <w:r w:rsidR="00650CEA" w:rsidRPr="000D4DA1">
        <w:rPr>
          <w:u w:val="single"/>
        </w:rPr>
        <w:t xml:space="preserve"> </w:t>
      </w:r>
      <w:proofErr w:type="gramStart"/>
      <w:r w:rsidR="000D4DA1" w:rsidRPr="000D4DA1">
        <w:rPr>
          <w:u w:val="single"/>
        </w:rPr>
        <w:t>activities</w:t>
      </w:r>
      <w:r w:rsidR="00497B89">
        <w:rPr>
          <w:u w:val="single"/>
        </w:rPr>
        <w:t xml:space="preserve">, </w:t>
      </w:r>
      <w:r w:rsidR="00F46FCD">
        <w:rPr>
          <w:u w:val="single"/>
        </w:rPr>
        <w:t>because</w:t>
      </w:r>
      <w:proofErr w:type="gramEnd"/>
      <w:r w:rsidR="0083613A">
        <w:rPr>
          <w:u w:val="single"/>
        </w:rPr>
        <w:t xml:space="preserve"> urban activities </w:t>
      </w:r>
      <w:r w:rsidR="009B7F34">
        <w:rPr>
          <w:u w:val="single"/>
        </w:rPr>
        <w:t xml:space="preserve">can be sensitive to the </w:t>
      </w:r>
      <w:r w:rsidR="00043FBB">
        <w:rPr>
          <w:u w:val="single"/>
        </w:rPr>
        <w:t xml:space="preserve">effects generated by </w:t>
      </w:r>
      <w:r w:rsidR="00380217" w:rsidRPr="003E736C">
        <w:rPr>
          <w:i/>
          <w:u w:val="single"/>
        </w:rPr>
        <w:t>primary production</w:t>
      </w:r>
      <w:r w:rsidR="00380217">
        <w:rPr>
          <w:u w:val="single"/>
        </w:rPr>
        <w:t xml:space="preserve"> activities. </w:t>
      </w:r>
      <w:r w:rsidRPr="00380217">
        <w:rPr>
          <w:strike/>
        </w:rPr>
        <w:t>whereby traditional methods of pest management or the undertaking of rural production activities cannot be deployed due the proximity of urban populations and the potential for adverse impacts on those populations</w:t>
      </w:r>
      <w:r w:rsidRPr="00472578">
        <w:t>.</w:t>
      </w:r>
      <w:r w:rsidR="00280153">
        <w:rPr>
          <w:rStyle w:val="FootnoteReference"/>
        </w:rPr>
        <w:footnoteReference w:id="351"/>
      </w:r>
      <w:r w:rsidRPr="00472578">
        <w:t xml:space="preserve"> Urban growth can also impact air quality, through increased vehicle use, but also particularly where </w:t>
      </w:r>
      <w:r w:rsidRPr="00472578">
        <w:rPr>
          <w:i/>
        </w:rPr>
        <w:t xml:space="preserve">solid fuel </w:t>
      </w:r>
      <w:r w:rsidRPr="00472578">
        <w:t xml:space="preserve">burners are used, noting they are the heating of choice in Otago. Urban areas such as Arrowtown, Cromwell, Alexandra, Clyde, Milton, and Mosgiel already do not meet National Environment Standards for Air Quality (NESAQ), for example. Emissions from existing domestic fuel burners account for more than 95% of winter </w:t>
      </w:r>
      <w:r w:rsidRPr="00472578">
        <w:rPr>
          <w:i/>
        </w:rPr>
        <w:t>PM</w:t>
      </w:r>
      <w:r w:rsidRPr="639E38F9">
        <w:rPr>
          <w:i/>
          <w:sz w:val="14"/>
          <w:szCs w:val="14"/>
        </w:rPr>
        <w:t xml:space="preserve">10 </w:t>
      </w:r>
      <w:r w:rsidRPr="00472578">
        <w:t xml:space="preserve">emissions in </w:t>
      </w:r>
      <w:proofErr w:type="gramStart"/>
      <w:r w:rsidRPr="00472578">
        <w:t>all of</w:t>
      </w:r>
      <w:proofErr w:type="gramEnd"/>
      <w:r w:rsidRPr="00472578">
        <w:t xml:space="preserve"> these towns but Milton</w:t>
      </w:r>
      <w:r w:rsidR="00842D9B" w:rsidRPr="00472578">
        <w:t>.</w:t>
      </w:r>
      <w:r w:rsidR="00F03733" w:rsidRPr="00472578">
        <w:rPr>
          <w:vertAlign w:val="superscript"/>
        </w:rPr>
        <w:t>24</w:t>
      </w:r>
      <w:r w:rsidR="00842D9B" w:rsidRPr="00472578">
        <w:t xml:space="preserve"> </w:t>
      </w:r>
      <w:r w:rsidRPr="00472578">
        <w:t>Air quality in urban areas in Otago therefore needs to be addressed from two perspectives, dealing with existing problems and, in areas where further development is planned, addressing the additional impact that development may have.</w:t>
      </w:r>
    </w:p>
    <w:p w14:paraId="3E031117" w14:textId="77777777" w:rsidR="00B02DBF" w:rsidRPr="00472578" w:rsidRDefault="00B02DBF" w:rsidP="00E92686">
      <w:pPr>
        <w:pStyle w:val="Heading5"/>
        <w:jc w:val="both"/>
      </w:pPr>
      <w:r w:rsidRPr="00472578">
        <w:t>Economic</w:t>
      </w:r>
    </w:p>
    <w:p w14:paraId="16B36365" w14:textId="77777777" w:rsidR="00B02DBF" w:rsidRPr="00472578" w:rsidRDefault="00B02DBF" w:rsidP="00E92686">
      <w:pPr>
        <w:pStyle w:val="BodyText"/>
      </w:pPr>
      <w:r w:rsidRPr="00472578">
        <w:t>While potentially providing short term commercial returns, poorly managed urban growth and development may result in long term impacts including:</w:t>
      </w:r>
    </w:p>
    <w:p w14:paraId="7AF8CA77" w14:textId="44FC7C89" w:rsidR="00B02DBF" w:rsidRPr="00472578" w:rsidRDefault="00B02DBF" w:rsidP="00E92686">
      <w:pPr>
        <w:pStyle w:val="ListParagraph"/>
        <w:widowControl w:val="0"/>
        <w:numPr>
          <w:ilvl w:val="0"/>
          <w:numId w:val="35"/>
        </w:numPr>
        <w:tabs>
          <w:tab w:val="left" w:pos="667"/>
        </w:tabs>
        <w:autoSpaceDE w:val="0"/>
        <w:autoSpaceDN w:val="0"/>
        <w:spacing w:after="160" w:line="259" w:lineRule="auto"/>
        <w:ind w:left="567" w:right="118"/>
        <w:contextualSpacing w:val="0"/>
        <w:jc w:val="both"/>
      </w:pPr>
      <w:r w:rsidRPr="00472578">
        <w:lastRenderedPageBreak/>
        <w:t xml:space="preserve">the loss of </w:t>
      </w:r>
      <w:r w:rsidR="00F50E38" w:rsidRPr="001E2375">
        <w:rPr>
          <w:u w:val="single"/>
        </w:rPr>
        <w:t xml:space="preserve">land </w:t>
      </w:r>
      <w:r w:rsidR="001E2375" w:rsidRPr="001E2375">
        <w:rPr>
          <w:u w:val="single"/>
        </w:rPr>
        <w:t xml:space="preserve">for </w:t>
      </w:r>
      <w:r w:rsidR="001E2375" w:rsidRPr="00C5718A">
        <w:rPr>
          <w:i/>
          <w:iCs/>
          <w:u w:val="single"/>
        </w:rPr>
        <w:t>primary production</w:t>
      </w:r>
      <w:r w:rsidR="001E2375" w:rsidRPr="001E2375">
        <w:rPr>
          <w:u w:val="single"/>
        </w:rPr>
        <w:t xml:space="preserve"> activities</w:t>
      </w:r>
      <w:r w:rsidR="001E2375">
        <w:t xml:space="preserve"> </w:t>
      </w:r>
      <w:r w:rsidRPr="001E2375">
        <w:rPr>
          <w:strike/>
        </w:rPr>
        <w:t>productive land</w:t>
      </w:r>
      <w:r w:rsidR="001E2375" w:rsidRPr="00E92C2A">
        <w:rPr>
          <w:rStyle w:val="FootnoteReference"/>
        </w:rPr>
        <w:footnoteReference w:id="352"/>
      </w:r>
      <w:r w:rsidRPr="00472578">
        <w:t xml:space="preserve"> (either directly though building on it, or indirectly though reverse sensitivity effects</w:t>
      </w:r>
      <w:proofErr w:type="gramStart"/>
      <w:r w:rsidRPr="00472578">
        <w:t>);</w:t>
      </w:r>
      <w:proofErr w:type="gramEnd"/>
    </w:p>
    <w:p w14:paraId="357C40F3" w14:textId="77777777" w:rsidR="00B02DBF" w:rsidRPr="00472578" w:rsidRDefault="00B02DBF" w:rsidP="00E92686">
      <w:pPr>
        <w:pStyle w:val="ListParagraph"/>
        <w:widowControl w:val="0"/>
        <w:numPr>
          <w:ilvl w:val="0"/>
          <w:numId w:val="35"/>
        </w:numPr>
        <w:tabs>
          <w:tab w:val="left" w:pos="667"/>
        </w:tabs>
        <w:autoSpaceDE w:val="0"/>
        <w:autoSpaceDN w:val="0"/>
        <w:spacing w:after="160" w:line="259" w:lineRule="auto"/>
        <w:ind w:left="567" w:right="113"/>
        <w:contextualSpacing w:val="0"/>
        <w:jc w:val="both"/>
      </w:pPr>
      <w:r w:rsidRPr="00472578">
        <w:t>the consequences of previous decisions (low density development, including rural residential, in the short term can preclude higher density development in the medium to longer term</w:t>
      </w:r>
      <w:proofErr w:type="gramStart"/>
      <w:r w:rsidRPr="00472578">
        <w:t>);</w:t>
      </w:r>
      <w:proofErr w:type="gramEnd"/>
    </w:p>
    <w:p w14:paraId="7AD47EB8" w14:textId="77777777" w:rsidR="00B02DBF" w:rsidRPr="00472578" w:rsidRDefault="00B02DBF" w:rsidP="00E92686">
      <w:pPr>
        <w:pStyle w:val="ListParagraph"/>
        <w:widowControl w:val="0"/>
        <w:numPr>
          <w:ilvl w:val="0"/>
          <w:numId w:val="35"/>
        </w:numPr>
        <w:tabs>
          <w:tab w:val="left" w:pos="667"/>
        </w:tabs>
        <w:autoSpaceDE w:val="0"/>
        <w:autoSpaceDN w:val="0"/>
        <w:spacing w:after="160" w:line="259" w:lineRule="auto"/>
        <w:ind w:left="567" w:right="112"/>
        <w:contextualSpacing w:val="0"/>
        <w:jc w:val="both"/>
      </w:pPr>
      <w:r w:rsidRPr="00472578">
        <w:t xml:space="preserve">increased capital and operational costs for </w:t>
      </w:r>
      <w:r w:rsidRPr="00472578">
        <w:rPr>
          <w:i/>
        </w:rPr>
        <w:t xml:space="preserve">infrastructure </w:t>
      </w:r>
      <w:r w:rsidRPr="00472578">
        <w:t xml:space="preserve">which can foreclose other more suitable investments or spending, increased costs from less efficient spatial arrangements (such as increased transportation and </w:t>
      </w:r>
      <w:r w:rsidRPr="00472578">
        <w:rPr>
          <w:i/>
        </w:rPr>
        <w:t xml:space="preserve">infrastructure </w:t>
      </w:r>
      <w:r w:rsidRPr="00472578">
        <w:t>costs to both users and operators), and loss of valued natural capital and future opportunities; and</w:t>
      </w:r>
    </w:p>
    <w:p w14:paraId="450E4DE2" w14:textId="77777777" w:rsidR="00B02DBF" w:rsidRPr="00472578" w:rsidRDefault="00B02DBF" w:rsidP="00E92686">
      <w:pPr>
        <w:pStyle w:val="ListParagraph"/>
        <w:widowControl w:val="0"/>
        <w:numPr>
          <w:ilvl w:val="0"/>
          <w:numId w:val="35"/>
        </w:numPr>
        <w:tabs>
          <w:tab w:val="left" w:pos="667"/>
        </w:tabs>
        <w:autoSpaceDE w:val="0"/>
        <w:autoSpaceDN w:val="0"/>
        <w:spacing w:after="160" w:line="259" w:lineRule="auto"/>
        <w:ind w:left="567" w:right="118"/>
        <w:contextualSpacing w:val="0"/>
        <w:jc w:val="both"/>
      </w:pPr>
      <w:r w:rsidRPr="00472578">
        <w:t>housing affordability can be negatively affected by urban growth where demand outpaces supply.</w:t>
      </w:r>
    </w:p>
    <w:p w14:paraId="22D47155" w14:textId="079C90C4" w:rsidR="00B02DBF" w:rsidRPr="00617F82" w:rsidRDefault="00B02DBF" w:rsidP="00E92686">
      <w:pPr>
        <w:pStyle w:val="BodyText"/>
        <w:rPr>
          <w:strike/>
        </w:rPr>
      </w:pPr>
      <w:r w:rsidRPr="00617F82">
        <w:rPr>
          <w:strike/>
        </w:rPr>
        <w:t>In Otago, housing has been more affordable for homeowners than the NZ average in recent years, however house value growth has been higher in Otago (12.6% per annum) than the NZ average (7%) since 2017.</w:t>
      </w:r>
      <w:r w:rsidR="00617F82" w:rsidRPr="00F55593">
        <w:rPr>
          <w:rStyle w:val="FootnoteReference"/>
        </w:rPr>
        <w:footnoteReference w:id="353"/>
      </w:r>
    </w:p>
    <w:p w14:paraId="4B0C7E67" w14:textId="77777777" w:rsidR="00B02DBF" w:rsidRPr="00472578" w:rsidRDefault="00B02DBF" w:rsidP="00E92686">
      <w:pPr>
        <w:pStyle w:val="BodyText"/>
      </w:pPr>
      <w:r w:rsidRPr="00472578">
        <w:t>The costs and negative impacts from ‘over planning’ for growth are much lower than the direct and wider costs and risks of under-planning, and largely relate to the provision of infrastructure ahead of demand. While this can cause financial and operational issues for infrastructure providers, undersized or delayed infrastructure also generates impacts for those providers, and the wider economy, through delayed, foregone, or less appropriate or efficient development, and contributes to rising housing and land costs.</w:t>
      </w:r>
    </w:p>
    <w:p w14:paraId="50EDF2CB" w14:textId="77777777" w:rsidR="00B02DBF" w:rsidRPr="00472578" w:rsidRDefault="00B02DBF" w:rsidP="00E92686">
      <w:pPr>
        <w:pStyle w:val="Heading5"/>
        <w:jc w:val="both"/>
      </w:pPr>
      <w:r w:rsidRPr="00472578">
        <w:t>Social</w:t>
      </w:r>
    </w:p>
    <w:p w14:paraId="53882937" w14:textId="77777777" w:rsidR="00B02DBF" w:rsidRPr="00472578" w:rsidRDefault="00B02DBF" w:rsidP="00E92686">
      <w:pPr>
        <w:pStyle w:val="BodyText"/>
      </w:pPr>
      <w:r w:rsidRPr="00472578">
        <w:t xml:space="preserve">Adverse impacts from inefficient or poorly planned urban development affect the well-being of both individuals and communities. This shows up as health risks </w:t>
      </w:r>
      <w:proofErr w:type="gramStart"/>
      <w:r w:rsidRPr="00472578">
        <w:t>as a result of</w:t>
      </w:r>
      <w:proofErr w:type="gramEnd"/>
      <w:r w:rsidRPr="00472578">
        <w:t xml:space="preserve"> increased air pollution and </w:t>
      </w:r>
      <w:r w:rsidRPr="00472578">
        <w:rPr>
          <w:i/>
        </w:rPr>
        <w:t xml:space="preserve">water </w:t>
      </w:r>
      <w:r w:rsidRPr="00472578">
        <w:t>pollution, decreased social capital and mental health in fragmented, disconnected and dispersed communities and inequality impacts arising from less-competitive land and house markets and reduced housing choice and access to affordable housing.</w:t>
      </w:r>
    </w:p>
    <w:p w14:paraId="7D24F4F1" w14:textId="70069BF4" w:rsidR="00B02DBF" w:rsidRPr="00472578" w:rsidRDefault="00B02DBF" w:rsidP="00E92686">
      <w:pPr>
        <w:pStyle w:val="BodyText"/>
      </w:pPr>
      <w:r w:rsidRPr="00472578">
        <w:t>Changes in the overall number of people and changes in preferences can alter the relative balance between supply and demand for housing and where supply is unable to respond in a timely way to demand, this can impact on prices for housing, including rent. These impacts can disproportionately</w:t>
      </w:r>
      <w:r w:rsidR="00842D9B" w:rsidRPr="00472578">
        <w:t xml:space="preserve"> </w:t>
      </w:r>
      <w:r w:rsidRPr="00472578">
        <w:t>affect people on lower incomes who may already face affordability issues, and accordingly have less options. While Otago has traditionally been relatively affordable, house prices have risen rapidly across almost all districts, at a rate higher than the national average.</w:t>
      </w:r>
    </w:p>
    <w:p w14:paraId="0DD5BC83" w14:textId="77777777" w:rsidR="00B02DBF" w:rsidRPr="00472578" w:rsidRDefault="00B02DBF" w:rsidP="00E92686">
      <w:pPr>
        <w:pStyle w:val="BodyText"/>
      </w:pPr>
      <w:r w:rsidRPr="00472578">
        <w:t xml:space="preserve">Transportation of goods and people between and within urban areas can also generate impacts on humans. For example, increased traffic congestion and lack of safe and attractive alternatives within urban areas impacts people and businesses living near to high volume traffic routes, resulting in lost time for family and other activities for those who use them, and </w:t>
      </w:r>
      <w:r w:rsidRPr="00472578">
        <w:rPr>
          <w:i/>
        </w:rPr>
        <w:t xml:space="preserve">road </w:t>
      </w:r>
      <w:r w:rsidRPr="00472578">
        <w:t>fatalities on rural highways.</w:t>
      </w:r>
    </w:p>
    <w:p w14:paraId="60344811" w14:textId="5F68FF09" w:rsidR="00B02DBF" w:rsidRPr="00472578" w:rsidRDefault="00B02DBF" w:rsidP="00E92686">
      <w:pPr>
        <w:pStyle w:val="BodyText"/>
      </w:pPr>
      <w:r w:rsidRPr="00472578">
        <w:t>Urban growth has the potential, through good development planning and provision of appropriate infrastructure, to improve well-being by providing an increased range of housing types in more locations, resulting in greater range of prices. Well planned subdivisions provide opportunities to increase public access to natural environments, including to the coast (</w:t>
      </w:r>
      <w:proofErr w:type="gramStart"/>
      <w:r w:rsidRPr="00472578">
        <w:t>e.g.</w:t>
      </w:r>
      <w:proofErr w:type="gramEnd"/>
      <w:r w:rsidRPr="00472578">
        <w:t xml:space="preserve"> via esplanades, </w:t>
      </w:r>
      <w:r w:rsidRPr="00472578">
        <w:rPr>
          <w:i/>
        </w:rPr>
        <w:t>lakes</w:t>
      </w:r>
      <w:r w:rsidRPr="00472578">
        <w:t xml:space="preserve">, </w:t>
      </w:r>
      <w:r w:rsidRPr="00472578">
        <w:rPr>
          <w:i/>
        </w:rPr>
        <w:t xml:space="preserve">rivers </w:t>
      </w:r>
      <w:r w:rsidRPr="00472578">
        <w:t xml:space="preserve">and their margins), to protect areas of cultural or historic significance and to provide means or other measures for their </w:t>
      </w:r>
      <w:r w:rsidRPr="00472578">
        <w:lastRenderedPageBreak/>
        <w:t>protection, such as through restrictive covenants. Poorly managed growth can compromise both access to and protection of natural and cultural environments, and as subdivision and development is effectively permanent and irreversible, it is important that it is done well with an eye to the longer term.</w:t>
      </w:r>
    </w:p>
    <w:p w14:paraId="50BD90A3" w14:textId="181026A8" w:rsidR="00B02DBF" w:rsidRPr="00472578" w:rsidRDefault="00B208D6" w:rsidP="00E92686">
      <w:pPr>
        <w:pStyle w:val="Heading3"/>
        <w:jc w:val="both"/>
      </w:pPr>
      <w:r w:rsidRPr="00472578">
        <w:t>SRMR-I</w:t>
      </w:r>
      <w:r w:rsidR="00B02DBF" w:rsidRPr="00472578">
        <w:t xml:space="preserve">5 – </w:t>
      </w:r>
      <w:r w:rsidR="00B02DBF" w:rsidRPr="00472578">
        <w:rPr>
          <w:i/>
        </w:rPr>
        <w:t xml:space="preserve">Freshwater </w:t>
      </w:r>
      <w:r w:rsidR="00B02DBF" w:rsidRPr="00472578">
        <w:t>demand exceeds capacity in some places</w:t>
      </w:r>
    </w:p>
    <w:p w14:paraId="491E7C30" w14:textId="77777777" w:rsidR="00B02DBF" w:rsidRPr="00472578" w:rsidRDefault="00B02DBF" w:rsidP="00E92686">
      <w:pPr>
        <w:pStyle w:val="Heading4"/>
        <w:jc w:val="both"/>
      </w:pPr>
      <w:r w:rsidRPr="00472578">
        <w:t>Statement</w:t>
      </w:r>
    </w:p>
    <w:p w14:paraId="318F18C7" w14:textId="77777777" w:rsidR="00B02DBF" w:rsidRPr="00472578" w:rsidRDefault="00B02DBF" w:rsidP="00E92686">
      <w:pPr>
        <w:pStyle w:val="BodyText"/>
      </w:pPr>
      <w:r w:rsidRPr="00472578">
        <w:t xml:space="preserve">In </w:t>
      </w:r>
      <w:r w:rsidRPr="00472578">
        <w:rPr>
          <w:i/>
        </w:rPr>
        <w:t>water</w:t>
      </w:r>
      <w:r w:rsidRPr="00472578">
        <w:t xml:space="preserve">-short catchments, </w:t>
      </w:r>
      <w:r w:rsidRPr="00472578">
        <w:rPr>
          <w:i/>
        </w:rPr>
        <w:t xml:space="preserve">freshwater </w:t>
      </w:r>
      <w:r w:rsidRPr="00472578">
        <w:t xml:space="preserve">availability may not be able to meet competing demands from the health and well-being needs of the </w:t>
      </w:r>
      <w:r w:rsidRPr="00472578">
        <w:rPr>
          <w:i/>
        </w:rPr>
        <w:t>environment</w:t>
      </w:r>
      <w:r w:rsidRPr="00472578">
        <w:t xml:space="preserve">, the health and well-being needs of people, and the ability of people and communities to provide for their social, </w:t>
      </w:r>
      <w:proofErr w:type="gramStart"/>
      <w:r w:rsidRPr="00472578">
        <w:t>economic</w:t>
      </w:r>
      <w:proofErr w:type="gramEnd"/>
      <w:r w:rsidRPr="00472578">
        <w:t xml:space="preserve"> and cultural well-being. Many of these catchments are also experiencing urban growth, changes in rural </w:t>
      </w:r>
      <w:r w:rsidRPr="00472578">
        <w:rPr>
          <w:i/>
        </w:rPr>
        <w:t xml:space="preserve">land </w:t>
      </w:r>
      <w:r w:rsidRPr="00472578">
        <w:t xml:space="preserve">uses, and increased demand for hydro-electric generation. Individually and </w:t>
      </w:r>
      <w:proofErr w:type="gramStart"/>
      <w:r w:rsidRPr="00472578">
        <w:t>cumulatively</w:t>
      </w:r>
      <w:proofErr w:type="gramEnd"/>
      <w:r w:rsidRPr="00472578">
        <w:t xml:space="preserve"> these can alter demand including further increases in demand on </w:t>
      </w:r>
      <w:r w:rsidRPr="00472578">
        <w:rPr>
          <w:i/>
        </w:rPr>
        <w:t xml:space="preserve">freshwater </w:t>
      </w:r>
      <w:r w:rsidRPr="00472578">
        <w:t xml:space="preserve">supply. Some catchments are complex, making it challenging to identify or mitigate these </w:t>
      </w:r>
      <w:r w:rsidRPr="00472578">
        <w:rPr>
          <w:i/>
        </w:rPr>
        <w:t>effects</w:t>
      </w:r>
      <w:r w:rsidRPr="00472578">
        <w:t>.</w:t>
      </w:r>
    </w:p>
    <w:p w14:paraId="41D6846F" w14:textId="77777777" w:rsidR="00B02DBF" w:rsidRPr="00472578" w:rsidRDefault="00B02DBF" w:rsidP="00E92686">
      <w:pPr>
        <w:pStyle w:val="Heading4"/>
        <w:jc w:val="both"/>
      </w:pPr>
      <w:r w:rsidRPr="00472578">
        <w:t>Context</w:t>
      </w:r>
    </w:p>
    <w:p w14:paraId="5DA36C0A" w14:textId="5AB58110" w:rsidR="00B02DBF" w:rsidRPr="00472578" w:rsidRDefault="00B02DBF" w:rsidP="00E92686">
      <w:pPr>
        <w:pStyle w:val="BodyText"/>
      </w:pPr>
      <w:r w:rsidRPr="00472578">
        <w:rPr>
          <w:i/>
        </w:rPr>
        <w:t>Freshwater</w:t>
      </w:r>
      <w:r w:rsidRPr="00472578">
        <w:t xml:space="preserve">, including </w:t>
      </w:r>
      <w:r w:rsidRPr="00472578">
        <w:rPr>
          <w:i/>
        </w:rPr>
        <w:t xml:space="preserve">rivers </w:t>
      </w:r>
      <w:r w:rsidRPr="00472578">
        <w:t xml:space="preserve">and streams, </w:t>
      </w:r>
      <w:r w:rsidRPr="00472578">
        <w:rPr>
          <w:i/>
        </w:rPr>
        <w:t xml:space="preserve">lakes, groundwater </w:t>
      </w:r>
      <w:r w:rsidRPr="00472578">
        <w:t xml:space="preserve">systems, and </w:t>
      </w:r>
      <w:r w:rsidRPr="00472578">
        <w:rPr>
          <w:i/>
        </w:rPr>
        <w:t>wetlands</w:t>
      </w:r>
      <w:r w:rsidRPr="00472578">
        <w:t xml:space="preserve">, is a finite resource, critical to the environment, </w:t>
      </w:r>
      <w:proofErr w:type="gramStart"/>
      <w:r w:rsidRPr="00472578">
        <w:t>society</w:t>
      </w:r>
      <w:proofErr w:type="gramEnd"/>
      <w:r w:rsidRPr="00472578">
        <w:t xml:space="preserve"> and the economy. In Otago, access to, allocation, and </w:t>
      </w:r>
      <w:r w:rsidRPr="00472578">
        <w:rPr>
          <w:i/>
        </w:rPr>
        <w:t xml:space="preserve">use </w:t>
      </w:r>
      <w:r w:rsidRPr="00472578">
        <w:t xml:space="preserve">of </w:t>
      </w:r>
      <w:r w:rsidRPr="00472578">
        <w:rPr>
          <w:i/>
        </w:rPr>
        <w:t xml:space="preserve">freshwater </w:t>
      </w:r>
      <w:r w:rsidRPr="00472578">
        <w:t>reflects current demands and historical development associated with “deemed permits” (water permits under the RMA</w:t>
      </w:r>
      <w:r w:rsidRPr="0068219A">
        <w:rPr>
          <w:strike/>
        </w:rPr>
        <w:t xml:space="preserve"> 1991</w:t>
      </w:r>
      <w:r w:rsidRPr="00472578">
        <w:t>)</w:t>
      </w:r>
      <w:r w:rsidR="0068219A">
        <w:rPr>
          <w:rStyle w:val="FootnoteReference"/>
        </w:rPr>
        <w:footnoteReference w:id="354"/>
      </w:r>
      <w:r w:rsidRPr="00472578">
        <w:t xml:space="preserve"> and a permissive water resource management regime. The deemed permits originated from mining licences issued under historic mining legislation and which enable water to continue to be used for a range of uses until October 2021.</w:t>
      </w:r>
    </w:p>
    <w:p w14:paraId="552BDFDD" w14:textId="749AEB73" w:rsidR="00B02DBF" w:rsidRPr="00472578" w:rsidRDefault="00B02DBF" w:rsidP="00E92686">
      <w:pPr>
        <w:jc w:val="both"/>
        <w:rPr>
          <w:u w:val="single"/>
        </w:rPr>
      </w:pPr>
      <w:r w:rsidRPr="00472578">
        <w:t xml:space="preserve">Population growth and land-use intensification in urban and rural environments can create increased demand for </w:t>
      </w:r>
      <w:r w:rsidRPr="00472578">
        <w:rPr>
          <w:i/>
        </w:rPr>
        <w:t xml:space="preserve">freshwater </w:t>
      </w:r>
      <w:r w:rsidRPr="00472578">
        <w:t xml:space="preserve">for human consumption, </w:t>
      </w:r>
      <w:proofErr w:type="gramStart"/>
      <w:r w:rsidRPr="00472578">
        <w:t>irrigation</w:t>
      </w:r>
      <w:proofErr w:type="gramEnd"/>
      <w:r w:rsidRPr="00472578">
        <w:t xml:space="preserve"> and other economic uses. </w:t>
      </w:r>
      <w:r w:rsidRPr="00472578">
        <w:rPr>
          <w:i/>
        </w:rPr>
        <w:t xml:space="preserve">Freshwater </w:t>
      </w:r>
      <w:r w:rsidRPr="00472578">
        <w:t xml:space="preserve">resources in some places are reaching, or are beyond, their sustainable abstraction limits. However, there continues to be debate in the community about how historical </w:t>
      </w:r>
      <w:r w:rsidRPr="00472578">
        <w:rPr>
          <w:i/>
        </w:rPr>
        <w:t xml:space="preserve">freshwater </w:t>
      </w:r>
      <w:r w:rsidRPr="00472578">
        <w:t xml:space="preserve">allocations can be adjusted to </w:t>
      </w:r>
      <w:r w:rsidRPr="00472578">
        <w:rPr>
          <w:strike/>
        </w:rPr>
        <w:t>achieve a balance of</w:t>
      </w:r>
      <w:r w:rsidRPr="00403EB7">
        <w:t xml:space="preserve"> </w:t>
      </w:r>
      <w:r w:rsidR="00647F6D" w:rsidRPr="00981BD1">
        <w:rPr>
          <w:u w:val="single"/>
        </w:rPr>
        <w:t xml:space="preserve">prioritise protection of the mauri of </w:t>
      </w:r>
      <w:r w:rsidR="00981BD1" w:rsidRPr="00981BD1">
        <w:rPr>
          <w:u w:val="single"/>
        </w:rPr>
        <w:t>waterbodies</w:t>
      </w:r>
      <w:r w:rsidR="00647F6D" w:rsidRPr="00981BD1">
        <w:rPr>
          <w:u w:val="single"/>
        </w:rPr>
        <w:t xml:space="preserve">, meet the health needs of people, and provide for </w:t>
      </w:r>
      <w:r w:rsidR="00647F6D" w:rsidRPr="00C24C63">
        <w:t>economic,</w:t>
      </w:r>
      <w:r w:rsidR="00647F6D" w:rsidRPr="00403EB7">
        <w:t xml:space="preserve"> </w:t>
      </w:r>
      <w:r w:rsidRPr="00CA3BD0">
        <w:rPr>
          <w:strike/>
        </w:rPr>
        <w:t>environmental,</w:t>
      </w:r>
      <w:r w:rsidRPr="00403EB7">
        <w:t xml:space="preserve"> </w:t>
      </w:r>
      <w:proofErr w:type="gramStart"/>
      <w:r w:rsidR="00647F6D" w:rsidRPr="00403EB7">
        <w:t>social</w:t>
      </w:r>
      <w:proofErr w:type="gramEnd"/>
      <w:r w:rsidR="00647F6D" w:rsidRPr="00403EB7">
        <w:t xml:space="preserve"> and cultural </w:t>
      </w:r>
      <w:r w:rsidRPr="00CA3BD0">
        <w:rPr>
          <w:strike/>
        </w:rPr>
        <w:t>needs</w:t>
      </w:r>
      <w:r w:rsidR="000B6C08" w:rsidRPr="000B6C08">
        <w:t xml:space="preserve"> </w:t>
      </w:r>
      <w:r w:rsidR="00CA3BD0" w:rsidRPr="00CA3BD0">
        <w:rPr>
          <w:u w:val="single"/>
        </w:rPr>
        <w:t>well</w:t>
      </w:r>
      <w:r w:rsidR="00647F6D" w:rsidRPr="00472578">
        <w:rPr>
          <w:u w:val="single"/>
        </w:rPr>
        <w:t>-being</w:t>
      </w:r>
      <w:r w:rsidR="00647F6D" w:rsidRPr="00472578">
        <w:t>.</w:t>
      </w:r>
      <w:r w:rsidR="00647F6D" w:rsidRPr="00472578">
        <w:rPr>
          <w:rStyle w:val="FootnoteReference"/>
        </w:rPr>
        <w:footnoteReference w:id="355"/>
      </w:r>
      <w:r w:rsidRPr="00472578">
        <w:rPr>
          <w:u w:val="single"/>
        </w:rPr>
        <w:t xml:space="preserve"> </w:t>
      </w:r>
    </w:p>
    <w:p w14:paraId="24F93260" w14:textId="1708BADE" w:rsidR="00B02DBF" w:rsidRPr="00472578" w:rsidRDefault="00B02DBF" w:rsidP="00E92686">
      <w:pPr>
        <w:pStyle w:val="BodyText"/>
      </w:pPr>
      <w:r w:rsidRPr="00472578">
        <w:t>On 3 September 2020, new National Environmental Standards for Freshwater (NESF) and a new National Policy Statement for Freshwater Management (NPSFM</w:t>
      </w:r>
      <w:r w:rsidR="000B6C08">
        <w:t>)</w:t>
      </w:r>
      <w:r w:rsidR="000B6C08" w:rsidRPr="00107333">
        <w:rPr>
          <w:rStyle w:val="FootnoteReference"/>
          <w:shd w:val="clear" w:color="auto" w:fill="D9D9D9" w:themeFill="background1" w:themeFillShade="D9"/>
        </w:rPr>
        <w:footnoteReference w:id="356"/>
      </w:r>
      <w:r w:rsidR="000B6C08">
        <w:t xml:space="preserve"> </w:t>
      </w:r>
      <w:r w:rsidRPr="00472578">
        <w:t>came into force. They have a goal</w:t>
      </w:r>
      <w:r w:rsidR="00EE533A" w:rsidRPr="00472578">
        <w:t xml:space="preserve"> </w:t>
      </w:r>
      <w:r w:rsidRPr="00472578">
        <w:t xml:space="preserve">of improving </w:t>
      </w:r>
      <w:r w:rsidRPr="00472578">
        <w:rPr>
          <w:i/>
        </w:rPr>
        <w:t xml:space="preserve">freshwater </w:t>
      </w:r>
      <w:r w:rsidRPr="00472578">
        <w:t xml:space="preserve">quality within five years, reversing past </w:t>
      </w:r>
      <w:r w:rsidRPr="00C47B8A">
        <w:rPr>
          <w:strike/>
        </w:rPr>
        <w:t>damage</w:t>
      </w:r>
      <w:r w:rsidR="000B6C08" w:rsidRPr="000B6C08">
        <w:t xml:space="preserve"> </w:t>
      </w:r>
      <w:r w:rsidR="00C47B8A" w:rsidRPr="00C47B8A">
        <w:rPr>
          <w:u w:val="single"/>
        </w:rPr>
        <w:t>degradation</w:t>
      </w:r>
      <w:r w:rsidR="00F76DCF" w:rsidRPr="009C6877">
        <w:rPr>
          <w:rStyle w:val="FootnoteReference"/>
        </w:rPr>
        <w:footnoteReference w:id="357"/>
      </w:r>
      <w:r w:rsidRPr="00472578">
        <w:t xml:space="preserve"> and bringing New Zealand’s </w:t>
      </w:r>
      <w:r w:rsidRPr="00472578">
        <w:rPr>
          <w:i/>
        </w:rPr>
        <w:t xml:space="preserve">freshwater </w:t>
      </w:r>
      <w:r w:rsidRPr="00472578">
        <w:t xml:space="preserve">resources, </w:t>
      </w:r>
      <w:proofErr w:type="gramStart"/>
      <w:r w:rsidRPr="00472578">
        <w:t>waterways</w:t>
      </w:r>
      <w:proofErr w:type="gramEnd"/>
      <w:r w:rsidRPr="00472578">
        <w:t xml:space="preserve"> and ecosystems to a healthy state within a generation. The NPS-FM also clarified the need to provide first for the health and well-being of </w:t>
      </w:r>
      <w:r w:rsidRPr="00472578">
        <w:rPr>
          <w:i/>
        </w:rPr>
        <w:t xml:space="preserve">water bodies </w:t>
      </w:r>
      <w:r w:rsidRPr="00472578">
        <w:t xml:space="preserve">and </w:t>
      </w:r>
      <w:r w:rsidRPr="00472578">
        <w:rPr>
          <w:i/>
        </w:rPr>
        <w:t xml:space="preserve">freshwater </w:t>
      </w:r>
      <w:r w:rsidRPr="00472578">
        <w:t xml:space="preserve">ecosystems; then health and needs of people (such as </w:t>
      </w:r>
      <w:r w:rsidRPr="00472578">
        <w:rPr>
          <w:i/>
        </w:rPr>
        <w:t>drinking water</w:t>
      </w:r>
      <w:r w:rsidRPr="00472578">
        <w:t xml:space="preserve">); and </w:t>
      </w:r>
      <w:proofErr w:type="gramStart"/>
      <w:r w:rsidRPr="00472578">
        <w:t>finally</w:t>
      </w:r>
      <w:proofErr w:type="gramEnd"/>
      <w:r w:rsidRPr="00472578">
        <w:t xml:space="preserve"> the ability of people and communities to provide for their social, economic, and cultural well-being, now and in the future.</w:t>
      </w:r>
    </w:p>
    <w:p w14:paraId="7F2254A2" w14:textId="0702AA83" w:rsidR="00B02DBF" w:rsidRPr="00472578" w:rsidRDefault="00B02DBF" w:rsidP="00E92686">
      <w:pPr>
        <w:pStyle w:val="Heading4"/>
        <w:jc w:val="both"/>
      </w:pPr>
      <w:r w:rsidRPr="00472578">
        <w:lastRenderedPageBreak/>
        <w:t>Impact snapshot</w:t>
      </w:r>
    </w:p>
    <w:p w14:paraId="6315C548" w14:textId="77777777" w:rsidR="00B02DBF" w:rsidRPr="00472578" w:rsidRDefault="00B02DBF" w:rsidP="00E92686">
      <w:pPr>
        <w:pStyle w:val="Heading5"/>
        <w:jc w:val="both"/>
      </w:pPr>
      <w:r w:rsidRPr="00472578">
        <w:t>Environmental</w:t>
      </w:r>
    </w:p>
    <w:p w14:paraId="553E53DD" w14:textId="58352711" w:rsidR="00B02DBF" w:rsidRPr="00472578" w:rsidRDefault="00B02DBF" w:rsidP="00E92686">
      <w:pPr>
        <w:pStyle w:val="BodyText"/>
      </w:pPr>
      <w:r w:rsidRPr="00472578">
        <w:rPr>
          <w:i/>
        </w:rPr>
        <w:t xml:space="preserve">Freshwater </w:t>
      </w:r>
      <w:r w:rsidRPr="00472578">
        <w:t xml:space="preserve">abstraction can reduce </w:t>
      </w:r>
      <w:r w:rsidRPr="00472578">
        <w:rPr>
          <w:i/>
        </w:rPr>
        <w:t xml:space="preserve">water </w:t>
      </w:r>
      <w:r w:rsidRPr="00472578">
        <w:t xml:space="preserve">level or flow and connections between different </w:t>
      </w:r>
      <w:r w:rsidRPr="00472578">
        <w:rPr>
          <w:i/>
        </w:rPr>
        <w:t>water bodies</w:t>
      </w:r>
      <w:r w:rsidRPr="00472578">
        <w:t>. This can negatively impact ecosystems by affectin</w:t>
      </w:r>
      <w:r w:rsidR="00CD049A" w:rsidRPr="00472578">
        <w:t>g</w:t>
      </w:r>
      <w:r w:rsidR="00107333">
        <w:rPr>
          <w:rStyle w:val="FootnoteReference"/>
        </w:rPr>
        <w:footnoteReference w:id="358"/>
      </w:r>
      <w:r w:rsidR="00107333">
        <w:rPr>
          <w:vertAlign w:val="superscript"/>
        </w:rPr>
        <w:t xml:space="preserve"> </w:t>
      </w:r>
      <w:r w:rsidRPr="00472578">
        <w:rPr>
          <w:i/>
        </w:rPr>
        <w:t xml:space="preserve">freshwater </w:t>
      </w:r>
      <w:r w:rsidRPr="00472578">
        <w:t xml:space="preserve">habitat size and the shape and condition of the </w:t>
      </w:r>
      <w:r w:rsidRPr="00472578">
        <w:rPr>
          <w:i/>
        </w:rPr>
        <w:t>water body</w:t>
      </w:r>
      <w:r w:rsidRPr="00472578">
        <w:t xml:space="preserve">, including </w:t>
      </w:r>
      <w:r w:rsidRPr="00472578">
        <w:rPr>
          <w:i/>
        </w:rPr>
        <w:t>bed</w:t>
      </w:r>
      <w:r w:rsidRPr="00472578">
        <w:t xml:space="preserve">, banks, margin, riparian vegetation, connections to </w:t>
      </w:r>
      <w:r w:rsidRPr="00472578">
        <w:rPr>
          <w:i/>
        </w:rPr>
        <w:t>groundwater</w:t>
      </w:r>
      <w:r w:rsidRPr="00472578">
        <w:t xml:space="preserve">, </w:t>
      </w:r>
      <w:r w:rsidRPr="00472578">
        <w:rPr>
          <w:i/>
        </w:rPr>
        <w:t xml:space="preserve">water </w:t>
      </w:r>
      <w:r w:rsidRPr="00472578">
        <w:t xml:space="preserve">chemistry (for example by increasing concentrations of pollutants), and interaction between species and their habitat. How much an ecosystem is affected by taking </w:t>
      </w:r>
      <w:r w:rsidRPr="00472578">
        <w:rPr>
          <w:i/>
        </w:rPr>
        <w:t xml:space="preserve">freshwater </w:t>
      </w:r>
      <w:r w:rsidRPr="00472578">
        <w:t xml:space="preserve">is determined by departure from natural flow regimes, </w:t>
      </w:r>
      <w:proofErr w:type="gramStart"/>
      <w:r w:rsidRPr="00472578">
        <w:t>taking into account</w:t>
      </w:r>
      <w:proofErr w:type="gramEnd"/>
      <w:r w:rsidRPr="00472578">
        <w:t xml:space="preserve"> magnitude, frequency, timing, duration and rate of change, and ecosystem capacity to recover.</w:t>
      </w:r>
    </w:p>
    <w:p w14:paraId="2F5FD70B" w14:textId="77777777" w:rsidR="00B02DBF" w:rsidRPr="00472578" w:rsidRDefault="00B02DBF" w:rsidP="00E92686">
      <w:pPr>
        <w:pStyle w:val="Heading5"/>
        <w:jc w:val="both"/>
      </w:pPr>
      <w:r w:rsidRPr="00472578">
        <w:t>Economic</w:t>
      </w:r>
    </w:p>
    <w:p w14:paraId="0AC99020" w14:textId="6DF9BD15" w:rsidR="00B02DBF" w:rsidRPr="00472578" w:rsidRDefault="00B02DBF" w:rsidP="00E92686">
      <w:pPr>
        <w:pStyle w:val="BodyText"/>
      </w:pPr>
      <w:r w:rsidRPr="00472578">
        <w:rPr>
          <w:i/>
        </w:rPr>
        <w:t xml:space="preserve">Freshwater </w:t>
      </w:r>
      <w:r w:rsidRPr="00472578">
        <w:t xml:space="preserve">in the Otago region is a factor of production that directly contributes to human needs (urban </w:t>
      </w:r>
      <w:r w:rsidRPr="00472578">
        <w:rPr>
          <w:i/>
        </w:rPr>
        <w:t xml:space="preserve">water </w:t>
      </w:r>
      <w:r w:rsidRPr="00472578">
        <w:t xml:space="preserve">supply), agriculture (including irrigation), </w:t>
      </w:r>
      <w:r w:rsidRPr="00472578">
        <w:rPr>
          <w:u w:val="single"/>
        </w:rPr>
        <w:t>industry</w:t>
      </w:r>
      <w:r w:rsidR="00EE533A" w:rsidRPr="00472578">
        <w:t>,</w:t>
      </w:r>
      <w:r w:rsidRPr="00472578">
        <w:rPr>
          <w:rStyle w:val="FootnoteReference"/>
        </w:rPr>
        <w:footnoteReference w:id="359"/>
      </w:r>
      <w:r w:rsidRPr="00472578">
        <w:t xml:space="preserve"> hydro-electric power supply, and mineral extraction. </w:t>
      </w:r>
      <w:r w:rsidRPr="00472578">
        <w:rPr>
          <w:i/>
        </w:rPr>
        <w:t xml:space="preserve">Freshwater </w:t>
      </w:r>
      <w:r w:rsidRPr="00472578">
        <w:t xml:space="preserve">also indirectly contributes to the tourism industry through maintenance of </w:t>
      </w:r>
      <w:r w:rsidRPr="00472578">
        <w:rPr>
          <w:i/>
        </w:rPr>
        <w:t xml:space="preserve">freshwater </w:t>
      </w:r>
      <w:r w:rsidRPr="00472578">
        <w:t xml:space="preserve">assets for aesthetic and commercial recreational purposes. Lack of </w:t>
      </w:r>
      <w:r w:rsidRPr="00472578">
        <w:rPr>
          <w:i/>
        </w:rPr>
        <w:t xml:space="preserve">freshwater </w:t>
      </w:r>
      <w:r w:rsidRPr="00472578">
        <w:t xml:space="preserve">can negatively impact economic output of those industries that rely on </w:t>
      </w:r>
      <w:r w:rsidRPr="00472578">
        <w:rPr>
          <w:i/>
        </w:rPr>
        <w:t xml:space="preserve">water </w:t>
      </w:r>
      <w:r w:rsidRPr="00472578">
        <w:t xml:space="preserve">in the production process. To varying degrees these impacts can be mitigated through </w:t>
      </w:r>
      <w:r w:rsidRPr="00472578">
        <w:rPr>
          <w:i/>
        </w:rPr>
        <w:t xml:space="preserve">water </w:t>
      </w:r>
      <w:r w:rsidRPr="00472578">
        <w:t xml:space="preserve">efficiency measures and innovation. At the same time other industries, such as tourism that rely on the aesthetic characteristic of </w:t>
      </w:r>
      <w:r w:rsidRPr="00472578">
        <w:rPr>
          <w:i/>
        </w:rPr>
        <w:t xml:space="preserve">rivers </w:t>
      </w:r>
      <w:r w:rsidRPr="00472578">
        <w:t xml:space="preserve">and </w:t>
      </w:r>
      <w:r w:rsidRPr="00472578">
        <w:rPr>
          <w:i/>
        </w:rPr>
        <w:t xml:space="preserve">lakes, </w:t>
      </w:r>
      <w:r w:rsidRPr="00472578">
        <w:t>do not have such opportunities available to them and instead rely on management regimes</w:t>
      </w:r>
      <w:r w:rsidR="006B0313" w:rsidRPr="00472578">
        <w:t xml:space="preserve"> </w:t>
      </w:r>
      <w:r w:rsidRPr="00472578">
        <w:t xml:space="preserve">that sustain flows and </w:t>
      </w:r>
      <w:r w:rsidRPr="00472578">
        <w:rPr>
          <w:i/>
        </w:rPr>
        <w:t xml:space="preserve">water </w:t>
      </w:r>
      <w:r w:rsidRPr="00472578">
        <w:t>levels suitable for their activities.</w:t>
      </w:r>
    </w:p>
    <w:p w14:paraId="3FC3F688" w14:textId="77777777" w:rsidR="00B02DBF" w:rsidRPr="00472578" w:rsidRDefault="00B02DBF" w:rsidP="00E92686">
      <w:pPr>
        <w:pStyle w:val="Heading4"/>
        <w:jc w:val="both"/>
      </w:pPr>
      <w:r w:rsidRPr="00472578">
        <w:t>Social</w:t>
      </w:r>
    </w:p>
    <w:p w14:paraId="5BD5A4EF" w14:textId="7E1F8BDA" w:rsidR="00B02DBF" w:rsidRPr="00472578" w:rsidRDefault="00B02DBF" w:rsidP="00E92686">
      <w:pPr>
        <w:pStyle w:val="BodyText"/>
      </w:pPr>
      <w:r w:rsidRPr="00472578">
        <w:t xml:space="preserve">Ensuring appropriate </w:t>
      </w:r>
      <w:r w:rsidRPr="00472578">
        <w:rPr>
          <w:i/>
        </w:rPr>
        <w:t xml:space="preserve">freshwater </w:t>
      </w:r>
      <w:r w:rsidRPr="00472578">
        <w:t xml:space="preserve">supply for human </w:t>
      </w:r>
      <w:r w:rsidRPr="00472578">
        <w:rPr>
          <w:i/>
        </w:rPr>
        <w:t xml:space="preserve">use </w:t>
      </w:r>
      <w:r w:rsidRPr="00472578">
        <w:t xml:space="preserve">is </w:t>
      </w:r>
      <w:r w:rsidRPr="00472578">
        <w:rPr>
          <w:strike/>
        </w:rPr>
        <w:t>available</w:t>
      </w:r>
      <w:r w:rsidRPr="00472578">
        <w:t xml:space="preserve"> </w:t>
      </w:r>
      <w:r w:rsidRPr="00472578">
        <w:rPr>
          <w:u w:val="single"/>
        </w:rPr>
        <w:t>essential, including</w:t>
      </w:r>
      <w:r w:rsidRPr="00472578">
        <w:rPr>
          <w:rStyle w:val="FootnoteReference"/>
        </w:rPr>
        <w:footnoteReference w:id="360"/>
      </w:r>
      <w:r w:rsidRPr="00472578">
        <w:t xml:space="preserve"> as part of planned urban growth </w:t>
      </w:r>
      <w:r w:rsidRPr="00472578">
        <w:rPr>
          <w:strike/>
        </w:rPr>
        <w:t>is essential</w:t>
      </w:r>
      <w:r w:rsidRPr="00472578">
        <w:t xml:space="preserve">. It is possible this may require consideration of additional </w:t>
      </w:r>
      <w:r w:rsidRPr="00472578">
        <w:rPr>
          <w:i/>
        </w:rPr>
        <w:t xml:space="preserve">freshwater </w:t>
      </w:r>
      <w:r w:rsidRPr="00472578">
        <w:t xml:space="preserve">storage in the future. The region’s </w:t>
      </w:r>
      <w:r w:rsidRPr="00472578">
        <w:rPr>
          <w:i/>
        </w:rPr>
        <w:t xml:space="preserve">freshwater </w:t>
      </w:r>
      <w:r w:rsidRPr="00472578">
        <w:t xml:space="preserve">assets also support a range of recreation uses, for example camping, fishing, </w:t>
      </w:r>
      <w:r w:rsidRPr="00472578">
        <w:rPr>
          <w:i/>
        </w:rPr>
        <w:t xml:space="preserve">water </w:t>
      </w:r>
      <w:r w:rsidRPr="00472578">
        <w:t>sports, and swimming. These values are strongly linked to environmental values and as such, reduced environmental flows have a corresponding negative impact on social and cultural values</w:t>
      </w:r>
      <w:r w:rsidR="00417E53">
        <w:rPr>
          <w:u w:val="single"/>
        </w:rPr>
        <w:t>.</w:t>
      </w:r>
    </w:p>
    <w:p w14:paraId="04C7DDBD" w14:textId="42180050" w:rsidR="00B02DBF" w:rsidRPr="00472578" w:rsidRDefault="00B208D6" w:rsidP="00E92686">
      <w:pPr>
        <w:pStyle w:val="Heading3"/>
        <w:jc w:val="both"/>
      </w:pPr>
      <w:r w:rsidRPr="00472578">
        <w:t>SRMR-I</w:t>
      </w:r>
      <w:r w:rsidR="00B02DBF" w:rsidRPr="00472578">
        <w:t xml:space="preserve">6 – Declining </w:t>
      </w:r>
      <w:r w:rsidR="00B02DBF" w:rsidRPr="00472578">
        <w:rPr>
          <w:i/>
        </w:rPr>
        <w:t xml:space="preserve">water </w:t>
      </w:r>
      <w:r w:rsidR="00B02DBF" w:rsidRPr="00472578">
        <w:t xml:space="preserve">quality has adverse </w:t>
      </w:r>
      <w:r w:rsidR="00B02DBF" w:rsidRPr="00472578">
        <w:rPr>
          <w:i/>
        </w:rPr>
        <w:t xml:space="preserve">effects </w:t>
      </w:r>
      <w:r w:rsidR="00B02DBF" w:rsidRPr="00472578">
        <w:t xml:space="preserve">on the </w:t>
      </w:r>
      <w:r w:rsidR="00B02DBF" w:rsidRPr="00472578">
        <w:rPr>
          <w:i/>
        </w:rPr>
        <w:t>environment</w:t>
      </w:r>
      <w:r w:rsidR="00B02DBF" w:rsidRPr="00472578">
        <w:t>, our communities, and the economy</w:t>
      </w:r>
    </w:p>
    <w:p w14:paraId="0292477F" w14:textId="77777777" w:rsidR="00B02DBF" w:rsidRPr="00472578" w:rsidRDefault="00B02DBF" w:rsidP="00E92686">
      <w:pPr>
        <w:pStyle w:val="Heading4"/>
        <w:jc w:val="both"/>
      </w:pPr>
      <w:r w:rsidRPr="00472578">
        <w:t>Statement</w:t>
      </w:r>
    </w:p>
    <w:p w14:paraId="32E2E1F6" w14:textId="567468DB" w:rsidR="00B02DBF" w:rsidRPr="00472578" w:rsidRDefault="00B02DBF" w:rsidP="00E92686">
      <w:pPr>
        <w:pStyle w:val="BodyText"/>
      </w:pPr>
      <w:r w:rsidRPr="00472578">
        <w:t xml:space="preserve">While the pristine areas of Otago generally maintain </w:t>
      </w:r>
      <w:r w:rsidRPr="00472578">
        <w:rPr>
          <w:u w:val="single"/>
        </w:rPr>
        <w:t>very</w:t>
      </w:r>
      <w:r w:rsidRPr="00472578">
        <w:rPr>
          <w:rStyle w:val="FootnoteReference"/>
        </w:rPr>
        <w:footnoteReference w:id="361"/>
      </w:r>
      <w:r w:rsidRPr="00472578">
        <w:t xml:space="preserve"> good </w:t>
      </w:r>
      <w:r w:rsidRPr="00472578">
        <w:rPr>
          <w:i/>
        </w:rPr>
        <w:t xml:space="preserve">water </w:t>
      </w:r>
      <w:r w:rsidRPr="00472578">
        <w:t xml:space="preserve">quality, some areas of Otago demonstrate poorer quality and declining trends in </w:t>
      </w:r>
      <w:r w:rsidRPr="00472578">
        <w:rPr>
          <w:i/>
        </w:rPr>
        <w:t xml:space="preserve">water </w:t>
      </w:r>
      <w:r w:rsidRPr="00472578">
        <w:t xml:space="preserve">quality which can be attributed to </w:t>
      </w:r>
      <w:r w:rsidRPr="00472578">
        <w:rPr>
          <w:i/>
        </w:rPr>
        <w:t xml:space="preserve">discharges </w:t>
      </w:r>
      <w:r w:rsidRPr="00472578">
        <w:t xml:space="preserve">from </w:t>
      </w:r>
      <w:r w:rsidRPr="00472578">
        <w:rPr>
          <w:i/>
        </w:rPr>
        <w:t xml:space="preserve">land use </w:t>
      </w:r>
      <w:r w:rsidRPr="00472578">
        <w:t xml:space="preserve">intensification (both rural and urban) and </w:t>
      </w:r>
      <w:r w:rsidRPr="00472578">
        <w:rPr>
          <w:i/>
        </w:rPr>
        <w:t xml:space="preserve">land </w:t>
      </w:r>
      <w:r w:rsidRPr="00472578">
        <w:t>management practices.</w:t>
      </w:r>
      <w:r w:rsidR="00CD049A" w:rsidRPr="00472578">
        <w:t xml:space="preserve"> </w:t>
      </w:r>
      <w:r w:rsidRPr="00472578">
        <w:t xml:space="preserve">Erosion, </w:t>
      </w:r>
      <w:proofErr w:type="gramStart"/>
      <w:r w:rsidRPr="00472578">
        <w:t>run-off</w:t>
      </w:r>
      <w:proofErr w:type="gramEnd"/>
      <w:r w:rsidRPr="00472578">
        <w:t xml:space="preserve"> and </w:t>
      </w:r>
      <w:r w:rsidRPr="00472578">
        <w:lastRenderedPageBreak/>
        <w:t xml:space="preserve">soil loss can lead to sediment and nutrients being deposited into </w:t>
      </w:r>
      <w:r w:rsidRPr="00472578">
        <w:rPr>
          <w:i/>
        </w:rPr>
        <w:t>freshwater</w:t>
      </w:r>
      <w:r w:rsidR="00CD049A" w:rsidRPr="00472578">
        <w:rPr>
          <w:i/>
        </w:rPr>
        <w:t xml:space="preserve"> </w:t>
      </w:r>
      <w:r w:rsidRPr="00472578">
        <w:t xml:space="preserve">bodies resulting in declining </w:t>
      </w:r>
      <w:r w:rsidRPr="00472578">
        <w:rPr>
          <w:i/>
        </w:rPr>
        <w:t xml:space="preserve">water </w:t>
      </w:r>
      <w:r w:rsidRPr="00472578">
        <w:t>quality.</w:t>
      </w:r>
    </w:p>
    <w:p w14:paraId="2C9FD431" w14:textId="77777777" w:rsidR="00B02DBF" w:rsidRPr="00472578" w:rsidRDefault="00B02DBF" w:rsidP="00E92686">
      <w:pPr>
        <w:pStyle w:val="Heading4"/>
        <w:jc w:val="both"/>
      </w:pPr>
      <w:r w:rsidRPr="00472578">
        <w:t>Context</w:t>
      </w:r>
    </w:p>
    <w:p w14:paraId="0A9C25C2" w14:textId="77777777" w:rsidR="00B02DBF" w:rsidRPr="00472578" w:rsidRDefault="00B02DBF" w:rsidP="00E92686">
      <w:pPr>
        <w:pStyle w:val="BodyText"/>
      </w:pPr>
      <w:r w:rsidRPr="00472578">
        <w:t xml:space="preserve">The health of </w:t>
      </w:r>
      <w:r w:rsidRPr="00472578">
        <w:rPr>
          <w:i/>
        </w:rPr>
        <w:t xml:space="preserve">water </w:t>
      </w:r>
      <w:r w:rsidRPr="00472578">
        <w:t xml:space="preserve">is vital for the health of the </w:t>
      </w:r>
      <w:r w:rsidRPr="00472578">
        <w:rPr>
          <w:i/>
        </w:rPr>
        <w:t>environment</w:t>
      </w:r>
      <w:r w:rsidRPr="00472578">
        <w:t xml:space="preserve">, </w:t>
      </w:r>
      <w:proofErr w:type="gramStart"/>
      <w:r w:rsidRPr="00472578">
        <w:t>people</w:t>
      </w:r>
      <w:proofErr w:type="gramEnd"/>
      <w:r w:rsidRPr="00472578">
        <w:t xml:space="preserve"> and the economy. It is at the heart of culture and identity. Nationally, and in parts of Otago, </w:t>
      </w:r>
      <w:r w:rsidRPr="00472578">
        <w:rPr>
          <w:i/>
        </w:rPr>
        <w:t xml:space="preserve">freshwater </w:t>
      </w:r>
      <w:r w:rsidRPr="00472578">
        <w:t xml:space="preserve">is facing significant pressure. Population growth and land-use intensification in urban and rural environments has impacted the quality of </w:t>
      </w:r>
      <w:r w:rsidRPr="00472578">
        <w:rPr>
          <w:i/>
        </w:rPr>
        <w:t>water</w:t>
      </w:r>
      <w:r w:rsidRPr="00472578">
        <w:t>, increasing contamination from nutrients and sediment.</w:t>
      </w:r>
    </w:p>
    <w:p w14:paraId="236141AB" w14:textId="205CA666" w:rsidR="00B02DBF" w:rsidRPr="00472578" w:rsidRDefault="00B02DBF" w:rsidP="00E92686">
      <w:pPr>
        <w:pStyle w:val="BodyText"/>
      </w:pPr>
      <w:r w:rsidRPr="00472578">
        <w:rPr>
          <w:i/>
        </w:rPr>
        <w:t xml:space="preserve">Water </w:t>
      </w:r>
      <w:r w:rsidRPr="00472578">
        <w:t xml:space="preserve">quality affects a wide range of environmental health factors, human </w:t>
      </w:r>
      <w:r w:rsidR="003C6DBE" w:rsidRPr="003C6DBE">
        <w:rPr>
          <w:u w:val="single"/>
        </w:rPr>
        <w:t>health and</w:t>
      </w:r>
      <w:r w:rsidR="00E81F25">
        <w:rPr>
          <w:rStyle w:val="FootnoteReference"/>
        </w:rPr>
        <w:footnoteReference w:id="362"/>
      </w:r>
      <w:r w:rsidR="003C6DBE">
        <w:t xml:space="preserve"> </w:t>
      </w:r>
      <w:r w:rsidRPr="00472578">
        <w:t xml:space="preserve">survival needs, and cultural, social, recreational, and economic uses. Some of the biggest </w:t>
      </w:r>
      <w:r w:rsidR="00D44F98" w:rsidRPr="009F6B17">
        <w:rPr>
          <w:u w:val="single"/>
        </w:rPr>
        <w:t>advers</w:t>
      </w:r>
      <w:r w:rsidR="009F6B17" w:rsidRPr="009F6B17">
        <w:rPr>
          <w:u w:val="single"/>
        </w:rPr>
        <w:t>e</w:t>
      </w:r>
      <w:r w:rsidR="00E95594">
        <w:rPr>
          <w:rStyle w:val="FootnoteReference"/>
        </w:rPr>
        <w:footnoteReference w:id="363"/>
      </w:r>
      <w:r w:rsidRPr="00472578">
        <w:t xml:space="preserve"> impacts on </w:t>
      </w:r>
      <w:r w:rsidRPr="00472578">
        <w:rPr>
          <w:i/>
        </w:rPr>
        <w:t xml:space="preserve">water </w:t>
      </w:r>
      <w:r w:rsidRPr="00472578">
        <w:t xml:space="preserve">quality in Otago are considered to come from agriculture and urbanisation, through diffuse </w:t>
      </w:r>
      <w:r w:rsidRPr="00472578">
        <w:rPr>
          <w:i/>
        </w:rPr>
        <w:t xml:space="preserve">discharges </w:t>
      </w:r>
      <w:r w:rsidRPr="00472578">
        <w:t xml:space="preserve">and point source </w:t>
      </w:r>
      <w:r w:rsidRPr="00472578">
        <w:rPr>
          <w:i/>
        </w:rPr>
        <w:t>discharges</w:t>
      </w:r>
      <w:r w:rsidRPr="00472578">
        <w:t>.</w:t>
      </w:r>
    </w:p>
    <w:p w14:paraId="401BFCD1" w14:textId="2F15A80D" w:rsidR="00B02DBF" w:rsidRPr="00472578" w:rsidRDefault="00B02DBF" w:rsidP="00E92686">
      <w:pPr>
        <w:pStyle w:val="BodyText"/>
        <w:rPr>
          <w:rStyle w:val="FootnoteReference"/>
        </w:rPr>
      </w:pPr>
      <w:r w:rsidRPr="00472578">
        <w:t>On 3 September 2020,</w:t>
      </w:r>
      <w:r w:rsidR="008628AA" w:rsidRPr="00472578">
        <w:t xml:space="preserve"> </w:t>
      </w:r>
      <w:r w:rsidR="00831B78" w:rsidRPr="00472578">
        <w:rPr>
          <w:u w:val="single"/>
        </w:rPr>
        <w:t>a</w:t>
      </w:r>
      <w:r w:rsidR="00831B78" w:rsidRPr="00472578">
        <w:t xml:space="preserve"> </w:t>
      </w:r>
      <w:r w:rsidRPr="00472578">
        <w:t xml:space="preserve">new </w:t>
      </w:r>
      <w:r w:rsidRPr="00472578">
        <w:rPr>
          <w:strike/>
        </w:rPr>
        <w:t>N</w:t>
      </w:r>
      <w:r w:rsidR="00831B78" w:rsidRPr="00472578">
        <w:rPr>
          <w:u w:val="single"/>
        </w:rPr>
        <w:t>n</w:t>
      </w:r>
      <w:r w:rsidRPr="00472578">
        <w:t xml:space="preserve">ational </w:t>
      </w:r>
      <w:r w:rsidRPr="00472578">
        <w:rPr>
          <w:strike/>
        </w:rPr>
        <w:t>E</w:t>
      </w:r>
      <w:r w:rsidR="00831B78" w:rsidRPr="00472578">
        <w:rPr>
          <w:u w:val="single"/>
        </w:rPr>
        <w:t>e</w:t>
      </w:r>
      <w:r w:rsidRPr="00472578">
        <w:t xml:space="preserve">nvironmental </w:t>
      </w:r>
      <w:r w:rsidRPr="00472578">
        <w:rPr>
          <w:strike/>
        </w:rPr>
        <w:t>S</w:t>
      </w:r>
      <w:r w:rsidR="00831B78" w:rsidRPr="00472578">
        <w:rPr>
          <w:u w:val="single"/>
        </w:rPr>
        <w:t>s</w:t>
      </w:r>
      <w:r w:rsidRPr="00472578">
        <w:t>tandard</w:t>
      </w:r>
      <w:r w:rsidR="008628AA" w:rsidRPr="00472578">
        <w:rPr>
          <w:strike/>
        </w:rPr>
        <w:t>s</w:t>
      </w:r>
      <w:r w:rsidR="008628AA" w:rsidRPr="00472578">
        <w:t xml:space="preserve"> </w:t>
      </w:r>
      <w:r w:rsidRPr="00472578">
        <w:t xml:space="preserve">(NESF) and a new </w:t>
      </w:r>
      <w:r w:rsidRPr="00472578">
        <w:rPr>
          <w:strike/>
        </w:rPr>
        <w:t>N</w:t>
      </w:r>
      <w:r w:rsidR="00B60A68" w:rsidRPr="00472578">
        <w:rPr>
          <w:u w:val="single"/>
        </w:rPr>
        <w:t>n</w:t>
      </w:r>
      <w:r w:rsidRPr="00472578">
        <w:t xml:space="preserve">ational </w:t>
      </w:r>
      <w:r w:rsidRPr="00472578">
        <w:rPr>
          <w:strike/>
        </w:rPr>
        <w:t>P</w:t>
      </w:r>
      <w:r w:rsidR="00B60A68" w:rsidRPr="00472578">
        <w:rPr>
          <w:u w:val="single"/>
        </w:rPr>
        <w:t>p</w:t>
      </w:r>
      <w:r w:rsidRPr="00472578">
        <w:t xml:space="preserve">olicy </w:t>
      </w:r>
      <w:r w:rsidRPr="00472578">
        <w:rPr>
          <w:strike/>
        </w:rPr>
        <w:t>S</w:t>
      </w:r>
      <w:r w:rsidR="00B60A68" w:rsidRPr="00472578">
        <w:rPr>
          <w:u w:val="single"/>
        </w:rPr>
        <w:t>s</w:t>
      </w:r>
      <w:r w:rsidRPr="00472578">
        <w:t>tatement</w:t>
      </w:r>
      <w:r w:rsidR="00B60A68" w:rsidRPr="00472578">
        <w:rPr>
          <w:rStyle w:val="FootnoteReference"/>
        </w:rPr>
        <w:footnoteReference w:id="364"/>
      </w:r>
      <w:r w:rsidRPr="00472578">
        <w:t xml:space="preserve"> (NPSFM</w:t>
      </w:r>
      <w:r w:rsidR="00AB5F43">
        <w:t>)</w:t>
      </w:r>
      <w:r w:rsidR="00AB5F43" w:rsidRPr="00AB5F43">
        <w:rPr>
          <w:rStyle w:val="FootnoteReference"/>
          <w:shd w:val="clear" w:color="auto" w:fill="D9D9D9" w:themeFill="background1" w:themeFillShade="D9"/>
        </w:rPr>
        <w:footnoteReference w:id="365"/>
      </w:r>
      <w:r w:rsidRPr="00472578">
        <w:t xml:space="preserve"> came into force to improve </w:t>
      </w:r>
      <w:r w:rsidRPr="00472578">
        <w:rPr>
          <w:i/>
        </w:rPr>
        <w:t xml:space="preserve">water </w:t>
      </w:r>
      <w:r w:rsidRPr="00472578">
        <w:t xml:space="preserve">quality within five years; and reverse past </w:t>
      </w:r>
      <w:r w:rsidRPr="00472578">
        <w:rPr>
          <w:strike/>
        </w:rPr>
        <w:t>damage</w:t>
      </w:r>
      <w:r w:rsidRPr="00472578">
        <w:t xml:space="preserve"> </w:t>
      </w:r>
      <w:r w:rsidRPr="00472578">
        <w:rPr>
          <w:u w:val="single"/>
        </w:rPr>
        <w:t>degradation</w:t>
      </w:r>
      <w:r w:rsidRPr="00472578">
        <w:rPr>
          <w:rStyle w:val="FootnoteReference"/>
        </w:rPr>
        <w:footnoteReference w:id="366"/>
      </w:r>
      <w:r w:rsidRPr="00472578">
        <w:t xml:space="preserve"> and bring New Zealand’s </w:t>
      </w:r>
      <w:r w:rsidRPr="00472578">
        <w:rPr>
          <w:i/>
        </w:rPr>
        <w:t xml:space="preserve">freshwater </w:t>
      </w:r>
      <w:r w:rsidRPr="00472578">
        <w:t xml:space="preserve">resources, </w:t>
      </w:r>
      <w:proofErr w:type="gramStart"/>
      <w:r w:rsidRPr="00472578">
        <w:t>waterways</w:t>
      </w:r>
      <w:proofErr w:type="gramEnd"/>
      <w:r w:rsidRPr="00472578">
        <w:t xml:space="preserve"> and ecosystems to a healthy stat</w:t>
      </w:r>
      <w:r w:rsidR="00CD049A" w:rsidRPr="00472578">
        <w:t xml:space="preserve">e </w:t>
      </w:r>
      <w:r w:rsidRPr="00472578">
        <w:t xml:space="preserve">within a generation. </w:t>
      </w:r>
    </w:p>
    <w:p w14:paraId="0CBEBB5D" w14:textId="77777777" w:rsidR="00B02DBF" w:rsidRPr="00472578" w:rsidRDefault="00B02DBF" w:rsidP="00E92686">
      <w:pPr>
        <w:pStyle w:val="Heading4"/>
        <w:jc w:val="both"/>
      </w:pPr>
      <w:r w:rsidRPr="00472578">
        <w:t>Impact snapshot</w:t>
      </w:r>
    </w:p>
    <w:p w14:paraId="41AE6484" w14:textId="77777777" w:rsidR="00B02DBF" w:rsidRPr="00472578" w:rsidRDefault="00B02DBF" w:rsidP="00E92686">
      <w:pPr>
        <w:pStyle w:val="Heading5"/>
        <w:jc w:val="both"/>
      </w:pPr>
      <w:r w:rsidRPr="00472578">
        <w:t>Environmental</w:t>
      </w:r>
    </w:p>
    <w:p w14:paraId="5A52FC29" w14:textId="7C083F05" w:rsidR="00B02DBF" w:rsidRPr="00472578" w:rsidRDefault="00B02DBF" w:rsidP="00E92686">
      <w:pPr>
        <w:pStyle w:val="BodyText"/>
      </w:pPr>
      <w:r w:rsidRPr="00472578">
        <w:t xml:space="preserve">Despite the region's </w:t>
      </w:r>
      <w:r w:rsidRPr="00472578">
        <w:rPr>
          <w:i/>
        </w:rPr>
        <w:t xml:space="preserve">lakes </w:t>
      </w:r>
      <w:r w:rsidRPr="00472578">
        <w:t xml:space="preserve">and </w:t>
      </w:r>
      <w:r w:rsidRPr="00472578">
        <w:rPr>
          <w:i/>
        </w:rPr>
        <w:t xml:space="preserve">rivers </w:t>
      </w:r>
      <w:r w:rsidRPr="00472578">
        <w:t xml:space="preserve">being highly valued by Otago communities, reports indicate </w:t>
      </w:r>
      <w:r w:rsidRPr="00472578">
        <w:rPr>
          <w:u w:val="single"/>
        </w:rPr>
        <w:t>that in some areas</w:t>
      </w:r>
      <w:r w:rsidRPr="00472578">
        <w:rPr>
          <w:rStyle w:val="FootnoteReference"/>
        </w:rPr>
        <w:footnoteReference w:id="367"/>
      </w:r>
      <w:r w:rsidRPr="00472578">
        <w:t xml:space="preserve"> there</w:t>
      </w:r>
      <w:r w:rsidR="008E7A6A" w:rsidRPr="00472578">
        <w:t xml:space="preserve"> </w:t>
      </w:r>
      <w:r w:rsidRPr="00472578">
        <w:t xml:space="preserve">are reasons for concern about </w:t>
      </w:r>
      <w:r w:rsidRPr="00472578">
        <w:rPr>
          <w:i/>
        </w:rPr>
        <w:t xml:space="preserve">water </w:t>
      </w:r>
      <w:r w:rsidRPr="00472578">
        <w:t>quality and its trends with consequent potential impact on ecosystems and people.</w:t>
      </w:r>
    </w:p>
    <w:p w14:paraId="3CA0936D" w14:textId="2185AF71" w:rsidR="00B02DBF" w:rsidRPr="00472578" w:rsidRDefault="00B02DBF" w:rsidP="00E92686">
      <w:pPr>
        <w:pStyle w:val="BodyText"/>
      </w:pPr>
      <w:r w:rsidRPr="00472578">
        <w:rPr>
          <w:i/>
        </w:rPr>
        <w:t xml:space="preserve">Water </w:t>
      </w:r>
      <w:r w:rsidRPr="00472578">
        <w:t xml:space="preserve">quality across Otago is variable. </w:t>
      </w:r>
      <w:r w:rsidRPr="00472578">
        <w:rPr>
          <w:i/>
        </w:rPr>
        <w:t xml:space="preserve">River water </w:t>
      </w:r>
      <w:r w:rsidRPr="00472578">
        <w:t xml:space="preserve">quality is best at </w:t>
      </w:r>
      <w:r w:rsidRPr="00472578">
        <w:rPr>
          <w:i/>
        </w:rPr>
        <w:t xml:space="preserve">river </w:t>
      </w:r>
      <w:r w:rsidRPr="00472578">
        <w:t xml:space="preserve">and stream reaches located at high or mountainous elevations under predominantly native vegetation cover, and mostly good in the upper areas of large river catchment and outlets from large </w:t>
      </w:r>
      <w:r w:rsidRPr="00472578">
        <w:rPr>
          <w:i/>
        </w:rPr>
        <w:t>lakes</w:t>
      </w:r>
      <w:r w:rsidRPr="00472578">
        <w:t xml:space="preserve">. </w:t>
      </w:r>
      <w:r w:rsidRPr="00472578">
        <w:rPr>
          <w:i/>
        </w:rPr>
        <w:t xml:space="preserve">Water </w:t>
      </w:r>
      <w:r w:rsidRPr="00472578">
        <w:t xml:space="preserve">quality is generally poorer in smaller low-elevation streams and coastal shallow lakes where they receive water from upstream pastoral areas or urban catchments. For example, catchments such as the Waiareka Creek, Kaikorai Stream, and the lower Clutha catchment, have some of the worst </w:t>
      </w:r>
      <w:r w:rsidRPr="00472578">
        <w:rPr>
          <w:i/>
        </w:rPr>
        <w:t xml:space="preserve">water </w:t>
      </w:r>
      <w:r w:rsidRPr="00472578">
        <w:t xml:space="preserve">quality in the region; Otago’s central lakes are impacted by increased population, urban </w:t>
      </w:r>
      <w:proofErr w:type="gramStart"/>
      <w:r w:rsidRPr="00472578">
        <w:t>development</w:t>
      </w:r>
      <w:proofErr w:type="gramEnd"/>
      <w:r w:rsidRPr="00472578">
        <w:t xml:space="preserve"> and tourism demand; other areas, such as urban streams in Dunedin, intensified catchments in North Otago and some tributaries,</w:t>
      </w:r>
      <w:r w:rsidR="00967555" w:rsidRPr="00472578">
        <w:t xml:space="preserve"> </w:t>
      </w:r>
      <w:r w:rsidRPr="00472578">
        <w:t xml:space="preserve">also have poor </w:t>
      </w:r>
      <w:r w:rsidRPr="00472578">
        <w:rPr>
          <w:i/>
        </w:rPr>
        <w:t xml:space="preserve">water </w:t>
      </w:r>
      <w:r w:rsidRPr="00472578">
        <w:t>quality</w:t>
      </w:r>
      <w:r w:rsidR="006443E4">
        <w:t>.</w:t>
      </w:r>
      <w:r w:rsidR="006443E4" w:rsidRPr="006443E4">
        <w:rPr>
          <w:rStyle w:val="FootnoteReference"/>
          <w:shd w:val="clear" w:color="auto" w:fill="D9D9D9" w:themeFill="background1" w:themeFillShade="D9"/>
        </w:rPr>
        <w:footnoteReference w:id="368"/>
      </w:r>
      <w:r w:rsidR="006443E4">
        <w:t xml:space="preserve"> </w:t>
      </w:r>
      <w:r w:rsidRPr="00472578">
        <w:t xml:space="preserve">Between 2006 and 2017, trends in a number of </w:t>
      </w:r>
      <w:r w:rsidRPr="00472578">
        <w:rPr>
          <w:i/>
        </w:rPr>
        <w:t xml:space="preserve">water </w:t>
      </w:r>
      <w:r w:rsidRPr="00472578">
        <w:t>quality parameters were worsening</w:t>
      </w:r>
      <w:r w:rsidR="006443E4">
        <w:t>.</w:t>
      </w:r>
      <w:r w:rsidR="006443E4" w:rsidRPr="006443E4">
        <w:rPr>
          <w:rStyle w:val="FootnoteReference"/>
          <w:shd w:val="clear" w:color="auto" w:fill="D9D9D9" w:themeFill="background1" w:themeFillShade="D9"/>
        </w:rPr>
        <w:footnoteReference w:id="369"/>
      </w:r>
    </w:p>
    <w:p w14:paraId="774490F7" w14:textId="12A7A42D" w:rsidR="00B02DBF" w:rsidRPr="00472578" w:rsidRDefault="00B02DBF" w:rsidP="00E92686">
      <w:pPr>
        <w:pStyle w:val="BodyText"/>
      </w:pPr>
      <w:r w:rsidRPr="00472578">
        <w:lastRenderedPageBreak/>
        <w:t xml:space="preserve">For </w:t>
      </w:r>
      <w:r w:rsidRPr="00472578">
        <w:rPr>
          <w:i/>
        </w:rPr>
        <w:t xml:space="preserve">E. coli, </w:t>
      </w:r>
      <w:r w:rsidRPr="00472578">
        <w:t xml:space="preserve">for example, 30% of sites had a probable or significant worsening trend compared to 7% of sites that had either stable or improving trends. In urban streams in Dunedin, intensified catchments in North Otago and some tributaries of the Pomahaka, </w:t>
      </w:r>
      <w:r w:rsidRPr="00472578">
        <w:rPr>
          <w:i/>
        </w:rPr>
        <w:t xml:space="preserve">E. coli </w:t>
      </w:r>
      <w:r w:rsidRPr="00472578">
        <w:t>was the worst performing variabl</w:t>
      </w:r>
      <w:r w:rsidR="00AF3F37" w:rsidRPr="00472578">
        <w:t>e</w:t>
      </w:r>
      <w:r w:rsidR="006443E4">
        <w:t>.</w:t>
      </w:r>
      <w:r w:rsidR="006443E4" w:rsidRPr="006443E4">
        <w:rPr>
          <w:rStyle w:val="FootnoteReference"/>
          <w:shd w:val="clear" w:color="auto" w:fill="D9D9D9" w:themeFill="background1" w:themeFillShade="D9"/>
        </w:rPr>
        <w:footnoteReference w:id="370"/>
      </w:r>
      <w:r w:rsidR="006443E4">
        <w:t xml:space="preserve"> </w:t>
      </w:r>
      <w:r w:rsidRPr="00472578">
        <w:t>In many cases, the specific source of contamination is unknown.</w:t>
      </w:r>
    </w:p>
    <w:p w14:paraId="00159BFF" w14:textId="4D6273A7" w:rsidR="00B02DBF" w:rsidRPr="00472578" w:rsidRDefault="00B02DBF" w:rsidP="00E92686">
      <w:pPr>
        <w:pStyle w:val="BodyText"/>
      </w:pPr>
      <w:r w:rsidRPr="00472578">
        <w:t xml:space="preserve">There are many different types and sizes of </w:t>
      </w:r>
      <w:r w:rsidRPr="00472578">
        <w:rPr>
          <w:i/>
        </w:rPr>
        <w:t xml:space="preserve">lakes </w:t>
      </w:r>
      <w:r w:rsidRPr="00472578">
        <w:t xml:space="preserve">in Otago. ORC monitors </w:t>
      </w:r>
      <w:r w:rsidRPr="00472578">
        <w:rPr>
          <w:i/>
        </w:rPr>
        <w:t xml:space="preserve">water </w:t>
      </w:r>
      <w:r w:rsidRPr="00472578">
        <w:t xml:space="preserve">quality in </w:t>
      </w:r>
      <w:r w:rsidRPr="00472578">
        <w:rPr>
          <w:i/>
        </w:rPr>
        <w:t>lakes</w:t>
      </w:r>
      <w:r w:rsidRPr="00472578">
        <w:t xml:space="preserve">, of which eight have generally shown good </w:t>
      </w:r>
      <w:r w:rsidRPr="00472578">
        <w:rPr>
          <w:i/>
        </w:rPr>
        <w:t xml:space="preserve">water </w:t>
      </w:r>
      <w:r w:rsidRPr="00472578">
        <w:t>quality</w:t>
      </w:r>
      <w:r w:rsidRPr="00352C93">
        <w:t>.</w:t>
      </w:r>
      <w:r w:rsidRPr="00472578">
        <w:t xml:space="preserve"> There have been concerns within the community about the quality of </w:t>
      </w:r>
      <w:r w:rsidRPr="00472578">
        <w:rPr>
          <w:i/>
        </w:rPr>
        <w:t xml:space="preserve">water </w:t>
      </w:r>
      <w:r w:rsidRPr="00472578">
        <w:t>in Lakes Wānaka, Wakatipu and Hayes.</w:t>
      </w:r>
    </w:p>
    <w:p w14:paraId="580E3285" w14:textId="77777777" w:rsidR="00B02DBF" w:rsidRPr="00472578" w:rsidRDefault="00B02DBF" w:rsidP="00E92686">
      <w:pPr>
        <w:pStyle w:val="BodyText"/>
      </w:pPr>
      <w:r w:rsidRPr="00472578">
        <w:rPr>
          <w:i/>
        </w:rPr>
        <w:t xml:space="preserve">Groundwater </w:t>
      </w:r>
      <w:r w:rsidRPr="00472578">
        <w:t xml:space="preserve">quality also varies across the region, with some areas having elevated </w:t>
      </w:r>
      <w:r w:rsidRPr="00472578">
        <w:rPr>
          <w:i/>
        </w:rPr>
        <w:t xml:space="preserve">E. coli </w:t>
      </w:r>
      <w:r w:rsidRPr="00472578">
        <w:t xml:space="preserve">and nitrate concentrations above the NZ Drinking Water Standards. The main areas with elevated nitrate concentrations are North Otago and the Lower Clutha. Some bores across the region have exceeded the drinking water standards for </w:t>
      </w:r>
      <w:r w:rsidRPr="00472578">
        <w:rPr>
          <w:i/>
        </w:rPr>
        <w:t xml:space="preserve">E. </w:t>
      </w:r>
      <w:proofErr w:type="gramStart"/>
      <w:r w:rsidRPr="00472578">
        <w:rPr>
          <w:i/>
        </w:rPr>
        <w:t>coli</w:t>
      </w:r>
      <w:r w:rsidRPr="00472578">
        <w:t>;</w:t>
      </w:r>
      <w:proofErr w:type="gramEnd"/>
      <w:r w:rsidRPr="00472578">
        <w:t xml:space="preserve"> highlighting localized problems, likely due to inadequate bore head security. In addition to human sources of poorer groundwater quality, low groundwater quality from natural or geologic sources may also affect the potability of bore water throughout Otago (</w:t>
      </w:r>
      <w:proofErr w:type="gramStart"/>
      <w:r w:rsidRPr="00472578">
        <w:t>e.g.</w:t>
      </w:r>
      <w:proofErr w:type="gramEnd"/>
      <w:r w:rsidRPr="00472578">
        <w:t xml:space="preserve"> naturally occurring arsenic or boron concentrations found in bores associated with particularly geologies).</w:t>
      </w:r>
    </w:p>
    <w:p w14:paraId="33B4EA97" w14:textId="5860884E" w:rsidR="00B02DBF" w:rsidRPr="00472578" w:rsidRDefault="00B02DBF" w:rsidP="00E92686">
      <w:pPr>
        <w:pStyle w:val="BodyText"/>
      </w:pPr>
      <w:r w:rsidRPr="00472578">
        <w:t xml:space="preserve">Stock entering </w:t>
      </w:r>
      <w:r w:rsidRPr="00472578">
        <w:rPr>
          <w:i/>
        </w:rPr>
        <w:t xml:space="preserve">water bodies </w:t>
      </w:r>
      <w:r w:rsidRPr="00472578">
        <w:t xml:space="preserve">can lead to pugging and destruction of riparian soils and </w:t>
      </w:r>
      <w:r w:rsidRPr="00472578">
        <w:rPr>
          <w:i/>
        </w:rPr>
        <w:t xml:space="preserve">beds </w:t>
      </w:r>
      <w:r w:rsidRPr="00472578">
        <w:t xml:space="preserve">that play an important role in filtering </w:t>
      </w:r>
      <w:r w:rsidRPr="00472578">
        <w:rPr>
          <w:i/>
        </w:rPr>
        <w:t>contaminants</w:t>
      </w:r>
      <w:r w:rsidRPr="00472578">
        <w:t xml:space="preserve">, as well as excreting directly in waterways. The growing practice of wintering cattle in Otago can exacerbate leaching </w:t>
      </w:r>
      <w:r w:rsidRPr="00472578">
        <w:rPr>
          <w:i/>
        </w:rPr>
        <w:t>effects</w:t>
      </w:r>
      <w:r w:rsidRPr="00472578">
        <w:t xml:space="preserve">, which may not connect to surface </w:t>
      </w:r>
      <w:r w:rsidRPr="00472578">
        <w:rPr>
          <w:i/>
        </w:rPr>
        <w:t xml:space="preserve">water </w:t>
      </w:r>
      <w:r w:rsidRPr="00472578">
        <w:t>until spring, creating spikes in nutrient loads</w:t>
      </w:r>
      <w:r w:rsidR="006443E4">
        <w:t>.</w:t>
      </w:r>
      <w:r w:rsidR="006443E4" w:rsidRPr="006443E4">
        <w:rPr>
          <w:rStyle w:val="FootnoteReference"/>
          <w:shd w:val="clear" w:color="auto" w:fill="D9D9D9" w:themeFill="background1" w:themeFillShade="D9"/>
        </w:rPr>
        <w:footnoteReference w:id="371"/>
      </w:r>
    </w:p>
    <w:p w14:paraId="3E9874E7" w14:textId="1433C4F8" w:rsidR="00B02DBF" w:rsidRPr="00472578" w:rsidRDefault="00B02DBF" w:rsidP="00E92686">
      <w:pPr>
        <w:pStyle w:val="BodyText"/>
      </w:pPr>
      <w:r w:rsidRPr="00472578">
        <w:t xml:space="preserve">Sediment is a key issue for </w:t>
      </w:r>
      <w:r w:rsidRPr="00472578">
        <w:rPr>
          <w:i/>
        </w:rPr>
        <w:t xml:space="preserve">freshwater </w:t>
      </w:r>
      <w:r w:rsidRPr="00472578">
        <w:t xml:space="preserve">quality throughout Otago, including coastal estuaries where it can significantly impact the life supporting capacity of waterways. Urban development is a key generator of sediment input to </w:t>
      </w:r>
      <w:r w:rsidRPr="00472578">
        <w:rPr>
          <w:i/>
        </w:rPr>
        <w:t xml:space="preserve">lakes </w:t>
      </w:r>
      <w:r w:rsidRPr="00472578">
        <w:t xml:space="preserve">and </w:t>
      </w:r>
      <w:r w:rsidRPr="00472578">
        <w:rPr>
          <w:i/>
        </w:rPr>
        <w:t xml:space="preserve">rivers </w:t>
      </w:r>
      <w:r w:rsidRPr="00472578">
        <w:t xml:space="preserve">in Central Otago, from </w:t>
      </w:r>
      <w:r w:rsidRPr="00472578">
        <w:rPr>
          <w:i/>
        </w:rPr>
        <w:t xml:space="preserve">building </w:t>
      </w:r>
      <w:r w:rsidRPr="00472578">
        <w:t xml:space="preserve">platforms and from </w:t>
      </w:r>
      <w:r w:rsidRPr="00472578">
        <w:rPr>
          <w:i/>
        </w:rPr>
        <w:t xml:space="preserve">stormwater </w:t>
      </w:r>
      <w:r w:rsidRPr="00472578">
        <w:t xml:space="preserve">contamination. Activities such as agricultural </w:t>
      </w:r>
      <w:r w:rsidR="00D8016E" w:rsidRPr="0013138D">
        <w:rPr>
          <w:u w:val="single"/>
        </w:rPr>
        <w:t>land use</w:t>
      </w:r>
      <w:r w:rsidR="00D8016E" w:rsidRPr="0013138D">
        <w:rPr>
          <w:strike/>
        </w:rPr>
        <w:t xml:space="preserve"> </w:t>
      </w:r>
      <w:r w:rsidRPr="0013138D">
        <w:rPr>
          <w:strike/>
        </w:rPr>
        <w:t>intensification</w:t>
      </w:r>
      <w:r w:rsidR="00A7702C" w:rsidRPr="00F72DC3">
        <w:rPr>
          <w:rStyle w:val="FootnoteReference"/>
        </w:rPr>
        <w:footnoteReference w:id="372"/>
      </w:r>
      <w:r w:rsidRPr="00472578">
        <w:t>, mining, and forestry also contribute.</w:t>
      </w:r>
    </w:p>
    <w:p w14:paraId="79C997C8" w14:textId="3EA37782" w:rsidR="00B02DBF" w:rsidRPr="00472578" w:rsidRDefault="00B02DBF" w:rsidP="00E92686">
      <w:pPr>
        <w:pStyle w:val="BodyText"/>
      </w:pPr>
      <w:r w:rsidRPr="00472578">
        <w:t xml:space="preserve">Agricultural </w:t>
      </w:r>
      <w:r w:rsidR="00F72DC3" w:rsidRPr="0013138D">
        <w:rPr>
          <w:u w:val="single"/>
        </w:rPr>
        <w:t>land use</w:t>
      </w:r>
      <w:r w:rsidR="00F72DC3" w:rsidRPr="0013138D">
        <w:rPr>
          <w:strike/>
        </w:rPr>
        <w:t xml:space="preserve"> </w:t>
      </w:r>
      <w:r w:rsidRPr="0013138D">
        <w:rPr>
          <w:strike/>
        </w:rPr>
        <w:t>intensification</w:t>
      </w:r>
      <w:r w:rsidR="00F72DC3" w:rsidRPr="00F72DC3">
        <w:rPr>
          <w:rStyle w:val="FootnoteReference"/>
        </w:rPr>
        <w:footnoteReference w:id="373"/>
      </w:r>
      <w:r w:rsidRPr="00472578">
        <w:t xml:space="preserve"> also contributes to nutrients (nitrogen and phosphorus) leaching into underlying </w:t>
      </w:r>
      <w:r w:rsidRPr="00472578">
        <w:rPr>
          <w:i/>
        </w:rPr>
        <w:t xml:space="preserve">groundwater </w:t>
      </w:r>
      <w:r w:rsidRPr="00472578">
        <w:t xml:space="preserve">or running off into surface </w:t>
      </w:r>
      <w:r w:rsidRPr="00472578">
        <w:rPr>
          <w:i/>
        </w:rPr>
        <w:t>water bodies</w:t>
      </w:r>
      <w:r w:rsidRPr="00472578">
        <w:t xml:space="preserve">, and </w:t>
      </w:r>
      <w:r w:rsidRPr="09FE94C7">
        <w:rPr>
          <w:u w:val="single"/>
        </w:rPr>
        <w:t>agricultural intensification</w:t>
      </w:r>
      <w:r w:rsidRPr="09FE94C7">
        <w:rPr>
          <w:rStyle w:val="FootnoteReference"/>
        </w:rPr>
        <w:footnoteReference w:id="374"/>
      </w:r>
      <w:r w:rsidRPr="00472578">
        <w:t xml:space="preserve"> can also increase the risk of </w:t>
      </w:r>
      <w:proofErr w:type="gramStart"/>
      <w:r w:rsidRPr="00472578">
        <w:rPr>
          <w:i/>
        </w:rPr>
        <w:t>E.coli</w:t>
      </w:r>
      <w:proofErr w:type="gramEnd"/>
      <w:r w:rsidRPr="00472578">
        <w:rPr>
          <w:i/>
        </w:rPr>
        <w:t xml:space="preserve"> </w:t>
      </w:r>
      <w:r w:rsidRPr="00472578">
        <w:t>contamination from animal waste.</w:t>
      </w:r>
    </w:p>
    <w:p w14:paraId="45D0DA01" w14:textId="77777777" w:rsidR="00B02DBF" w:rsidRPr="00472578" w:rsidRDefault="00B02DBF" w:rsidP="00E92686">
      <w:pPr>
        <w:ind w:right="111"/>
        <w:jc w:val="both"/>
      </w:pPr>
      <w:r w:rsidRPr="00472578">
        <w:t xml:space="preserve">Urban environmental </w:t>
      </w:r>
      <w:r w:rsidRPr="00472578">
        <w:rPr>
          <w:i/>
        </w:rPr>
        <w:t xml:space="preserve">contaminants </w:t>
      </w:r>
      <w:r w:rsidRPr="00472578">
        <w:t xml:space="preserve">include hydrocarbons, and metals from </w:t>
      </w:r>
      <w:r w:rsidRPr="00472578">
        <w:rPr>
          <w:i/>
        </w:rPr>
        <w:t xml:space="preserve">roads </w:t>
      </w:r>
      <w:r w:rsidRPr="00472578">
        <w:t xml:space="preserve">and </w:t>
      </w:r>
      <w:r w:rsidRPr="00472578">
        <w:rPr>
          <w:i/>
        </w:rPr>
        <w:t>structures</w:t>
      </w:r>
      <w:r w:rsidRPr="00472578">
        <w:t xml:space="preserve">. They often wash into urban </w:t>
      </w:r>
      <w:r w:rsidRPr="00472578">
        <w:rPr>
          <w:i/>
        </w:rPr>
        <w:t xml:space="preserve">stormwater </w:t>
      </w:r>
      <w:r w:rsidRPr="00472578">
        <w:t xml:space="preserve">systems and pass unfiltered into </w:t>
      </w:r>
      <w:r w:rsidRPr="00472578">
        <w:rPr>
          <w:i/>
        </w:rPr>
        <w:t>water bodies</w:t>
      </w:r>
      <w:r w:rsidRPr="00472578">
        <w:t xml:space="preserve">, or the </w:t>
      </w:r>
      <w:r w:rsidRPr="00472578">
        <w:rPr>
          <w:i/>
        </w:rPr>
        <w:t>coastal marine area</w:t>
      </w:r>
      <w:r w:rsidRPr="00472578">
        <w:t xml:space="preserve">. </w:t>
      </w:r>
      <w:r w:rsidRPr="00472578">
        <w:rPr>
          <w:i/>
        </w:rPr>
        <w:t xml:space="preserve">Stormwater effects, </w:t>
      </w:r>
      <w:r w:rsidRPr="00472578">
        <w:t xml:space="preserve">particularly in urban areas, are poorly understood. </w:t>
      </w:r>
      <w:r w:rsidRPr="00472578">
        <w:rPr>
          <w:i/>
        </w:rPr>
        <w:t xml:space="preserve">Wastewater </w:t>
      </w:r>
      <w:r w:rsidRPr="00472578">
        <w:t xml:space="preserve">and </w:t>
      </w:r>
      <w:r w:rsidRPr="00472578">
        <w:rPr>
          <w:i/>
        </w:rPr>
        <w:t xml:space="preserve">stormwater </w:t>
      </w:r>
      <w:r w:rsidRPr="00472578">
        <w:t xml:space="preserve">systems may not be adequate in some places due to aging </w:t>
      </w:r>
      <w:r w:rsidRPr="00472578">
        <w:rPr>
          <w:i/>
        </w:rPr>
        <w:t>infrastructure</w:t>
      </w:r>
      <w:r w:rsidRPr="00472578">
        <w:t xml:space="preserve">, rapid growth pressure, or insufficient investment in replacement or upgrades. Overflows of </w:t>
      </w:r>
      <w:r w:rsidRPr="00472578">
        <w:rPr>
          <w:i/>
        </w:rPr>
        <w:t xml:space="preserve">wastewater </w:t>
      </w:r>
      <w:r w:rsidRPr="00472578">
        <w:t>(</w:t>
      </w:r>
      <w:r w:rsidRPr="00472578">
        <w:rPr>
          <w:i/>
        </w:rPr>
        <w:t xml:space="preserve">sewage </w:t>
      </w:r>
      <w:r w:rsidRPr="00472578">
        <w:t xml:space="preserve">and waste products) create significant </w:t>
      </w:r>
      <w:r w:rsidRPr="00472578">
        <w:rPr>
          <w:i/>
        </w:rPr>
        <w:t xml:space="preserve">risks </w:t>
      </w:r>
      <w:r w:rsidRPr="00472578">
        <w:t xml:space="preserve">for </w:t>
      </w:r>
      <w:r w:rsidRPr="00472578">
        <w:rPr>
          <w:i/>
        </w:rPr>
        <w:t xml:space="preserve">water </w:t>
      </w:r>
      <w:r w:rsidRPr="00472578">
        <w:t xml:space="preserve">quality. These can enter the </w:t>
      </w:r>
      <w:r w:rsidRPr="00472578">
        <w:rPr>
          <w:i/>
        </w:rPr>
        <w:t xml:space="preserve">environment </w:t>
      </w:r>
      <w:r w:rsidRPr="00472578">
        <w:t xml:space="preserve">either directly or through </w:t>
      </w:r>
      <w:r w:rsidRPr="00472578">
        <w:rPr>
          <w:i/>
        </w:rPr>
        <w:t xml:space="preserve">stormwater </w:t>
      </w:r>
      <w:r w:rsidRPr="00472578">
        <w:t>systems, particularly in flood events.</w:t>
      </w:r>
    </w:p>
    <w:p w14:paraId="43D1596A" w14:textId="77777777" w:rsidR="00B02DBF" w:rsidRPr="00472578" w:rsidRDefault="00B02DBF" w:rsidP="00E92686">
      <w:pPr>
        <w:pStyle w:val="Heading5"/>
        <w:jc w:val="both"/>
      </w:pPr>
      <w:r w:rsidRPr="00472578">
        <w:t>Economic</w:t>
      </w:r>
    </w:p>
    <w:p w14:paraId="516015C5" w14:textId="3B352BE2" w:rsidR="00B02DBF" w:rsidRPr="00472578" w:rsidRDefault="00B02DBF" w:rsidP="00E92686">
      <w:pPr>
        <w:pStyle w:val="BodyText"/>
      </w:pPr>
      <w:r w:rsidRPr="00472578">
        <w:rPr>
          <w:i/>
        </w:rPr>
        <w:lastRenderedPageBreak/>
        <w:t xml:space="preserve">Water </w:t>
      </w:r>
      <w:r w:rsidRPr="00472578">
        <w:t xml:space="preserve">pollution (from nutrients, chemicals, </w:t>
      </w:r>
      <w:proofErr w:type="gramStart"/>
      <w:r w:rsidRPr="00472578">
        <w:t>pathogens</w:t>
      </w:r>
      <w:proofErr w:type="gramEnd"/>
      <w:r w:rsidRPr="00472578">
        <w:t xml:space="preserve"> and sediment) can have far-reaching </w:t>
      </w:r>
      <w:r w:rsidRPr="00472578">
        <w:rPr>
          <w:i/>
        </w:rPr>
        <w:t xml:space="preserve">effects </w:t>
      </w:r>
      <w:r w:rsidRPr="00472578">
        <w:t xml:space="preserve">potentially impacting tourism, property values, commercial fishing, recreational businesses, and many other sectors that depend on clean </w:t>
      </w:r>
      <w:r w:rsidRPr="00472578">
        <w:rPr>
          <w:i/>
        </w:rPr>
        <w:t>water</w:t>
      </w:r>
      <w:r w:rsidR="00D00F7B">
        <w:t>.</w:t>
      </w:r>
      <w:r w:rsidR="00D00F7B" w:rsidRPr="00D00F7B">
        <w:rPr>
          <w:rStyle w:val="FootnoteReference"/>
          <w:shd w:val="clear" w:color="auto" w:fill="D9D9D9" w:themeFill="background1" w:themeFillShade="D9"/>
        </w:rPr>
        <w:footnoteReference w:id="375"/>
      </w:r>
    </w:p>
    <w:p w14:paraId="6E300460" w14:textId="77777777" w:rsidR="00B02DBF" w:rsidRPr="00472578" w:rsidRDefault="00B02DBF" w:rsidP="00E92686">
      <w:pPr>
        <w:pStyle w:val="BodyText"/>
      </w:pPr>
      <w:r w:rsidRPr="00472578">
        <w:t>These impacts can be direct (varying the quality of primary production outputs such as fish); increasing costs of production through mitigation or remediation costs (</w:t>
      </w:r>
      <w:r w:rsidRPr="00472578">
        <w:rPr>
          <w:i/>
        </w:rPr>
        <w:t xml:space="preserve">drinking water </w:t>
      </w:r>
      <w:r w:rsidRPr="00472578">
        <w:t>treatment cost, riparian restoration); loss of enjoyment and benefit from tourism uses, and indirect such as cost to human health and associated medical costs, or reduction in brand value (</w:t>
      </w:r>
      <w:proofErr w:type="gramStart"/>
      <w:r w:rsidRPr="00472578">
        <w:t>e.g.</w:t>
      </w:r>
      <w:proofErr w:type="gramEnd"/>
      <w:r w:rsidRPr="00472578">
        <w:t xml:space="preserve"> Brand New Zealand).</w:t>
      </w:r>
    </w:p>
    <w:p w14:paraId="693DFE2C" w14:textId="77777777" w:rsidR="00B02DBF" w:rsidRPr="00472578" w:rsidRDefault="00B02DBF" w:rsidP="00E92686">
      <w:pPr>
        <w:pStyle w:val="Heading5"/>
        <w:jc w:val="both"/>
      </w:pPr>
      <w:r w:rsidRPr="00472578">
        <w:t>Social</w:t>
      </w:r>
    </w:p>
    <w:p w14:paraId="0A4CC803" w14:textId="475EAD81" w:rsidR="00B02DBF" w:rsidRPr="00472578" w:rsidRDefault="00B02DBF" w:rsidP="00E92686">
      <w:pPr>
        <w:pStyle w:val="BodyText"/>
      </w:pPr>
      <w:r w:rsidRPr="00472578">
        <w:t xml:space="preserve">For the wider community, </w:t>
      </w:r>
      <w:r w:rsidRPr="00472578">
        <w:rPr>
          <w:i/>
        </w:rPr>
        <w:t xml:space="preserve">water </w:t>
      </w:r>
      <w:r w:rsidRPr="00472578">
        <w:t xml:space="preserve">is a source of kai and of recreation, including swimming, </w:t>
      </w:r>
      <w:proofErr w:type="gramStart"/>
      <w:r w:rsidRPr="00472578">
        <w:t>fishing</w:t>
      </w:r>
      <w:proofErr w:type="gramEnd"/>
      <w:r w:rsidRPr="00472578">
        <w:t xml:space="preserve"> and </w:t>
      </w:r>
      <w:r w:rsidRPr="00472578">
        <w:rPr>
          <w:i/>
        </w:rPr>
        <w:t xml:space="preserve">water </w:t>
      </w:r>
      <w:r w:rsidRPr="00472578">
        <w:t xml:space="preserve">sports. Otago’s </w:t>
      </w:r>
      <w:r w:rsidRPr="00472578">
        <w:rPr>
          <w:i/>
        </w:rPr>
        <w:t>rivers, lakes</w:t>
      </w:r>
      <w:r w:rsidRPr="00472578">
        <w:t xml:space="preserve">, </w:t>
      </w:r>
      <w:proofErr w:type="gramStart"/>
      <w:r w:rsidRPr="00472578">
        <w:t>estuaries</w:t>
      </w:r>
      <w:proofErr w:type="gramEnd"/>
      <w:r w:rsidRPr="00472578">
        <w:t xml:space="preserve"> and bays are important destinations for recreational </w:t>
      </w:r>
      <w:r w:rsidRPr="00472578">
        <w:rPr>
          <w:i/>
        </w:rPr>
        <w:t xml:space="preserve">use </w:t>
      </w:r>
      <w:r w:rsidRPr="00472578">
        <w:t xml:space="preserve">including swimming, fishing and </w:t>
      </w:r>
      <w:r w:rsidRPr="00472578">
        <w:rPr>
          <w:i/>
        </w:rPr>
        <w:t xml:space="preserve">water </w:t>
      </w:r>
      <w:r w:rsidRPr="00472578">
        <w:t xml:space="preserve">sports. Eighty-two per cent of Otago’s </w:t>
      </w:r>
      <w:r w:rsidRPr="00472578">
        <w:rPr>
          <w:i/>
        </w:rPr>
        <w:t xml:space="preserve">rivers </w:t>
      </w:r>
      <w:r w:rsidRPr="00472578">
        <w:t xml:space="preserve">and </w:t>
      </w:r>
      <w:r w:rsidRPr="00472578">
        <w:rPr>
          <w:i/>
        </w:rPr>
        <w:t xml:space="preserve">lakes </w:t>
      </w:r>
      <w:r w:rsidRPr="00472578">
        <w:t>are swimmable</w:t>
      </w:r>
      <w:r w:rsidR="00D00F7B">
        <w:t>.</w:t>
      </w:r>
      <w:r w:rsidR="00D00F7B" w:rsidRPr="00D00F7B">
        <w:rPr>
          <w:rStyle w:val="FootnoteReference"/>
          <w:shd w:val="clear" w:color="auto" w:fill="D9D9D9" w:themeFill="background1" w:themeFillShade="D9"/>
        </w:rPr>
        <w:footnoteReference w:id="376"/>
      </w:r>
      <w:r w:rsidR="00D00F7B">
        <w:t xml:space="preserve"> </w:t>
      </w:r>
      <w:r w:rsidRPr="00472578">
        <w:t xml:space="preserve">Where </w:t>
      </w:r>
      <w:r w:rsidRPr="00472578">
        <w:rPr>
          <w:i/>
        </w:rPr>
        <w:t xml:space="preserve">water </w:t>
      </w:r>
      <w:r w:rsidRPr="00472578">
        <w:t xml:space="preserve">quality cannot support these activities, the lifestyle of those living in </w:t>
      </w:r>
      <w:r w:rsidR="008873B9" w:rsidRPr="00472578">
        <w:t>Otago is</w:t>
      </w:r>
      <w:r w:rsidRPr="00472578">
        <w:t xml:space="preserve"> impacted.</w:t>
      </w:r>
    </w:p>
    <w:p w14:paraId="28965685" w14:textId="25B6E02C" w:rsidR="00B02DBF" w:rsidRPr="00472578" w:rsidRDefault="00B02DBF" w:rsidP="00E92686">
      <w:pPr>
        <w:pStyle w:val="BodyText"/>
      </w:pPr>
      <w:r w:rsidRPr="00472578">
        <w:t xml:space="preserve">Degraded </w:t>
      </w:r>
      <w:r w:rsidRPr="00472578">
        <w:rPr>
          <w:i/>
        </w:rPr>
        <w:t xml:space="preserve">water </w:t>
      </w:r>
      <w:r w:rsidRPr="00472578">
        <w:t xml:space="preserve">quality reduces the mauri of the </w:t>
      </w:r>
      <w:r w:rsidRPr="00472578">
        <w:rPr>
          <w:i/>
        </w:rPr>
        <w:t xml:space="preserve">water </w:t>
      </w:r>
      <w:r w:rsidRPr="00472578">
        <w:t xml:space="preserve">and the habitats and species it supports, therefore also negatively affecting </w:t>
      </w:r>
      <w:r w:rsidR="00FF5C26" w:rsidRPr="009C237D">
        <w:rPr>
          <w:strike/>
        </w:rPr>
        <w:t>mahika kai</w:t>
      </w:r>
      <w:r w:rsidR="00FF5C26" w:rsidRPr="00472578">
        <w:t xml:space="preserve"> </w:t>
      </w:r>
      <w:r w:rsidR="00FF5C26" w:rsidRPr="00AA2FB8">
        <w:rPr>
          <w:i/>
          <w:iCs/>
          <w:u w:val="single"/>
        </w:rPr>
        <w:t>mahika kai</w:t>
      </w:r>
      <w:r w:rsidR="00FF5C26">
        <w:rPr>
          <w:rStyle w:val="FootnoteReference"/>
        </w:rPr>
        <w:footnoteReference w:id="377"/>
      </w:r>
      <w:r w:rsidRPr="00472578">
        <w:t xml:space="preserve"> and taoka species and places. This constitutes a loss </w:t>
      </w:r>
      <w:r w:rsidR="008873B9" w:rsidRPr="00472578">
        <w:t>of Kāi</w:t>
      </w:r>
      <w:r w:rsidRPr="00472578">
        <w:t xml:space="preserve"> Tahu culture, affecting the intergenerational transfer of knowledge handed down from tūpuna over hundreds of years; and it culminates in a </w:t>
      </w:r>
      <w:r w:rsidRPr="00472578">
        <w:rPr>
          <w:strike/>
        </w:rPr>
        <w:t>loss</w:t>
      </w:r>
      <w:r w:rsidRPr="00472578">
        <w:t xml:space="preserve"> </w:t>
      </w:r>
      <w:r w:rsidRPr="00472578">
        <w:rPr>
          <w:u w:val="single"/>
        </w:rPr>
        <w:t>diminishing</w:t>
      </w:r>
      <w:r w:rsidRPr="00472578">
        <w:t xml:space="preserve"> of </w:t>
      </w:r>
      <w:r w:rsidRPr="00472578">
        <w:rPr>
          <w:strike/>
        </w:rPr>
        <w:t>rakatirataka and</w:t>
      </w:r>
      <w:r w:rsidR="00AF3F37" w:rsidRPr="00472578">
        <w:t xml:space="preserve"> </w:t>
      </w:r>
      <w:r w:rsidRPr="00472578">
        <w:t>mana.</w:t>
      </w:r>
      <w:r w:rsidR="00AF3F37" w:rsidRPr="00472578">
        <w:rPr>
          <w:rStyle w:val="FootnoteReference"/>
        </w:rPr>
        <w:footnoteReference w:id="378"/>
      </w:r>
    </w:p>
    <w:p w14:paraId="58138B22" w14:textId="2D35EECC" w:rsidR="00B02DBF" w:rsidRPr="00472578" w:rsidRDefault="00B208D6" w:rsidP="00D00F7B">
      <w:pPr>
        <w:pStyle w:val="Heading3"/>
        <w:jc w:val="both"/>
      </w:pPr>
      <w:r w:rsidRPr="00472578">
        <w:t>SRMR-I</w:t>
      </w:r>
      <w:r w:rsidR="00B02DBF" w:rsidRPr="00472578">
        <w:t xml:space="preserve">7 – Rich and varied </w:t>
      </w:r>
      <w:r w:rsidR="00B02DBF" w:rsidRPr="00472578">
        <w:rPr>
          <w:i/>
        </w:rPr>
        <w:t xml:space="preserve">biodiversity </w:t>
      </w:r>
      <w:r w:rsidR="00B02DBF" w:rsidRPr="00472578">
        <w:t>has been lost or degraded due to human activities and the presence of pests and predators</w:t>
      </w:r>
    </w:p>
    <w:p w14:paraId="00CD8D38" w14:textId="77777777" w:rsidR="00B02DBF" w:rsidRPr="00472578" w:rsidRDefault="00B02DBF" w:rsidP="00E92686">
      <w:pPr>
        <w:pStyle w:val="Heading4"/>
        <w:jc w:val="both"/>
      </w:pPr>
      <w:r w:rsidRPr="00472578">
        <w:t>Statement</w:t>
      </w:r>
    </w:p>
    <w:p w14:paraId="68AF461A" w14:textId="18FEDD31" w:rsidR="00B02DBF" w:rsidRPr="00472578" w:rsidRDefault="00B02DBF" w:rsidP="00E92686">
      <w:pPr>
        <w:pStyle w:val="BodyText"/>
      </w:pPr>
      <w:r w:rsidRPr="00472578">
        <w:t xml:space="preserve">Fragmentation, loss and isolation of populations and communities of indigenous species has been ongoing across New Zealand, and Otago is no exception. </w:t>
      </w:r>
      <w:r w:rsidRPr="00472578">
        <w:rPr>
          <w:i/>
        </w:rPr>
        <w:t xml:space="preserve">Biodiversity </w:t>
      </w:r>
      <w:r w:rsidRPr="00472578">
        <w:t>mapping indicates Otago is one of the most modified regions in New Zealand</w:t>
      </w:r>
      <w:r w:rsidR="004C176B">
        <w:t>.</w:t>
      </w:r>
      <w:r w:rsidR="00462055" w:rsidRPr="004C176B">
        <w:rPr>
          <w:rStyle w:val="FootnoteReference"/>
          <w:u w:val="single"/>
          <w:shd w:val="clear" w:color="auto" w:fill="D9D9D9" w:themeFill="background1" w:themeFillShade="D9"/>
        </w:rPr>
        <w:footnoteReference w:id="379"/>
      </w:r>
      <w:r w:rsidRPr="00472578">
        <w:t xml:space="preserve"> This can be attributed to habitat loss, land use changes, vegetation clearance and the presence of pests and predators. Further, many of these </w:t>
      </w:r>
      <w:r w:rsidRPr="00472578">
        <w:rPr>
          <w:i/>
        </w:rPr>
        <w:t xml:space="preserve">effects </w:t>
      </w:r>
      <w:r w:rsidRPr="00472578">
        <w:t xml:space="preserve">are a result of the cumulative changes of past and current development. These cumulative </w:t>
      </w:r>
      <w:r w:rsidRPr="00472578">
        <w:rPr>
          <w:i/>
        </w:rPr>
        <w:t xml:space="preserve">effects </w:t>
      </w:r>
      <w:r w:rsidRPr="00472578">
        <w:t xml:space="preserve">have often not been identified, </w:t>
      </w:r>
      <w:proofErr w:type="gramStart"/>
      <w:r w:rsidRPr="00472578">
        <w:t>managed</w:t>
      </w:r>
      <w:proofErr w:type="gramEnd"/>
      <w:r w:rsidRPr="00472578">
        <w:t xml:space="preserve"> or measured. Leadership and coordination of the various initiatives to address </w:t>
      </w:r>
      <w:r w:rsidRPr="00472578">
        <w:rPr>
          <w:i/>
        </w:rPr>
        <w:t xml:space="preserve">biodiversity </w:t>
      </w:r>
      <w:r w:rsidRPr="00472578">
        <w:t>loss has also been lacking.</w:t>
      </w:r>
    </w:p>
    <w:p w14:paraId="437EF0DB" w14:textId="77777777" w:rsidR="00B02DBF" w:rsidRPr="00472578" w:rsidRDefault="00B02DBF" w:rsidP="00E92686">
      <w:pPr>
        <w:pStyle w:val="Heading4"/>
        <w:jc w:val="both"/>
      </w:pPr>
      <w:r w:rsidRPr="00472578">
        <w:t>Context</w:t>
      </w:r>
    </w:p>
    <w:p w14:paraId="77EADEEB" w14:textId="77777777" w:rsidR="00B02DBF" w:rsidRPr="00472578" w:rsidRDefault="00B02DBF" w:rsidP="00E92686">
      <w:pPr>
        <w:pStyle w:val="BodyText"/>
      </w:pPr>
      <w:r w:rsidRPr="00472578">
        <w:t xml:space="preserve">Otago is notable for the diversity of its landscapes, ecosystems, and climatic conditions. With that comes a diverse range of important </w:t>
      </w:r>
      <w:r w:rsidRPr="00472578">
        <w:rPr>
          <w:i/>
        </w:rPr>
        <w:t xml:space="preserve">biodiversity </w:t>
      </w:r>
      <w:r w:rsidRPr="00472578">
        <w:t xml:space="preserve">values which are at </w:t>
      </w:r>
      <w:r w:rsidRPr="00472578">
        <w:rPr>
          <w:i/>
        </w:rPr>
        <w:t>risk</w:t>
      </w:r>
      <w:r w:rsidRPr="00472578">
        <w:t xml:space="preserve">. These include rare ecosystems such as </w:t>
      </w:r>
      <w:r w:rsidRPr="00472578">
        <w:lastRenderedPageBreak/>
        <w:t xml:space="preserve">inland saline habitats, nationally rare </w:t>
      </w:r>
      <w:proofErr w:type="gramStart"/>
      <w:r w:rsidRPr="00472578">
        <w:rPr>
          <w:i/>
        </w:rPr>
        <w:t>lake</w:t>
      </w:r>
      <w:proofErr w:type="gramEnd"/>
      <w:r w:rsidRPr="00472578">
        <w:rPr>
          <w:i/>
        </w:rPr>
        <w:t xml:space="preserve"> </w:t>
      </w:r>
      <w:r w:rsidRPr="00472578">
        <w:t xml:space="preserve">and </w:t>
      </w:r>
      <w:r w:rsidRPr="00472578">
        <w:rPr>
          <w:i/>
        </w:rPr>
        <w:t xml:space="preserve">river </w:t>
      </w:r>
      <w:r w:rsidRPr="00472578">
        <w:t>systems, endemic and threatened lizard and fish species and important and diverse marine and coastal habitats.</w:t>
      </w:r>
    </w:p>
    <w:p w14:paraId="0876C3A7" w14:textId="77777777" w:rsidR="00B02DBF" w:rsidRPr="00472578" w:rsidRDefault="00B02DBF" w:rsidP="00E92686">
      <w:pPr>
        <w:pStyle w:val="BodyText"/>
      </w:pPr>
      <w:r w:rsidRPr="00472578">
        <w:t xml:space="preserve">Ecosystems are an interacting system of living and non-living parts such as sunlight, air, </w:t>
      </w:r>
      <w:r w:rsidRPr="00472578">
        <w:rPr>
          <w:i/>
        </w:rPr>
        <w:t>water</w:t>
      </w:r>
      <w:r w:rsidRPr="00472578">
        <w:t xml:space="preserve">, </w:t>
      </w:r>
      <w:proofErr w:type="gramStart"/>
      <w:r w:rsidRPr="00472578">
        <w:rPr>
          <w:i/>
        </w:rPr>
        <w:t>minerals</w:t>
      </w:r>
      <w:proofErr w:type="gramEnd"/>
      <w:r w:rsidRPr="00472578">
        <w:rPr>
          <w:i/>
        </w:rPr>
        <w:t xml:space="preserve"> </w:t>
      </w:r>
      <w:r w:rsidRPr="00472578">
        <w:t xml:space="preserve">and nutrients. </w:t>
      </w:r>
      <w:r w:rsidRPr="00472578">
        <w:rPr>
          <w:i/>
        </w:rPr>
        <w:t xml:space="preserve">Biological diversity </w:t>
      </w:r>
      <w:r w:rsidRPr="00472578">
        <w:t xml:space="preserve">(hereafter called </w:t>
      </w:r>
      <w:r w:rsidRPr="00472578">
        <w:rPr>
          <w:i/>
        </w:rPr>
        <w:t>biodiversity</w:t>
      </w:r>
      <w:r w:rsidRPr="00472578">
        <w:t xml:space="preserve">) describes the variety of all living things, including the range of species living in our </w:t>
      </w:r>
      <w:r w:rsidRPr="00472578">
        <w:rPr>
          <w:i/>
        </w:rPr>
        <w:t>environments</w:t>
      </w:r>
      <w:r w:rsidRPr="00472578">
        <w:t xml:space="preserve">, their genetics, and the ecosystems where they live. New Zealand’s high level of indigenous </w:t>
      </w:r>
      <w:r w:rsidRPr="00472578">
        <w:rPr>
          <w:i/>
        </w:rPr>
        <w:t xml:space="preserve">biodiversity </w:t>
      </w:r>
      <w:r w:rsidRPr="00472578">
        <w:t xml:space="preserve">makes a unique contribution to the world’s </w:t>
      </w:r>
      <w:r w:rsidRPr="00472578">
        <w:rPr>
          <w:i/>
        </w:rPr>
        <w:t>biodiversity</w:t>
      </w:r>
      <w:r w:rsidRPr="00472578">
        <w:t xml:space="preserve">. Otago is a good example of the enormous diversity in New Zealand’s natural environment from toroa (albatross) and hoiho (yellow-eyed penguins) on the Otago Peninsula to the endangered species (for example, skinks) of Central Otago, the kea of the Southern Alps, galaxias species as well as the internationally significant braided </w:t>
      </w:r>
      <w:r w:rsidRPr="00472578">
        <w:rPr>
          <w:i/>
        </w:rPr>
        <w:t xml:space="preserve">rivers </w:t>
      </w:r>
      <w:r w:rsidRPr="00472578">
        <w:t>and their ecosystems.</w:t>
      </w:r>
    </w:p>
    <w:p w14:paraId="4F3C8EE5" w14:textId="5A557DDD" w:rsidR="00B02DBF" w:rsidRPr="00472578" w:rsidRDefault="00B02DBF" w:rsidP="00E92686">
      <w:pPr>
        <w:pStyle w:val="BodyText"/>
      </w:pPr>
      <w:r w:rsidRPr="00472578">
        <w:t xml:space="preserve">The health of New Zealand’s </w:t>
      </w:r>
      <w:r w:rsidRPr="00472578">
        <w:rPr>
          <w:i/>
        </w:rPr>
        <w:t xml:space="preserve">biodiversity </w:t>
      </w:r>
      <w:r w:rsidRPr="00472578">
        <w:t>has declined significantly since the arrival of humans. Environment Aotearoa 201</w:t>
      </w:r>
      <w:r w:rsidR="00AF3F37" w:rsidRPr="00472578">
        <w:t>9</w:t>
      </w:r>
      <w:r w:rsidR="00E340FA" w:rsidRPr="00E340FA">
        <w:rPr>
          <w:rStyle w:val="FootnoteReference"/>
          <w:shd w:val="clear" w:color="auto" w:fill="D9D9D9" w:themeFill="background1" w:themeFillShade="D9"/>
        </w:rPr>
        <w:footnoteReference w:id="380"/>
      </w:r>
      <w:r w:rsidRPr="00472578">
        <w:t xml:space="preserve"> found that our indigenous </w:t>
      </w:r>
      <w:r w:rsidRPr="00472578">
        <w:rPr>
          <w:i/>
        </w:rPr>
        <w:t xml:space="preserve">biodiversity </w:t>
      </w:r>
      <w:r w:rsidRPr="00472578">
        <w:t xml:space="preserve">is under significant pressure from introduced species, pollution, physical changes to our </w:t>
      </w:r>
      <w:r w:rsidRPr="00472578">
        <w:rPr>
          <w:i/>
        </w:rPr>
        <w:t xml:space="preserve">environment </w:t>
      </w:r>
      <w:r w:rsidRPr="00472578">
        <w:t>and harvesting of wild species.</w:t>
      </w:r>
    </w:p>
    <w:p w14:paraId="70B23541" w14:textId="644C478B" w:rsidR="00B02DBF" w:rsidRPr="00472578" w:rsidRDefault="00B02DBF" w:rsidP="00E92686">
      <w:pPr>
        <w:pStyle w:val="BodyText"/>
      </w:pPr>
      <w:r w:rsidRPr="00472578">
        <w:t xml:space="preserve">Almost 4,000 native species are currently threatened with, or at </w:t>
      </w:r>
      <w:r w:rsidRPr="00472578">
        <w:rPr>
          <w:i/>
        </w:rPr>
        <w:t xml:space="preserve">risk </w:t>
      </w:r>
      <w:r w:rsidRPr="00472578">
        <w:t>of, extinction. The information</w:t>
      </w:r>
      <w:r w:rsidR="00AF3F37" w:rsidRPr="00472578">
        <w:t xml:space="preserve"> </w:t>
      </w:r>
      <w:r w:rsidRPr="00472578">
        <w:t xml:space="preserve">available indicates Otago’s </w:t>
      </w:r>
      <w:r w:rsidRPr="00472578">
        <w:rPr>
          <w:i/>
        </w:rPr>
        <w:t xml:space="preserve">biodiversity </w:t>
      </w:r>
      <w:r w:rsidRPr="00472578">
        <w:t>faces the same challenges.</w:t>
      </w:r>
    </w:p>
    <w:p w14:paraId="50DF9F12" w14:textId="65F84A7C" w:rsidR="00B02DBF" w:rsidRPr="00472578" w:rsidRDefault="00B02DBF" w:rsidP="00E92686">
      <w:pPr>
        <w:pStyle w:val="Heading4"/>
        <w:jc w:val="both"/>
      </w:pPr>
      <w:r w:rsidRPr="00472578">
        <w:t>Impact snapshot</w:t>
      </w:r>
    </w:p>
    <w:p w14:paraId="2DE65C31" w14:textId="77777777" w:rsidR="00B02DBF" w:rsidRPr="00472578" w:rsidRDefault="00B02DBF" w:rsidP="00E92686">
      <w:pPr>
        <w:pStyle w:val="Heading5"/>
        <w:jc w:val="both"/>
      </w:pPr>
      <w:r w:rsidRPr="00472578">
        <w:t>Environmental</w:t>
      </w:r>
    </w:p>
    <w:p w14:paraId="796B97CB" w14:textId="77777777" w:rsidR="00B02DBF" w:rsidRPr="00472578" w:rsidRDefault="00B02DBF" w:rsidP="00E92686">
      <w:pPr>
        <w:pStyle w:val="BodyText"/>
      </w:pPr>
      <w:r w:rsidRPr="00472578">
        <w:t xml:space="preserve">Threats to </w:t>
      </w:r>
      <w:r w:rsidRPr="00472578">
        <w:rPr>
          <w:i/>
        </w:rPr>
        <w:t xml:space="preserve">biodiversity </w:t>
      </w:r>
      <w:r w:rsidRPr="00472578">
        <w:t xml:space="preserve">in Otago include invasive species (weeds and predators), vegetation clearing, land fragmentation and grassland "improvement", poor </w:t>
      </w:r>
      <w:r w:rsidRPr="00472578">
        <w:rPr>
          <w:i/>
        </w:rPr>
        <w:t xml:space="preserve">water </w:t>
      </w:r>
      <w:r w:rsidRPr="00472578">
        <w:t>quality (nutrients and sediments), dredging and overfishing.</w:t>
      </w:r>
    </w:p>
    <w:p w14:paraId="2FAB3857" w14:textId="07D1DE0D" w:rsidR="00B02DBF" w:rsidRPr="00472578" w:rsidRDefault="00B02DBF" w:rsidP="00E92686">
      <w:pPr>
        <w:pStyle w:val="BodyText"/>
        <w:rPr>
          <w:strike/>
        </w:rPr>
      </w:pPr>
      <w:r w:rsidRPr="00472578">
        <w:t xml:space="preserve">There are </w:t>
      </w:r>
      <w:r w:rsidRPr="00510345">
        <w:rPr>
          <w:strike/>
        </w:rPr>
        <w:t>62</w:t>
      </w:r>
      <w:r w:rsidR="00510345" w:rsidRPr="00244A03">
        <w:rPr>
          <w:u w:val="single"/>
        </w:rPr>
        <w:t>61</w:t>
      </w:r>
      <w:r w:rsidR="00404CD4" w:rsidRPr="00404CD4">
        <w:rPr>
          <w:rStyle w:val="FootnoteReference"/>
        </w:rPr>
        <w:footnoteReference w:id="381"/>
      </w:r>
      <w:r w:rsidRPr="00472578">
        <w:t xml:space="preserve"> ecosystems in the Otago region</w:t>
      </w:r>
      <w:r w:rsidR="000B7CA9" w:rsidRPr="00472578">
        <w:t>.</w:t>
      </w:r>
      <w:r w:rsidR="000B7CA9" w:rsidRPr="00E340FA">
        <w:rPr>
          <w:rStyle w:val="FootnoteReference"/>
          <w:shd w:val="clear" w:color="auto" w:fill="D9D9D9" w:themeFill="background1" w:themeFillShade="D9"/>
        </w:rPr>
        <w:footnoteReference w:id="382"/>
      </w:r>
      <w:r w:rsidR="000B7CA9" w:rsidRPr="00472578">
        <w:t xml:space="preserve"> </w:t>
      </w:r>
      <w:r w:rsidRPr="00472578">
        <w:t xml:space="preserve">Whilst the average ecosystem extent compared to pre- European settlement is 62%, over 17 communities have been reduced to less than 40% extent. Forest communities have declined substantially, for example kahikatea forests have been reduced to 3.9% of pre-European extent. Matai, totara, broadleaved forest (6.5%) and Kirk’s scurvy grass herbfield/loamfield (7.1%) have also been significantly reduced. </w:t>
      </w:r>
      <w:r w:rsidRPr="00404CD4">
        <w:rPr>
          <w:strike/>
        </w:rPr>
        <w:t>There are six ecosystems with less than 10 hectares remaining.</w:t>
      </w:r>
      <w:r w:rsidR="00404CD4">
        <w:rPr>
          <w:rStyle w:val="FootnoteReference"/>
          <w:strike/>
        </w:rPr>
        <w:footnoteReference w:id="383"/>
      </w:r>
    </w:p>
    <w:p w14:paraId="569D232B" w14:textId="1A3528F7" w:rsidR="00B02DBF" w:rsidRPr="00472578" w:rsidRDefault="00B02DBF" w:rsidP="00E92686">
      <w:pPr>
        <w:pStyle w:val="BodyText"/>
      </w:pPr>
      <w:r w:rsidRPr="00472578">
        <w:t xml:space="preserve">Impacts of human activities are evident both in terms of species and ecosystems. Some 44% of Otago’s bird species are threatened or at </w:t>
      </w:r>
      <w:r w:rsidRPr="00472578">
        <w:rPr>
          <w:i/>
        </w:rPr>
        <w:t>risk</w:t>
      </w:r>
      <w:r w:rsidRPr="00472578">
        <w:t xml:space="preserve">; 88% of lizard species; and 72% of indigenous fish species. Inland Otago has degraded native fish communities, due to </w:t>
      </w:r>
      <w:r w:rsidRPr="00472578">
        <w:rPr>
          <w:u w:val="single"/>
        </w:rPr>
        <w:t>anthropogenic alteration of waterways</w:t>
      </w:r>
      <w:r w:rsidR="00600825">
        <w:rPr>
          <w:u w:val="single"/>
        </w:rPr>
        <w:t xml:space="preserve"> (</w:t>
      </w:r>
      <w:r w:rsidRPr="00472578">
        <w:rPr>
          <w:u w:val="single"/>
        </w:rPr>
        <w:t>such as damming, abstraction, bed manipulation, draining wetlands</w:t>
      </w:r>
      <w:r w:rsidR="00600825">
        <w:rPr>
          <w:u w:val="single"/>
        </w:rPr>
        <w:t>),</w:t>
      </w:r>
      <w:r w:rsidRPr="00472578">
        <w:rPr>
          <w:u w:val="single"/>
        </w:rPr>
        <w:t xml:space="preserve"> the discharge of contaminants</w:t>
      </w:r>
      <w:r w:rsidRPr="00472578">
        <w:t xml:space="preserve"> </w:t>
      </w:r>
      <w:r w:rsidRPr="00472578">
        <w:rPr>
          <w:strike/>
        </w:rPr>
        <w:t xml:space="preserve">the presence of the Clutha dams and their </w:t>
      </w:r>
      <w:r w:rsidRPr="00472578">
        <w:rPr>
          <w:i/>
          <w:strike/>
        </w:rPr>
        <w:t xml:space="preserve">effects </w:t>
      </w:r>
      <w:r w:rsidRPr="00472578">
        <w:rPr>
          <w:strike/>
        </w:rPr>
        <w:t>on eel populations</w:t>
      </w:r>
      <w:r w:rsidRPr="00472578">
        <w:rPr>
          <w:rStyle w:val="FootnoteReference"/>
        </w:rPr>
        <w:footnoteReference w:id="384"/>
      </w:r>
      <w:r w:rsidRPr="00472578">
        <w:t xml:space="preserve"> and trout predation on native galaxiids. This is illustrated by the low scores for Otago’s </w:t>
      </w:r>
      <w:r w:rsidRPr="00472578">
        <w:rPr>
          <w:i/>
        </w:rPr>
        <w:t xml:space="preserve">rivers </w:t>
      </w:r>
      <w:r w:rsidRPr="00472578">
        <w:t xml:space="preserve">in the </w:t>
      </w:r>
      <w:r w:rsidRPr="00472578">
        <w:rPr>
          <w:i/>
        </w:rPr>
        <w:t xml:space="preserve">freshwater </w:t>
      </w:r>
      <w:r w:rsidRPr="00472578">
        <w:t>fish index of biotic integrity.</w:t>
      </w:r>
    </w:p>
    <w:p w14:paraId="6F1B5ECE" w14:textId="63A41AC1" w:rsidR="00B02DBF" w:rsidRPr="00472578" w:rsidRDefault="00B02DBF" w:rsidP="00E92686">
      <w:pPr>
        <w:pStyle w:val="BodyText"/>
      </w:pPr>
      <w:r w:rsidRPr="00472578">
        <w:lastRenderedPageBreak/>
        <w:t xml:space="preserve">The extent of impacts on marine species and environments is not well understood. Sedimentation </w:t>
      </w:r>
      <w:r w:rsidR="00981B90" w:rsidRPr="00981B90">
        <w:rPr>
          <w:u w:val="single"/>
        </w:rPr>
        <w:t>and nutrients entrapped in land run-off</w:t>
      </w:r>
      <w:r w:rsidR="00824A45" w:rsidRPr="00BD4CB6">
        <w:rPr>
          <w:rStyle w:val="FootnoteReference"/>
        </w:rPr>
        <w:footnoteReference w:id="385"/>
      </w:r>
      <w:r w:rsidR="00BD4CB6" w:rsidRPr="00BD4CB6">
        <w:t xml:space="preserve"> </w:t>
      </w:r>
      <w:r w:rsidRPr="00472578">
        <w:t>is known to have contributed to the loss of kelp forests</w:t>
      </w:r>
      <w:r w:rsidR="000B7CA9" w:rsidRPr="00472578">
        <w:t>.</w:t>
      </w:r>
      <w:r w:rsidR="000B7CA9" w:rsidRPr="00E340FA">
        <w:rPr>
          <w:rStyle w:val="FootnoteReference"/>
          <w:shd w:val="clear" w:color="auto" w:fill="D9D9D9" w:themeFill="background1" w:themeFillShade="D9"/>
        </w:rPr>
        <w:footnoteReference w:id="386"/>
      </w:r>
      <w:r w:rsidR="000B7CA9" w:rsidRPr="00472578">
        <w:t xml:space="preserve"> </w:t>
      </w:r>
      <w:r w:rsidRPr="00472578">
        <w:t xml:space="preserve">In addition to sedimentation, other human impacts on kelp forests </w:t>
      </w:r>
      <w:r w:rsidRPr="007607DC">
        <w:t>include</w:t>
      </w:r>
      <w:r w:rsidRPr="00472578">
        <w:t xml:space="preserve"> rising sea surface temperatures associated with climate change</w:t>
      </w:r>
      <w:r w:rsidR="00C647C3" w:rsidRPr="00472578">
        <w:t>,</w:t>
      </w:r>
      <w:r w:rsidRPr="00472578">
        <w:t xml:space="preserve"> </w:t>
      </w:r>
      <w:r w:rsidRPr="00472578">
        <w:rPr>
          <w:u w:val="single"/>
        </w:rPr>
        <w:t>the introduction of invasive species and fishing</w:t>
      </w:r>
      <w:r w:rsidRPr="00472578">
        <w:rPr>
          <w:strike/>
        </w:rPr>
        <w:t>and trophic cascades from fishing pressure</w:t>
      </w:r>
      <w:r w:rsidRPr="00F922B7">
        <w:rPr>
          <w:strike/>
        </w:rPr>
        <w:t xml:space="preserve">; </w:t>
      </w:r>
      <w:r w:rsidRPr="00835E95">
        <w:rPr>
          <w:strike/>
        </w:rPr>
        <w:t>together with downward trends in fish and crayfish catches.</w:t>
      </w:r>
      <w:r w:rsidRPr="00F922B7">
        <w:rPr>
          <w:rStyle w:val="FootnoteReference"/>
        </w:rPr>
        <w:t xml:space="preserve"> </w:t>
      </w:r>
      <w:r w:rsidR="00F922B7" w:rsidRPr="00472578">
        <w:rPr>
          <w:rStyle w:val="FootnoteReference"/>
        </w:rPr>
        <w:footnoteReference w:id="387"/>
      </w:r>
      <w:r w:rsidRPr="00472578">
        <w:t xml:space="preserve"> There has been a 70% decline in the abundance of hoiho (yellow-eyed penguin) on the Otago coast since 2008</w:t>
      </w:r>
      <w:r w:rsidR="000B7CA9" w:rsidRPr="00E340FA">
        <w:rPr>
          <w:rStyle w:val="FootnoteReference"/>
          <w:shd w:val="clear" w:color="auto" w:fill="D9D9D9" w:themeFill="background1" w:themeFillShade="D9"/>
        </w:rPr>
        <w:footnoteReference w:id="388"/>
      </w:r>
      <w:r w:rsidR="000B7CA9" w:rsidRPr="00E340FA">
        <w:rPr>
          <w:shd w:val="clear" w:color="auto" w:fill="D9D9D9" w:themeFill="background1" w:themeFillShade="D9"/>
          <w:vertAlign w:val="superscript"/>
        </w:rPr>
        <w:t xml:space="preserve"> </w:t>
      </w:r>
      <w:r w:rsidRPr="00DF781E">
        <w:rPr>
          <w:strike/>
        </w:rPr>
        <w:t xml:space="preserve">and downward trends in ngohi (fish) and </w:t>
      </w:r>
      <w:r w:rsidRPr="00472578">
        <w:rPr>
          <w:strike/>
        </w:rPr>
        <w:t xml:space="preserve">koura </w:t>
      </w:r>
      <w:r w:rsidRPr="00DF781E">
        <w:rPr>
          <w:strike/>
        </w:rPr>
        <w:t>(crayfish) catches</w:t>
      </w:r>
      <w:r w:rsidRPr="00E32165">
        <w:t>.</w:t>
      </w:r>
      <w:r w:rsidR="00DF781E" w:rsidRPr="005F6A7E">
        <w:rPr>
          <w:rStyle w:val="FootnoteReference"/>
        </w:rPr>
        <w:footnoteReference w:id="389"/>
      </w:r>
      <w:r w:rsidRPr="00472578">
        <w:t xml:space="preserve"> The effects of </w:t>
      </w:r>
      <w:r w:rsidRPr="00472578">
        <w:rPr>
          <w:i/>
        </w:rPr>
        <w:t xml:space="preserve">climate change </w:t>
      </w:r>
      <w:r w:rsidRPr="00472578">
        <w:t xml:space="preserve">will add significantly to </w:t>
      </w:r>
      <w:r w:rsidRPr="00472578">
        <w:rPr>
          <w:i/>
        </w:rPr>
        <w:t xml:space="preserve">risks </w:t>
      </w:r>
      <w:r w:rsidRPr="00472578">
        <w:t xml:space="preserve">of continuing </w:t>
      </w:r>
      <w:r w:rsidRPr="00472578">
        <w:rPr>
          <w:i/>
        </w:rPr>
        <w:t xml:space="preserve">biodiversity </w:t>
      </w:r>
      <w:r w:rsidRPr="00472578">
        <w:t>decline.</w:t>
      </w:r>
    </w:p>
    <w:p w14:paraId="0810F322" w14:textId="77777777" w:rsidR="00B02DBF" w:rsidRPr="00472578" w:rsidRDefault="00B02DBF" w:rsidP="00E92686">
      <w:pPr>
        <w:pStyle w:val="Heading5"/>
        <w:jc w:val="both"/>
      </w:pPr>
      <w:r w:rsidRPr="00472578">
        <w:t>Economic</w:t>
      </w:r>
    </w:p>
    <w:p w14:paraId="0D4C2138" w14:textId="77777777" w:rsidR="00B02DBF" w:rsidRPr="00472578" w:rsidRDefault="00B02DBF" w:rsidP="00E92686">
      <w:pPr>
        <w:pStyle w:val="BodyText"/>
      </w:pPr>
      <w:r w:rsidRPr="00472578">
        <w:rPr>
          <w:i/>
        </w:rPr>
        <w:t xml:space="preserve">Biodiversity </w:t>
      </w:r>
      <w:r w:rsidRPr="00472578">
        <w:t xml:space="preserve">and ecosystem services underpin </w:t>
      </w:r>
      <w:r w:rsidRPr="00472578">
        <w:rPr>
          <w:strike/>
        </w:rPr>
        <w:t xml:space="preserve">agriculture </w:t>
      </w:r>
      <w:r w:rsidRPr="00472578">
        <w:rPr>
          <w:i/>
          <w:iCs/>
          <w:u w:val="single"/>
        </w:rPr>
        <w:t>primary production</w:t>
      </w:r>
      <w:r w:rsidRPr="00472578">
        <w:rPr>
          <w:rStyle w:val="FootnoteReference"/>
        </w:rPr>
        <w:footnoteReference w:id="390"/>
      </w:r>
      <w:r w:rsidRPr="00472578">
        <w:t xml:space="preserve"> (ecosystem services such as </w:t>
      </w:r>
      <w:r w:rsidRPr="00472578">
        <w:rPr>
          <w:i/>
        </w:rPr>
        <w:t>water</w:t>
      </w:r>
      <w:r w:rsidRPr="00472578">
        <w:t xml:space="preserve">, soil </w:t>
      </w:r>
      <w:r w:rsidRPr="00472578">
        <w:rPr>
          <w:i/>
        </w:rPr>
        <w:t>biodiversity</w:t>
      </w:r>
      <w:r w:rsidRPr="00472578">
        <w:t xml:space="preserve">, pest protection, pollination) and tourism (the “clean green” image of “pure New Zealand” is related to a public perception of Otago’s healthy </w:t>
      </w:r>
      <w:r w:rsidRPr="00472578">
        <w:rPr>
          <w:i/>
        </w:rPr>
        <w:t xml:space="preserve">environment </w:t>
      </w:r>
      <w:r w:rsidRPr="00472578">
        <w:t>and biodiversity).</w:t>
      </w:r>
    </w:p>
    <w:p w14:paraId="3CA307DC" w14:textId="77777777" w:rsidR="00B02DBF" w:rsidRPr="00472578" w:rsidRDefault="00B02DBF" w:rsidP="00E92686">
      <w:pPr>
        <w:pStyle w:val="BodyText"/>
      </w:pPr>
      <w:r w:rsidRPr="00472578">
        <w:t xml:space="preserve">Short-term impacts of loss of productivity or increased costs of pest management occur and longer- term impacts of net loss of natural capital in the region over time are also of concern. The economic costs of lost productivity due to pests, </w:t>
      </w:r>
      <w:proofErr w:type="gramStart"/>
      <w:r w:rsidRPr="00472578">
        <w:t>erosion</w:t>
      </w:r>
      <w:proofErr w:type="gramEnd"/>
      <w:r w:rsidRPr="00472578">
        <w:t xml:space="preserve"> and damage to land, are likely to be significant and there is potential for loss of </w:t>
      </w:r>
      <w:r w:rsidRPr="00472578">
        <w:rPr>
          <w:i/>
        </w:rPr>
        <w:t xml:space="preserve">biodiversity </w:t>
      </w:r>
      <w:r w:rsidRPr="00472578">
        <w:t>to adversely impact on the economy.</w:t>
      </w:r>
    </w:p>
    <w:p w14:paraId="755760AB" w14:textId="77777777" w:rsidR="00B02DBF" w:rsidRPr="00472578" w:rsidRDefault="00B02DBF" w:rsidP="00E92686">
      <w:pPr>
        <w:pStyle w:val="Heading5"/>
        <w:jc w:val="both"/>
      </w:pPr>
      <w:r w:rsidRPr="00472578">
        <w:t>Social</w:t>
      </w:r>
    </w:p>
    <w:p w14:paraId="11EA5A4B" w14:textId="4E7D6032" w:rsidR="00B02DBF" w:rsidRPr="00472578" w:rsidRDefault="00B02DBF" w:rsidP="00E92686">
      <w:pPr>
        <w:pStyle w:val="BodyText"/>
      </w:pPr>
      <w:r w:rsidRPr="00472578">
        <w:rPr>
          <w:i/>
        </w:rPr>
        <w:t xml:space="preserve">Biodiversity </w:t>
      </w:r>
      <w:r w:rsidRPr="00472578">
        <w:t>is a significant contributor to the community’s recreational experiences and intrinsic</w:t>
      </w:r>
      <w:r w:rsidR="000B7CA9" w:rsidRPr="00472578">
        <w:t xml:space="preserve"> </w:t>
      </w:r>
      <w:r w:rsidRPr="00472578">
        <w:t xml:space="preserve">values. </w:t>
      </w:r>
      <w:r w:rsidRPr="00472578">
        <w:rPr>
          <w:i/>
        </w:rPr>
        <w:t xml:space="preserve">Biodiversity </w:t>
      </w:r>
      <w:r w:rsidRPr="00472578">
        <w:t>loss will adversely impact those values and experiences. Some introduced species</w:t>
      </w:r>
      <w:r w:rsidR="000B7CA9" w:rsidRPr="00472578">
        <w:t xml:space="preserve"> </w:t>
      </w:r>
      <w:r w:rsidRPr="00472578">
        <w:t xml:space="preserve">such as trout, deer and pigs have social and recreation values but </w:t>
      </w:r>
      <w:r w:rsidRPr="00BC267A">
        <w:rPr>
          <w:strike/>
        </w:rPr>
        <w:t xml:space="preserve">may </w:t>
      </w:r>
      <w:r w:rsidR="008A5ADF" w:rsidRPr="008A5ADF">
        <w:rPr>
          <w:rStyle w:val="FootnoteReference"/>
        </w:rPr>
        <w:footnoteReference w:id="391"/>
      </w:r>
      <w:r w:rsidRPr="00472578">
        <w:t>also have impacts on native ecosystems and species.</w:t>
      </w:r>
    </w:p>
    <w:p w14:paraId="2885F6E0" w14:textId="48E39E60" w:rsidR="00B02DBF" w:rsidRPr="00472578" w:rsidRDefault="00B208D6" w:rsidP="00E92686">
      <w:pPr>
        <w:pStyle w:val="Heading3"/>
        <w:jc w:val="both"/>
        <w:rPr>
          <w:b w:val="0"/>
        </w:rPr>
      </w:pPr>
      <w:r w:rsidRPr="00472578">
        <w:t>SRMR-I</w:t>
      </w:r>
      <w:r w:rsidR="00B02DBF" w:rsidRPr="00472578">
        <w:t xml:space="preserve">8 – Otago’s coast is a rich natural, </w:t>
      </w:r>
      <w:proofErr w:type="gramStart"/>
      <w:r w:rsidR="00B02DBF" w:rsidRPr="00472578">
        <w:t>cultural</w:t>
      </w:r>
      <w:proofErr w:type="gramEnd"/>
      <w:r w:rsidR="00B02DBF" w:rsidRPr="00472578">
        <w:t xml:space="preserve"> and economic resource</w:t>
      </w:r>
      <w:r w:rsidR="000B7CA9" w:rsidRPr="00472578">
        <w:t xml:space="preserve"> </w:t>
      </w:r>
      <w:r w:rsidR="00B02DBF" w:rsidRPr="00472578">
        <w:rPr>
          <w:color w:val="1F3863"/>
        </w:rPr>
        <w:t>that is under threat from a range of terrestrial and marine activities</w:t>
      </w:r>
    </w:p>
    <w:p w14:paraId="1CAF220C" w14:textId="77777777" w:rsidR="00B02DBF" w:rsidRPr="00472578" w:rsidRDefault="00B02DBF" w:rsidP="00E92686">
      <w:pPr>
        <w:pStyle w:val="Heading4"/>
        <w:jc w:val="both"/>
      </w:pPr>
      <w:r w:rsidRPr="00472578">
        <w:t>Statement</w:t>
      </w:r>
    </w:p>
    <w:p w14:paraId="05B9F470" w14:textId="188B70F7" w:rsidR="00B02DBF" w:rsidRPr="00472578" w:rsidRDefault="00B02DBF" w:rsidP="00E92686">
      <w:pPr>
        <w:pStyle w:val="BodyText"/>
      </w:pPr>
      <w:r w:rsidRPr="00472578">
        <w:t xml:space="preserve">Otago’s coast provides habitat for rare species (including toroa and hoiho), comprises some of the region’s outstanding </w:t>
      </w:r>
      <w:r w:rsidR="00A61FDA" w:rsidRPr="00A61FDA">
        <w:rPr>
          <w:u w:val="single"/>
        </w:rPr>
        <w:t>natural</w:t>
      </w:r>
      <w:r w:rsidR="00EC3CBD" w:rsidRPr="00EC3CBD">
        <w:rPr>
          <w:rStyle w:val="FootnoteReference"/>
        </w:rPr>
        <w:footnoteReference w:id="392"/>
      </w:r>
      <w:r w:rsidRPr="00EC3CBD">
        <w:t xml:space="preserve"> </w:t>
      </w:r>
      <w:r w:rsidRPr="00472578">
        <w:t xml:space="preserve">landscapes, is a rich food source, provides many recreation opportunities, is the location for some industries, and has potential for further economic use (aquaculture). Threats to it are not always well understood and not always well managed. From the sedimentation </w:t>
      </w:r>
      <w:r w:rsidRPr="00472578">
        <w:rPr>
          <w:i/>
        </w:rPr>
        <w:t xml:space="preserve">effects </w:t>
      </w:r>
      <w:r w:rsidRPr="00472578">
        <w:t>of inland development to waste disposal, human activity puts stress on the marine and coastal environment. Some of those activities, like port activities and tourism, are also vital to the region’s economic well-being.</w:t>
      </w:r>
    </w:p>
    <w:p w14:paraId="2AE26B16" w14:textId="77777777" w:rsidR="00B02DBF" w:rsidRPr="00472578" w:rsidRDefault="00B02DBF" w:rsidP="00E92686">
      <w:pPr>
        <w:pStyle w:val="Heading4"/>
        <w:jc w:val="both"/>
      </w:pPr>
      <w:r w:rsidRPr="00472578">
        <w:lastRenderedPageBreak/>
        <w:t>Context</w:t>
      </w:r>
    </w:p>
    <w:p w14:paraId="4B32E4C3" w14:textId="515A0941" w:rsidR="00B02DBF" w:rsidRPr="00472578" w:rsidRDefault="00B02DBF" w:rsidP="00E92686">
      <w:pPr>
        <w:pStyle w:val="BodyText"/>
      </w:pPr>
      <w:r w:rsidRPr="00472578">
        <w:t xml:space="preserve">Otago’s coastal environment </w:t>
      </w:r>
      <w:r w:rsidR="00060D14" w:rsidRPr="00513560">
        <w:rPr>
          <w:u w:val="single"/>
        </w:rPr>
        <w:t xml:space="preserve">includes land adjoining the coast where coastal </w:t>
      </w:r>
      <w:r w:rsidR="00F85876" w:rsidRPr="00F85876">
        <w:rPr>
          <w:u w:val="single"/>
        </w:rPr>
        <w:t xml:space="preserve">characteristics </w:t>
      </w:r>
      <w:r w:rsidR="00060D14" w:rsidRPr="00513560">
        <w:rPr>
          <w:u w:val="single"/>
        </w:rPr>
        <w:t>apply (as outlined in NZCPS Policy 1), and the coastal marine area</w:t>
      </w:r>
      <w:r w:rsidR="00060D14" w:rsidRPr="00060D14">
        <w:t xml:space="preserve"> </w:t>
      </w:r>
      <w:r w:rsidRPr="00060D14">
        <w:rPr>
          <w:strike/>
        </w:rPr>
        <w:t>is generally considered to extend from the land that forms the first significant ridgeline</w:t>
      </w:r>
      <w:r w:rsidR="008B116E" w:rsidRPr="009179DD">
        <w:rPr>
          <w:rStyle w:val="FootnoteReference"/>
        </w:rPr>
        <w:footnoteReference w:id="393"/>
      </w:r>
      <w:r w:rsidRPr="00472578">
        <w:t xml:space="preserve"> out to the twelve nautical mile seaward limit. The coastal environment is a finite resource which is sensitive to change. Recent rapid expansion of some types of coastal development is a significant issue for the sustainable management of the coastal environment of Otago.</w:t>
      </w:r>
    </w:p>
    <w:p w14:paraId="7A7EE866" w14:textId="2D998C82" w:rsidR="00B02DBF" w:rsidRPr="00472578" w:rsidRDefault="00B02DBF" w:rsidP="00E92686">
      <w:pPr>
        <w:pStyle w:val="BodyText"/>
      </w:pPr>
      <w:r w:rsidRPr="00472578">
        <w:t xml:space="preserve">Activities occurring within or affecting the coastal environment include urban development, recreational activities, transport </w:t>
      </w:r>
      <w:r w:rsidRPr="00472578">
        <w:rPr>
          <w:i/>
        </w:rPr>
        <w:t>infrastructure</w:t>
      </w:r>
      <w:r w:rsidRPr="00472578">
        <w:t>, energy generation and transmission, land and marine based (</w:t>
      </w:r>
      <w:proofErr w:type="gramStart"/>
      <w:r w:rsidRPr="00472578">
        <w:t>e.g.</w:t>
      </w:r>
      <w:proofErr w:type="gramEnd"/>
      <w:r w:rsidRPr="00472578">
        <w:t xml:space="preserve"> aquaculture) food production industries and other rural industry activities, </w:t>
      </w:r>
      <w:r w:rsidRPr="00472578">
        <w:rPr>
          <w:u w:val="single"/>
        </w:rPr>
        <w:t>carbon</w:t>
      </w:r>
      <w:r w:rsidR="004340E9" w:rsidRPr="00472578">
        <w:rPr>
          <w:u w:val="single"/>
        </w:rPr>
        <w:t xml:space="preserve"> forestry</w:t>
      </w:r>
      <w:r w:rsidRPr="00472578">
        <w:rPr>
          <w:u w:val="single"/>
        </w:rPr>
        <w:t xml:space="preserve"> and</w:t>
      </w:r>
      <w:r w:rsidRPr="00472578">
        <w:rPr>
          <w:rStyle w:val="FootnoteReference"/>
        </w:rPr>
        <w:footnoteReference w:id="394"/>
      </w:r>
      <w:r w:rsidRPr="00472578">
        <w:t xml:space="preserve"> </w:t>
      </w:r>
      <w:r w:rsidRPr="00472578">
        <w:rPr>
          <w:i/>
        </w:rPr>
        <w:t>plantation forestry</w:t>
      </w:r>
      <w:r w:rsidRPr="00472578">
        <w:t xml:space="preserve">, fishing, tourism, and </w:t>
      </w:r>
      <w:r w:rsidRPr="00472578">
        <w:rPr>
          <w:i/>
        </w:rPr>
        <w:t xml:space="preserve">mineral </w:t>
      </w:r>
      <w:r w:rsidRPr="00472578">
        <w:t xml:space="preserve">extraction. Such activities can be important contributors to the existing and future health and well-being of </w:t>
      </w:r>
      <w:proofErr w:type="gramStart"/>
      <w:r w:rsidRPr="00472578">
        <w:t>communities, when</w:t>
      </w:r>
      <w:proofErr w:type="gramEnd"/>
      <w:r w:rsidRPr="00472578">
        <w:t xml:space="preserve"> they are located and managed appropriately. A number of these activities provide a significant contribution to the regional economy.</w:t>
      </w:r>
    </w:p>
    <w:p w14:paraId="71A68FE8" w14:textId="77777777" w:rsidR="00B02DBF" w:rsidRPr="00472578" w:rsidRDefault="00B02DBF" w:rsidP="00E92686">
      <w:pPr>
        <w:pStyle w:val="BodyText"/>
      </w:pPr>
      <w:r w:rsidRPr="00472578">
        <w:t xml:space="preserve">Dunedin is a major coastal city with increasing urban development. It also hosts </w:t>
      </w:r>
      <w:r w:rsidRPr="00472578">
        <w:rPr>
          <w:i/>
        </w:rPr>
        <w:t xml:space="preserve">infrastructure </w:t>
      </w:r>
      <w:r w:rsidRPr="00472578">
        <w:t xml:space="preserve">of national significance such as Port Otago and associated </w:t>
      </w:r>
      <w:r w:rsidRPr="00472578">
        <w:rPr>
          <w:i/>
        </w:rPr>
        <w:t xml:space="preserve">road </w:t>
      </w:r>
      <w:r w:rsidRPr="00472578">
        <w:t xml:space="preserve">transport networks servicing the Otago </w:t>
      </w:r>
      <w:proofErr w:type="gramStart"/>
      <w:r w:rsidRPr="00472578">
        <w:t>region</w:t>
      </w:r>
      <w:proofErr w:type="gramEnd"/>
      <w:r w:rsidRPr="00472578">
        <w:t xml:space="preserve"> and beyond which contribute to and facilitate regional economic and social development.</w:t>
      </w:r>
    </w:p>
    <w:p w14:paraId="7427C19B" w14:textId="0207E96C" w:rsidR="00B02DBF" w:rsidRPr="00472578" w:rsidRDefault="00B02DBF" w:rsidP="00E92686">
      <w:pPr>
        <w:pStyle w:val="BodyText"/>
      </w:pPr>
      <w:r w:rsidRPr="00472578">
        <w:t xml:space="preserve">The community values the coast for its landscapes, natural character, recreational </w:t>
      </w:r>
      <w:proofErr w:type="gramStart"/>
      <w:r w:rsidRPr="00472578">
        <w:t>uses</w:t>
      </w:r>
      <w:proofErr w:type="gramEnd"/>
      <w:r w:rsidRPr="00472578">
        <w:t xml:space="preserve"> and associated habitat for biodiversity. Recreational activities such as boating, fishing, swimming and general beach access are interconnected with coastal values. Conserving coastal biodiversity and marine reserves are associated with coastal values</w:t>
      </w:r>
      <w:r w:rsidR="000B7CA9" w:rsidRPr="00472578">
        <w:t>.</w:t>
      </w:r>
      <w:r w:rsidR="000B7CA9" w:rsidRPr="00775F20">
        <w:rPr>
          <w:rStyle w:val="FootnoteReference"/>
          <w:shd w:val="clear" w:color="auto" w:fill="D9D9D9" w:themeFill="background1" w:themeFillShade="D9"/>
        </w:rPr>
        <w:footnoteReference w:id="395"/>
      </w:r>
      <w:r w:rsidR="000B7CA9" w:rsidRPr="00472578">
        <w:t xml:space="preserve"> </w:t>
      </w:r>
      <w:r w:rsidRPr="00472578">
        <w:t>A key challenge is the protection of the coast’s natural and cultural assets while enabling economic and social development opportunities to be realised.</w:t>
      </w:r>
    </w:p>
    <w:p w14:paraId="343B4800" w14:textId="77777777" w:rsidR="00B02DBF" w:rsidRPr="00472578" w:rsidRDefault="00B02DBF" w:rsidP="00E92686">
      <w:pPr>
        <w:pStyle w:val="Heading4"/>
        <w:jc w:val="both"/>
      </w:pPr>
      <w:r w:rsidRPr="00472578">
        <w:t>Impact snapshot</w:t>
      </w:r>
    </w:p>
    <w:p w14:paraId="61460908" w14:textId="61E24E1D" w:rsidR="00B02DBF" w:rsidRPr="00472578" w:rsidRDefault="00B02DBF" w:rsidP="00E92686">
      <w:pPr>
        <w:pStyle w:val="BodyText"/>
      </w:pPr>
      <w:r w:rsidRPr="00472578">
        <w:t xml:space="preserve">Impacts of hazards, climate change, pests, </w:t>
      </w:r>
      <w:r w:rsidR="000B5C88" w:rsidRPr="007B4D7D">
        <w:rPr>
          <w:u w:val="single"/>
        </w:rPr>
        <w:t>fresh</w:t>
      </w:r>
      <w:r w:rsidR="009E1833">
        <w:rPr>
          <w:rStyle w:val="FootnoteReference"/>
        </w:rPr>
        <w:footnoteReference w:id="396"/>
      </w:r>
      <w:r w:rsidR="000B5C88">
        <w:t xml:space="preserve"> </w:t>
      </w:r>
      <w:r w:rsidRPr="00472578">
        <w:t>water, and biodiversity loss, which have been discussed above, all impact the coast. Urban development and population pressure can amplify these effects.</w:t>
      </w:r>
    </w:p>
    <w:p w14:paraId="51F86F2F" w14:textId="77777777" w:rsidR="00B02DBF" w:rsidRPr="00472578" w:rsidRDefault="00B02DBF" w:rsidP="00E92686">
      <w:pPr>
        <w:pStyle w:val="Heading5"/>
        <w:jc w:val="both"/>
      </w:pPr>
      <w:r w:rsidRPr="00472578">
        <w:t>Environmental</w:t>
      </w:r>
    </w:p>
    <w:p w14:paraId="0BECF085" w14:textId="77777777" w:rsidR="00B02DBF" w:rsidRPr="00472578" w:rsidRDefault="00B02DBF" w:rsidP="00E92686">
      <w:pPr>
        <w:pStyle w:val="BodyText"/>
      </w:pPr>
      <w:r w:rsidRPr="00472578">
        <w:t xml:space="preserve">These impacts can affect natural processes. For example, poor water quality can result in degradation of estuarine and ocean chemistry with adverse impacts on ecosystems, including coastal </w:t>
      </w:r>
      <w:r w:rsidRPr="00472578">
        <w:rPr>
          <w:i/>
        </w:rPr>
        <w:t xml:space="preserve">wetlands </w:t>
      </w:r>
      <w:r w:rsidRPr="00472578">
        <w:t>and marshes, benthic muds, subtidal and inter-tidal area muds/sands, reefs, and marine vegetation areas (</w:t>
      </w:r>
      <w:proofErr w:type="gramStart"/>
      <w:r w:rsidRPr="00472578">
        <w:t>e.g.</w:t>
      </w:r>
      <w:proofErr w:type="gramEnd"/>
      <w:r w:rsidRPr="00472578">
        <w:t xml:space="preserve"> sea grasses, kelp). Ecosystems and indigenous biodiversity, and their flora and fauna (from zooplankton to whales) can be impacted by urban and industrial development, pests, and climate change leading to biodiversity loss.</w:t>
      </w:r>
    </w:p>
    <w:p w14:paraId="1BD3E401" w14:textId="238A4764" w:rsidR="00B02DBF" w:rsidRPr="00472578" w:rsidRDefault="00B02DBF" w:rsidP="00E92686">
      <w:pPr>
        <w:pStyle w:val="BodyText"/>
      </w:pPr>
      <w:r w:rsidRPr="00472578">
        <w:t xml:space="preserve">Natural features, landscapes, seascapes, and </w:t>
      </w:r>
      <w:r w:rsidRPr="00472578">
        <w:rPr>
          <w:i/>
        </w:rPr>
        <w:t xml:space="preserve">surf breaks </w:t>
      </w:r>
      <w:r w:rsidRPr="00472578">
        <w:t xml:space="preserve">of national significance can be affected by human activity, climate change, and natural hazards. </w:t>
      </w:r>
      <w:r w:rsidR="005907C5" w:rsidRPr="005907C5">
        <w:rPr>
          <w:u w:val="single"/>
        </w:rPr>
        <w:t>Susceptibility</w:t>
      </w:r>
      <w:r w:rsidR="005907C5" w:rsidRPr="005907C5">
        <w:t xml:space="preserve"> </w:t>
      </w:r>
      <w:r w:rsidRPr="00D270DF">
        <w:rPr>
          <w:strike/>
        </w:rPr>
        <w:t>Vulnerability</w:t>
      </w:r>
      <w:r w:rsidR="008F1534">
        <w:rPr>
          <w:rStyle w:val="FootnoteReference"/>
          <w:strike/>
        </w:rPr>
        <w:footnoteReference w:id="397"/>
      </w:r>
      <w:r w:rsidRPr="00472578">
        <w:t xml:space="preserve"> to these impacts is determined by </w:t>
      </w:r>
      <w:r w:rsidRPr="005907C5">
        <w:rPr>
          <w:strike/>
        </w:rPr>
        <w:t>susceptibility</w:t>
      </w:r>
      <w:r w:rsidRPr="00472578">
        <w:t xml:space="preserve">, spatial scale, frequency, functional impact/consequence, recovery capacity/time, and likelihood of the impact’s occurrence. Around Dunedin, for example, impacts include nutrients and </w:t>
      </w:r>
      <w:r w:rsidRPr="00472578">
        <w:lastRenderedPageBreak/>
        <w:t xml:space="preserve">contaminants from Dunedin stormwater which impact on coastal waters and estuaries; declining hoiho (yellow-eyed penguins) numbers due to introduced predators and domestic pets; whilst recovering seal and sealion numbers can create conflict with recreational </w:t>
      </w:r>
      <w:r w:rsidRPr="00472578">
        <w:rPr>
          <w:i/>
        </w:rPr>
        <w:t xml:space="preserve">uses </w:t>
      </w:r>
      <w:r w:rsidRPr="00472578">
        <w:t xml:space="preserve">on the coast; and </w:t>
      </w:r>
      <w:r w:rsidR="000B7CA9" w:rsidRPr="00472578">
        <w:t>beach erosion</w:t>
      </w:r>
      <w:r w:rsidRPr="00472578">
        <w:t xml:space="preserve"> </w:t>
      </w:r>
      <w:r w:rsidRPr="00472578">
        <w:rPr>
          <w:strike/>
        </w:rPr>
        <w:t>at St. Clair in Dunedin</w:t>
      </w:r>
      <w:r w:rsidRPr="00472578">
        <w:rPr>
          <w:rStyle w:val="FootnoteReference"/>
        </w:rPr>
        <w:footnoteReference w:id="398"/>
      </w:r>
      <w:r w:rsidR="000B7CA9" w:rsidRPr="00472578">
        <w:t xml:space="preserve"> </w:t>
      </w:r>
      <w:r w:rsidRPr="00472578">
        <w:t xml:space="preserve">can impact social values and beach recreation </w:t>
      </w:r>
      <w:r w:rsidRPr="00D612BA">
        <w:t>use</w:t>
      </w:r>
      <w:r w:rsidRPr="00472578">
        <w:t>.</w:t>
      </w:r>
    </w:p>
    <w:p w14:paraId="3B52A7B1" w14:textId="77777777" w:rsidR="00B02DBF" w:rsidRPr="00472578" w:rsidRDefault="00B02DBF" w:rsidP="00E92686">
      <w:pPr>
        <w:pStyle w:val="Heading5"/>
        <w:jc w:val="both"/>
      </w:pPr>
      <w:r w:rsidRPr="00472578">
        <w:t>Economic</w:t>
      </w:r>
    </w:p>
    <w:p w14:paraId="6CF80DD6" w14:textId="77777777" w:rsidR="00B02DBF" w:rsidRPr="00472578" w:rsidRDefault="00B02DBF" w:rsidP="00E92686">
      <w:pPr>
        <w:pStyle w:val="BodyText"/>
      </w:pPr>
      <w:r w:rsidRPr="00472578">
        <w:t xml:space="preserve">Deterioration of coastal assets and values causes loss of production and income, increases </w:t>
      </w:r>
      <w:r w:rsidRPr="00472578">
        <w:rPr>
          <w:i/>
        </w:rPr>
        <w:t xml:space="preserve">infrastructure </w:t>
      </w:r>
      <w:r w:rsidRPr="00472578">
        <w:t xml:space="preserve">costs and costs of production, and loss of property values. There are also costs associated with mitigation, for example in the case of coastal erosion. Other economic impacts include recreation and tourism industries being adversely impacted by degraded coastal environments; marine industry production suffering because of poor </w:t>
      </w:r>
      <w:r w:rsidRPr="00472578">
        <w:rPr>
          <w:i/>
        </w:rPr>
        <w:t xml:space="preserve">water </w:t>
      </w:r>
      <w:r w:rsidRPr="00472578">
        <w:t xml:space="preserve">quality; dredging of sedimentation; and costs of mitigating adverse impacts, </w:t>
      </w:r>
      <w:proofErr w:type="gramStart"/>
      <w:r w:rsidRPr="00472578">
        <w:t>e.g.</w:t>
      </w:r>
      <w:proofErr w:type="gramEnd"/>
      <w:r w:rsidRPr="00472578">
        <w:t xml:space="preserve"> combatting invasive pests.</w:t>
      </w:r>
    </w:p>
    <w:p w14:paraId="0A91C45B" w14:textId="77777777" w:rsidR="00B02DBF" w:rsidRPr="00472578" w:rsidRDefault="00B02DBF" w:rsidP="00E92686">
      <w:pPr>
        <w:pStyle w:val="Heading5"/>
        <w:jc w:val="both"/>
      </w:pPr>
      <w:r w:rsidRPr="00472578">
        <w:t>Social</w:t>
      </w:r>
    </w:p>
    <w:p w14:paraId="15269A59" w14:textId="77777777" w:rsidR="00B02DBF" w:rsidRPr="00472578" w:rsidRDefault="00B02DBF" w:rsidP="00E92686">
      <w:pPr>
        <w:pStyle w:val="BodyText"/>
      </w:pPr>
      <w:r w:rsidRPr="00472578">
        <w:t xml:space="preserve">Impacts on the coastal environment and its associated unique values include those on its landscapes and landforms, those on it as a place to live and work and for recreation activities, those on access, and those which give rise to coastal </w:t>
      </w:r>
      <w:proofErr w:type="gramStart"/>
      <w:r w:rsidRPr="00472578">
        <w:t>deterioration</w:t>
      </w:r>
      <w:proofErr w:type="gramEnd"/>
      <w:r w:rsidRPr="00472578">
        <w:t xml:space="preserve"> and which compromise general enjoyment and amenity for communities.</w:t>
      </w:r>
    </w:p>
    <w:p w14:paraId="5FA29E3D" w14:textId="2CC51E89" w:rsidR="00B02DBF" w:rsidRPr="00472578" w:rsidRDefault="00B208D6" w:rsidP="00E92686">
      <w:pPr>
        <w:pStyle w:val="Heading3"/>
        <w:jc w:val="both"/>
      </w:pPr>
      <w:r w:rsidRPr="00472578">
        <w:t>SRMR-I</w:t>
      </w:r>
      <w:r w:rsidR="00B02DBF" w:rsidRPr="00472578">
        <w:t xml:space="preserve">9 – </w:t>
      </w:r>
      <w:r w:rsidR="00B02DBF" w:rsidRPr="00472578">
        <w:rPr>
          <w:u w:val="single"/>
        </w:rPr>
        <w:t>Central</w:t>
      </w:r>
      <w:r w:rsidR="00B02DBF" w:rsidRPr="00472578">
        <w:rPr>
          <w:rStyle w:val="FootnoteReference"/>
          <w:color w:val="1F3863"/>
        </w:rPr>
        <w:footnoteReference w:id="399"/>
      </w:r>
      <w:r w:rsidR="00B02DBF" w:rsidRPr="00472578">
        <w:t xml:space="preserve"> Otago lakes are subject to pressures from tourism and </w:t>
      </w:r>
      <w:r w:rsidR="000B7CA9" w:rsidRPr="00472578">
        <w:t>population growth</w:t>
      </w:r>
    </w:p>
    <w:p w14:paraId="40A71C6B" w14:textId="77777777" w:rsidR="00B02DBF" w:rsidRPr="00472578" w:rsidRDefault="00B02DBF" w:rsidP="00E92686">
      <w:pPr>
        <w:pStyle w:val="Heading4"/>
        <w:jc w:val="both"/>
      </w:pPr>
      <w:r w:rsidRPr="00472578">
        <w:t>Statement</w:t>
      </w:r>
    </w:p>
    <w:p w14:paraId="65FA0411" w14:textId="07EA2E21" w:rsidR="00B02DBF" w:rsidRPr="00472578" w:rsidRDefault="00B02DBF" w:rsidP="00E92686">
      <w:pPr>
        <w:pStyle w:val="BodyText"/>
      </w:pPr>
      <w:r w:rsidRPr="00472578">
        <w:t xml:space="preserve">The beauty, recreational </w:t>
      </w:r>
      <w:proofErr w:type="gramStart"/>
      <w:r w:rsidRPr="00472578">
        <w:t>opportunities</w:t>
      </w:r>
      <w:proofErr w:type="gramEnd"/>
      <w:r w:rsidRPr="00472578">
        <w:t xml:space="preserve"> and regional climate of Lakes </w:t>
      </w:r>
      <w:r w:rsidRPr="00472578">
        <w:rPr>
          <w:strike/>
        </w:rPr>
        <w:t>Wanaka</w:t>
      </w:r>
      <w:r w:rsidRPr="00472578">
        <w:t xml:space="preserve"> </w:t>
      </w:r>
      <w:r w:rsidRPr="00472578">
        <w:rPr>
          <w:u w:val="single"/>
        </w:rPr>
        <w:t>Wānaka</w:t>
      </w:r>
      <w:r w:rsidR="000B7CA9" w:rsidRPr="00472578">
        <w:t>,</w:t>
      </w:r>
      <w:r w:rsidRPr="00472578">
        <w:rPr>
          <w:rStyle w:val="FootnoteReference"/>
        </w:rPr>
        <w:footnoteReference w:id="400"/>
      </w:r>
      <w:r w:rsidRPr="00472578">
        <w:t xml:space="preserve"> Wakatipu, Hāwea and Dunstan and their environs attract visitors and residents from around the region, the country and the world. This influx brings economic opportunity, but the activities and services created to take advantage of it can degrade the </w:t>
      </w:r>
      <w:r w:rsidRPr="00472578">
        <w:rPr>
          <w:i/>
          <w:iCs/>
        </w:rPr>
        <w:t xml:space="preserve">environment </w:t>
      </w:r>
      <w:r w:rsidRPr="00472578">
        <w:t>and undermine the experience that underpins their attractiveness.</w:t>
      </w:r>
    </w:p>
    <w:p w14:paraId="60C1BB4C" w14:textId="77777777" w:rsidR="00B02DBF" w:rsidRPr="00472578" w:rsidRDefault="00B02DBF" w:rsidP="00E92686">
      <w:pPr>
        <w:pStyle w:val="Heading4"/>
        <w:jc w:val="both"/>
      </w:pPr>
      <w:r w:rsidRPr="00472578">
        <w:t>Context</w:t>
      </w:r>
    </w:p>
    <w:p w14:paraId="033B385E" w14:textId="301E7F21" w:rsidR="00B02DBF" w:rsidRPr="00472578" w:rsidRDefault="00B02DBF" w:rsidP="00E92686">
      <w:pPr>
        <w:pStyle w:val="BodyText"/>
      </w:pPr>
      <w:r w:rsidRPr="00472578">
        <w:t xml:space="preserve">Healthy </w:t>
      </w:r>
      <w:r w:rsidRPr="00472578">
        <w:rPr>
          <w:i/>
        </w:rPr>
        <w:t xml:space="preserve">lakes </w:t>
      </w:r>
      <w:r w:rsidRPr="00472578">
        <w:t xml:space="preserve">are one of Otago’s most valued natural resources and for the most part </w:t>
      </w:r>
      <w:r w:rsidRPr="00472578">
        <w:rPr>
          <w:i/>
        </w:rPr>
        <w:t xml:space="preserve">water </w:t>
      </w:r>
      <w:r w:rsidRPr="00472578">
        <w:t xml:space="preserve">quality is good. The values assigned to </w:t>
      </w:r>
      <w:r w:rsidRPr="00472578">
        <w:rPr>
          <w:i/>
        </w:rPr>
        <w:t xml:space="preserve">lakes </w:t>
      </w:r>
      <w:r w:rsidRPr="00472578">
        <w:t xml:space="preserve">include the natural features and landscapes, the quality and quantity of </w:t>
      </w:r>
      <w:r w:rsidRPr="00472578">
        <w:rPr>
          <w:i/>
        </w:rPr>
        <w:t xml:space="preserve">water </w:t>
      </w:r>
      <w:r w:rsidRPr="00472578">
        <w:t>accessible to the Otago communities, the accessibility of these resources for recreation</w:t>
      </w:r>
      <w:r w:rsidR="00E83D2E">
        <w:rPr>
          <w:u w:val="single"/>
        </w:rPr>
        <w:t xml:space="preserve"> and transport</w:t>
      </w:r>
      <w:r w:rsidR="006D3E45" w:rsidRPr="00B47616">
        <w:rPr>
          <w:rStyle w:val="FootnoteReference"/>
        </w:rPr>
        <w:footnoteReference w:id="401"/>
      </w:r>
      <w:r w:rsidRPr="00472578">
        <w:t xml:space="preserve">, the health of native flora and fauna associated with Otago’s </w:t>
      </w:r>
      <w:r w:rsidRPr="00472578">
        <w:rPr>
          <w:i/>
        </w:rPr>
        <w:t xml:space="preserve">rivers </w:t>
      </w:r>
      <w:r w:rsidRPr="00472578">
        <w:t xml:space="preserve">and </w:t>
      </w:r>
      <w:r w:rsidRPr="00472578">
        <w:rPr>
          <w:i/>
        </w:rPr>
        <w:t>lakes</w:t>
      </w:r>
      <w:r w:rsidRPr="00472578">
        <w:t>, and renewable energy production.</w:t>
      </w:r>
    </w:p>
    <w:p w14:paraId="75A41EC8" w14:textId="7B656505" w:rsidR="00B02DBF" w:rsidRPr="00472578" w:rsidRDefault="00B02DBF" w:rsidP="00E92686">
      <w:pPr>
        <w:pStyle w:val="BodyText"/>
      </w:pPr>
      <w:r w:rsidRPr="00472578">
        <w:t xml:space="preserve">Urban growth is adversely affecting the natural features and landscapes around the lakes. The amount of growth is demonstrated in the Queenstown Lakes District, including Queenstown and </w:t>
      </w:r>
      <w:r w:rsidRPr="00472578">
        <w:rPr>
          <w:strike/>
        </w:rPr>
        <w:t xml:space="preserve">Wanaka </w:t>
      </w:r>
      <w:r w:rsidRPr="00472578">
        <w:rPr>
          <w:u w:val="single"/>
        </w:rPr>
        <w:t>Wānaka</w:t>
      </w:r>
      <w:r w:rsidR="00BB2733" w:rsidRPr="00472578">
        <w:t>,</w:t>
      </w:r>
      <w:r w:rsidRPr="00472578">
        <w:rPr>
          <w:rStyle w:val="FootnoteReference"/>
        </w:rPr>
        <w:footnoteReference w:id="402"/>
      </w:r>
      <w:r w:rsidRPr="00472578">
        <w:t xml:space="preserve"> </w:t>
      </w:r>
      <w:r w:rsidRPr="00472578">
        <w:lastRenderedPageBreak/>
        <w:t>where the population tripled in the last 20 years from 16,750 in 1999 to 47,400 in 2020</w:t>
      </w:r>
      <w:r w:rsidR="00BB2733" w:rsidRPr="00472578">
        <w:t>.</w:t>
      </w:r>
      <w:r w:rsidR="00BB2733" w:rsidRPr="00775F20">
        <w:rPr>
          <w:rStyle w:val="FootnoteReference"/>
          <w:shd w:val="clear" w:color="auto" w:fill="D9D9D9" w:themeFill="background1" w:themeFillShade="D9"/>
        </w:rPr>
        <w:footnoteReference w:id="403"/>
      </w:r>
      <w:r w:rsidR="00BB2733" w:rsidRPr="00472578">
        <w:t xml:space="preserve"> </w:t>
      </w:r>
      <w:r w:rsidRPr="00472578">
        <w:t>Continued growth is projected over the 30 years from 2020 to 2050 (by 63% )</w:t>
      </w:r>
      <w:r w:rsidR="00BB2733" w:rsidRPr="00472578">
        <w:t>.</w:t>
      </w:r>
      <w:r w:rsidR="00BB2733" w:rsidRPr="00775F20">
        <w:rPr>
          <w:rStyle w:val="FootnoteReference"/>
          <w:shd w:val="clear" w:color="auto" w:fill="D9D9D9" w:themeFill="background1" w:themeFillShade="D9"/>
        </w:rPr>
        <w:footnoteReference w:id="404"/>
      </w:r>
    </w:p>
    <w:p w14:paraId="343DD917" w14:textId="14298E03" w:rsidR="00B02DBF" w:rsidRPr="00472578" w:rsidRDefault="00B02DBF" w:rsidP="00E92686">
      <w:pPr>
        <w:pStyle w:val="BodyText"/>
      </w:pPr>
      <w:r w:rsidRPr="00472578">
        <w:t xml:space="preserve">This desire of New Zealanders and international visitors to enjoy the outstanding natural environments of the Otago </w:t>
      </w:r>
      <w:r w:rsidRPr="00472578">
        <w:rPr>
          <w:i/>
        </w:rPr>
        <w:t xml:space="preserve">lakes </w:t>
      </w:r>
      <w:r w:rsidRPr="00472578">
        <w:t xml:space="preserve">has placed significant pressures on the </w:t>
      </w:r>
      <w:r w:rsidRPr="00472578">
        <w:rPr>
          <w:i/>
        </w:rPr>
        <w:t>environment</w:t>
      </w:r>
      <w:r w:rsidRPr="00472578">
        <w:t xml:space="preserve">, transport, energy and other </w:t>
      </w:r>
      <w:r w:rsidRPr="00472578">
        <w:rPr>
          <w:i/>
        </w:rPr>
        <w:t>infrastructure</w:t>
      </w:r>
      <w:r w:rsidRPr="00472578">
        <w:t xml:space="preserve">, health services and social structures. At the same time the </w:t>
      </w:r>
      <w:r w:rsidR="008873B9" w:rsidRPr="00472578">
        <w:t>economy of</w:t>
      </w:r>
      <w:r w:rsidRPr="00472578">
        <w:t xml:space="preserve"> the Otago lakes area is heavily dependent on tourism. For </w:t>
      </w:r>
      <w:proofErr w:type="gramStart"/>
      <w:r w:rsidRPr="00472578">
        <w:t>example</w:t>
      </w:r>
      <w:proofErr w:type="gramEnd"/>
      <w:r w:rsidRPr="00472578">
        <w:t xml:space="preserve"> in 2020, tourism employment accounted for an estimated 56% (or 17,758) of the jobs in the Queenstown-Lakes district; tourism GDP accounted for 43.7% (or NZ $1.7 billion) of the district’s GDP and international tourism contributed 64% (or NZ $1.89 billion)</w:t>
      </w:r>
      <w:r w:rsidR="00BB2733" w:rsidRPr="00472578">
        <w:t>.</w:t>
      </w:r>
      <w:r w:rsidR="00BB2733" w:rsidRPr="00775F20">
        <w:rPr>
          <w:rStyle w:val="FootnoteReference"/>
          <w:shd w:val="clear" w:color="auto" w:fill="D9D9D9" w:themeFill="background1" w:themeFillShade="D9"/>
        </w:rPr>
        <w:footnoteReference w:id="405"/>
      </w:r>
      <w:r w:rsidRPr="00472578">
        <w:t xml:space="preserve"> The Otago-Lakes area also supplies significant renewable energy for </w:t>
      </w:r>
      <w:r w:rsidRPr="00472578">
        <w:rPr>
          <w:i/>
        </w:rPr>
        <w:t xml:space="preserve">use </w:t>
      </w:r>
      <w:r w:rsidR="00BB2733" w:rsidRPr="00472578">
        <w:t>in Otago and beyond.</w:t>
      </w:r>
    </w:p>
    <w:p w14:paraId="6EECD9C4" w14:textId="77777777" w:rsidR="00B02DBF" w:rsidRPr="00472578" w:rsidRDefault="00B02DBF" w:rsidP="00E92686">
      <w:pPr>
        <w:pStyle w:val="Heading4"/>
        <w:jc w:val="both"/>
      </w:pPr>
      <w:r w:rsidRPr="00472578">
        <w:t>Impact snapshot</w:t>
      </w:r>
    </w:p>
    <w:p w14:paraId="1D399D61" w14:textId="77777777" w:rsidR="00B02DBF" w:rsidRPr="00472578" w:rsidRDefault="00B02DBF" w:rsidP="00E92686">
      <w:pPr>
        <w:pStyle w:val="Heading5"/>
        <w:jc w:val="both"/>
      </w:pPr>
      <w:r w:rsidRPr="00472578">
        <w:t>Environmental</w:t>
      </w:r>
    </w:p>
    <w:p w14:paraId="4657457D" w14:textId="5970BC69" w:rsidR="00B02DBF" w:rsidRPr="00472578" w:rsidRDefault="00B02DBF" w:rsidP="00E92686">
      <w:pPr>
        <w:pStyle w:val="BodyText"/>
      </w:pPr>
      <w:r w:rsidRPr="00472578">
        <w:t xml:space="preserve">Population pressures arising from urban development, and tourism population pressures are impacting on the </w:t>
      </w:r>
      <w:r w:rsidRPr="00472578">
        <w:rPr>
          <w:i/>
          <w:iCs/>
        </w:rPr>
        <w:t>environment</w:t>
      </w:r>
      <w:r w:rsidRPr="00472578">
        <w:t xml:space="preserve">. Lake </w:t>
      </w:r>
      <w:r w:rsidRPr="00472578">
        <w:rPr>
          <w:strike/>
        </w:rPr>
        <w:t>Wanaka</w:t>
      </w:r>
      <w:r w:rsidRPr="00472578">
        <w:t xml:space="preserve"> </w:t>
      </w:r>
      <w:r w:rsidRPr="00472578">
        <w:rPr>
          <w:u w:val="single"/>
        </w:rPr>
        <w:t>Wānaka</w:t>
      </w:r>
      <w:r w:rsidR="00BB2733" w:rsidRPr="00472578">
        <w:t>,</w:t>
      </w:r>
      <w:r w:rsidRPr="00472578">
        <w:rPr>
          <w:rStyle w:val="FootnoteReference"/>
        </w:rPr>
        <w:footnoteReference w:id="406"/>
      </w:r>
      <w:r w:rsidRPr="00472578">
        <w:t xml:space="preserve"> Lake Hāwea, and Lake Wakatipu, as well as the Kawarau River and upper reaches of the Clutha Mata-au and Taieri Rivers all have good </w:t>
      </w:r>
      <w:r w:rsidRPr="00472578">
        <w:rPr>
          <w:i/>
          <w:iCs/>
        </w:rPr>
        <w:t xml:space="preserve">water </w:t>
      </w:r>
      <w:r w:rsidRPr="00472578">
        <w:t xml:space="preserve">quality which equates to the “A” band (being top/best level) for the </w:t>
      </w:r>
      <w:r w:rsidRPr="00472578">
        <w:rPr>
          <w:i/>
          <w:iCs/>
        </w:rPr>
        <w:t>National Objectives Framework</w:t>
      </w:r>
      <w:r w:rsidR="00BB2733" w:rsidRPr="00472578">
        <w:t>.</w:t>
      </w:r>
      <w:r w:rsidR="00BB2733" w:rsidRPr="00775F20">
        <w:rPr>
          <w:rStyle w:val="FootnoteReference"/>
          <w:shd w:val="clear" w:color="auto" w:fill="D9D9D9" w:themeFill="background1" w:themeFillShade="D9"/>
        </w:rPr>
        <w:footnoteReference w:id="407"/>
      </w:r>
    </w:p>
    <w:p w14:paraId="1D11AF8B" w14:textId="77777777" w:rsidR="00B02DBF" w:rsidRPr="00472578" w:rsidRDefault="00B02DBF" w:rsidP="00E92686">
      <w:pPr>
        <w:pStyle w:val="BodyText"/>
      </w:pPr>
      <w:r w:rsidRPr="00472578">
        <w:t xml:space="preserve">However, </w:t>
      </w:r>
      <w:r w:rsidRPr="00472578">
        <w:rPr>
          <w:i/>
        </w:rPr>
        <w:t xml:space="preserve">water </w:t>
      </w:r>
      <w:r w:rsidRPr="00472578">
        <w:t>quality is being adversely impacted by increased population, urban development and tourism demand which is straining existing waste management infrastructure. In addition, localised degradation of some areas is occurring due to overuse and unregulated use (</w:t>
      </w:r>
      <w:proofErr w:type="gramStart"/>
      <w:r w:rsidRPr="00472578">
        <w:t>e.g.</w:t>
      </w:r>
      <w:proofErr w:type="gramEnd"/>
      <w:r w:rsidRPr="00472578">
        <w:t xml:space="preserve"> freedom camping). The amenity of these areas is being compromised in some places by over-crowding.</w:t>
      </w:r>
    </w:p>
    <w:p w14:paraId="4A8826E3" w14:textId="4C7D9301" w:rsidR="00B02DBF" w:rsidRPr="00472578" w:rsidRDefault="00B02DBF" w:rsidP="00E92686">
      <w:pPr>
        <w:pStyle w:val="BodyText"/>
      </w:pPr>
      <w:r w:rsidRPr="00472578">
        <w:t xml:space="preserve">Recreation </w:t>
      </w:r>
      <w:r w:rsidRPr="00472578">
        <w:rPr>
          <w:i/>
        </w:rPr>
        <w:t xml:space="preserve">use </w:t>
      </w:r>
      <w:r w:rsidRPr="00472578">
        <w:t xml:space="preserve">impacts on the </w:t>
      </w:r>
      <w:r w:rsidRPr="00472578">
        <w:rPr>
          <w:i/>
        </w:rPr>
        <w:t xml:space="preserve">environment </w:t>
      </w:r>
      <w:r w:rsidRPr="00472578">
        <w:t xml:space="preserve">can be a </w:t>
      </w:r>
      <w:r w:rsidRPr="00472578">
        <w:rPr>
          <w:i/>
        </w:rPr>
        <w:t>risk</w:t>
      </w:r>
      <w:r w:rsidRPr="00472578">
        <w:t xml:space="preserve">, for example the distribution of pest species can be accelerated as has occurred for lake snow and </w:t>
      </w:r>
      <w:r w:rsidRPr="00472578">
        <w:rPr>
          <w:i/>
        </w:rPr>
        <w:t xml:space="preserve">Lagarosiphon </w:t>
      </w:r>
      <w:r w:rsidRPr="00472578">
        <w:t xml:space="preserve">weeds being spread by recreation boating movements. Natural features and landscape values </w:t>
      </w:r>
      <w:r w:rsidRPr="007F64D6">
        <w:t>are also</w:t>
      </w:r>
      <w:r w:rsidRPr="00472578">
        <w:t xml:space="preserve"> adversely impacted by tourism and urban growth, and energy production.</w:t>
      </w:r>
    </w:p>
    <w:p w14:paraId="511E53FE" w14:textId="77777777" w:rsidR="00B02DBF" w:rsidRPr="00472578" w:rsidRDefault="00B02DBF" w:rsidP="00E92686">
      <w:pPr>
        <w:pStyle w:val="Heading5"/>
        <w:jc w:val="both"/>
      </w:pPr>
      <w:r w:rsidRPr="00472578">
        <w:t>Economic</w:t>
      </w:r>
    </w:p>
    <w:p w14:paraId="13891AB5" w14:textId="211D1FEA" w:rsidR="00B02DBF" w:rsidRPr="00472578" w:rsidRDefault="00B02DBF" w:rsidP="00E92686">
      <w:pPr>
        <w:pStyle w:val="BodyText"/>
      </w:pPr>
      <w:r w:rsidRPr="00472578">
        <w:t xml:space="preserve">The economic benefits of urban development, tourism, </w:t>
      </w:r>
      <w:r w:rsidRPr="00472578">
        <w:rPr>
          <w:strike/>
        </w:rPr>
        <w:t>agriculture</w:t>
      </w:r>
      <w:r w:rsidRPr="00472578">
        <w:t xml:space="preserve"> </w:t>
      </w:r>
      <w:r w:rsidR="00BB2733" w:rsidRPr="00472578">
        <w:rPr>
          <w:i/>
          <w:iCs/>
          <w:u w:val="single"/>
        </w:rPr>
        <w:t>p</w:t>
      </w:r>
      <w:r w:rsidRPr="00472578">
        <w:rPr>
          <w:i/>
          <w:iCs/>
          <w:u w:val="single"/>
        </w:rPr>
        <w:t>rimary production</w:t>
      </w:r>
      <w:r w:rsidR="00BB2733" w:rsidRPr="00472578">
        <w:t>,</w:t>
      </w:r>
      <w:r w:rsidRPr="00472578">
        <w:rPr>
          <w:rStyle w:val="FootnoteReference"/>
        </w:rPr>
        <w:footnoteReference w:id="408"/>
      </w:r>
      <w:r w:rsidR="00BB2733" w:rsidRPr="00472578">
        <w:t xml:space="preserve"> </w:t>
      </w:r>
      <w:r w:rsidRPr="00472578">
        <w:t xml:space="preserve">energy production and </w:t>
      </w:r>
      <w:r w:rsidRPr="00472578">
        <w:rPr>
          <w:i/>
        </w:rPr>
        <w:t xml:space="preserve">water </w:t>
      </w:r>
      <w:r w:rsidRPr="00472578">
        <w:t xml:space="preserve">supply can be positive for the Otago-Lakes’ communities and visitors. It also impacts on the region’s natural assets with a growing cost to the region that puts at </w:t>
      </w:r>
      <w:r w:rsidRPr="00472578">
        <w:rPr>
          <w:i/>
        </w:rPr>
        <w:t xml:space="preserve">risk </w:t>
      </w:r>
      <w:r w:rsidRPr="00472578">
        <w:t xml:space="preserve">the </w:t>
      </w:r>
      <w:r w:rsidRPr="00472578">
        <w:rPr>
          <w:i/>
        </w:rPr>
        <w:t xml:space="preserve">environment </w:t>
      </w:r>
      <w:r w:rsidRPr="00472578">
        <w:t>highly prized by residents and visitors. There are also impacts between industry sectors.</w:t>
      </w:r>
    </w:p>
    <w:p w14:paraId="00D9D8E7" w14:textId="78D696DF" w:rsidR="00BB2733" w:rsidRPr="00472578" w:rsidRDefault="00B02DBF" w:rsidP="00E92686">
      <w:pPr>
        <w:pStyle w:val="BodyText"/>
      </w:pPr>
      <w:r w:rsidRPr="00472578">
        <w:t xml:space="preserve">For example, the clean green image of New Zealand, of which the Otago Lakes area is symbolic, is at </w:t>
      </w:r>
      <w:r w:rsidRPr="00472578">
        <w:rPr>
          <w:i/>
        </w:rPr>
        <w:t xml:space="preserve">risk </w:t>
      </w:r>
      <w:r w:rsidRPr="00472578">
        <w:t xml:space="preserve">of being compromised </w:t>
      </w:r>
      <w:r w:rsidR="00891800">
        <w:rPr>
          <w:u w:val="single"/>
        </w:rPr>
        <w:t xml:space="preserve">if the quality of </w:t>
      </w:r>
      <w:r w:rsidR="00437481">
        <w:rPr>
          <w:u w:val="single"/>
        </w:rPr>
        <w:t>lakes becomes</w:t>
      </w:r>
      <w:r w:rsidR="00382DF7">
        <w:rPr>
          <w:u w:val="single"/>
        </w:rPr>
        <w:t xml:space="preserve"> degrad</w:t>
      </w:r>
      <w:r w:rsidR="00BB3001">
        <w:rPr>
          <w:u w:val="single"/>
        </w:rPr>
        <w:t xml:space="preserve">ed or </w:t>
      </w:r>
      <w:r w:rsidR="0039593B">
        <w:rPr>
          <w:u w:val="single"/>
        </w:rPr>
        <w:t>visitor numbers exceed the servicin</w:t>
      </w:r>
      <w:r w:rsidR="00445236">
        <w:rPr>
          <w:u w:val="single"/>
        </w:rPr>
        <w:t>g capacity of the district</w:t>
      </w:r>
      <w:r w:rsidRPr="00180A0C">
        <w:rPr>
          <w:strike/>
        </w:rPr>
        <w:t>because of over-crowding in peak tourism seasons</w:t>
      </w:r>
      <w:r w:rsidRPr="00472578">
        <w:t>.</w:t>
      </w:r>
      <w:r w:rsidR="00121803">
        <w:rPr>
          <w:rStyle w:val="FootnoteReference"/>
        </w:rPr>
        <w:footnoteReference w:id="409"/>
      </w:r>
      <w:r w:rsidRPr="00472578">
        <w:t xml:space="preserve"> This has the potential to adversely affect the existing regional economy and future economic development; and the tourism </w:t>
      </w:r>
      <w:r w:rsidRPr="00472578">
        <w:lastRenderedPageBreak/>
        <w:t xml:space="preserve">industry’s social licence to operate. At the same time tourism can negatively impact on how </w:t>
      </w:r>
      <w:r w:rsidRPr="00472578">
        <w:rPr>
          <w:strike/>
        </w:rPr>
        <w:t xml:space="preserve">agriculture </w:t>
      </w:r>
      <w:r w:rsidR="00BB2733" w:rsidRPr="00472578">
        <w:rPr>
          <w:i/>
          <w:iCs/>
          <w:u w:val="single"/>
        </w:rPr>
        <w:t>primary production</w:t>
      </w:r>
      <w:r w:rsidR="00BB2733" w:rsidRPr="00472578">
        <w:rPr>
          <w:rStyle w:val="FootnoteReference"/>
        </w:rPr>
        <w:footnoteReference w:id="410"/>
      </w:r>
      <w:r w:rsidR="00BB2733" w:rsidRPr="00472578">
        <w:t xml:space="preserve"> can operate, potentially limiting its contribution to the regional economy.</w:t>
      </w:r>
    </w:p>
    <w:p w14:paraId="293AA9E0" w14:textId="77777777" w:rsidR="00B02DBF" w:rsidRPr="00472578" w:rsidRDefault="00B02DBF" w:rsidP="00E92686">
      <w:pPr>
        <w:pStyle w:val="BodyText"/>
      </w:pPr>
      <w:r w:rsidRPr="00472578">
        <w:t xml:space="preserve">Urban development brings economic development and improved opportunities and standards of living to the Otago lakes area but can adversely impact on both the </w:t>
      </w:r>
      <w:r w:rsidRPr="00472578">
        <w:rPr>
          <w:i/>
        </w:rPr>
        <w:t xml:space="preserve">environment </w:t>
      </w:r>
      <w:r w:rsidRPr="00472578">
        <w:t>and how agriculture can operate.</w:t>
      </w:r>
    </w:p>
    <w:p w14:paraId="2303C707" w14:textId="77777777" w:rsidR="00B02DBF" w:rsidRPr="00472578" w:rsidRDefault="00B02DBF" w:rsidP="00E92686">
      <w:pPr>
        <w:pStyle w:val="Heading5"/>
        <w:jc w:val="both"/>
      </w:pPr>
      <w:r w:rsidRPr="00472578">
        <w:t>Social</w:t>
      </w:r>
    </w:p>
    <w:p w14:paraId="62F70F4A" w14:textId="46DE2639" w:rsidR="00B02DBF" w:rsidRPr="00472578" w:rsidRDefault="00B02DBF" w:rsidP="00E92686">
      <w:pPr>
        <w:pStyle w:val="BodyText"/>
      </w:pPr>
      <w:r w:rsidRPr="00472578">
        <w:rPr>
          <w:u w:val="single"/>
        </w:rPr>
        <w:t xml:space="preserve">Poorly managed activities and </w:t>
      </w:r>
      <w:r w:rsidR="00B40089">
        <w:rPr>
          <w:u w:val="single"/>
        </w:rPr>
        <w:t>o</w:t>
      </w:r>
      <w:r w:rsidRPr="00472578">
        <w:rPr>
          <w:strike/>
        </w:rPr>
        <w:t>O</w:t>
      </w:r>
      <w:r w:rsidRPr="00B40089">
        <w:t>ver-crowding impacts</w:t>
      </w:r>
      <w:r w:rsidRPr="00472578">
        <w:t xml:space="preserve"> </w:t>
      </w:r>
      <w:r w:rsidRPr="00472578">
        <w:rPr>
          <w:u w:val="single"/>
        </w:rPr>
        <w:t>can</w:t>
      </w:r>
      <w:r w:rsidR="00B40089" w:rsidRPr="00472578">
        <w:rPr>
          <w:rStyle w:val="FootnoteReference"/>
        </w:rPr>
        <w:footnoteReference w:id="411"/>
      </w:r>
      <w:r w:rsidRPr="00472578">
        <w:t xml:space="preserve"> adversely affect recreation experiences of both tourists and residents, </w:t>
      </w:r>
      <w:r w:rsidRPr="00B40089">
        <w:t xml:space="preserve">such as fishing and </w:t>
      </w:r>
      <w:r w:rsidRPr="00B40089">
        <w:rPr>
          <w:i/>
        </w:rPr>
        <w:t xml:space="preserve">water </w:t>
      </w:r>
      <w:r w:rsidRPr="00B40089">
        <w:t>sports, and urban amenity</w:t>
      </w:r>
      <w:r w:rsidR="003A2F40" w:rsidRPr="00472578">
        <w:t>.</w:t>
      </w:r>
      <w:r w:rsidRPr="00472578">
        <w:t xml:space="preserve"> </w:t>
      </w:r>
      <w:r w:rsidRPr="00472578">
        <w:rPr>
          <w:i/>
        </w:rPr>
        <w:t xml:space="preserve">Infrastructure </w:t>
      </w:r>
      <w:r w:rsidRPr="00472578">
        <w:t xml:space="preserve">capacity limits can, for example, result in an increased number of wastewater overflows to the environment when demand on the network exceeds capacity. These can have significant adverse impacts on human health as well as </w:t>
      </w:r>
      <w:r w:rsidR="003A2F40" w:rsidRPr="00472578">
        <w:t>recreational amenity.</w:t>
      </w:r>
    </w:p>
    <w:p w14:paraId="52B93641" w14:textId="75DDB3A8" w:rsidR="00B02DBF" w:rsidRPr="00472578" w:rsidRDefault="00B208D6" w:rsidP="00E92686">
      <w:pPr>
        <w:pStyle w:val="Heading3"/>
        <w:jc w:val="both"/>
      </w:pPr>
      <w:r w:rsidRPr="00472578">
        <w:t>SRMR-I</w:t>
      </w:r>
      <w:r w:rsidR="00B02DBF" w:rsidRPr="00472578">
        <w:t>10 – Economic and domestic activities in Otago use natural resources but do not always properly account for the environmental stresses or the future impacts they cause</w:t>
      </w:r>
    </w:p>
    <w:p w14:paraId="4953BA4D" w14:textId="77777777" w:rsidR="00B02DBF" w:rsidRPr="00472578" w:rsidRDefault="00B02DBF" w:rsidP="00E92686">
      <w:pPr>
        <w:pStyle w:val="Heading4"/>
        <w:jc w:val="both"/>
      </w:pPr>
      <w:r w:rsidRPr="00472578">
        <w:t>Statement</w:t>
      </w:r>
    </w:p>
    <w:p w14:paraId="2C1EF48A" w14:textId="0F613B56" w:rsidR="00B02DBF" w:rsidRPr="00472578" w:rsidRDefault="00B02DBF" w:rsidP="00E92686">
      <w:pPr>
        <w:pStyle w:val="BodyText"/>
      </w:pPr>
      <w:r w:rsidRPr="00472578">
        <w:t xml:space="preserve">Sediment from development and </w:t>
      </w:r>
      <w:r w:rsidR="003A2F40" w:rsidRPr="00472578">
        <w:rPr>
          <w:strike/>
        </w:rPr>
        <w:t>f</w:t>
      </w:r>
      <w:r w:rsidRPr="00472578">
        <w:rPr>
          <w:strike/>
        </w:rPr>
        <w:t>orestry</w:t>
      </w:r>
      <w:r w:rsidRPr="00472578">
        <w:t xml:space="preserve"> </w:t>
      </w:r>
      <w:r w:rsidRPr="00472578">
        <w:rPr>
          <w:i/>
          <w:iCs/>
          <w:u w:val="single"/>
        </w:rPr>
        <w:t>primary production</w:t>
      </w:r>
      <w:r w:rsidR="004B5921" w:rsidRPr="00472578">
        <w:rPr>
          <w:rStyle w:val="FootnoteReference"/>
        </w:rPr>
        <w:footnoteReference w:id="412"/>
      </w:r>
      <w:r w:rsidRPr="00472578">
        <w:t xml:space="preserve"> activities </w:t>
      </w:r>
      <w:proofErr w:type="gramStart"/>
      <w:r w:rsidRPr="00D31962">
        <w:t>flow</w:t>
      </w:r>
      <w:r w:rsidR="00D31962">
        <w:rPr>
          <w:u w:val="single"/>
        </w:rPr>
        <w:t>s</w:t>
      </w:r>
      <w:proofErr w:type="gramEnd"/>
      <w:r w:rsidR="00D31962" w:rsidRPr="00D31962">
        <w:rPr>
          <w:rStyle w:val="FootnoteReference"/>
        </w:rPr>
        <w:footnoteReference w:id="413"/>
      </w:r>
      <w:r w:rsidRPr="00472578">
        <w:t xml:space="preserve"> into streams and builds up in the coastal environment, smothering kelp forests and affecting rich underwater habitats. </w:t>
      </w:r>
      <w:r w:rsidRPr="00472578">
        <w:rPr>
          <w:i/>
          <w:iCs/>
        </w:rPr>
        <w:t xml:space="preserve">Water </w:t>
      </w:r>
      <w:r w:rsidRPr="00472578">
        <w:t>abstraction and wastewater and stormwater discharges adversely affect the natural environment, cultural and amenity values, and recreation. Agriculture</w:t>
      </w:r>
      <w:r w:rsidR="003A2F40" w:rsidRPr="00472578">
        <w:rPr>
          <w:strike/>
        </w:rPr>
        <w:t xml:space="preserve">, </w:t>
      </w:r>
      <w:r w:rsidRPr="00472578">
        <w:rPr>
          <w:strike/>
        </w:rPr>
        <w:t>fishing</w:t>
      </w:r>
      <w:r w:rsidR="003A2F40" w:rsidRPr="00472578">
        <w:rPr>
          <w:rStyle w:val="FootnoteReference"/>
        </w:rPr>
        <w:footnoteReference w:id="414"/>
      </w:r>
      <w:r w:rsidR="003A2F40" w:rsidRPr="00472578">
        <w:t xml:space="preserve"> </w:t>
      </w:r>
      <w:r w:rsidRPr="00472578">
        <w:t xml:space="preserve">and minerals extraction support employment </w:t>
      </w:r>
      <w:r w:rsidR="008873B9" w:rsidRPr="00472578">
        <w:t>and economic</w:t>
      </w:r>
      <w:r w:rsidRPr="00472578">
        <w:t xml:space="preserve"> well-being but also change landscapes and habitats. Otago’s port moves freight to and </w:t>
      </w:r>
      <w:r w:rsidR="003A2F40" w:rsidRPr="00472578">
        <w:t>from Otago</w:t>
      </w:r>
      <w:r w:rsidRPr="00472578">
        <w:t xml:space="preserve"> and Southland, but operates alongside sensitive environments, including the Aramoana saltmarsh. Tourism, which relies on the environment, can also put pressure on natural environments.</w:t>
      </w:r>
    </w:p>
    <w:p w14:paraId="7921150B" w14:textId="77777777" w:rsidR="00B02DBF" w:rsidRPr="00472578" w:rsidRDefault="00B02DBF" w:rsidP="00E92686">
      <w:pPr>
        <w:pStyle w:val="Heading4"/>
        <w:jc w:val="both"/>
      </w:pPr>
      <w:r w:rsidRPr="00472578">
        <w:t>Context</w:t>
      </w:r>
    </w:p>
    <w:p w14:paraId="05313538" w14:textId="22443576" w:rsidR="00B02DBF" w:rsidRPr="00472578" w:rsidRDefault="00B02DBF" w:rsidP="00E92686">
      <w:pPr>
        <w:pStyle w:val="BodyText"/>
      </w:pPr>
      <w:r w:rsidRPr="00472578">
        <w:t xml:space="preserve">The Otago regional economy GDP totals $13.2 billion and supports a population of 236,200 </w:t>
      </w:r>
      <w:r w:rsidR="008873B9" w:rsidRPr="00472578">
        <w:t>residents (</w:t>
      </w:r>
      <w:r w:rsidRPr="00472578">
        <w:t xml:space="preserve">over half of which are in Dunedin). A significant part of the economy relies on the region’s natural resources (air, vegetation, biodiversity, </w:t>
      </w:r>
      <w:r w:rsidRPr="00472578">
        <w:rPr>
          <w:i/>
        </w:rPr>
        <w:t>water, land</w:t>
      </w:r>
      <w:r w:rsidRPr="00472578">
        <w:t xml:space="preserve">, marine and </w:t>
      </w:r>
      <w:r w:rsidRPr="00472578">
        <w:rPr>
          <w:i/>
        </w:rPr>
        <w:t>minerals</w:t>
      </w:r>
      <w:r w:rsidRPr="00472578">
        <w:t xml:space="preserve">). This supports agriculture, forestry, fishing (6.9% of GDP), mining (4.5% of GDP), electricity, gas, </w:t>
      </w:r>
      <w:proofErr w:type="gramStart"/>
      <w:r w:rsidRPr="00472578">
        <w:rPr>
          <w:i/>
        </w:rPr>
        <w:t>water</w:t>
      </w:r>
      <w:proofErr w:type="gramEnd"/>
      <w:r w:rsidRPr="00472578">
        <w:rPr>
          <w:i/>
        </w:rPr>
        <w:t xml:space="preserve"> </w:t>
      </w:r>
      <w:r w:rsidRPr="00472578">
        <w:t>and waste services (4.4% of GDP), as well as conservation activities and hunting. Tourism (18.1% of GDP) also partially relies on the natural values of the region</w:t>
      </w:r>
      <w:r w:rsidR="003A2F40" w:rsidRPr="00472578">
        <w:t>.</w:t>
      </w:r>
      <w:r w:rsidR="007F28D7" w:rsidRPr="007F28D7">
        <w:rPr>
          <w:rStyle w:val="FootnoteReference"/>
          <w:shd w:val="clear" w:color="auto" w:fill="D9D9D9" w:themeFill="background1" w:themeFillShade="D9"/>
        </w:rPr>
        <w:footnoteReference w:id="415"/>
      </w:r>
    </w:p>
    <w:p w14:paraId="0722B508" w14:textId="68CE2CAE" w:rsidR="00B02DBF" w:rsidRPr="00472578" w:rsidRDefault="00B02DBF" w:rsidP="00E92686">
      <w:pPr>
        <w:pStyle w:val="BodyText"/>
      </w:pPr>
      <w:r w:rsidRPr="00472578">
        <w:t xml:space="preserve">However, economic activity needs to </w:t>
      </w:r>
      <w:proofErr w:type="gramStart"/>
      <w:r w:rsidRPr="00472578">
        <w:t>more effectively account for and manage its impacts on the region’s natural resources</w:t>
      </w:r>
      <w:proofErr w:type="gramEnd"/>
      <w:r w:rsidR="003A2F40" w:rsidRPr="00472578">
        <w:t>.</w:t>
      </w:r>
      <w:r w:rsidR="007F28D7" w:rsidRPr="007F28D7">
        <w:rPr>
          <w:rStyle w:val="FootnoteReference"/>
          <w:shd w:val="clear" w:color="auto" w:fill="D9D9D9" w:themeFill="background1" w:themeFillShade="D9"/>
        </w:rPr>
        <w:footnoteReference w:id="416"/>
      </w:r>
      <w:r w:rsidR="003A2F40" w:rsidRPr="00472578">
        <w:t xml:space="preserve"> </w:t>
      </w:r>
      <w:r w:rsidRPr="00472578">
        <w:t xml:space="preserve">Where business and social activity does not account for its impacts on natural </w:t>
      </w:r>
      <w:r w:rsidRPr="00472578">
        <w:lastRenderedPageBreak/>
        <w:t>resources in the long term, not only is the sustainability of the region’s natural resources threatened, but equally the associated long term economic, social and cultural values are also threatened.</w:t>
      </w:r>
    </w:p>
    <w:p w14:paraId="45975BFA" w14:textId="3865B415" w:rsidR="00B02DBF" w:rsidRPr="00472578" w:rsidRDefault="00B02DBF" w:rsidP="00E92686">
      <w:pPr>
        <w:pStyle w:val="Heading4"/>
        <w:jc w:val="both"/>
      </w:pPr>
      <w:r w:rsidRPr="00472578">
        <w:t>Impact snapshot</w:t>
      </w:r>
    </w:p>
    <w:p w14:paraId="5AB0710B" w14:textId="77777777" w:rsidR="00B02DBF" w:rsidRPr="00472578" w:rsidRDefault="00B02DBF" w:rsidP="00E92686">
      <w:pPr>
        <w:pStyle w:val="Heading5"/>
        <w:jc w:val="both"/>
      </w:pPr>
      <w:r w:rsidRPr="00472578">
        <w:t>Environmental</w:t>
      </w:r>
    </w:p>
    <w:p w14:paraId="2A3DB07E" w14:textId="77777777" w:rsidR="00B02DBF" w:rsidRPr="00472578" w:rsidRDefault="00B02DBF" w:rsidP="00E92686">
      <w:pPr>
        <w:pStyle w:val="BodyText"/>
      </w:pPr>
      <w:r w:rsidRPr="00472578">
        <w:t xml:space="preserve">Economic activities can lead to, for example, biodiversity loss, poor </w:t>
      </w:r>
      <w:r w:rsidRPr="00472578">
        <w:rPr>
          <w:i/>
        </w:rPr>
        <w:t xml:space="preserve">water </w:t>
      </w:r>
      <w:r w:rsidRPr="00472578">
        <w:t>quality, coastal and marine degradation, and loss of natural features and landscapes. These and other matters are considered in further detail elsewhere in this chapter.</w:t>
      </w:r>
    </w:p>
    <w:p w14:paraId="1BA89B95" w14:textId="67FFC30A" w:rsidR="00B02DBF" w:rsidRPr="00472578" w:rsidRDefault="00B02DBF" w:rsidP="00E92686">
      <w:pPr>
        <w:pStyle w:val="BodyText"/>
      </w:pPr>
      <w:r w:rsidRPr="00472578">
        <w:t xml:space="preserve">Negative impacts on the </w:t>
      </w:r>
      <w:r w:rsidRPr="00472578">
        <w:rPr>
          <w:i/>
        </w:rPr>
        <w:t xml:space="preserve">environment </w:t>
      </w:r>
      <w:r w:rsidRPr="00472578">
        <w:t xml:space="preserve">can also compromise the ecosystems and the services economic activities depend on (ecosystem services), for example loss of </w:t>
      </w:r>
      <w:r w:rsidRPr="00472578">
        <w:rPr>
          <w:i/>
        </w:rPr>
        <w:t xml:space="preserve">wetlands </w:t>
      </w:r>
      <w:r w:rsidRPr="00472578">
        <w:t xml:space="preserve">which provide flood attenuation services, loss of biodiversity which provide pest control and pollination services, </w:t>
      </w:r>
      <w:r w:rsidR="003A2F40" w:rsidRPr="00472578">
        <w:t>and loss of</w:t>
      </w:r>
      <w:r w:rsidRPr="00472578">
        <w:t xml:space="preserve"> soil biodiversity. Economic activity also has the potential to compromise or destroy natural features and landscapes. Such impacts are both immediate and cumulative. Cumulative impacts that are not addressed have the potential to lead to tipping points beyond which systems can no longer properly function.</w:t>
      </w:r>
    </w:p>
    <w:p w14:paraId="33273247" w14:textId="77777777" w:rsidR="00B02DBF" w:rsidRPr="00472578" w:rsidRDefault="00B02DBF" w:rsidP="00E92686">
      <w:pPr>
        <w:pStyle w:val="Heading5"/>
        <w:jc w:val="both"/>
      </w:pPr>
      <w:r w:rsidRPr="00472578">
        <w:t>Economic</w:t>
      </w:r>
    </w:p>
    <w:p w14:paraId="01C08BEA" w14:textId="77777777" w:rsidR="00B02DBF" w:rsidRPr="00472578" w:rsidRDefault="00B02DBF" w:rsidP="00E92686">
      <w:pPr>
        <w:pStyle w:val="BodyText"/>
      </w:pPr>
      <w:r w:rsidRPr="00472578">
        <w:t>The costs of production can rise because of poor quality natural resources, for example, through higher input costs (</w:t>
      </w:r>
      <w:proofErr w:type="gramStart"/>
      <w:r w:rsidRPr="00472578">
        <w:t>e.g.</w:t>
      </w:r>
      <w:proofErr w:type="gramEnd"/>
      <w:r w:rsidRPr="00472578">
        <w:t xml:space="preserve"> fertiliser, weed and pest control); and remediation requirements (e.g. riverbank restoration, erosion control). Some land management practices can compromise productive capacity of agricultural land, for example, loss of soil through erosion or soil structure through compaction. Marine industries (</w:t>
      </w:r>
      <w:proofErr w:type="gramStart"/>
      <w:r w:rsidRPr="00472578">
        <w:t>e.g.</w:t>
      </w:r>
      <w:proofErr w:type="gramEnd"/>
      <w:r w:rsidRPr="00472578">
        <w:t xml:space="preserve"> fishing and aquaculture) can also be adversely affected.</w:t>
      </w:r>
    </w:p>
    <w:p w14:paraId="52C441C2" w14:textId="77777777" w:rsidR="00B02DBF" w:rsidRPr="00472578" w:rsidRDefault="00B02DBF" w:rsidP="00E92686">
      <w:pPr>
        <w:pStyle w:val="BodyText"/>
      </w:pPr>
      <w:r w:rsidRPr="00472578">
        <w:t>Business environmental performance is becoming increasingly important in terms of providing access to investment. Poor business environmental performance can also lead to increased regulatory requirements and associated higher costs of doing business.</w:t>
      </w:r>
    </w:p>
    <w:p w14:paraId="14F0A8C1" w14:textId="77777777" w:rsidR="00B02DBF" w:rsidRPr="00472578" w:rsidRDefault="00B02DBF" w:rsidP="00E92686">
      <w:pPr>
        <w:pStyle w:val="Heading5"/>
        <w:jc w:val="both"/>
      </w:pPr>
      <w:r w:rsidRPr="00472578">
        <w:t>Social</w:t>
      </w:r>
    </w:p>
    <w:p w14:paraId="6C39AA46" w14:textId="1FD0F173" w:rsidR="00B02DBF" w:rsidRPr="00472578" w:rsidRDefault="00B02DBF" w:rsidP="00E92686">
      <w:pPr>
        <w:pStyle w:val="BodyText"/>
      </w:pPr>
      <w:r w:rsidRPr="00472578">
        <w:t xml:space="preserve">Damage to or loss of natural features and landscapes compromises </w:t>
      </w:r>
      <w:r w:rsidRPr="00472578">
        <w:rPr>
          <w:i/>
        </w:rPr>
        <w:t xml:space="preserve">amenity values. </w:t>
      </w:r>
      <w:r w:rsidRPr="00472578">
        <w:t xml:space="preserve">Failure of business to sustainably manage </w:t>
      </w:r>
      <w:r w:rsidR="00A873AE">
        <w:rPr>
          <w:u w:val="single"/>
        </w:rPr>
        <w:t xml:space="preserve">their impact on </w:t>
      </w:r>
      <w:r w:rsidRPr="00472578">
        <w:t xml:space="preserve">natural resources </w:t>
      </w:r>
      <w:r w:rsidR="00A873AE">
        <w:rPr>
          <w:u w:val="single"/>
        </w:rPr>
        <w:t xml:space="preserve">can </w:t>
      </w:r>
      <w:r w:rsidRPr="00472578">
        <w:t>compromise</w:t>
      </w:r>
      <w:r w:rsidRPr="002D2561">
        <w:t>s</w:t>
      </w:r>
      <w:r w:rsidR="00A873AE" w:rsidRPr="000C440D">
        <w:rPr>
          <w:rStyle w:val="FootnoteReference"/>
        </w:rPr>
        <w:footnoteReference w:id="417"/>
      </w:r>
      <w:r w:rsidRPr="00472578">
        <w:t xml:space="preserve"> the social licence of a business sector to operate. This adversely impacts social capital (trust) and can create community division. In extreme cases it can lead to calls for reduced access to resources.</w:t>
      </w:r>
    </w:p>
    <w:p w14:paraId="7B4641F4" w14:textId="6875EC8F" w:rsidR="00B02DBF" w:rsidRPr="00472578" w:rsidRDefault="00B208D6" w:rsidP="00E92686">
      <w:pPr>
        <w:pStyle w:val="Heading3"/>
        <w:jc w:val="both"/>
      </w:pPr>
      <w:r w:rsidRPr="00472578">
        <w:t>SRMR-I</w:t>
      </w:r>
      <w:r w:rsidR="00B02DBF" w:rsidRPr="00472578">
        <w:t xml:space="preserve">11 – Cumulative impacts and </w:t>
      </w:r>
      <w:r w:rsidR="00B02DBF" w:rsidRPr="00472578">
        <w:rPr>
          <w:i/>
        </w:rPr>
        <w:t xml:space="preserve">resilience </w:t>
      </w:r>
      <w:r w:rsidR="00B02DBF" w:rsidRPr="00472578">
        <w:t>– the environmental costs of our activities in Otago are adding up with tipping points potentially being reached</w:t>
      </w:r>
    </w:p>
    <w:p w14:paraId="7B61AF7E" w14:textId="77777777" w:rsidR="00B02DBF" w:rsidRPr="00472578" w:rsidRDefault="00B02DBF" w:rsidP="00E92686">
      <w:pPr>
        <w:pStyle w:val="Heading4"/>
        <w:jc w:val="both"/>
      </w:pPr>
      <w:r w:rsidRPr="00472578">
        <w:t>Statement</w:t>
      </w:r>
    </w:p>
    <w:p w14:paraId="6D9673B3" w14:textId="77777777" w:rsidR="00B02DBF" w:rsidRPr="00472578" w:rsidRDefault="00B02DBF" w:rsidP="00E92686">
      <w:pPr>
        <w:pStyle w:val="BodyText"/>
      </w:pPr>
      <w:r w:rsidRPr="00472578">
        <w:t xml:space="preserve">How and where we currently live is likely to change significantly in coming years. To respond to all the issues identified in this RPS, it is essential to consider changes to how we travel, the industries our economy relies on, the use we currently make of the </w:t>
      </w:r>
      <w:r w:rsidRPr="00472578">
        <w:rPr>
          <w:i/>
        </w:rPr>
        <w:t xml:space="preserve">natural and physical resources </w:t>
      </w:r>
      <w:r w:rsidRPr="00472578">
        <w:t>of the region, and how we provide for personal and community well-being, all while protecting our natural environment.</w:t>
      </w:r>
    </w:p>
    <w:p w14:paraId="4B31AED6" w14:textId="77777777" w:rsidR="00B02DBF" w:rsidRPr="00472578" w:rsidRDefault="00B02DBF" w:rsidP="00E92686">
      <w:pPr>
        <w:pStyle w:val="Heading4"/>
        <w:jc w:val="both"/>
      </w:pPr>
      <w:r w:rsidRPr="00472578">
        <w:lastRenderedPageBreak/>
        <w:t>Context</w:t>
      </w:r>
    </w:p>
    <w:p w14:paraId="0D3D65FC" w14:textId="0D1F7210" w:rsidR="00B02DBF" w:rsidRPr="00472578" w:rsidRDefault="00B02DBF" w:rsidP="00E92686">
      <w:pPr>
        <w:pStyle w:val="BodyText"/>
        <w:rPr>
          <w:rFonts w:asciiTheme="majorHAnsi" w:eastAsiaTheme="majorEastAsia" w:hAnsiTheme="majorHAnsi" w:cstheme="majorBidi"/>
          <w:color w:val="1F3864" w:themeColor="accent1" w:themeShade="80"/>
          <w:u w:val="single"/>
        </w:rPr>
      </w:pPr>
      <w:r w:rsidRPr="00472578">
        <w:t xml:space="preserve">The long term environmental, economic, and social well-being of the Otago region requires anticipating and minimising cumulative environmental impacts before they reach a tipping point, beyond which systems can no longer properly function. This requires </w:t>
      </w:r>
      <w:r w:rsidRPr="00472578">
        <w:rPr>
          <w:i/>
        </w:rPr>
        <w:t xml:space="preserve">resilient </w:t>
      </w:r>
      <w:r w:rsidRPr="00472578">
        <w:t xml:space="preserve">frameworks that take account of the dynamic relationship between the </w:t>
      </w:r>
      <w:r w:rsidRPr="00472578">
        <w:rPr>
          <w:i/>
        </w:rPr>
        <w:t>environment</w:t>
      </w:r>
      <w:r w:rsidRPr="00472578">
        <w:t>, economy and people while acknowledging that the future is always uncertain, and knowledge is imperfect. Should a tipping point</w:t>
      </w:r>
      <w:r w:rsidR="003A2F40" w:rsidRPr="00472578">
        <w:t xml:space="preserve"> </w:t>
      </w:r>
      <w:r w:rsidRPr="00472578">
        <w:t xml:space="preserve">be reached a </w:t>
      </w:r>
      <w:r w:rsidRPr="00472578">
        <w:rPr>
          <w:i/>
        </w:rPr>
        <w:t xml:space="preserve">resilient </w:t>
      </w:r>
      <w:r w:rsidRPr="00472578">
        <w:t>Otago society will have the ability to absorb, respond to, adapt to, and recover from disruptive events</w:t>
      </w:r>
      <w:r w:rsidR="00FD76DB" w:rsidRPr="00472578">
        <w:t>.</w:t>
      </w:r>
      <w:r w:rsidR="00FD76DB" w:rsidRPr="00673AB3">
        <w:rPr>
          <w:rStyle w:val="FootnoteReference"/>
          <w:shd w:val="clear" w:color="auto" w:fill="D9D9D9" w:themeFill="background1" w:themeFillShade="D9"/>
        </w:rPr>
        <w:footnoteReference w:id="418"/>
      </w:r>
      <w:r w:rsidR="00FD76DB" w:rsidRPr="00673AB3">
        <w:rPr>
          <w:shd w:val="clear" w:color="auto" w:fill="D9D9D9" w:themeFill="background1" w:themeFillShade="D9"/>
        </w:rPr>
        <w:t xml:space="preserve"> </w:t>
      </w:r>
    </w:p>
    <w:p w14:paraId="0EE63371" w14:textId="77777777" w:rsidR="00B02DBF" w:rsidRPr="00472578" w:rsidRDefault="00B02DBF" w:rsidP="00E92686">
      <w:pPr>
        <w:pStyle w:val="Heading4"/>
        <w:jc w:val="both"/>
      </w:pPr>
      <w:r w:rsidRPr="00472578">
        <w:t>Impact snapshot</w:t>
      </w:r>
    </w:p>
    <w:p w14:paraId="0C78C730" w14:textId="77777777" w:rsidR="00B02DBF" w:rsidRPr="00472578" w:rsidRDefault="00B02DBF" w:rsidP="00E92686">
      <w:pPr>
        <w:pStyle w:val="Heading5"/>
        <w:jc w:val="both"/>
      </w:pPr>
      <w:r w:rsidRPr="00472578">
        <w:t>Environmental</w:t>
      </w:r>
    </w:p>
    <w:p w14:paraId="107E2906" w14:textId="5EFC7173" w:rsidR="00B02DBF" w:rsidRPr="00472578" w:rsidRDefault="00B02DBF" w:rsidP="00E92686">
      <w:pPr>
        <w:pStyle w:val="BodyText"/>
      </w:pPr>
      <w:r w:rsidRPr="00472578">
        <w:t xml:space="preserve">While many ecosystems have a degree of </w:t>
      </w:r>
      <w:r w:rsidRPr="00472578">
        <w:rPr>
          <w:i/>
        </w:rPr>
        <w:t>resilience</w:t>
      </w:r>
      <w:r w:rsidRPr="00472578">
        <w:t xml:space="preserve">, increasing pressures on the </w:t>
      </w:r>
      <w:r w:rsidRPr="00472578">
        <w:rPr>
          <w:i/>
        </w:rPr>
        <w:t>environment</w:t>
      </w:r>
      <w:r w:rsidRPr="00472578">
        <w:t xml:space="preserve">, typically </w:t>
      </w:r>
      <w:proofErr w:type="gramStart"/>
      <w:r w:rsidRPr="00472578">
        <w:t>as a result of</w:t>
      </w:r>
      <w:proofErr w:type="gramEnd"/>
      <w:r w:rsidRPr="00472578">
        <w:t xml:space="preserve"> human activities (for example economic development), can have an adverse cumulative</w:t>
      </w:r>
      <w:r w:rsidR="00540A66" w:rsidRPr="00472578">
        <w:t xml:space="preserve"> </w:t>
      </w:r>
      <w:r w:rsidRPr="00472578">
        <w:rPr>
          <w:i/>
        </w:rPr>
        <w:t>effect</w:t>
      </w:r>
      <w:r w:rsidRPr="00472578">
        <w:t xml:space="preserve">. </w:t>
      </w:r>
      <w:r w:rsidRPr="00472578">
        <w:rPr>
          <w:i/>
        </w:rPr>
        <w:t xml:space="preserve">Climate change </w:t>
      </w:r>
      <w:r w:rsidRPr="00472578">
        <w:t>also has the potential to seriously challenge ecosystem adaptive capacity. Much work is being undertaken to address this challenge, but it is still possible that permanent changes may occur (tipping point).</w:t>
      </w:r>
    </w:p>
    <w:p w14:paraId="52F88194" w14:textId="2EFA1743" w:rsidR="00B02DBF" w:rsidRPr="00472578" w:rsidRDefault="00B02DBF" w:rsidP="00E92686">
      <w:pPr>
        <w:pStyle w:val="BodyText"/>
      </w:pPr>
      <w:r w:rsidRPr="00472578">
        <w:t xml:space="preserve">The first and best response is to ensure sustainable management of our natural resources and avoid immediate and long-term cumulative </w:t>
      </w:r>
      <w:r w:rsidRPr="00472578">
        <w:rPr>
          <w:i/>
          <w:iCs/>
        </w:rPr>
        <w:t xml:space="preserve">effects </w:t>
      </w:r>
      <w:r w:rsidRPr="00472578">
        <w:t xml:space="preserve">that degrade the </w:t>
      </w:r>
      <w:r w:rsidRPr="00472578">
        <w:rPr>
          <w:i/>
          <w:iCs/>
        </w:rPr>
        <w:t>environment</w:t>
      </w:r>
      <w:r w:rsidRPr="00472578">
        <w:t xml:space="preserve">. At the same time a </w:t>
      </w:r>
      <w:r w:rsidRPr="00472578">
        <w:rPr>
          <w:i/>
          <w:iCs/>
        </w:rPr>
        <w:t xml:space="preserve">resilience </w:t>
      </w:r>
      <w:r w:rsidRPr="00472578">
        <w:t xml:space="preserve">approach is needed that identifies </w:t>
      </w:r>
      <w:r w:rsidRPr="00472578">
        <w:rPr>
          <w:strike/>
        </w:rPr>
        <w:t>thresholds</w:t>
      </w:r>
      <w:r w:rsidRPr="00472578">
        <w:t xml:space="preserve"> and sets </w:t>
      </w:r>
      <w:r w:rsidRPr="00472578">
        <w:rPr>
          <w:i/>
          <w:iCs/>
          <w:u w:val="single"/>
        </w:rPr>
        <w:t>environmental</w:t>
      </w:r>
      <w:r w:rsidRPr="00120CF2">
        <w:rPr>
          <w:rStyle w:val="FootnoteReference"/>
        </w:rPr>
        <w:footnoteReference w:id="419"/>
      </w:r>
      <w:r w:rsidRPr="00472578">
        <w:rPr>
          <w:i/>
          <w:iCs/>
        </w:rPr>
        <w:t xml:space="preserve"> limits</w:t>
      </w:r>
      <w:r w:rsidRPr="00472578">
        <w:t xml:space="preserve"> on the use of natural resources</w:t>
      </w:r>
      <w:r w:rsidR="00540A66" w:rsidRPr="00472578">
        <w:t xml:space="preserve"> </w:t>
      </w:r>
      <w:r w:rsidRPr="00472578">
        <w:t>to avoid permanent and potentially catastrophic changes occurring, as would occur if a tipping point is reached.</w:t>
      </w:r>
    </w:p>
    <w:p w14:paraId="04842885" w14:textId="10FC960F" w:rsidR="00B02DBF" w:rsidRPr="00472578" w:rsidRDefault="00B02DBF" w:rsidP="00E92686">
      <w:pPr>
        <w:pStyle w:val="BodyText"/>
      </w:pPr>
      <w:r w:rsidRPr="00472578">
        <w:t xml:space="preserve">Indicators and tools for measuring </w:t>
      </w:r>
      <w:r w:rsidRPr="00472578">
        <w:rPr>
          <w:i/>
        </w:rPr>
        <w:t xml:space="preserve">resilience </w:t>
      </w:r>
      <w:r w:rsidRPr="00472578">
        <w:t xml:space="preserve">and tipping points remain in the early stages of understanding and development. Even though regulatory agencies and proponents for natural resource development and environmental rehabilitation projects have difficulties interpreting and verifying the potential for environmental recovery and </w:t>
      </w:r>
      <w:r w:rsidRPr="00472578">
        <w:rPr>
          <w:i/>
        </w:rPr>
        <w:t xml:space="preserve">resilience </w:t>
      </w:r>
      <w:r w:rsidRPr="00472578">
        <w:t xml:space="preserve">(particularly in relation to the regulatory context of impact assessment </w:t>
      </w:r>
      <w:proofErr w:type="gramStart"/>
      <w:r w:rsidRPr="00472578">
        <w:t>in order to</w:t>
      </w:r>
      <w:proofErr w:type="gramEnd"/>
      <w:r w:rsidRPr="00472578">
        <w:t xml:space="preserve"> provide consenting decisions for regulated activities</w:t>
      </w:r>
      <w:r w:rsidR="00FD76DB" w:rsidRPr="00472578">
        <w:t>)</w:t>
      </w:r>
      <w:r w:rsidR="00673AB3" w:rsidRPr="00673AB3">
        <w:rPr>
          <w:rStyle w:val="FootnoteReference"/>
          <w:shd w:val="clear" w:color="auto" w:fill="D9D9D9" w:themeFill="background1" w:themeFillShade="D9"/>
        </w:rPr>
        <w:footnoteReference w:id="420"/>
      </w:r>
      <w:r w:rsidR="00FD76DB" w:rsidRPr="00472578">
        <w:t xml:space="preserve"> </w:t>
      </w:r>
      <w:r w:rsidRPr="00472578">
        <w:t>that should not be taken as a reason to delay acting.</w:t>
      </w:r>
    </w:p>
    <w:p w14:paraId="5D132CCA" w14:textId="77777777" w:rsidR="00B02DBF" w:rsidRPr="00472578" w:rsidRDefault="00B02DBF" w:rsidP="00E92686">
      <w:pPr>
        <w:pStyle w:val="Heading5"/>
        <w:jc w:val="both"/>
      </w:pPr>
      <w:r w:rsidRPr="00472578">
        <w:t>Social and economic</w:t>
      </w:r>
    </w:p>
    <w:p w14:paraId="43AA1D3F" w14:textId="77777777" w:rsidR="00B02DBF" w:rsidRPr="00472578" w:rsidRDefault="00B02DBF" w:rsidP="00E92686">
      <w:pPr>
        <w:pStyle w:val="BodyText"/>
      </w:pPr>
      <w:r w:rsidRPr="00472578">
        <w:t xml:space="preserve">The well-being of Otago’s people and communities in the long term will be sustained by the enduring ecological health and </w:t>
      </w:r>
      <w:r w:rsidRPr="00472578">
        <w:rPr>
          <w:i/>
        </w:rPr>
        <w:t xml:space="preserve">resilience </w:t>
      </w:r>
      <w:r w:rsidRPr="00472578">
        <w:t xml:space="preserve">of the </w:t>
      </w:r>
      <w:r w:rsidRPr="00472578">
        <w:rPr>
          <w:i/>
        </w:rPr>
        <w:t xml:space="preserve">environment </w:t>
      </w:r>
      <w:r w:rsidRPr="00472578">
        <w:t xml:space="preserve">and by human activity providing for the </w:t>
      </w:r>
      <w:r w:rsidRPr="00472578">
        <w:rPr>
          <w:i/>
        </w:rPr>
        <w:t xml:space="preserve">environment </w:t>
      </w:r>
      <w:r w:rsidRPr="00472578">
        <w:t xml:space="preserve">in equal or greater measure than is taken from it (in other words, net impact determines net well-being). It will also be sustained through community </w:t>
      </w:r>
      <w:r w:rsidRPr="00472578">
        <w:rPr>
          <w:i/>
        </w:rPr>
        <w:t xml:space="preserve">resilience </w:t>
      </w:r>
      <w:r w:rsidRPr="00472578">
        <w:t>so that it can adapt and nimbly respond to future challenges.</w:t>
      </w:r>
    </w:p>
    <w:p w14:paraId="7030C7E2" w14:textId="77777777" w:rsidR="00B02DBF" w:rsidRPr="00472578" w:rsidRDefault="00B02DBF" w:rsidP="00E92686">
      <w:pPr>
        <w:pStyle w:val="BodyText"/>
      </w:pPr>
    </w:p>
    <w:p w14:paraId="1A712CAE" w14:textId="77777777" w:rsidR="00B02DBF" w:rsidRPr="00472578" w:rsidRDefault="00B02DBF" w:rsidP="00E92686">
      <w:pPr>
        <w:pStyle w:val="BodyText"/>
      </w:pPr>
    </w:p>
    <w:p w14:paraId="2E8CB582" w14:textId="77777777" w:rsidR="00FD76DB" w:rsidRPr="00472578" w:rsidRDefault="00FD76DB" w:rsidP="00E92686">
      <w:pPr>
        <w:jc w:val="both"/>
        <w:rPr>
          <w:rFonts w:eastAsiaTheme="majorEastAsia" w:cstheme="majorBidi"/>
          <w:b/>
          <w:color w:val="1F3864" w:themeColor="accent1" w:themeShade="80"/>
          <w:sz w:val="40"/>
          <w:szCs w:val="26"/>
        </w:rPr>
      </w:pPr>
      <w:bookmarkStart w:id="67" w:name="_Toc49763475"/>
      <w:bookmarkStart w:id="68" w:name="_Toc73105355"/>
      <w:r w:rsidRPr="00472578">
        <w:br w:type="page"/>
      </w:r>
    </w:p>
    <w:p w14:paraId="2C216A06" w14:textId="1BD752B5" w:rsidR="00B02DBF" w:rsidRPr="00472578" w:rsidRDefault="00B02DBF" w:rsidP="00E92686">
      <w:pPr>
        <w:pStyle w:val="Heading2"/>
        <w:jc w:val="both"/>
      </w:pPr>
      <w:bookmarkStart w:id="69" w:name="_Toc102551276"/>
      <w:r w:rsidRPr="00472578">
        <w:lastRenderedPageBreak/>
        <w:t>RMIA – Resource management issues of significance to iwi authorities in the region</w:t>
      </w:r>
      <w:bookmarkEnd w:id="67"/>
      <w:bookmarkEnd w:id="68"/>
      <w:bookmarkEnd w:id="69"/>
    </w:p>
    <w:p w14:paraId="18ED35A9" w14:textId="77777777" w:rsidR="00B02DBF" w:rsidRPr="00472578" w:rsidRDefault="00B02DBF" w:rsidP="00E92686">
      <w:pPr>
        <w:pStyle w:val="Heading3"/>
        <w:jc w:val="both"/>
      </w:pPr>
      <w:bookmarkStart w:id="70" w:name="_Toc49763476"/>
      <w:r w:rsidRPr="00472578">
        <w:t xml:space="preserve">Introduction </w:t>
      </w:r>
    </w:p>
    <w:p w14:paraId="5F3040D3" w14:textId="77777777" w:rsidR="00B02DBF" w:rsidRPr="00472578" w:rsidRDefault="00B02DBF" w:rsidP="00E92686">
      <w:pPr>
        <w:jc w:val="both"/>
      </w:pPr>
      <w:r w:rsidRPr="00472578">
        <w:t xml:space="preserve">The MW – </w:t>
      </w:r>
      <w:r w:rsidRPr="00472578">
        <w:rPr>
          <w:i/>
        </w:rPr>
        <w:t>Mana Whenua</w:t>
      </w:r>
      <w:r w:rsidRPr="00472578">
        <w:t xml:space="preserve"> chapter describes the integral relationship between K</w:t>
      </w:r>
      <w:r w:rsidRPr="00472578">
        <w:rPr>
          <w:rFonts w:cstheme="minorHAnsi"/>
        </w:rPr>
        <w:t>ā</w:t>
      </w:r>
      <w:r w:rsidRPr="00472578">
        <w:t xml:space="preserve">i Tahu and the natural world, including the relationship with </w:t>
      </w:r>
      <w:proofErr w:type="gramStart"/>
      <w:r w:rsidRPr="00472578">
        <w:t>particular resources</w:t>
      </w:r>
      <w:proofErr w:type="gramEnd"/>
      <w:r w:rsidRPr="00472578">
        <w:t>, and the values that influence the K</w:t>
      </w:r>
      <w:r w:rsidRPr="00472578">
        <w:rPr>
          <w:rFonts w:cstheme="minorHAnsi"/>
        </w:rPr>
        <w:t>ā</w:t>
      </w:r>
      <w:r w:rsidRPr="00472578">
        <w:t xml:space="preserve">i Tahu approach to resource management. The issues and concerns described in this chapter should be read and understood in the context of the explanations in the MW – </w:t>
      </w:r>
      <w:r w:rsidRPr="00472578">
        <w:rPr>
          <w:i/>
        </w:rPr>
        <w:t>Mana Whenua</w:t>
      </w:r>
      <w:r w:rsidRPr="00472578">
        <w:t xml:space="preserve"> chapter.</w:t>
      </w:r>
    </w:p>
    <w:p w14:paraId="5933D3D7" w14:textId="2604C029" w:rsidR="00B02DBF" w:rsidRPr="00472578" w:rsidRDefault="00B02DBF" w:rsidP="00E92686">
      <w:pPr>
        <w:pStyle w:val="Heading3"/>
        <w:jc w:val="both"/>
        <w:rPr>
          <w:bCs/>
        </w:rPr>
      </w:pPr>
      <w:r w:rsidRPr="00472578">
        <w:t>RMIA</w:t>
      </w:r>
      <w:r w:rsidR="00B208D6" w:rsidRPr="00472578">
        <w:t>-</w:t>
      </w:r>
      <w:r w:rsidRPr="00472578">
        <w:t xml:space="preserve">WAI – Wai </w:t>
      </w:r>
      <w:bookmarkEnd w:id="70"/>
      <w:r w:rsidRPr="00472578">
        <w:t xml:space="preserve">Māori </w:t>
      </w:r>
    </w:p>
    <w:p w14:paraId="3452BC3E" w14:textId="77777777" w:rsidR="00B02DBF" w:rsidRPr="00472578" w:rsidRDefault="00B02DBF" w:rsidP="00E92686">
      <w:pPr>
        <w:pStyle w:val="Heading4"/>
        <w:jc w:val="both"/>
      </w:pPr>
      <w:r w:rsidRPr="00472578">
        <w:t>Context</w:t>
      </w:r>
    </w:p>
    <w:p w14:paraId="650C67E5" w14:textId="77777777" w:rsidR="00B02DBF" w:rsidRPr="00472578" w:rsidRDefault="00B02DBF" w:rsidP="00E92686">
      <w:pPr>
        <w:autoSpaceDE w:val="0"/>
        <w:autoSpaceDN w:val="0"/>
        <w:adjustRightInd w:val="0"/>
        <w:spacing w:line="257" w:lineRule="auto"/>
        <w:jc w:val="both"/>
        <w:rPr>
          <w:rFonts w:ascii="Calibri" w:eastAsia="Calibri" w:hAnsi="Calibri" w:cs="Calibri"/>
        </w:rPr>
      </w:pPr>
      <w:r w:rsidRPr="00472578">
        <w:rPr>
          <w:rFonts w:ascii="Calibri" w:eastAsia="Calibri" w:hAnsi="Calibri" w:cs="Calibri"/>
          <w:i/>
          <w:iCs/>
        </w:rPr>
        <w:t>Water</w:t>
      </w:r>
      <w:r w:rsidRPr="00472578">
        <w:rPr>
          <w:rFonts w:ascii="Calibri" w:eastAsia="Calibri" w:hAnsi="Calibri" w:cs="Calibri"/>
        </w:rPr>
        <w:t xml:space="preserve"> plays a significant role in Kāi Tahu spiritual beliefs and cultural traditions. Kāi Tahu have an obligation through whakapapa to protect wai and all the life it supports. </w:t>
      </w:r>
      <w:r w:rsidRPr="00472578">
        <w:rPr>
          <w:rFonts w:ascii="Calibri" w:eastAsia="Calibri" w:hAnsi="Calibri" w:cs="Calibri"/>
          <w:bCs/>
        </w:rPr>
        <w:t xml:space="preserve">Whānau have observed the health of </w:t>
      </w:r>
      <w:r w:rsidRPr="00472578">
        <w:rPr>
          <w:rFonts w:ascii="Calibri" w:eastAsia="Calibri" w:hAnsi="Calibri" w:cs="Calibri"/>
          <w:bCs/>
          <w:i/>
          <w:iCs/>
        </w:rPr>
        <w:t>water</w:t>
      </w:r>
      <w:r w:rsidRPr="00472578">
        <w:rPr>
          <w:rFonts w:ascii="Calibri" w:eastAsia="Calibri" w:hAnsi="Calibri" w:cs="Calibri"/>
          <w:bCs/>
        </w:rPr>
        <w:t xml:space="preserve"> degrade through time and consider it is crucial that this degradation is reversed. </w:t>
      </w:r>
    </w:p>
    <w:p w14:paraId="27FAA013" w14:textId="2A3891F9" w:rsidR="00B02DBF" w:rsidRPr="00472578" w:rsidRDefault="00B02DBF" w:rsidP="00E92686">
      <w:pPr>
        <w:pStyle w:val="Heading4"/>
        <w:jc w:val="both"/>
        <w:rPr>
          <w:rFonts w:eastAsia="National-Book"/>
        </w:rPr>
      </w:pPr>
      <w:r w:rsidRPr="00472578">
        <w:rPr>
          <w:rFonts w:eastAsia="National-Book"/>
        </w:rPr>
        <w:t>RMIA</w:t>
      </w:r>
      <w:r w:rsidR="00B208D6" w:rsidRPr="00472578">
        <w:t>-WAI-</w:t>
      </w:r>
      <w:r w:rsidRPr="00472578">
        <w:rPr>
          <w:rFonts w:eastAsia="National-Book"/>
        </w:rPr>
        <w:t xml:space="preserve">I1 – The loss and degradation of </w:t>
      </w:r>
      <w:r w:rsidRPr="00472578">
        <w:rPr>
          <w:rFonts w:eastAsia="National-Book"/>
          <w:i/>
        </w:rPr>
        <w:t>water</w:t>
      </w:r>
      <w:r w:rsidRPr="00472578">
        <w:rPr>
          <w:rFonts w:eastAsia="National-Book"/>
        </w:rPr>
        <w:t xml:space="preserve"> resources through drainage, abstraction, </w:t>
      </w:r>
      <w:r w:rsidRPr="00472578" w:rsidDel="00450AA5">
        <w:rPr>
          <w:rFonts w:eastAsia="National-Book"/>
        </w:rPr>
        <w:t>pollution</w:t>
      </w:r>
      <w:r w:rsidRPr="00472578">
        <w:rPr>
          <w:rFonts w:eastAsia="National-Book"/>
        </w:rPr>
        <w:t>, and damming has resulted in material and cultural deprivation for Kāi Tahu ki Otago</w:t>
      </w:r>
    </w:p>
    <w:p w14:paraId="54DBB13F" w14:textId="52883DC6" w:rsidR="00B02DBF" w:rsidRPr="00472578" w:rsidRDefault="00B02DBF" w:rsidP="00E92686">
      <w:pPr>
        <w:pStyle w:val="JustifiedSpacing"/>
      </w:pPr>
      <w:r w:rsidRPr="00472578">
        <w:t xml:space="preserve">The drainage of </w:t>
      </w:r>
      <w:r w:rsidRPr="00472578">
        <w:rPr>
          <w:i/>
          <w:iCs/>
        </w:rPr>
        <w:t>wetlands</w:t>
      </w:r>
      <w:r w:rsidRPr="00472578">
        <w:t xml:space="preserve">, </w:t>
      </w:r>
      <w:r w:rsidRPr="00472578">
        <w:rPr>
          <w:i/>
          <w:iCs/>
        </w:rPr>
        <w:t>water</w:t>
      </w:r>
      <w:r w:rsidRPr="00472578">
        <w:t xml:space="preserve"> abstraction, degraded </w:t>
      </w:r>
      <w:r w:rsidRPr="00472578">
        <w:rPr>
          <w:i/>
          <w:iCs/>
        </w:rPr>
        <w:t>water</w:t>
      </w:r>
      <w:r w:rsidRPr="00472578">
        <w:t xml:space="preserve"> quality, barriers to fish passage and changes to flow regimes </w:t>
      </w:r>
      <w:proofErr w:type="gramStart"/>
      <w:r w:rsidRPr="00472578">
        <w:t>as a result of</w:t>
      </w:r>
      <w:proofErr w:type="gramEnd"/>
      <w:r w:rsidRPr="00472578">
        <w:t xml:space="preserve"> damming have had significant negative impacts on Kāi Tahu. These activities degrade the mauri of the </w:t>
      </w:r>
      <w:r w:rsidRPr="00472578">
        <w:rPr>
          <w:i/>
          <w:iCs/>
        </w:rPr>
        <w:t>water</w:t>
      </w:r>
      <w:r w:rsidRPr="00472578">
        <w:t xml:space="preserve"> and the habitats and species it supports, therefore also degrading </w:t>
      </w:r>
      <w:r w:rsidR="00FF5C26" w:rsidRPr="009C237D">
        <w:rPr>
          <w:strike/>
        </w:rPr>
        <w:t>mahika kai</w:t>
      </w:r>
      <w:r w:rsidR="00FF5C26" w:rsidRPr="00472578">
        <w:t xml:space="preserve"> </w:t>
      </w:r>
      <w:r w:rsidR="00FF5C26" w:rsidRPr="00AA2FB8">
        <w:rPr>
          <w:i/>
          <w:iCs/>
          <w:u w:val="single"/>
        </w:rPr>
        <w:t>mahika kai</w:t>
      </w:r>
      <w:r w:rsidR="00FF5C26">
        <w:rPr>
          <w:rStyle w:val="FootnoteReference"/>
        </w:rPr>
        <w:footnoteReference w:id="421"/>
      </w:r>
      <w:r w:rsidRPr="00472578">
        <w:t xml:space="preserve"> and taoka species and places. </w:t>
      </w:r>
    </w:p>
    <w:p w14:paraId="0B2BAE82" w14:textId="1154DCA8" w:rsidR="00B02DBF" w:rsidRPr="00472578" w:rsidRDefault="00B02DBF" w:rsidP="00E92686">
      <w:pPr>
        <w:pStyle w:val="JustifiedSpacing"/>
      </w:pPr>
      <w:r w:rsidRPr="00472578">
        <w:t xml:space="preserve">These changes to the </w:t>
      </w:r>
      <w:r w:rsidRPr="00472578">
        <w:rPr>
          <w:i/>
          <w:iCs/>
        </w:rPr>
        <w:t>environment</w:t>
      </w:r>
      <w:r w:rsidRPr="00472578">
        <w:t xml:space="preserve"> have meant that Kāi Tahu have had to adapt and change their </w:t>
      </w:r>
      <w:r w:rsidRPr="00472578">
        <w:rPr>
          <w:i/>
          <w:iCs/>
        </w:rPr>
        <w:t>use</w:t>
      </w:r>
      <w:r w:rsidRPr="00472578">
        <w:t xml:space="preserve"> of the </w:t>
      </w:r>
      <w:r w:rsidRPr="00472578">
        <w:rPr>
          <w:i/>
          <w:iCs/>
        </w:rPr>
        <w:t>environment</w:t>
      </w:r>
      <w:r w:rsidRPr="00472578">
        <w:t xml:space="preserve">. As traditional </w:t>
      </w:r>
      <w:r w:rsidR="00980359" w:rsidRPr="009C237D">
        <w:rPr>
          <w:strike/>
        </w:rPr>
        <w:t>mahika kai</w:t>
      </w:r>
      <w:r w:rsidR="00980359" w:rsidRPr="00472578">
        <w:t xml:space="preserve"> </w:t>
      </w:r>
      <w:r w:rsidR="00980359" w:rsidRPr="00AA2FB8">
        <w:rPr>
          <w:i/>
          <w:iCs/>
          <w:u w:val="single"/>
        </w:rPr>
        <w:t>mahika kai</w:t>
      </w:r>
      <w:r w:rsidR="00980359">
        <w:rPr>
          <w:rStyle w:val="FootnoteReference"/>
        </w:rPr>
        <w:footnoteReference w:id="422"/>
      </w:r>
      <w:r w:rsidRPr="00472578">
        <w:t xml:space="preserve"> places and species have declined, </w:t>
      </w:r>
      <w:r w:rsidR="00980359" w:rsidRPr="009C237D">
        <w:rPr>
          <w:strike/>
        </w:rPr>
        <w:t>mahika kai</w:t>
      </w:r>
      <w:r w:rsidR="00980359" w:rsidRPr="00472578">
        <w:t xml:space="preserve"> </w:t>
      </w:r>
      <w:r w:rsidR="00980359" w:rsidRPr="00AA2FB8">
        <w:rPr>
          <w:i/>
          <w:iCs/>
          <w:u w:val="single"/>
        </w:rPr>
        <w:t>mahika kai</w:t>
      </w:r>
      <w:r w:rsidR="00980359">
        <w:rPr>
          <w:rStyle w:val="FootnoteReference"/>
        </w:rPr>
        <w:footnoteReference w:id="423"/>
      </w:r>
      <w:r w:rsidRPr="00472578">
        <w:t xml:space="preserve"> must now be carried out in artificial habitats such as reservoirs, and whānau have had to switch to exotic species such as trout and salmon. The mātauraka associated with traditional </w:t>
      </w:r>
      <w:r w:rsidR="00494790" w:rsidRPr="009C237D">
        <w:rPr>
          <w:strike/>
        </w:rPr>
        <w:t>mahika kai</w:t>
      </w:r>
      <w:r w:rsidR="00494790" w:rsidRPr="00472578">
        <w:t xml:space="preserve"> </w:t>
      </w:r>
      <w:r w:rsidR="00494790" w:rsidRPr="00AA2FB8">
        <w:rPr>
          <w:i/>
          <w:iCs/>
          <w:u w:val="single"/>
        </w:rPr>
        <w:t>mahika kai</w:t>
      </w:r>
      <w:r w:rsidR="00494790">
        <w:rPr>
          <w:rStyle w:val="FootnoteReference"/>
        </w:rPr>
        <w:footnoteReference w:id="424"/>
      </w:r>
      <w:r w:rsidRPr="00472578">
        <w:t xml:space="preserve"> species and places cannot be passed on, and the intergenerational transfer of knowledge that has occurred for over 800 years is broken. Place names that carry tribal history are no longer reflective of their places – for example no one would now claim that the Waiareka is ‘sweet water’ to drink. </w:t>
      </w:r>
    </w:p>
    <w:p w14:paraId="25D264EE" w14:textId="063279BA" w:rsidR="00B02DBF" w:rsidRPr="00472578" w:rsidRDefault="00B02DBF" w:rsidP="00E92686">
      <w:pPr>
        <w:pStyle w:val="Heading4"/>
        <w:jc w:val="both"/>
        <w:rPr>
          <w:rFonts w:eastAsia="National-Book"/>
        </w:rPr>
      </w:pPr>
      <w:r w:rsidRPr="00472578">
        <w:rPr>
          <w:rFonts w:eastAsia="National-Book"/>
        </w:rPr>
        <w:t>RMIA</w:t>
      </w:r>
      <w:r w:rsidR="00B208D6" w:rsidRPr="00472578">
        <w:t>-WAI-</w:t>
      </w:r>
      <w:r w:rsidRPr="00472578">
        <w:t>I</w:t>
      </w:r>
      <w:r w:rsidRPr="00472578">
        <w:rPr>
          <w:rFonts w:eastAsia="National-Book"/>
        </w:rPr>
        <w:t xml:space="preserve">2 – Current </w:t>
      </w:r>
      <w:r w:rsidRPr="00472578">
        <w:rPr>
          <w:rFonts w:eastAsia="National-Book"/>
          <w:i/>
        </w:rPr>
        <w:t>water</w:t>
      </w:r>
      <w:r w:rsidRPr="00472578">
        <w:rPr>
          <w:rFonts w:eastAsia="National-Book"/>
        </w:rPr>
        <w:t xml:space="preserve"> management does not adequately address Kāi Tahu cultural values and interests</w:t>
      </w:r>
    </w:p>
    <w:p w14:paraId="1376BEAD" w14:textId="3B88A4E4" w:rsidR="00B02DBF" w:rsidRPr="00472578" w:rsidRDefault="00B02DBF" w:rsidP="00E92686">
      <w:pPr>
        <w:pStyle w:val="JustifiedSpacing"/>
      </w:pPr>
      <w:r w:rsidRPr="00472578">
        <w:t xml:space="preserve">Kāi Tahu values and interests are not properly considered in current </w:t>
      </w:r>
      <w:r w:rsidRPr="00472578">
        <w:rPr>
          <w:i/>
          <w:iCs/>
        </w:rPr>
        <w:t xml:space="preserve">land </w:t>
      </w:r>
      <w:r w:rsidRPr="00472578">
        <w:t>and</w:t>
      </w:r>
      <w:r w:rsidRPr="00472578">
        <w:rPr>
          <w:i/>
          <w:iCs/>
        </w:rPr>
        <w:t xml:space="preserve"> water</w:t>
      </w:r>
      <w:r w:rsidRPr="00472578">
        <w:t xml:space="preserve"> resource management. </w:t>
      </w:r>
      <w:r w:rsidRPr="00472578">
        <w:rPr>
          <w:rFonts w:eastAsia="Times New Roman"/>
        </w:rPr>
        <w:t xml:space="preserve">The well-being of </w:t>
      </w:r>
      <w:r w:rsidR="00B90EDC" w:rsidRPr="009C237D">
        <w:rPr>
          <w:strike/>
        </w:rPr>
        <w:t>mahika kai</w:t>
      </w:r>
      <w:r w:rsidR="00B90EDC" w:rsidRPr="00472578">
        <w:t xml:space="preserve"> </w:t>
      </w:r>
      <w:r w:rsidR="00B90EDC" w:rsidRPr="00281E14">
        <w:rPr>
          <w:i/>
          <w:iCs/>
          <w:u w:val="single"/>
        </w:rPr>
        <w:t>mahika kai</w:t>
      </w:r>
      <w:r w:rsidR="00B90EDC">
        <w:rPr>
          <w:rStyle w:val="FootnoteReference"/>
        </w:rPr>
        <w:footnoteReference w:id="425"/>
      </w:r>
      <w:r w:rsidRPr="00472578">
        <w:rPr>
          <w:rFonts w:eastAsia="Times New Roman"/>
        </w:rPr>
        <w:t xml:space="preserve"> and taoka and protection of other cultural values is rarely given effect to in environmental policy or decision-making processes and these </w:t>
      </w:r>
      <w:r w:rsidRPr="00472578">
        <w:rPr>
          <w:rFonts w:eastAsia="Times New Roman"/>
        </w:rPr>
        <w:lastRenderedPageBreak/>
        <w:t xml:space="preserve">considerations are often compromised in favour of other values, including economic values. The mana of </w:t>
      </w:r>
      <w:r w:rsidRPr="00472578">
        <w:rPr>
          <w:rFonts w:eastAsia="Times New Roman"/>
          <w:i/>
          <w:iCs/>
        </w:rPr>
        <w:t>mana whenua</w:t>
      </w:r>
      <w:r w:rsidRPr="00472578">
        <w:rPr>
          <w:rFonts w:eastAsia="Times New Roman"/>
        </w:rPr>
        <w:t xml:space="preserve"> and of the </w:t>
      </w:r>
      <w:r w:rsidRPr="00472578">
        <w:rPr>
          <w:rFonts w:eastAsia="Times New Roman"/>
          <w:i/>
          <w:iCs/>
        </w:rPr>
        <w:t>water</w:t>
      </w:r>
      <w:r w:rsidRPr="00472578">
        <w:rPr>
          <w:rFonts w:eastAsia="Times New Roman"/>
        </w:rPr>
        <w:t xml:space="preserve"> is not recognised because </w:t>
      </w:r>
      <w:r w:rsidRPr="00472578">
        <w:rPr>
          <w:rFonts w:eastAsia="Times New Roman"/>
          <w:i/>
          <w:iCs/>
        </w:rPr>
        <w:t>water</w:t>
      </w:r>
      <w:r w:rsidRPr="00472578">
        <w:rPr>
          <w:rFonts w:eastAsia="Times New Roman"/>
        </w:rPr>
        <w:t xml:space="preserve"> quality and quantity have been allowed to be degraded. Resource management in Otago has failed to meet its obligation to recognise Kāi Tahu values and provide for the relationship of Kāi Tahu with the </w:t>
      </w:r>
      <w:r w:rsidRPr="00472578">
        <w:rPr>
          <w:rFonts w:eastAsia="Times New Roman"/>
          <w:i/>
          <w:iCs/>
        </w:rPr>
        <w:t>water bodies</w:t>
      </w:r>
      <w:r w:rsidRPr="00472578">
        <w:rPr>
          <w:rFonts w:eastAsia="Times New Roman"/>
        </w:rPr>
        <w:t xml:space="preserve"> within their rohe.</w:t>
      </w:r>
      <w:r w:rsidRPr="00472578">
        <w:rPr>
          <w:rFonts w:eastAsia="National-Book" w:cs="Times New Roman"/>
        </w:rPr>
        <w:t xml:space="preserve"> </w:t>
      </w:r>
      <w:r w:rsidRPr="00472578">
        <w:rPr>
          <w:rFonts w:eastAsia="Times New Roman"/>
        </w:rPr>
        <w:t xml:space="preserve">The understanding of cultural values by many is still developing and, as a result, Kāi Tahu values and interests are often not well represented in plans and decision-making. </w:t>
      </w:r>
    </w:p>
    <w:p w14:paraId="4D7DBFE0" w14:textId="60705E85" w:rsidR="00B02DBF" w:rsidRPr="00472578" w:rsidRDefault="00B02DBF" w:rsidP="00E92686">
      <w:pPr>
        <w:pStyle w:val="Heading4"/>
        <w:jc w:val="both"/>
        <w:rPr>
          <w:rFonts w:eastAsia="Times New Roman"/>
        </w:rPr>
      </w:pPr>
      <w:r w:rsidRPr="00472578">
        <w:rPr>
          <w:rFonts w:eastAsia="Times New Roman"/>
        </w:rPr>
        <w:t>RMIA</w:t>
      </w:r>
      <w:r w:rsidR="00B208D6" w:rsidRPr="00472578">
        <w:t>-WAI-</w:t>
      </w:r>
      <w:r w:rsidRPr="00472578">
        <w:t>I</w:t>
      </w:r>
      <w:r w:rsidRPr="00472578">
        <w:rPr>
          <w:rFonts w:eastAsia="Times New Roman"/>
        </w:rPr>
        <w:t>3</w:t>
      </w:r>
      <w:r w:rsidRPr="00472578">
        <w:rPr>
          <w:rFonts w:eastAsia="National-Book"/>
        </w:rPr>
        <w:t xml:space="preserve"> –</w:t>
      </w:r>
      <w:r w:rsidRPr="00472578" w:rsidDel="003B0506">
        <w:rPr>
          <w:rFonts w:eastAsia="National-Book"/>
        </w:rPr>
        <w:t xml:space="preserve"> </w:t>
      </w:r>
      <w:r w:rsidRPr="00472578" w:rsidDel="003B0506">
        <w:rPr>
          <w:rFonts w:eastAsia="Times New Roman"/>
        </w:rPr>
        <w:t xml:space="preserve">The </w:t>
      </w:r>
      <w:r w:rsidRPr="00472578" w:rsidDel="003B0506">
        <w:rPr>
          <w:rFonts w:eastAsia="Times New Roman"/>
          <w:i/>
          <w:iCs w:val="0"/>
        </w:rPr>
        <w:t>effects</w:t>
      </w:r>
      <w:r w:rsidRPr="00472578" w:rsidDel="003B0506">
        <w:rPr>
          <w:rFonts w:eastAsia="Times New Roman"/>
        </w:rPr>
        <w:t xml:space="preserve"> of </w:t>
      </w:r>
      <w:r w:rsidRPr="00472578">
        <w:rPr>
          <w:rFonts w:eastAsia="Times New Roman"/>
          <w:i/>
          <w:iCs w:val="0"/>
        </w:rPr>
        <w:t>land</w:t>
      </w:r>
      <w:r w:rsidRPr="00472578">
        <w:rPr>
          <w:rFonts w:eastAsia="Times New Roman"/>
        </w:rPr>
        <w:t xml:space="preserve"> and </w:t>
      </w:r>
      <w:r w:rsidRPr="00472578">
        <w:rPr>
          <w:rFonts w:eastAsia="Times New Roman"/>
          <w:i/>
          <w:iCs w:val="0"/>
        </w:rPr>
        <w:t>water use</w:t>
      </w:r>
      <w:r w:rsidRPr="00472578">
        <w:rPr>
          <w:rFonts w:eastAsia="Times New Roman"/>
        </w:rPr>
        <w:t xml:space="preserve"> activities </w:t>
      </w:r>
      <w:r w:rsidRPr="00472578" w:rsidDel="0015244C">
        <w:rPr>
          <w:rFonts w:eastAsia="Times New Roman"/>
        </w:rPr>
        <w:t xml:space="preserve">on </w:t>
      </w:r>
      <w:r w:rsidRPr="00472578">
        <w:rPr>
          <w:rFonts w:eastAsia="Times New Roman"/>
          <w:i/>
          <w:iCs w:val="0"/>
        </w:rPr>
        <w:t>freshwater</w:t>
      </w:r>
      <w:r w:rsidRPr="00472578">
        <w:rPr>
          <w:rFonts w:eastAsia="Times New Roman"/>
        </w:rPr>
        <w:t xml:space="preserve"> habitats have resulted in adverse </w:t>
      </w:r>
      <w:r w:rsidRPr="00472578">
        <w:rPr>
          <w:rFonts w:eastAsia="Times New Roman"/>
          <w:i/>
          <w:iCs w:val="0"/>
        </w:rPr>
        <w:t>effects</w:t>
      </w:r>
      <w:r w:rsidRPr="00472578">
        <w:rPr>
          <w:rFonts w:eastAsia="Times New Roman"/>
        </w:rPr>
        <w:t xml:space="preserve"> on the diversity and abundance of </w:t>
      </w:r>
      <w:r w:rsidR="00B90EDC" w:rsidRPr="009C237D">
        <w:rPr>
          <w:strike/>
        </w:rPr>
        <w:t>mahika kai</w:t>
      </w:r>
      <w:r w:rsidR="00B90EDC" w:rsidRPr="00472578">
        <w:t xml:space="preserve"> </w:t>
      </w:r>
      <w:r w:rsidR="00B90EDC" w:rsidRPr="00281E14">
        <w:rPr>
          <w:i/>
          <w:iCs w:val="0"/>
          <w:u w:val="single"/>
        </w:rPr>
        <w:t>mahika kai</w:t>
      </w:r>
      <w:r w:rsidR="00B90EDC">
        <w:rPr>
          <w:rStyle w:val="FootnoteReference"/>
        </w:rPr>
        <w:footnoteReference w:id="426"/>
      </w:r>
      <w:r w:rsidRPr="00472578">
        <w:rPr>
          <w:rFonts w:eastAsia="Times New Roman"/>
        </w:rPr>
        <w:t xml:space="preserve"> resources and harvesting activity</w:t>
      </w:r>
    </w:p>
    <w:p w14:paraId="6C36C3B9" w14:textId="13B526BF" w:rsidR="00B02DBF" w:rsidRPr="00472578" w:rsidRDefault="00B90EDC" w:rsidP="00E92686">
      <w:pPr>
        <w:pStyle w:val="JustifiedSpacing"/>
      </w:pPr>
      <w:r>
        <w:rPr>
          <w:strike/>
        </w:rPr>
        <w:t>M</w:t>
      </w:r>
      <w:r w:rsidRPr="009C237D">
        <w:rPr>
          <w:strike/>
        </w:rPr>
        <w:t>ahika kai</w:t>
      </w:r>
      <w:r w:rsidRPr="00472578">
        <w:t xml:space="preserve"> </w:t>
      </w:r>
      <w:r w:rsidRPr="00281E14">
        <w:rPr>
          <w:i/>
          <w:iCs/>
          <w:u w:val="single"/>
        </w:rPr>
        <w:t>Mahika kai</w:t>
      </w:r>
      <w:r>
        <w:rPr>
          <w:rStyle w:val="FootnoteReference"/>
        </w:rPr>
        <w:footnoteReference w:id="427"/>
      </w:r>
      <w:r w:rsidR="00B02DBF" w:rsidRPr="00472578">
        <w:t xml:space="preserve"> is the gathering of foods and other resources, the places where they are gathered, and the practices used in doing so. </w:t>
      </w:r>
      <w:r>
        <w:rPr>
          <w:strike/>
        </w:rPr>
        <w:t>M</w:t>
      </w:r>
      <w:r w:rsidRPr="009C237D">
        <w:rPr>
          <w:strike/>
        </w:rPr>
        <w:t>ahika kai</w:t>
      </w:r>
      <w:r w:rsidRPr="00472578">
        <w:t xml:space="preserve"> </w:t>
      </w:r>
      <w:r w:rsidRPr="00281E14">
        <w:rPr>
          <w:i/>
          <w:iCs/>
          <w:u w:val="single"/>
        </w:rPr>
        <w:t>Mahika kai</w:t>
      </w:r>
      <w:r>
        <w:rPr>
          <w:rStyle w:val="FootnoteReference"/>
        </w:rPr>
        <w:footnoteReference w:id="428"/>
      </w:r>
      <w:r w:rsidR="00B02DBF" w:rsidRPr="00472578">
        <w:t xml:space="preserve"> is an intrinsic part of Kāi Tahu identity and economic well-being. Kāi Tahu fishing rights were explicitly protected by the Treaty of Waitangi. Not only was the right to engage in </w:t>
      </w:r>
      <w:r w:rsidR="00964DFA" w:rsidRPr="009C237D">
        <w:rPr>
          <w:strike/>
        </w:rPr>
        <w:t>mahika kai</w:t>
      </w:r>
      <w:r w:rsidR="00964DFA" w:rsidRPr="00472578">
        <w:t xml:space="preserve"> </w:t>
      </w:r>
      <w:r w:rsidR="00964DFA" w:rsidRPr="00281E14">
        <w:rPr>
          <w:i/>
          <w:iCs/>
          <w:u w:val="single"/>
        </w:rPr>
        <w:t>mahika kai</w:t>
      </w:r>
      <w:r w:rsidR="00964DFA">
        <w:rPr>
          <w:rStyle w:val="FootnoteReference"/>
        </w:rPr>
        <w:footnoteReference w:id="429"/>
      </w:r>
      <w:r w:rsidR="00B02DBF" w:rsidRPr="00472578">
        <w:t xml:space="preserve"> activity confirmed, so too was the expectation that such activity will continue to be successful as measured by reference to past practice. However, as described in evidence provided to the Waitangi Tribunal in the Ngāi Tahu claim, there has been a dramatic loss of </w:t>
      </w:r>
      <w:r w:rsidR="006215AA" w:rsidRPr="009C237D">
        <w:rPr>
          <w:strike/>
        </w:rPr>
        <w:t>mahika kai</w:t>
      </w:r>
      <w:r w:rsidR="006215AA" w:rsidRPr="00472578">
        <w:t xml:space="preserve"> </w:t>
      </w:r>
      <w:r w:rsidR="006215AA" w:rsidRPr="00281E14">
        <w:rPr>
          <w:i/>
          <w:iCs/>
          <w:u w:val="single"/>
        </w:rPr>
        <w:t>mahika kai</w:t>
      </w:r>
      <w:r w:rsidR="006215AA">
        <w:rPr>
          <w:rStyle w:val="FootnoteReference"/>
        </w:rPr>
        <w:footnoteReference w:id="430"/>
      </w:r>
      <w:r w:rsidR="00B02DBF" w:rsidRPr="00472578">
        <w:t xml:space="preserve"> resources and places of procurement since the Treaty was signed. This loss is greater than the loss of kai. It is a loss of Kāi Tahu culture, as it affects the intergenerational transfer of mātauraka handed down from tūpuna over hundreds of years. It represents a </w:t>
      </w:r>
      <w:r w:rsidR="00B02DBF" w:rsidRPr="00472578">
        <w:rPr>
          <w:u w:val="single"/>
        </w:rPr>
        <w:t>significant</w:t>
      </w:r>
      <w:r w:rsidR="00B02DBF" w:rsidRPr="00472578">
        <w:t xml:space="preserve"> loss </w:t>
      </w:r>
      <w:r w:rsidR="00B02DBF" w:rsidRPr="00472578">
        <w:rPr>
          <w:u w:val="single"/>
        </w:rPr>
        <w:t>for mana whenua and a diminishing</w:t>
      </w:r>
      <w:r w:rsidR="00B02DBF" w:rsidRPr="00472578">
        <w:t xml:space="preserve"> </w:t>
      </w:r>
      <w:r w:rsidR="00B02DBF" w:rsidRPr="00472578">
        <w:rPr>
          <w:strike/>
        </w:rPr>
        <w:t>of</w:t>
      </w:r>
      <w:r w:rsidR="00B02DBF" w:rsidRPr="00472578">
        <w:t xml:space="preserve"> </w:t>
      </w:r>
      <w:r w:rsidR="00B02DBF" w:rsidRPr="00472578">
        <w:rPr>
          <w:strike/>
        </w:rPr>
        <w:t>rakatirataka and</w:t>
      </w:r>
      <w:r w:rsidR="00B02DBF" w:rsidRPr="00472578">
        <w:rPr>
          <w:rStyle w:val="FootnoteReference"/>
        </w:rPr>
        <w:footnoteReference w:id="431"/>
      </w:r>
      <w:r w:rsidR="00B02DBF" w:rsidRPr="00472578">
        <w:t xml:space="preserve"> of mana. </w:t>
      </w:r>
      <w:r w:rsidR="009A634A">
        <w:rPr>
          <w:strike/>
        </w:rPr>
        <w:t>M</w:t>
      </w:r>
      <w:r w:rsidR="006215AA" w:rsidRPr="009C237D">
        <w:rPr>
          <w:strike/>
        </w:rPr>
        <w:t>ahika kai</w:t>
      </w:r>
      <w:r w:rsidR="006215AA" w:rsidRPr="00472578">
        <w:t xml:space="preserve"> </w:t>
      </w:r>
      <w:r w:rsidR="00212778" w:rsidRPr="00281E14">
        <w:rPr>
          <w:i/>
          <w:iCs/>
          <w:u w:val="single"/>
        </w:rPr>
        <w:t>M</w:t>
      </w:r>
      <w:r w:rsidR="006215AA" w:rsidRPr="00281E14">
        <w:rPr>
          <w:i/>
          <w:iCs/>
          <w:u w:val="single"/>
        </w:rPr>
        <w:t>ahika kai</w:t>
      </w:r>
      <w:r w:rsidR="006215AA">
        <w:rPr>
          <w:rStyle w:val="FootnoteReference"/>
        </w:rPr>
        <w:footnoteReference w:id="432"/>
      </w:r>
      <w:r w:rsidR="00B02DBF" w:rsidRPr="00472578">
        <w:t xml:space="preserve"> continues to be degraded through the </w:t>
      </w:r>
      <w:r w:rsidR="00B02DBF" w:rsidRPr="00472578">
        <w:rPr>
          <w:i/>
          <w:iCs/>
        </w:rPr>
        <w:t>effects</w:t>
      </w:r>
      <w:r w:rsidR="00B02DBF" w:rsidRPr="00472578">
        <w:t xml:space="preserve"> of </w:t>
      </w:r>
      <w:r w:rsidR="00B02DBF" w:rsidRPr="00472578">
        <w:rPr>
          <w:i/>
          <w:iCs/>
        </w:rPr>
        <w:t xml:space="preserve">land </w:t>
      </w:r>
      <w:r w:rsidR="00B02DBF" w:rsidRPr="00472578">
        <w:t>and</w:t>
      </w:r>
      <w:r w:rsidR="00B02DBF" w:rsidRPr="00472578">
        <w:rPr>
          <w:i/>
          <w:iCs/>
        </w:rPr>
        <w:t xml:space="preserve"> water use</w:t>
      </w:r>
      <w:r w:rsidR="00B02DBF" w:rsidRPr="00472578">
        <w:t xml:space="preserve"> activities on </w:t>
      </w:r>
      <w:r w:rsidR="00B02DBF" w:rsidRPr="00472578">
        <w:rPr>
          <w:i/>
          <w:iCs/>
        </w:rPr>
        <w:t>freshwater</w:t>
      </w:r>
      <w:r w:rsidR="00B02DBF" w:rsidRPr="00472578">
        <w:t xml:space="preserve"> habitats. Activities such as the construction of barriers to fish passage, drainage, altered flow regimes, reduced </w:t>
      </w:r>
      <w:r w:rsidR="00B02DBF" w:rsidRPr="00472578">
        <w:rPr>
          <w:i/>
          <w:iCs/>
        </w:rPr>
        <w:t>water</w:t>
      </w:r>
      <w:r w:rsidR="00B02DBF" w:rsidRPr="00472578">
        <w:t xml:space="preserve"> quality and removal of riparian vegetation all impact on access to and use of resources. </w:t>
      </w:r>
    </w:p>
    <w:p w14:paraId="0BFF77C3" w14:textId="32B20232" w:rsidR="00B02DBF" w:rsidRPr="00472578" w:rsidRDefault="00B02DBF" w:rsidP="00E92686">
      <w:pPr>
        <w:pStyle w:val="Heading4"/>
        <w:jc w:val="both"/>
        <w:rPr>
          <w:rFonts w:eastAsia="Times New Roman"/>
        </w:rPr>
      </w:pPr>
      <w:r w:rsidRPr="00472578">
        <w:rPr>
          <w:rFonts w:eastAsia="Times New Roman"/>
        </w:rPr>
        <w:t>RMIA</w:t>
      </w:r>
      <w:r w:rsidR="00B208D6" w:rsidRPr="00472578">
        <w:t>-WAI-</w:t>
      </w:r>
      <w:r w:rsidRPr="00472578">
        <w:t>I</w:t>
      </w:r>
      <w:r w:rsidRPr="00472578">
        <w:rPr>
          <w:rFonts w:eastAsia="Times New Roman"/>
        </w:rPr>
        <w:t>4</w:t>
      </w:r>
      <w:r w:rsidRPr="00472578">
        <w:rPr>
          <w:rFonts w:eastAsia="National-Book"/>
        </w:rPr>
        <w:t xml:space="preserve"> – </w:t>
      </w:r>
      <w:r w:rsidRPr="00472578">
        <w:rPr>
          <w:rFonts w:eastAsia="Times New Roman"/>
        </w:rPr>
        <w:t xml:space="preserve">Effective participation of Kāi Tahu in </w:t>
      </w:r>
      <w:r w:rsidRPr="00472578">
        <w:rPr>
          <w:rFonts w:eastAsia="Times New Roman"/>
          <w:i/>
          <w:iCs w:val="0"/>
        </w:rPr>
        <w:t>freshwater</w:t>
      </w:r>
      <w:r w:rsidRPr="00472578">
        <w:rPr>
          <w:rFonts w:eastAsia="Times New Roman"/>
        </w:rPr>
        <w:t xml:space="preserve"> management is hampered by poor recognition of mātauraka</w:t>
      </w:r>
    </w:p>
    <w:p w14:paraId="62A22883" w14:textId="77777777" w:rsidR="00B02DBF" w:rsidRPr="00472578" w:rsidRDefault="00B02DBF" w:rsidP="00E92686">
      <w:pPr>
        <w:pStyle w:val="JustifiedSpacing"/>
      </w:pPr>
      <w:r w:rsidRPr="00472578">
        <w:t>The term ‘mātauraka Māori’ includes all branches of Māori knowledge, past, present, and still developing. It involves observing, experiencing, studying, and understanding the world from an indigenous cultural perspective. It is a tool for thinking, organising information, considering the ethics of knowledge, and informing us about our world and our place in it. Incorporation of mātauraka in resource management decision-making is important to ensure that cultural interests are appropriately recognised and provided for. Resource managers do not always appreciate the depth and value of mātauraka held by members of Kāi Tahu Whānui. Even where mātauraka is valued there may be difficulty in determining how best to apply the knowledge.</w:t>
      </w:r>
    </w:p>
    <w:p w14:paraId="01F91E08" w14:textId="2B8DFB41" w:rsidR="00B02DBF" w:rsidRPr="00472578" w:rsidRDefault="00B02DBF" w:rsidP="00E92686">
      <w:pPr>
        <w:pStyle w:val="Heading4"/>
        <w:jc w:val="both"/>
        <w:rPr>
          <w:rFonts w:eastAsia="National-Book"/>
        </w:rPr>
      </w:pPr>
      <w:r w:rsidRPr="00472578">
        <w:rPr>
          <w:rFonts w:eastAsia="National-Book"/>
        </w:rPr>
        <w:t>RMIA</w:t>
      </w:r>
      <w:r w:rsidR="00B208D6" w:rsidRPr="00472578">
        <w:t>-WAI-</w:t>
      </w:r>
      <w:r w:rsidRPr="00472578">
        <w:t>I</w:t>
      </w:r>
      <w:r w:rsidRPr="00472578">
        <w:rPr>
          <w:rFonts w:eastAsia="National-Book"/>
        </w:rPr>
        <w:t xml:space="preserve">5 – Poor integration of </w:t>
      </w:r>
      <w:r w:rsidRPr="00472578">
        <w:rPr>
          <w:rFonts w:eastAsia="National-Book"/>
          <w:i/>
        </w:rPr>
        <w:t>water</w:t>
      </w:r>
      <w:r w:rsidRPr="00472578">
        <w:rPr>
          <w:rFonts w:eastAsia="National-Book"/>
        </w:rPr>
        <w:t xml:space="preserve"> management, across agencies and across a catchment, hinders effective and holistic </w:t>
      </w:r>
      <w:r w:rsidRPr="00472578">
        <w:rPr>
          <w:rFonts w:eastAsia="National-Book"/>
          <w:i/>
        </w:rPr>
        <w:t>freshwater</w:t>
      </w:r>
      <w:r w:rsidRPr="00472578">
        <w:rPr>
          <w:rFonts w:eastAsia="National-Book"/>
        </w:rPr>
        <w:t xml:space="preserve"> management</w:t>
      </w:r>
    </w:p>
    <w:p w14:paraId="4D01D6B9" w14:textId="77777777" w:rsidR="00B02DBF" w:rsidRPr="00472578" w:rsidRDefault="00B02DBF" w:rsidP="00E92686">
      <w:pPr>
        <w:pStyle w:val="JustifiedSpacing"/>
      </w:pPr>
      <w:r w:rsidRPr="00472578">
        <w:t xml:space="preserve">Kāi Tahu place emphasis on the holistic management of resources. Cultural values such as whakapapa and concepts such as ki uta ki tai recognise the interconnectedness of all things, and that </w:t>
      </w:r>
      <w:r w:rsidRPr="00472578">
        <w:rPr>
          <w:i/>
          <w:iCs/>
        </w:rPr>
        <w:t>effects</w:t>
      </w:r>
      <w:r w:rsidRPr="00472578">
        <w:t xml:space="preserve"> on one </w:t>
      </w:r>
      <w:r w:rsidRPr="00472578">
        <w:lastRenderedPageBreak/>
        <w:t xml:space="preserve">part of the whole will be felt throughout the whole. Management of </w:t>
      </w:r>
      <w:r w:rsidRPr="00472578">
        <w:rPr>
          <w:i/>
          <w:iCs/>
        </w:rPr>
        <w:t>water</w:t>
      </w:r>
      <w:r w:rsidRPr="00472578">
        <w:t xml:space="preserve"> in Otago is not holistic. Catchments are often managed by multiple councils, and the Waitaki (a most significant </w:t>
      </w:r>
      <w:r w:rsidRPr="00472578">
        <w:rPr>
          <w:i/>
          <w:iCs/>
        </w:rPr>
        <w:t>river</w:t>
      </w:r>
      <w:r w:rsidRPr="00472578">
        <w:t xml:space="preserve"> to Kāi Tahu) is managed by two regional councils with policies and management approaches that include some significant differences. Regional councils are responsible for managing </w:t>
      </w:r>
      <w:r w:rsidRPr="00472578">
        <w:rPr>
          <w:i/>
          <w:iCs/>
        </w:rPr>
        <w:t xml:space="preserve">land use effects </w:t>
      </w:r>
      <w:r w:rsidRPr="00472578">
        <w:t>on</w:t>
      </w:r>
      <w:r w:rsidRPr="00472578">
        <w:rPr>
          <w:i/>
          <w:iCs/>
        </w:rPr>
        <w:t xml:space="preserve"> land</w:t>
      </w:r>
      <w:r w:rsidRPr="00472578">
        <w:t xml:space="preserve"> and at sea up to 12 nautical miles offshore, but beyond that the Environmental Protection Authority manages </w:t>
      </w:r>
      <w:r w:rsidRPr="00472578">
        <w:rPr>
          <w:i/>
          <w:iCs/>
        </w:rPr>
        <w:t>effects</w:t>
      </w:r>
      <w:r w:rsidRPr="00472578">
        <w:t xml:space="preserve"> through a separate piece of legislation. District councils, although not specifically responsible for managing </w:t>
      </w:r>
      <w:r w:rsidRPr="00472578">
        <w:rPr>
          <w:i/>
          <w:iCs/>
        </w:rPr>
        <w:t>freshwater</w:t>
      </w:r>
      <w:r w:rsidRPr="00472578">
        <w:t xml:space="preserve">, are responsible for managing activities that affect </w:t>
      </w:r>
      <w:r w:rsidRPr="00472578">
        <w:rPr>
          <w:i/>
          <w:iCs/>
        </w:rPr>
        <w:t>freshwater</w:t>
      </w:r>
      <w:r w:rsidRPr="00472578">
        <w:t xml:space="preserve">. </w:t>
      </w:r>
    </w:p>
    <w:p w14:paraId="5A974B6D" w14:textId="77777777" w:rsidR="00B02DBF" w:rsidRPr="00472578" w:rsidRDefault="00B02DBF" w:rsidP="00E92686">
      <w:pPr>
        <w:pStyle w:val="JustifiedSpacing"/>
      </w:pPr>
      <w:r w:rsidRPr="00472578">
        <w:t xml:space="preserve">In Otago there are separate plans for </w:t>
      </w:r>
      <w:r w:rsidRPr="00472578">
        <w:rPr>
          <w:i/>
          <w:iCs/>
        </w:rPr>
        <w:t>freshwater</w:t>
      </w:r>
      <w:r w:rsidRPr="00472578">
        <w:t xml:space="preserve"> and the coastal area, and they are not consistent with each other. These divisions in the management of the </w:t>
      </w:r>
      <w:r w:rsidRPr="00472578">
        <w:rPr>
          <w:i/>
          <w:iCs/>
        </w:rPr>
        <w:t>environment</w:t>
      </w:r>
      <w:r w:rsidRPr="00472578">
        <w:t xml:space="preserve"> fail to recognise </w:t>
      </w:r>
      <w:bookmarkStart w:id="71" w:name="_Hlk63179292"/>
      <w:r w:rsidRPr="00472578">
        <w:t xml:space="preserve">that all </w:t>
      </w:r>
      <w:r w:rsidRPr="00472578">
        <w:rPr>
          <w:i/>
          <w:iCs/>
        </w:rPr>
        <w:t>water</w:t>
      </w:r>
      <w:r w:rsidRPr="00472578">
        <w:t xml:space="preserve">, in </w:t>
      </w:r>
      <w:r w:rsidRPr="00472578">
        <w:rPr>
          <w:i/>
          <w:iCs/>
        </w:rPr>
        <w:t>rivers</w:t>
      </w:r>
      <w:r w:rsidRPr="00472578">
        <w:t xml:space="preserve">, underground, in the air and in the ocean is connected, and what occurs in the headwaters and on </w:t>
      </w:r>
      <w:r w:rsidRPr="00472578">
        <w:rPr>
          <w:i/>
          <w:iCs/>
        </w:rPr>
        <w:t>land</w:t>
      </w:r>
      <w:r w:rsidRPr="00472578">
        <w:t xml:space="preserve"> will have an impact in the ocean</w:t>
      </w:r>
      <w:bookmarkEnd w:id="71"/>
      <w:r w:rsidRPr="00472578">
        <w:t xml:space="preserve">. This lack of holistic </w:t>
      </w:r>
      <w:r w:rsidRPr="00472578">
        <w:rPr>
          <w:i/>
          <w:iCs/>
        </w:rPr>
        <w:t>freshwater</w:t>
      </w:r>
      <w:r w:rsidRPr="00472578">
        <w:t xml:space="preserve"> management also makes it difficult to understand and address the cumulative </w:t>
      </w:r>
      <w:r w:rsidRPr="00472578">
        <w:rPr>
          <w:i/>
          <w:iCs/>
        </w:rPr>
        <w:t>effects</w:t>
      </w:r>
      <w:r w:rsidRPr="00472578">
        <w:t xml:space="preserve"> of different activities and decisions on cultural values. </w:t>
      </w:r>
    </w:p>
    <w:p w14:paraId="79358BBB" w14:textId="77777777" w:rsidR="00B02DBF" w:rsidRPr="00472578" w:rsidRDefault="00B02DBF" w:rsidP="00E92686">
      <w:pPr>
        <w:jc w:val="both"/>
        <w:rPr>
          <w:rFonts w:ascii="Calibri" w:eastAsia="Calibri" w:hAnsi="Calibri" w:cs="Calibri"/>
        </w:rPr>
      </w:pPr>
      <w:bookmarkStart w:id="72" w:name="_Hlk41038082"/>
      <w:r w:rsidRPr="00472578">
        <w:rPr>
          <w:rFonts w:ascii="Calibri" w:eastAsia="Calibri" w:hAnsi="Calibri" w:cs="Calibri"/>
        </w:rPr>
        <w:t>Specific concerns related to RMIA-WAI-I1 to RMIA-WAI-I5 are interrelated, and include:</w:t>
      </w:r>
    </w:p>
    <w:bookmarkEnd w:id="72"/>
    <w:p w14:paraId="163E7DCC" w14:textId="77777777" w:rsidR="00B02DBF" w:rsidRPr="00472578" w:rsidRDefault="00B02DBF" w:rsidP="00E92686">
      <w:pPr>
        <w:numPr>
          <w:ilvl w:val="0"/>
          <w:numId w:val="5"/>
        </w:numPr>
        <w:autoSpaceDE w:val="0"/>
        <w:autoSpaceDN w:val="0"/>
        <w:adjustRightInd w:val="0"/>
        <w:ind w:left="567" w:hanging="567"/>
        <w:jc w:val="both"/>
        <w:rPr>
          <w:rFonts w:ascii="Calibri" w:eastAsia="Calibri" w:hAnsi="Calibri" w:cs="Calibri"/>
        </w:rPr>
      </w:pPr>
      <w:r w:rsidRPr="00472578">
        <w:rPr>
          <w:rFonts w:ascii="Calibri" w:eastAsia="Calibri" w:hAnsi="Calibri" w:cs="Calibri"/>
          <w:i/>
          <w:iCs/>
        </w:rPr>
        <w:t>Water</w:t>
      </w:r>
      <w:r w:rsidRPr="00472578">
        <w:rPr>
          <w:rFonts w:ascii="Calibri" w:eastAsia="Calibri" w:hAnsi="Calibri" w:cs="Calibri"/>
        </w:rPr>
        <w:t xml:space="preserve"> quality concerns:</w:t>
      </w:r>
    </w:p>
    <w:p w14:paraId="766CAE22" w14:textId="77777777" w:rsidR="00B02DBF" w:rsidRPr="00472578" w:rsidRDefault="00B02DBF" w:rsidP="00E92686">
      <w:pPr>
        <w:numPr>
          <w:ilvl w:val="1"/>
          <w:numId w:val="5"/>
        </w:numPr>
        <w:ind w:left="1134" w:hanging="567"/>
        <w:contextualSpacing/>
        <w:jc w:val="both"/>
        <w:rPr>
          <w:rFonts w:ascii="Calibri" w:eastAsia="Calibri" w:hAnsi="Calibri" w:cs="Calibri"/>
        </w:rPr>
      </w:pPr>
      <w:r w:rsidRPr="00472578">
        <w:rPr>
          <w:rFonts w:ascii="Calibri" w:eastAsia="Calibri" w:hAnsi="Calibri" w:cs="Calibri"/>
        </w:rPr>
        <w:t xml:space="preserve">Deterioration in </w:t>
      </w:r>
      <w:r w:rsidRPr="00472578">
        <w:rPr>
          <w:rFonts w:ascii="Calibri" w:eastAsia="Calibri" w:hAnsi="Calibri" w:cs="Calibri"/>
          <w:i/>
          <w:iCs/>
        </w:rPr>
        <w:t>water</w:t>
      </w:r>
      <w:r w:rsidRPr="00472578">
        <w:rPr>
          <w:rFonts w:ascii="Calibri" w:eastAsia="Calibri" w:hAnsi="Calibri" w:cs="Calibri"/>
        </w:rPr>
        <w:t xml:space="preserve"> quality resulting from poor </w:t>
      </w:r>
      <w:r w:rsidRPr="00472578">
        <w:rPr>
          <w:rFonts w:ascii="Calibri" w:eastAsia="Calibri" w:hAnsi="Calibri" w:cs="Calibri"/>
          <w:i/>
          <w:iCs/>
        </w:rPr>
        <w:t>land</w:t>
      </w:r>
      <w:r w:rsidRPr="00472578">
        <w:rPr>
          <w:rFonts w:ascii="Calibri" w:eastAsia="Calibri" w:hAnsi="Calibri" w:cs="Calibri"/>
        </w:rPr>
        <w:t xml:space="preserve"> management practices. </w:t>
      </w:r>
    </w:p>
    <w:p w14:paraId="426142F1" w14:textId="77777777" w:rsidR="00B02DBF" w:rsidRPr="00472578" w:rsidRDefault="00B02DBF" w:rsidP="00E92686">
      <w:pPr>
        <w:numPr>
          <w:ilvl w:val="1"/>
          <w:numId w:val="5"/>
        </w:numPr>
        <w:ind w:left="1134" w:hanging="567"/>
        <w:contextualSpacing/>
        <w:jc w:val="both"/>
        <w:rPr>
          <w:rFonts w:ascii="Calibri" w:eastAsia="Calibri" w:hAnsi="Calibri" w:cs="Calibri"/>
        </w:rPr>
      </w:pPr>
      <w:r w:rsidRPr="00472578">
        <w:rPr>
          <w:rFonts w:ascii="Calibri" w:eastAsia="Calibri" w:hAnsi="Calibri" w:cs="Calibri"/>
        </w:rPr>
        <w:t xml:space="preserve">The cultural and </w:t>
      </w:r>
      <w:r w:rsidRPr="00472578">
        <w:rPr>
          <w:rFonts w:ascii="Calibri" w:eastAsia="Calibri" w:hAnsi="Calibri" w:cs="Calibri"/>
          <w:i/>
          <w:iCs/>
        </w:rPr>
        <w:t>water</w:t>
      </w:r>
      <w:r w:rsidRPr="00472578">
        <w:rPr>
          <w:rFonts w:ascii="Calibri" w:eastAsia="Calibri" w:hAnsi="Calibri" w:cs="Calibri"/>
        </w:rPr>
        <w:t xml:space="preserve"> quality impacts of point and non-point source </w:t>
      </w:r>
      <w:r w:rsidRPr="00472578">
        <w:rPr>
          <w:rFonts w:ascii="Calibri" w:eastAsia="Calibri" w:hAnsi="Calibri" w:cs="Calibri"/>
          <w:i/>
          <w:iCs/>
        </w:rPr>
        <w:t>discharge</w:t>
      </w:r>
      <w:r w:rsidRPr="00472578">
        <w:rPr>
          <w:rFonts w:ascii="Calibri" w:eastAsia="Calibri" w:hAnsi="Calibri" w:cs="Calibri"/>
        </w:rPr>
        <w:t xml:space="preserve"> of human waste and other </w:t>
      </w:r>
      <w:r w:rsidRPr="00472578">
        <w:rPr>
          <w:rFonts w:ascii="Calibri" w:eastAsia="Calibri" w:hAnsi="Calibri" w:cs="Calibri"/>
          <w:i/>
          <w:iCs/>
        </w:rPr>
        <w:t>contaminants</w:t>
      </w:r>
      <w:r w:rsidRPr="00472578">
        <w:rPr>
          <w:rFonts w:ascii="Calibri" w:eastAsia="Calibri" w:hAnsi="Calibri" w:cs="Calibri"/>
        </w:rPr>
        <w:t xml:space="preserve"> to </w:t>
      </w:r>
      <w:r w:rsidRPr="00472578">
        <w:rPr>
          <w:rFonts w:ascii="Calibri" w:eastAsia="Calibri" w:hAnsi="Calibri" w:cs="Calibri"/>
          <w:i/>
          <w:iCs/>
        </w:rPr>
        <w:t>water</w:t>
      </w:r>
      <w:r w:rsidRPr="00472578">
        <w:rPr>
          <w:rFonts w:ascii="Calibri" w:eastAsia="Calibri" w:hAnsi="Calibri" w:cs="Calibri"/>
        </w:rPr>
        <w:t xml:space="preserve">. Whānau cannot gather kai from places where human waste (whether treated or not) has been </w:t>
      </w:r>
      <w:r w:rsidRPr="00472578">
        <w:rPr>
          <w:rFonts w:ascii="Calibri" w:eastAsia="Calibri" w:hAnsi="Calibri" w:cs="Calibri"/>
          <w:i/>
          <w:iCs/>
        </w:rPr>
        <w:t>discharged</w:t>
      </w:r>
      <w:r w:rsidRPr="00472578">
        <w:rPr>
          <w:rFonts w:ascii="Calibri" w:eastAsia="Calibri" w:hAnsi="Calibri" w:cs="Calibri"/>
        </w:rPr>
        <w:t xml:space="preserve">, or where herbicides and pesticides have been used. Reliance on dilution rates to mitigate the </w:t>
      </w:r>
      <w:r w:rsidRPr="00472578">
        <w:rPr>
          <w:rFonts w:ascii="Calibri" w:eastAsia="Calibri" w:hAnsi="Calibri" w:cs="Calibri"/>
          <w:i/>
          <w:iCs/>
        </w:rPr>
        <w:t>effects</w:t>
      </w:r>
      <w:r w:rsidRPr="00472578">
        <w:rPr>
          <w:rFonts w:ascii="Calibri" w:eastAsia="Calibri" w:hAnsi="Calibri" w:cs="Calibri"/>
        </w:rPr>
        <w:t xml:space="preserve"> of </w:t>
      </w:r>
      <w:r w:rsidRPr="00472578">
        <w:rPr>
          <w:rFonts w:ascii="Calibri" w:eastAsia="Calibri" w:hAnsi="Calibri" w:cs="Calibri"/>
          <w:i/>
          <w:iCs/>
        </w:rPr>
        <w:t>discharges</w:t>
      </w:r>
      <w:r w:rsidRPr="00472578">
        <w:rPr>
          <w:rFonts w:ascii="Calibri" w:eastAsia="Calibri" w:hAnsi="Calibri" w:cs="Calibri"/>
        </w:rPr>
        <w:t xml:space="preserve"> is culturally inappropriate.</w:t>
      </w:r>
    </w:p>
    <w:p w14:paraId="2851E34E" w14:textId="77777777" w:rsidR="00B02DBF" w:rsidRPr="00472578" w:rsidRDefault="00B02DBF" w:rsidP="00E92686">
      <w:pPr>
        <w:numPr>
          <w:ilvl w:val="1"/>
          <w:numId w:val="5"/>
        </w:numPr>
        <w:autoSpaceDE w:val="0"/>
        <w:autoSpaceDN w:val="0"/>
        <w:adjustRightInd w:val="0"/>
        <w:ind w:left="1134" w:hanging="567"/>
        <w:jc w:val="both"/>
        <w:rPr>
          <w:rFonts w:ascii="Calibri" w:eastAsia="Calibri" w:hAnsi="Calibri" w:cs="Calibri"/>
        </w:rPr>
      </w:pPr>
      <w:r w:rsidRPr="00472578">
        <w:rPr>
          <w:rFonts w:ascii="Calibri" w:eastAsia="Calibri" w:hAnsi="Calibri" w:cs="Calibri"/>
        </w:rPr>
        <w:t xml:space="preserve">The </w:t>
      </w:r>
      <w:r w:rsidRPr="00472578">
        <w:rPr>
          <w:rFonts w:ascii="Calibri" w:eastAsia="Calibri" w:hAnsi="Calibri" w:cs="Calibri"/>
          <w:i/>
          <w:iCs/>
        </w:rPr>
        <w:t>water</w:t>
      </w:r>
      <w:r w:rsidRPr="00472578">
        <w:rPr>
          <w:rFonts w:ascii="Calibri" w:eastAsia="Calibri" w:hAnsi="Calibri" w:cs="Calibri"/>
        </w:rPr>
        <w:t xml:space="preserve"> quality impacts of </w:t>
      </w:r>
      <w:r w:rsidRPr="00472578">
        <w:rPr>
          <w:rFonts w:ascii="Calibri" w:eastAsia="Calibri" w:hAnsi="Calibri" w:cs="Calibri"/>
          <w:i/>
          <w:iCs/>
        </w:rPr>
        <w:t>discharges</w:t>
      </w:r>
      <w:r w:rsidRPr="00472578">
        <w:rPr>
          <w:rFonts w:ascii="Calibri" w:eastAsia="Calibri" w:hAnsi="Calibri" w:cs="Calibri"/>
        </w:rPr>
        <w:t xml:space="preserve"> from mining activities.</w:t>
      </w:r>
    </w:p>
    <w:p w14:paraId="6889F350" w14:textId="77777777" w:rsidR="00B02DBF" w:rsidRPr="00472578" w:rsidRDefault="00B02DBF" w:rsidP="00E92686">
      <w:pPr>
        <w:numPr>
          <w:ilvl w:val="0"/>
          <w:numId w:val="5"/>
        </w:numPr>
        <w:autoSpaceDE w:val="0"/>
        <w:autoSpaceDN w:val="0"/>
        <w:adjustRightInd w:val="0"/>
        <w:ind w:left="567" w:hanging="567"/>
        <w:jc w:val="both"/>
        <w:rPr>
          <w:rFonts w:ascii="Calibri" w:eastAsia="Calibri" w:hAnsi="Calibri" w:cs="Calibri"/>
        </w:rPr>
      </w:pPr>
      <w:r w:rsidRPr="00472578">
        <w:rPr>
          <w:rFonts w:ascii="Calibri" w:eastAsia="Calibri" w:hAnsi="Calibri" w:cs="Calibri"/>
          <w:i/>
          <w:iCs/>
        </w:rPr>
        <w:t>Water</w:t>
      </w:r>
      <w:r w:rsidRPr="00472578">
        <w:rPr>
          <w:rFonts w:ascii="Calibri" w:eastAsia="Calibri" w:hAnsi="Calibri" w:cs="Calibri"/>
        </w:rPr>
        <w:t xml:space="preserve"> allocation concerns:</w:t>
      </w:r>
    </w:p>
    <w:p w14:paraId="0F4824F3"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Kāi Tahu consider that many of the waterways in the region are over-allocated from a cultural perspective. </w:t>
      </w:r>
      <w:bookmarkStart w:id="73" w:name="_Hlk41042494"/>
      <w:bookmarkEnd w:id="73"/>
    </w:p>
    <w:p w14:paraId="5DBE2C6F"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Abstractions of greater volumes of </w:t>
      </w:r>
      <w:r w:rsidRPr="00472578">
        <w:rPr>
          <w:rFonts w:ascii="Calibri" w:eastAsia="Calibri" w:hAnsi="Calibri" w:cs="Calibri"/>
          <w:i/>
          <w:iCs/>
        </w:rPr>
        <w:t>water</w:t>
      </w:r>
      <w:r w:rsidRPr="00472578">
        <w:rPr>
          <w:rFonts w:ascii="Calibri" w:eastAsia="Calibri" w:hAnsi="Calibri" w:cs="Calibri"/>
        </w:rPr>
        <w:t xml:space="preserve"> than are required, lack of </w:t>
      </w:r>
      <w:r w:rsidRPr="00472578">
        <w:rPr>
          <w:rFonts w:ascii="Calibri" w:eastAsia="Calibri" w:hAnsi="Calibri" w:cs="Calibri"/>
          <w:i/>
          <w:iCs/>
        </w:rPr>
        <w:t>water</w:t>
      </w:r>
      <w:r w:rsidRPr="00472578">
        <w:rPr>
          <w:rFonts w:ascii="Calibri" w:eastAsia="Calibri" w:hAnsi="Calibri" w:cs="Calibri"/>
        </w:rPr>
        <w:t xml:space="preserve"> harvesting and continuation of inefficient methods of </w:t>
      </w:r>
      <w:r w:rsidRPr="00472578">
        <w:rPr>
          <w:rFonts w:ascii="Calibri" w:eastAsia="Calibri" w:hAnsi="Calibri" w:cs="Calibri"/>
          <w:i/>
          <w:iCs/>
        </w:rPr>
        <w:t>water</w:t>
      </w:r>
      <w:r w:rsidRPr="00472578">
        <w:rPr>
          <w:rFonts w:ascii="Calibri" w:eastAsia="Calibri" w:hAnsi="Calibri" w:cs="Calibri"/>
        </w:rPr>
        <w:t xml:space="preserve"> use. </w:t>
      </w:r>
    </w:p>
    <w:p w14:paraId="63BB73F7"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The implications of increased </w:t>
      </w:r>
      <w:r w:rsidRPr="00472578">
        <w:rPr>
          <w:rFonts w:ascii="Calibri" w:eastAsia="Calibri" w:hAnsi="Calibri" w:cs="Calibri"/>
          <w:i/>
          <w:iCs/>
        </w:rPr>
        <w:t>water</w:t>
      </w:r>
      <w:r w:rsidRPr="00472578">
        <w:rPr>
          <w:rFonts w:ascii="Calibri" w:eastAsia="Calibri" w:hAnsi="Calibri" w:cs="Calibri"/>
        </w:rPr>
        <w:t xml:space="preserve"> demand for domestic use which will put additional pressure on the already scarce </w:t>
      </w:r>
      <w:r w:rsidRPr="00472578">
        <w:rPr>
          <w:rFonts w:ascii="Calibri" w:eastAsia="Calibri" w:hAnsi="Calibri" w:cs="Calibri"/>
          <w:i/>
          <w:iCs/>
        </w:rPr>
        <w:t>water</w:t>
      </w:r>
      <w:r w:rsidRPr="00472578">
        <w:rPr>
          <w:rFonts w:ascii="Calibri" w:eastAsia="Calibri" w:hAnsi="Calibri" w:cs="Calibri"/>
        </w:rPr>
        <w:t xml:space="preserve"> resource.</w:t>
      </w:r>
    </w:p>
    <w:p w14:paraId="295CBC2C"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The </w:t>
      </w:r>
      <w:r w:rsidRPr="00472578">
        <w:rPr>
          <w:rFonts w:ascii="Calibri" w:eastAsia="Calibri" w:hAnsi="Calibri" w:cs="Calibri"/>
          <w:i/>
          <w:iCs/>
        </w:rPr>
        <w:t>effects</w:t>
      </w:r>
      <w:r w:rsidRPr="00472578">
        <w:rPr>
          <w:rFonts w:ascii="Calibri" w:eastAsia="Calibri" w:hAnsi="Calibri" w:cs="Calibri"/>
        </w:rPr>
        <w:t xml:space="preserve"> of long durations for </w:t>
      </w:r>
      <w:r w:rsidRPr="00472578">
        <w:rPr>
          <w:rFonts w:ascii="Calibri" w:eastAsia="Calibri" w:hAnsi="Calibri" w:cs="Calibri"/>
          <w:i/>
          <w:iCs/>
        </w:rPr>
        <w:t>water</w:t>
      </w:r>
      <w:r w:rsidRPr="00472578">
        <w:rPr>
          <w:rFonts w:ascii="Calibri" w:eastAsia="Calibri" w:hAnsi="Calibri" w:cs="Calibri"/>
        </w:rPr>
        <w:t xml:space="preserve"> take consents which lock in a pattern of resource </w:t>
      </w:r>
      <w:r w:rsidRPr="00472578">
        <w:rPr>
          <w:rFonts w:ascii="Calibri" w:eastAsia="Calibri" w:hAnsi="Calibri" w:cs="Calibri"/>
          <w:i/>
          <w:iCs/>
        </w:rPr>
        <w:t>use</w:t>
      </w:r>
      <w:r w:rsidRPr="00472578">
        <w:rPr>
          <w:rFonts w:ascii="Calibri" w:eastAsia="Calibri" w:hAnsi="Calibri" w:cs="Calibri"/>
        </w:rPr>
        <w:t xml:space="preserve"> for a long time, limiting the ability </w:t>
      </w:r>
      <w:r w:rsidRPr="00472578">
        <w:rPr>
          <w:rFonts w:ascii="Calibri" w:eastAsia="Calibri" w:hAnsi="Calibri" w:cs="Calibri"/>
          <w:strike/>
        </w:rPr>
        <w:t>for</w:t>
      </w:r>
      <w:r w:rsidRPr="00472578">
        <w:rPr>
          <w:rFonts w:ascii="Calibri" w:eastAsia="Calibri" w:hAnsi="Calibri" w:cs="Calibri"/>
        </w:rPr>
        <w:t xml:space="preserve"> </w:t>
      </w:r>
      <w:r w:rsidRPr="00472578">
        <w:rPr>
          <w:rFonts w:cs="Calibri"/>
          <w:iCs/>
          <w:u w:val="single"/>
        </w:rPr>
        <w:t>of</w:t>
      </w:r>
      <w:r w:rsidRPr="00472578">
        <w:rPr>
          <w:rFonts w:cs="Calibri"/>
          <w:iCs/>
        </w:rPr>
        <w:t xml:space="preserve"> Kāi Tahu to exercise </w:t>
      </w:r>
      <w:r w:rsidRPr="00472578">
        <w:rPr>
          <w:rFonts w:cs="Calibri"/>
          <w:iCs/>
          <w:strike/>
        </w:rPr>
        <w:t>kaitiakitaka responsibilities</w:t>
      </w:r>
      <w:r w:rsidRPr="00472578">
        <w:rPr>
          <w:rFonts w:cs="Calibri"/>
          <w:iCs/>
        </w:rPr>
        <w:t xml:space="preserve"> </w:t>
      </w:r>
      <w:bookmarkStart w:id="74" w:name="_Hlk96343477"/>
      <w:r w:rsidRPr="00472578">
        <w:rPr>
          <w:rFonts w:cs="Calibri"/>
          <w:iCs/>
          <w:u w:val="single"/>
        </w:rPr>
        <w:t>their role as kaitiaki as an expression of mana and rakatirataka</w:t>
      </w:r>
      <w:bookmarkEnd w:id="74"/>
      <w:r w:rsidRPr="00472578">
        <w:rPr>
          <w:rFonts w:ascii="Calibri" w:eastAsia="Calibri" w:hAnsi="Calibri" w:cs="Calibri"/>
        </w:rPr>
        <w:t>.</w:t>
      </w:r>
      <w:r w:rsidRPr="00472578">
        <w:rPr>
          <w:rStyle w:val="FootnoteReference"/>
          <w:rFonts w:ascii="Calibri" w:eastAsia="Calibri" w:hAnsi="Calibri" w:cs="Calibri"/>
        </w:rPr>
        <w:footnoteReference w:id="433"/>
      </w:r>
    </w:p>
    <w:p w14:paraId="65ABBDF9"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The impact of cross mixing of </w:t>
      </w:r>
      <w:r w:rsidRPr="00472578">
        <w:rPr>
          <w:rFonts w:ascii="Calibri" w:eastAsia="Calibri" w:hAnsi="Calibri" w:cs="Calibri"/>
          <w:i/>
          <w:iCs/>
        </w:rPr>
        <w:t>water</w:t>
      </w:r>
      <w:r w:rsidRPr="00472578">
        <w:rPr>
          <w:rFonts w:ascii="Calibri" w:eastAsia="Calibri" w:hAnsi="Calibri" w:cs="Calibri"/>
        </w:rPr>
        <w:t xml:space="preserve"> from different catchments on the distinctive mauri of the </w:t>
      </w:r>
      <w:r w:rsidRPr="00472578">
        <w:rPr>
          <w:rFonts w:ascii="Calibri" w:eastAsia="Calibri" w:hAnsi="Calibri" w:cs="Calibri"/>
          <w:i/>
          <w:iCs/>
        </w:rPr>
        <w:t>water bodies</w:t>
      </w:r>
      <w:r w:rsidRPr="00472578">
        <w:rPr>
          <w:rFonts w:ascii="Calibri" w:eastAsia="Calibri" w:hAnsi="Calibri" w:cs="Calibri"/>
        </w:rPr>
        <w:t xml:space="preserve">. </w:t>
      </w:r>
    </w:p>
    <w:p w14:paraId="08A3D912" w14:textId="77777777" w:rsidR="00B02DBF" w:rsidRPr="00472578" w:rsidRDefault="00B02DBF" w:rsidP="00E92686">
      <w:pPr>
        <w:numPr>
          <w:ilvl w:val="1"/>
          <w:numId w:val="5"/>
        </w:numPr>
        <w:autoSpaceDE w:val="0"/>
        <w:autoSpaceDN w:val="0"/>
        <w:adjustRightInd w:val="0"/>
        <w:ind w:left="1134" w:hanging="567"/>
        <w:jc w:val="both"/>
        <w:rPr>
          <w:rFonts w:ascii="Calibri" w:eastAsia="Calibri" w:hAnsi="Calibri" w:cs="Calibri"/>
        </w:rPr>
      </w:pPr>
      <w:r w:rsidRPr="00472578">
        <w:rPr>
          <w:rFonts w:ascii="Calibri" w:eastAsia="Calibri" w:hAnsi="Calibri" w:cs="Calibri"/>
        </w:rPr>
        <w:t xml:space="preserve">The lack of understanding of the interactions between </w:t>
      </w:r>
      <w:r w:rsidRPr="00472578">
        <w:rPr>
          <w:rFonts w:ascii="Calibri" w:eastAsia="Calibri" w:hAnsi="Calibri" w:cs="Calibri"/>
          <w:i/>
          <w:iCs/>
        </w:rPr>
        <w:t>groundwater</w:t>
      </w:r>
      <w:r w:rsidRPr="00472578">
        <w:rPr>
          <w:rFonts w:ascii="Calibri" w:eastAsia="Calibri" w:hAnsi="Calibri" w:cs="Calibri"/>
        </w:rPr>
        <w:t xml:space="preserve"> and surface </w:t>
      </w:r>
      <w:r w:rsidRPr="00472578">
        <w:rPr>
          <w:rFonts w:ascii="Calibri" w:eastAsia="Calibri" w:hAnsi="Calibri" w:cs="Calibri"/>
          <w:i/>
          <w:iCs/>
        </w:rPr>
        <w:t>water</w:t>
      </w:r>
      <w:r w:rsidRPr="00472578">
        <w:rPr>
          <w:rFonts w:ascii="Calibri" w:eastAsia="Calibri" w:hAnsi="Calibri" w:cs="Calibri"/>
        </w:rPr>
        <w:t xml:space="preserve">. </w:t>
      </w:r>
    </w:p>
    <w:p w14:paraId="10CB3254" w14:textId="77777777" w:rsidR="00B02DBF" w:rsidRPr="00472578" w:rsidRDefault="00B02DBF" w:rsidP="00E92686">
      <w:pPr>
        <w:numPr>
          <w:ilvl w:val="0"/>
          <w:numId w:val="5"/>
        </w:numPr>
        <w:autoSpaceDE w:val="0"/>
        <w:autoSpaceDN w:val="0"/>
        <w:adjustRightInd w:val="0"/>
        <w:ind w:left="567" w:hanging="567"/>
        <w:jc w:val="both"/>
        <w:rPr>
          <w:rFonts w:ascii="Calibri" w:eastAsia="Calibri" w:hAnsi="Calibri" w:cs="Calibri"/>
        </w:rPr>
      </w:pPr>
      <w:r w:rsidRPr="00472578">
        <w:rPr>
          <w:rFonts w:ascii="Calibri" w:eastAsia="Calibri" w:hAnsi="Calibri" w:cs="Calibri"/>
        </w:rPr>
        <w:t xml:space="preserve">Concerns about channel modification and </w:t>
      </w:r>
      <w:r w:rsidRPr="00472578">
        <w:rPr>
          <w:rFonts w:ascii="Calibri" w:eastAsia="Calibri" w:hAnsi="Calibri" w:cs="Calibri"/>
          <w:i/>
          <w:iCs/>
        </w:rPr>
        <w:t>river</w:t>
      </w:r>
      <w:r w:rsidRPr="00472578">
        <w:rPr>
          <w:rFonts w:ascii="Calibri" w:eastAsia="Calibri" w:hAnsi="Calibri" w:cs="Calibri"/>
        </w:rPr>
        <w:t xml:space="preserve"> works: </w:t>
      </w:r>
    </w:p>
    <w:p w14:paraId="5E566920"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The </w:t>
      </w:r>
      <w:r w:rsidRPr="00472578">
        <w:rPr>
          <w:rFonts w:ascii="Calibri" w:eastAsia="Calibri" w:hAnsi="Calibri" w:cs="Calibri"/>
          <w:i/>
          <w:iCs/>
        </w:rPr>
        <w:t>effects</w:t>
      </w:r>
      <w:r w:rsidRPr="00472578">
        <w:rPr>
          <w:rFonts w:ascii="Calibri" w:eastAsia="Calibri" w:hAnsi="Calibri" w:cs="Calibri"/>
        </w:rPr>
        <w:t xml:space="preserve"> of damming on disruption of natural flow patterns, loss of </w:t>
      </w:r>
      <w:r w:rsidRPr="00472578">
        <w:rPr>
          <w:rFonts w:ascii="Calibri" w:eastAsia="Calibri" w:hAnsi="Calibri" w:cs="Calibri"/>
          <w:i/>
          <w:iCs/>
        </w:rPr>
        <w:t>freshwater</w:t>
      </w:r>
      <w:r w:rsidRPr="00472578">
        <w:rPr>
          <w:rFonts w:ascii="Calibri" w:eastAsia="Calibri" w:hAnsi="Calibri" w:cs="Calibri"/>
        </w:rPr>
        <w:t xml:space="preserve"> habitats and migration of indigenous fish species. </w:t>
      </w:r>
    </w:p>
    <w:p w14:paraId="340BDBB3"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The </w:t>
      </w:r>
      <w:r w:rsidRPr="00472578">
        <w:rPr>
          <w:rFonts w:ascii="Calibri" w:eastAsia="Calibri" w:hAnsi="Calibri" w:cs="Calibri"/>
          <w:i/>
          <w:iCs/>
        </w:rPr>
        <w:t>effects</w:t>
      </w:r>
      <w:r w:rsidRPr="00472578">
        <w:rPr>
          <w:rFonts w:ascii="Calibri" w:eastAsia="Calibri" w:hAnsi="Calibri" w:cs="Calibri"/>
        </w:rPr>
        <w:t xml:space="preserve"> on the mauri of the water body from diversion of watercourses upstream and downstream of mines. </w:t>
      </w:r>
    </w:p>
    <w:p w14:paraId="45F82B28"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lastRenderedPageBreak/>
        <w:t xml:space="preserve">Impacts of activities such as channel maintenance and channel cleaning on </w:t>
      </w:r>
      <w:r w:rsidRPr="00472578">
        <w:rPr>
          <w:rFonts w:ascii="Calibri" w:eastAsia="Calibri" w:hAnsi="Calibri" w:cs="Calibri"/>
          <w:i/>
          <w:iCs/>
        </w:rPr>
        <w:t>water</w:t>
      </w:r>
      <w:r w:rsidRPr="00472578">
        <w:rPr>
          <w:rFonts w:ascii="Calibri" w:eastAsia="Calibri" w:hAnsi="Calibri" w:cs="Calibri"/>
        </w:rPr>
        <w:t xml:space="preserve"> quality and on disruption of species living in the channel and their habitat. </w:t>
      </w:r>
    </w:p>
    <w:p w14:paraId="5C9C8229"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Impacts of channel reshaping, in particular straightening, on </w:t>
      </w:r>
      <w:r w:rsidRPr="00472578">
        <w:rPr>
          <w:rFonts w:ascii="Calibri" w:eastAsia="Calibri" w:hAnsi="Calibri" w:cs="Calibri"/>
          <w:i/>
          <w:iCs/>
        </w:rPr>
        <w:t>river</w:t>
      </w:r>
      <w:r w:rsidRPr="00472578">
        <w:rPr>
          <w:rFonts w:ascii="Calibri" w:eastAsia="Calibri" w:hAnsi="Calibri" w:cs="Calibri"/>
        </w:rPr>
        <w:t xml:space="preserve"> flow and habitats, and the mauri of the </w:t>
      </w:r>
      <w:r w:rsidRPr="00472578">
        <w:rPr>
          <w:rFonts w:ascii="Calibri" w:eastAsia="Calibri" w:hAnsi="Calibri" w:cs="Calibri"/>
          <w:i/>
          <w:iCs/>
        </w:rPr>
        <w:t>water body</w:t>
      </w:r>
      <w:r w:rsidRPr="00472578">
        <w:rPr>
          <w:rFonts w:ascii="Calibri" w:eastAsia="Calibri" w:hAnsi="Calibri" w:cs="Calibri"/>
        </w:rPr>
        <w:t xml:space="preserve">. </w:t>
      </w:r>
    </w:p>
    <w:p w14:paraId="7B3A368F"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The </w:t>
      </w:r>
      <w:r w:rsidRPr="00472578">
        <w:rPr>
          <w:rFonts w:ascii="Calibri" w:eastAsia="Calibri" w:hAnsi="Calibri" w:cs="Calibri"/>
          <w:i/>
          <w:iCs/>
        </w:rPr>
        <w:t>effects</w:t>
      </w:r>
      <w:r w:rsidRPr="00472578">
        <w:rPr>
          <w:rFonts w:ascii="Calibri" w:eastAsia="Calibri" w:hAnsi="Calibri" w:cs="Calibri"/>
        </w:rPr>
        <w:t xml:space="preserve"> of </w:t>
      </w:r>
      <w:r w:rsidRPr="00472578">
        <w:rPr>
          <w:rFonts w:ascii="Calibri" w:eastAsia="Calibri" w:hAnsi="Calibri" w:cs="Calibri"/>
          <w:i/>
          <w:iCs/>
        </w:rPr>
        <w:t>bed</w:t>
      </w:r>
      <w:r w:rsidRPr="00472578">
        <w:rPr>
          <w:rFonts w:ascii="Calibri" w:eastAsia="Calibri" w:hAnsi="Calibri" w:cs="Calibri"/>
        </w:rPr>
        <w:t xml:space="preserve"> disturbance, including suction dredging and gravel extraction, on stream morphology and habitats. </w:t>
      </w:r>
    </w:p>
    <w:p w14:paraId="034BF9B9" w14:textId="25FA73A1"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Impacts of willow removal on </w:t>
      </w:r>
      <w:r w:rsidRPr="00472578">
        <w:rPr>
          <w:rFonts w:ascii="Calibri" w:eastAsia="Calibri" w:hAnsi="Calibri" w:cs="Calibri"/>
          <w:i/>
          <w:iCs/>
        </w:rPr>
        <w:t>water</w:t>
      </w:r>
      <w:r w:rsidRPr="00472578">
        <w:rPr>
          <w:rFonts w:ascii="Calibri" w:eastAsia="Calibri" w:hAnsi="Calibri" w:cs="Calibri"/>
        </w:rPr>
        <w:t xml:space="preserve"> quality, </w:t>
      </w:r>
      <w:r w:rsidRPr="00472578">
        <w:rPr>
          <w:rFonts w:ascii="Calibri" w:eastAsia="Calibri" w:hAnsi="Calibri" w:cs="Calibri"/>
          <w:i/>
          <w:iCs/>
        </w:rPr>
        <w:t>water</w:t>
      </w:r>
      <w:r w:rsidRPr="00472578">
        <w:rPr>
          <w:rFonts w:ascii="Calibri" w:eastAsia="Calibri" w:hAnsi="Calibri" w:cs="Calibri"/>
        </w:rPr>
        <w:t xml:space="preserve"> temperature and </w:t>
      </w:r>
      <w:r w:rsidR="009A634A" w:rsidRPr="009C237D">
        <w:rPr>
          <w:strike/>
        </w:rPr>
        <w:t>mahika kai</w:t>
      </w:r>
      <w:r w:rsidR="009A634A" w:rsidRPr="00472578">
        <w:t xml:space="preserve"> </w:t>
      </w:r>
      <w:r w:rsidR="009A634A" w:rsidRPr="00ED09B1">
        <w:rPr>
          <w:i/>
          <w:iCs/>
          <w:u w:val="single"/>
        </w:rPr>
        <w:t>mahika kai</w:t>
      </w:r>
      <w:r w:rsidR="009A634A">
        <w:rPr>
          <w:rStyle w:val="FootnoteReference"/>
        </w:rPr>
        <w:footnoteReference w:id="434"/>
      </w:r>
      <w:r w:rsidRPr="00472578">
        <w:rPr>
          <w:rFonts w:ascii="Calibri" w:eastAsia="Calibri" w:hAnsi="Calibri" w:cs="Calibri"/>
        </w:rPr>
        <w:t xml:space="preserve"> habitat. </w:t>
      </w:r>
    </w:p>
    <w:p w14:paraId="14B7E5BB" w14:textId="77777777" w:rsidR="00B02DBF" w:rsidRPr="00472578" w:rsidRDefault="00B02DBF" w:rsidP="00E92686">
      <w:pPr>
        <w:numPr>
          <w:ilvl w:val="1"/>
          <w:numId w:val="5"/>
        </w:numPr>
        <w:autoSpaceDE w:val="0"/>
        <w:autoSpaceDN w:val="0"/>
        <w:adjustRightInd w:val="0"/>
        <w:ind w:left="1134" w:hanging="567"/>
        <w:contextualSpacing/>
        <w:jc w:val="both"/>
        <w:rPr>
          <w:rFonts w:ascii="Calibri" w:eastAsia="Calibri" w:hAnsi="Calibri" w:cs="Calibri"/>
        </w:rPr>
      </w:pPr>
      <w:r w:rsidRPr="00472578">
        <w:rPr>
          <w:rFonts w:ascii="Calibri" w:eastAsia="Calibri" w:hAnsi="Calibri" w:cs="Calibri"/>
        </w:rPr>
        <w:t xml:space="preserve">Introduction of exotic weeds through poorly cleaned machinery, and the subsequent impact on bank habitat and </w:t>
      </w:r>
      <w:r w:rsidRPr="00472578">
        <w:rPr>
          <w:rFonts w:ascii="Calibri" w:eastAsia="Calibri" w:hAnsi="Calibri" w:cs="Calibri"/>
          <w:i/>
          <w:iCs/>
        </w:rPr>
        <w:t>water</w:t>
      </w:r>
      <w:r w:rsidRPr="00472578">
        <w:rPr>
          <w:rFonts w:ascii="Calibri" w:eastAsia="Calibri" w:hAnsi="Calibri" w:cs="Calibri"/>
        </w:rPr>
        <w:t xml:space="preserve"> ecosystems.</w:t>
      </w:r>
    </w:p>
    <w:p w14:paraId="6DF50143" w14:textId="2DEE0DBA" w:rsidR="00B02DBF" w:rsidRPr="00472578" w:rsidRDefault="00B02DBF" w:rsidP="00E92686">
      <w:pPr>
        <w:numPr>
          <w:ilvl w:val="1"/>
          <w:numId w:val="5"/>
        </w:numPr>
        <w:autoSpaceDE w:val="0"/>
        <w:autoSpaceDN w:val="0"/>
        <w:adjustRightInd w:val="0"/>
        <w:ind w:left="1134" w:hanging="567"/>
        <w:jc w:val="both"/>
        <w:rPr>
          <w:rFonts w:ascii="Calibri" w:eastAsia="Calibri" w:hAnsi="Calibri" w:cs="Calibri"/>
        </w:rPr>
      </w:pPr>
      <w:r w:rsidRPr="00472578">
        <w:rPr>
          <w:rFonts w:ascii="Calibri" w:eastAsia="Calibri" w:hAnsi="Calibri" w:cs="Calibri"/>
        </w:rPr>
        <w:t xml:space="preserve">The </w:t>
      </w:r>
      <w:r w:rsidRPr="00472578">
        <w:rPr>
          <w:rFonts w:ascii="Calibri" w:eastAsia="Calibri" w:hAnsi="Calibri" w:cs="Calibri"/>
          <w:i/>
          <w:iCs/>
        </w:rPr>
        <w:t>effects</w:t>
      </w:r>
      <w:r w:rsidRPr="00472578">
        <w:rPr>
          <w:rFonts w:ascii="Calibri" w:eastAsia="Calibri" w:hAnsi="Calibri" w:cs="Calibri"/>
        </w:rPr>
        <w:t xml:space="preserve"> of changes in vegetation cover, including clearance of </w:t>
      </w:r>
      <w:r w:rsidRPr="00472578">
        <w:rPr>
          <w:rFonts w:ascii="Calibri" w:eastAsia="Calibri" w:hAnsi="Calibri" w:cs="Calibri"/>
          <w:i/>
        </w:rPr>
        <w:t xml:space="preserve">indigenous vegetation </w:t>
      </w:r>
      <w:r w:rsidRPr="00472578">
        <w:rPr>
          <w:rFonts w:ascii="Calibri" w:eastAsia="Calibri" w:hAnsi="Calibri" w:cs="Calibri"/>
        </w:rPr>
        <w:t xml:space="preserve">and exotic </w:t>
      </w:r>
      <w:r w:rsidRPr="00472578">
        <w:rPr>
          <w:rFonts w:ascii="Calibri" w:eastAsia="Calibri" w:hAnsi="Calibri" w:cs="Calibri"/>
          <w:i/>
          <w:iCs/>
        </w:rPr>
        <w:t>afforestation</w:t>
      </w:r>
      <w:r w:rsidRPr="00472578">
        <w:rPr>
          <w:rFonts w:ascii="Calibri" w:eastAsia="Calibri" w:hAnsi="Calibri" w:cs="Calibri"/>
          <w:i/>
        </w:rPr>
        <w:t>,</w:t>
      </w:r>
      <w:r w:rsidRPr="00472578">
        <w:rPr>
          <w:rFonts w:ascii="Calibri" w:eastAsia="Calibri" w:hAnsi="Calibri" w:cs="Calibri"/>
        </w:rPr>
        <w:t xml:space="preserve"> on the </w:t>
      </w:r>
      <w:r w:rsidRPr="00472578">
        <w:rPr>
          <w:rFonts w:ascii="Calibri" w:eastAsia="Calibri" w:hAnsi="Calibri" w:cs="Calibri"/>
          <w:i/>
          <w:iCs/>
        </w:rPr>
        <w:t>water</w:t>
      </w:r>
      <w:r w:rsidRPr="00472578">
        <w:rPr>
          <w:rFonts w:ascii="Calibri" w:eastAsia="Calibri" w:hAnsi="Calibri" w:cs="Calibri"/>
        </w:rPr>
        <w:t xml:space="preserve"> retention capacity of </w:t>
      </w:r>
      <w:r w:rsidRPr="00472578">
        <w:rPr>
          <w:rFonts w:ascii="Calibri" w:eastAsia="Calibri" w:hAnsi="Calibri" w:cs="Calibri"/>
          <w:i/>
          <w:iCs/>
        </w:rPr>
        <w:t xml:space="preserve">land </w:t>
      </w:r>
      <w:r w:rsidRPr="00472578">
        <w:rPr>
          <w:rFonts w:ascii="Calibri" w:eastAsia="Calibri" w:hAnsi="Calibri" w:cs="Calibri"/>
        </w:rPr>
        <w:t xml:space="preserve">and consequent flow patterns, which can negatively affect </w:t>
      </w:r>
      <w:r w:rsidR="00067431" w:rsidRPr="009C237D">
        <w:rPr>
          <w:strike/>
        </w:rPr>
        <w:t>mahika kai</w:t>
      </w:r>
      <w:r w:rsidR="00067431" w:rsidRPr="00472578">
        <w:t xml:space="preserve"> </w:t>
      </w:r>
      <w:r w:rsidR="00067431" w:rsidRPr="00ED09B1">
        <w:rPr>
          <w:i/>
          <w:iCs/>
          <w:u w:val="single"/>
        </w:rPr>
        <w:t>mahika kai</w:t>
      </w:r>
      <w:r w:rsidR="00067431">
        <w:rPr>
          <w:rStyle w:val="FootnoteReference"/>
        </w:rPr>
        <w:footnoteReference w:id="435"/>
      </w:r>
      <w:r w:rsidRPr="00472578">
        <w:rPr>
          <w:rFonts w:ascii="Calibri" w:eastAsia="Calibri" w:hAnsi="Calibri" w:cs="Calibri"/>
        </w:rPr>
        <w:t xml:space="preserve"> and taoka species through a reduction in their habitat. </w:t>
      </w:r>
    </w:p>
    <w:p w14:paraId="6B3E5F5F" w14:textId="579D37C9" w:rsidR="00B02DBF" w:rsidRPr="00472578" w:rsidRDefault="00B02DBF" w:rsidP="00E92686">
      <w:pPr>
        <w:pStyle w:val="Heading3"/>
        <w:jc w:val="both"/>
      </w:pPr>
      <w:r w:rsidRPr="00472578">
        <w:t>RMIA</w:t>
      </w:r>
      <w:r w:rsidR="00B208D6" w:rsidRPr="00472578">
        <w:t>-</w:t>
      </w:r>
      <w:r w:rsidRPr="00472578">
        <w:t xml:space="preserve">MKB – </w:t>
      </w:r>
      <w:r w:rsidR="00B9008D">
        <w:rPr>
          <w:strike/>
        </w:rPr>
        <w:t>M</w:t>
      </w:r>
      <w:r w:rsidR="00652F97" w:rsidRPr="009C237D">
        <w:rPr>
          <w:strike/>
        </w:rPr>
        <w:t>ahika kai</w:t>
      </w:r>
      <w:r w:rsidR="00652F97" w:rsidRPr="00472578">
        <w:t xml:space="preserve"> </w:t>
      </w:r>
      <w:r w:rsidR="00B9008D" w:rsidRPr="00ED09B1">
        <w:rPr>
          <w:i/>
          <w:iCs/>
          <w:u w:val="single"/>
        </w:rPr>
        <w:t>M</w:t>
      </w:r>
      <w:r w:rsidR="00652F97" w:rsidRPr="00ED09B1">
        <w:rPr>
          <w:i/>
          <w:iCs/>
          <w:u w:val="single"/>
        </w:rPr>
        <w:t>ahika kai</w:t>
      </w:r>
      <w:r w:rsidR="00652F97">
        <w:rPr>
          <w:rStyle w:val="FootnoteReference"/>
        </w:rPr>
        <w:footnoteReference w:id="436"/>
      </w:r>
      <w:r w:rsidRPr="00472578">
        <w:t xml:space="preserve"> and biodiversity</w:t>
      </w:r>
    </w:p>
    <w:p w14:paraId="52DDBF6A" w14:textId="77777777" w:rsidR="00B02DBF" w:rsidRPr="00472578" w:rsidRDefault="00B02DBF" w:rsidP="00E92686">
      <w:pPr>
        <w:pStyle w:val="Heading4"/>
        <w:jc w:val="both"/>
        <w:rPr>
          <w:rFonts w:eastAsia="National-Book"/>
        </w:rPr>
      </w:pPr>
      <w:r w:rsidRPr="00472578">
        <w:rPr>
          <w:rFonts w:eastAsia="National-Book"/>
        </w:rPr>
        <w:t>Context</w:t>
      </w:r>
    </w:p>
    <w:p w14:paraId="200521BF" w14:textId="33BFC951" w:rsidR="00B02DBF" w:rsidRPr="00472578" w:rsidRDefault="00B02DBF" w:rsidP="00E92686">
      <w:pPr>
        <w:autoSpaceDE w:val="0"/>
        <w:autoSpaceDN w:val="0"/>
        <w:adjustRightInd w:val="0"/>
        <w:spacing w:line="254" w:lineRule="auto"/>
        <w:jc w:val="both"/>
        <w:rPr>
          <w:rFonts w:ascii="Calibri" w:eastAsia="Calibri" w:hAnsi="Calibri" w:cs="Calibri"/>
        </w:rPr>
      </w:pPr>
      <w:r w:rsidRPr="00472578">
        <w:rPr>
          <w:rFonts w:ascii="Calibri" w:eastAsia="Calibri" w:hAnsi="Calibri" w:cs="Calibri"/>
        </w:rPr>
        <w:t xml:space="preserve">The cold climate in southern Te Waipounamu, and the consequent difficulty of growing crops, made it difficult for tūpuna to establish permanent settlements and as a result Kāi Tahu in this area traditionally had a hunter-gatherer lifestyle, and went where the </w:t>
      </w:r>
      <w:r w:rsidR="00984AFB" w:rsidRPr="009C237D">
        <w:rPr>
          <w:strike/>
        </w:rPr>
        <w:t>mahika kai</w:t>
      </w:r>
      <w:r w:rsidR="00984AFB" w:rsidRPr="00472578">
        <w:t xml:space="preserve"> </w:t>
      </w:r>
      <w:r w:rsidR="00984AFB" w:rsidRPr="00ED09B1">
        <w:rPr>
          <w:i/>
          <w:iCs/>
          <w:u w:val="single"/>
        </w:rPr>
        <w:t>mahika kai</w:t>
      </w:r>
      <w:r w:rsidR="00984AFB">
        <w:rPr>
          <w:rStyle w:val="FootnoteReference"/>
        </w:rPr>
        <w:footnoteReference w:id="437"/>
      </w:r>
      <w:r w:rsidR="00067D79" w:rsidRPr="00472578">
        <w:rPr>
          <w:rFonts w:ascii="Calibri" w:eastAsia="Calibri" w:hAnsi="Calibri" w:cs="Calibri"/>
        </w:rPr>
        <w:t xml:space="preserve"> </w:t>
      </w:r>
      <w:r w:rsidRPr="00472578">
        <w:rPr>
          <w:rFonts w:ascii="Calibri" w:eastAsia="Calibri" w:hAnsi="Calibri" w:cs="Calibri"/>
        </w:rPr>
        <w:t xml:space="preserve">was abundant and in season. This lifestyle was unique to southern Kāi Tahu and </w:t>
      </w:r>
      <w:r w:rsidR="00067D79" w:rsidRPr="009C237D">
        <w:rPr>
          <w:strike/>
        </w:rPr>
        <w:t>mahika kai</w:t>
      </w:r>
      <w:r w:rsidR="00067D79" w:rsidRPr="00472578">
        <w:t xml:space="preserve"> </w:t>
      </w:r>
      <w:r w:rsidR="00067D79" w:rsidRPr="00ED09B1">
        <w:rPr>
          <w:i/>
          <w:iCs/>
          <w:u w:val="single"/>
        </w:rPr>
        <w:t>mahika kai</w:t>
      </w:r>
      <w:r w:rsidR="00067D79">
        <w:rPr>
          <w:rStyle w:val="FootnoteReference"/>
        </w:rPr>
        <w:footnoteReference w:id="438"/>
      </w:r>
      <w:r w:rsidRPr="00472578">
        <w:rPr>
          <w:rFonts w:ascii="Calibri" w:eastAsia="Calibri" w:hAnsi="Calibri" w:cs="Calibri"/>
        </w:rPr>
        <w:t xml:space="preserve"> retains a central place in Kāi Tahu cultural identity. All indigenous species and habitats are treasured by Kāi Tahu as </w:t>
      </w:r>
      <w:proofErr w:type="gramStart"/>
      <w:r w:rsidRPr="00472578">
        <w:rPr>
          <w:rFonts w:ascii="Calibri" w:eastAsia="Calibri" w:hAnsi="Calibri" w:cs="Calibri"/>
        </w:rPr>
        <w:t>taoka in their own right, as well as</w:t>
      </w:r>
      <w:proofErr w:type="gramEnd"/>
      <w:r w:rsidRPr="00472578">
        <w:rPr>
          <w:rFonts w:ascii="Calibri" w:eastAsia="Calibri" w:hAnsi="Calibri" w:cs="Calibri"/>
        </w:rPr>
        <w:t xml:space="preserve"> for the </w:t>
      </w:r>
      <w:r w:rsidR="00067D79" w:rsidRPr="009C237D">
        <w:rPr>
          <w:strike/>
        </w:rPr>
        <w:t>mahika kai</w:t>
      </w:r>
      <w:r w:rsidR="00067D79" w:rsidRPr="00472578">
        <w:t xml:space="preserve"> </w:t>
      </w:r>
      <w:r w:rsidR="00067D79" w:rsidRPr="00ED09B1">
        <w:rPr>
          <w:i/>
          <w:iCs/>
          <w:u w:val="single"/>
        </w:rPr>
        <w:t>mahika kai</w:t>
      </w:r>
      <w:r w:rsidR="00067D79">
        <w:rPr>
          <w:rStyle w:val="FootnoteReference"/>
        </w:rPr>
        <w:footnoteReference w:id="439"/>
      </w:r>
      <w:r w:rsidRPr="00472578">
        <w:rPr>
          <w:rFonts w:ascii="Calibri" w:eastAsia="Calibri" w:hAnsi="Calibri" w:cs="Calibri"/>
        </w:rPr>
        <w:t xml:space="preserve"> values associated with some species. </w:t>
      </w:r>
    </w:p>
    <w:p w14:paraId="7FEC66DD" w14:textId="46AA951C" w:rsidR="00B02DBF" w:rsidRPr="00472578" w:rsidRDefault="00B02DBF" w:rsidP="00E92686">
      <w:pPr>
        <w:pStyle w:val="Heading4"/>
        <w:jc w:val="both"/>
        <w:rPr>
          <w:rFonts w:eastAsia="National-Book"/>
        </w:rPr>
      </w:pPr>
      <w:r w:rsidRPr="00472578">
        <w:rPr>
          <w:rFonts w:eastAsia="National-Book"/>
        </w:rPr>
        <w:t>RMIA</w:t>
      </w:r>
      <w:r w:rsidR="00B208D6" w:rsidRPr="00472578">
        <w:t>-MKB-</w:t>
      </w:r>
      <w:r w:rsidRPr="00472578">
        <w:rPr>
          <w:rFonts w:eastAsia="National-Book"/>
        </w:rPr>
        <w:t xml:space="preserve">I1 – The diversity and abundance of terrestrial and aquatic indigenous species has been reduced due to adverse </w:t>
      </w:r>
      <w:r w:rsidRPr="00472578">
        <w:rPr>
          <w:rFonts w:eastAsia="National-Book"/>
          <w:i/>
        </w:rPr>
        <w:t>effects</w:t>
      </w:r>
      <w:r w:rsidRPr="00472578">
        <w:rPr>
          <w:rFonts w:eastAsia="National-Book"/>
        </w:rPr>
        <w:t xml:space="preserve"> of resource </w:t>
      </w:r>
      <w:r w:rsidRPr="00472578">
        <w:rPr>
          <w:rFonts w:eastAsia="National-Book"/>
          <w:i/>
        </w:rPr>
        <w:t>use</w:t>
      </w:r>
      <w:r w:rsidRPr="00472578">
        <w:rPr>
          <w:rFonts w:eastAsia="National-Book"/>
        </w:rPr>
        <w:t xml:space="preserve"> and development</w:t>
      </w:r>
    </w:p>
    <w:p w14:paraId="2B331B41" w14:textId="767ABD1B" w:rsidR="00B02DBF" w:rsidRPr="00472578" w:rsidRDefault="00B02DBF" w:rsidP="00E92686">
      <w:pPr>
        <w:pStyle w:val="JustifiedSpacing"/>
        <w:spacing w:after="120"/>
      </w:pPr>
      <w:r w:rsidRPr="00472578">
        <w:t xml:space="preserve">Resource </w:t>
      </w:r>
      <w:r w:rsidRPr="00472578">
        <w:rPr>
          <w:i/>
          <w:iCs/>
        </w:rPr>
        <w:t>use</w:t>
      </w:r>
      <w:r w:rsidRPr="00472578">
        <w:t xml:space="preserve"> and development in Otago has led to degradation of taoka and </w:t>
      </w:r>
      <w:r w:rsidR="00067D79" w:rsidRPr="009C237D">
        <w:rPr>
          <w:strike/>
        </w:rPr>
        <w:t>mahika kai</w:t>
      </w:r>
      <w:r w:rsidR="00067D79" w:rsidRPr="00472578">
        <w:t xml:space="preserve"> </w:t>
      </w:r>
      <w:r w:rsidR="00067D79" w:rsidRPr="00ED09B1">
        <w:rPr>
          <w:i/>
          <w:iCs/>
          <w:u w:val="single"/>
        </w:rPr>
        <w:t>mahika kai</w:t>
      </w:r>
      <w:r w:rsidR="00067D79">
        <w:rPr>
          <w:rStyle w:val="FootnoteReference"/>
        </w:rPr>
        <w:footnoteReference w:id="440"/>
      </w:r>
      <w:r w:rsidRPr="00472578">
        <w:t xml:space="preserve"> places. This has occurred in a myriad of ways, contributing to a significant negative cumulative </w:t>
      </w:r>
      <w:r w:rsidRPr="00472578">
        <w:rPr>
          <w:i/>
          <w:iCs/>
        </w:rPr>
        <w:t>effect</w:t>
      </w:r>
      <w:r w:rsidRPr="00472578">
        <w:t xml:space="preserve"> on many species and habitats. The decrease in diversity and abundance of indigenous species causes a negative impact on the mauri and health of the natural environment. </w:t>
      </w:r>
    </w:p>
    <w:p w14:paraId="62A966E6" w14:textId="1E354372"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The Kāi Tahu perspective recognises that species within ecosystems are connected, and effects on one species will be felt throughout the rest of the system. Effects on </w:t>
      </w:r>
      <w:r w:rsidR="00C57660" w:rsidRPr="009C237D">
        <w:rPr>
          <w:strike/>
        </w:rPr>
        <w:t>mahika kai</w:t>
      </w:r>
      <w:r w:rsidR="00C57660" w:rsidRPr="00472578">
        <w:t xml:space="preserve"> </w:t>
      </w:r>
      <w:r w:rsidR="00C57660" w:rsidRPr="00ED09B1">
        <w:rPr>
          <w:i/>
          <w:iCs/>
          <w:u w:val="single"/>
        </w:rPr>
        <w:t>mahika kai</w:t>
      </w:r>
      <w:r w:rsidR="00C57660">
        <w:rPr>
          <w:rStyle w:val="FootnoteReference"/>
        </w:rPr>
        <w:footnoteReference w:id="441"/>
      </w:r>
      <w:r w:rsidRPr="00472578">
        <w:rPr>
          <w:rFonts w:ascii="Calibri" w:eastAsia="Calibri" w:hAnsi="Calibri" w:cs="Calibri"/>
        </w:rPr>
        <w:t xml:space="preserve"> and taoka species diversity and abundance affect the relationship of Kāi Tahu with these species. Whānau are unable </w:t>
      </w:r>
      <w:r w:rsidRPr="00472578">
        <w:rPr>
          <w:rFonts w:ascii="Calibri" w:eastAsia="Calibri" w:hAnsi="Calibri" w:cs="Calibri"/>
        </w:rPr>
        <w:lastRenderedPageBreak/>
        <w:t xml:space="preserve">to access traditional </w:t>
      </w:r>
      <w:r w:rsidR="00FD4FAD" w:rsidRPr="009C237D">
        <w:rPr>
          <w:strike/>
        </w:rPr>
        <w:t>mahika kai</w:t>
      </w:r>
      <w:r w:rsidR="00FD4FAD" w:rsidRPr="00472578">
        <w:t xml:space="preserve"> </w:t>
      </w:r>
      <w:r w:rsidR="00FD4FAD" w:rsidRPr="00ED09B1">
        <w:rPr>
          <w:i/>
          <w:iCs/>
          <w:u w:val="single"/>
        </w:rPr>
        <w:t>mahika kai</w:t>
      </w:r>
      <w:r w:rsidR="00FD4FAD">
        <w:rPr>
          <w:rStyle w:val="FootnoteReference"/>
        </w:rPr>
        <w:footnoteReference w:id="442"/>
      </w:r>
      <w:r w:rsidRPr="00472578">
        <w:rPr>
          <w:rFonts w:ascii="Calibri" w:eastAsia="Calibri" w:hAnsi="Calibri" w:cs="Calibri"/>
        </w:rPr>
        <w:t xml:space="preserve"> and taoka species and places because in many cases they no longer exist, or no longer provide resources that were once abundant there. </w:t>
      </w:r>
    </w:p>
    <w:p w14:paraId="17DD810A"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Specific concerns include:</w:t>
      </w:r>
    </w:p>
    <w:p w14:paraId="27AC1D4C" w14:textId="1402C40B" w:rsidR="00B02DBF" w:rsidRPr="00472578" w:rsidRDefault="00B02DBF" w:rsidP="00E92686">
      <w:pPr>
        <w:numPr>
          <w:ilvl w:val="0"/>
          <w:numId w:val="20"/>
        </w:numPr>
        <w:autoSpaceDE w:val="0"/>
        <w:autoSpaceDN w:val="0"/>
        <w:adjustRightInd w:val="0"/>
        <w:ind w:left="567" w:hanging="567"/>
        <w:jc w:val="both"/>
        <w:rPr>
          <w:rFonts w:ascii="Calibri" w:eastAsia="Calibri" w:hAnsi="Calibri" w:cs="Calibri"/>
        </w:rPr>
      </w:pPr>
      <w:r w:rsidRPr="00472578">
        <w:rPr>
          <w:rFonts w:ascii="Calibri" w:eastAsia="Calibri" w:hAnsi="Calibri" w:cs="Calibri"/>
        </w:rPr>
        <w:t xml:space="preserve">Degradation of </w:t>
      </w:r>
      <w:r w:rsidR="00FD4FAD" w:rsidRPr="009C237D">
        <w:rPr>
          <w:strike/>
        </w:rPr>
        <w:t>mahika kai</w:t>
      </w:r>
      <w:r w:rsidR="00FD4FAD" w:rsidRPr="00472578">
        <w:t xml:space="preserve"> </w:t>
      </w:r>
      <w:r w:rsidR="00FD4FAD" w:rsidRPr="00ED09B1">
        <w:rPr>
          <w:i/>
          <w:iCs/>
          <w:u w:val="single"/>
        </w:rPr>
        <w:t>mahika kai</w:t>
      </w:r>
      <w:r w:rsidR="00FD4FAD">
        <w:rPr>
          <w:rStyle w:val="FootnoteReference"/>
        </w:rPr>
        <w:footnoteReference w:id="443"/>
      </w:r>
      <w:r w:rsidRPr="00472578">
        <w:rPr>
          <w:rFonts w:ascii="Calibri" w:eastAsia="Calibri" w:hAnsi="Calibri" w:cs="Calibri"/>
        </w:rPr>
        <w:t xml:space="preserve"> due to the impacts of </w:t>
      </w:r>
      <w:r w:rsidRPr="00472578">
        <w:rPr>
          <w:rFonts w:ascii="Calibri" w:eastAsia="Calibri" w:hAnsi="Calibri" w:cs="Calibri"/>
          <w:i/>
          <w:iCs/>
        </w:rPr>
        <w:t>contaminants</w:t>
      </w:r>
      <w:r w:rsidRPr="00472578">
        <w:rPr>
          <w:rFonts w:ascii="Calibri" w:eastAsia="Calibri" w:hAnsi="Calibri" w:cs="Calibri"/>
        </w:rPr>
        <w:t xml:space="preserve"> from both point and non-point source </w:t>
      </w:r>
      <w:r w:rsidRPr="00472578">
        <w:rPr>
          <w:rFonts w:ascii="Calibri" w:eastAsia="Calibri" w:hAnsi="Calibri" w:cs="Calibri"/>
          <w:i/>
          <w:iCs/>
        </w:rPr>
        <w:t>discharges</w:t>
      </w:r>
      <w:r w:rsidRPr="00472578">
        <w:rPr>
          <w:rFonts w:ascii="Calibri" w:eastAsia="Calibri" w:hAnsi="Calibri" w:cs="Calibri"/>
        </w:rPr>
        <w:t xml:space="preserve">, including human waste disposal to </w:t>
      </w:r>
      <w:r w:rsidR="00FD4FAD" w:rsidRPr="009C237D">
        <w:rPr>
          <w:strike/>
        </w:rPr>
        <w:t>mahika kai</w:t>
      </w:r>
      <w:r w:rsidR="00FD4FAD" w:rsidRPr="00472578">
        <w:t xml:space="preserve"> </w:t>
      </w:r>
      <w:r w:rsidR="00FD4FAD" w:rsidRPr="00ED09B1">
        <w:rPr>
          <w:i/>
          <w:iCs/>
          <w:u w:val="single"/>
        </w:rPr>
        <w:t>mahika kai</w:t>
      </w:r>
      <w:r w:rsidR="00FD4FAD">
        <w:rPr>
          <w:rStyle w:val="FootnoteReference"/>
        </w:rPr>
        <w:footnoteReference w:id="444"/>
      </w:r>
      <w:r w:rsidRPr="00472578">
        <w:rPr>
          <w:rFonts w:ascii="Calibri" w:eastAsia="Calibri" w:hAnsi="Calibri" w:cs="Calibri"/>
        </w:rPr>
        <w:t xml:space="preserve"> areas. </w:t>
      </w:r>
    </w:p>
    <w:p w14:paraId="10ECBD16" w14:textId="77777777" w:rsidR="00B02DBF" w:rsidRPr="00472578" w:rsidRDefault="00B02DBF" w:rsidP="00E92686">
      <w:pPr>
        <w:numPr>
          <w:ilvl w:val="0"/>
          <w:numId w:val="20"/>
        </w:numPr>
        <w:autoSpaceDE w:val="0"/>
        <w:autoSpaceDN w:val="0"/>
        <w:adjustRightInd w:val="0"/>
        <w:ind w:left="567" w:hanging="567"/>
        <w:contextualSpacing/>
        <w:jc w:val="both"/>
        <w:rPr>
          <w:rFonts w:ascii="Calibri" w:eastAsia="Calibri" w:hAnsi="Calibri" w:cs="Calibri"/>
          <w:u w:val="single"/>
        </w:rPr>
      </w:pPr>
      <w:r w:rsidRPr="00472578">
        <w:rPr>
          <w:rFonts w:ascii="Calibri" w:eastAsia="Calibri" w:hAnsi="Calibri" w:cs="Calibri"/>
        </w:rPr>
        <w:t xml:space="preserve">The effects of soil contamination from poorly managed landfills, industrial </w:t>
      </w:r>
      <w:proofErr w:type="gramStart"/>
      <w:r w:rsidRPr="00472578">
        <w:rPr>
          <w:rFonts w:ascii="Calibri" w:eastAsia="Calibri" w:hAnsi="Calibri" w:cs="Calibri"/>
        </w:rPr>
        <w:t>sites</w:t>
      </w:r>
      <w:proofErr w:type="gramEnd"/>
      <w:r w:rsidRPr="00472578">
        <w:rPr>
          <w:rFonts w:ascii="Calibri" w:eastAsia="Calibri" w:hAnsi="Calibri" w:cs="Calibri"/>
        </w:rPr>
        <w:t xml:space="preserve"> and waste disposal sites. </w:t>
      </w:r>
    </w:p>
    <w:p w14:paraId="651EAB9D" w14:textId="287C4D25" w:rsidR="00B02DBF" w:rsidRPr="00472578" w:rsidRDefault="00B02DBF" w:rsidP="00E92686">
      <w:pPr>
        <w:numPr>
          <w:ilvl w:val="0"/>
          <w:numId w:val="20"/>
        </w:numPr>
        <w:autoSpaceDE w:val="0"/>
        <w:autoSpaceDN w:val="0"/>
        <w:adjustRightInd w:val="0"/>
        <w:ind w:left="567" w:hanging="567"/>
        <w:contextualSpacing/>
        <w:jc w:val="both"/>
      </w:pPr>
      <w:r w:rsidRPr="00472578">
        <w:rPr>
          <w:rFonts w:ascii="Calibri" w:eastAsia="Calibri" w:hAnsi="Calibri" w:cs="Calibri"/>
        </w:rPr>
        <w:t xml:space="preserve">Continued urban spread encroaching on </w:t>
      </w:r>
      <w:r w:rsidR="00FD4FAD" w:rsidRPr="009C237D">
        <w:rPr>
          <w:strike/>
        </w:rPr>
        <w:t>mahika kai</w:t>
      </w:r>
      <w:r w:rsidR="00FD4FAD" w:rsidRPr="00472578">
        <w:t xml:space="preserve"> </w:t>
      </w:r>
      <w:r w:rsidR="00FD4FAD" w:rsidRPr="00ED09B1">
        <w:rPr>
          <w:i/>
          <w:iCs/>
          <w:u w:val="single"/>
        </w:rPr>
        <w:t>mahika kai</w:t>
      </w:r>
      <w:r w:rsidR="00FD4FAD">
        <w:rPr>
          <w:rStyle w:val="FootnoteReference"/>
        </w:rPr>
        <w:footnoteReference w:id="445"/>
      </w:r>
      <w:r w:rsidRPr="00472578">
        <w:rPr>
          <w:rFonts w:ascii="Calibri" w:eastAsia="Calibri" w:hAnsi="Calibri" w:cs="Calibri"/>
        </w:rPr>
        <w:t xml:space="preserve"> sites. </w:t>
      </w:r>
    </w:p>
    <w:p w14:paraId="64AA8FD5" w14:textId="77777777" w:rsidR="00B02DBF" w:rsidRPr="00472578" w:rsidRDefault="00B02DBF" w:rsidP="00E92686">
      <w:pPr>
        <w:numPr>
          <w:ilvl w:val="0"/>
          <w:numId w:val="20"/>
        </w:numPr>
        <w:autoSpaceDE w:val="0"/>
        <w:autoSpaceDN w:val="0"/>
        <w:adjustRightInd w:val="0"/>
        <w:ind w:left="567" w:hanging="567"/>
        <w:contextualSpacing/>
        <w:jc w:val="both"/>
      </w:pPr>
      <w:r w:rsidRPr="00472578">
        <w:rPr>
          <w:rFonts w:ascii="Calibri" w:eastAsia="Calibri" w:hAnsi="Calibri" w:cs="Calibri"/>
        </w:rPr>
        <w:t xml:space="preserve">Genetic modification of indigenous flora and fauna, which represents deliberate alteration of whakapapa. </w:t>
      </w:r>
    </w:p>
    <w:p w14:paraId="7E5CCA7F" w14:textId="00DF026A" w:rsidR="00B02DBF" w:rsidRPr="00472578" w:rsidRDefault="00B02DBF" w:rsidP="00E92686">
      <w:pPr>
        <w:numPr>
          <w:ilvl w:val="0"/>
          <w:numId w:val="20"/>
        </w:numPr>
        <w:autoSpaceDE w:val="0"/>
        <w:autoSpaceDN w:val="0"/>
        <w:adjustRightInd w:val="0"/>
        <w:ind w:left="567" w:hanging="567"/>
        <w:contextualSpacing/>
        <w:jc w:val="both"/>
      </w:pPr>
      <w:r w:rsidRPr="00472578">
        <w:rPr>
          <w:rFonts w:ascii="Calibri" w:eastAsia="Calibri" w:hAnsi="Calibri" w:cs="Calibri"/>
        </w:rPr>
        <w:t xml:space="preserve">The impact on </w:t>
      </w:r>
      <w:r w:rsidR="00FD4FAD" w:rsidRPr="009C237D">
        <w:rPr>
          <w:strike/>
        </w:rPr>
        <w:t>mahika kai</w:t>
      </w:r>
      <w:r w:rsidR="00FD4FAD" w:rsidRPr="00472578">
        <w:t xml:space="preserve"> </w:t>
      </w:r>
      <w:r w:rsidR="00FD4FAD" w:rsidRPr="00ED09B1">
        <w:rPr>
          <w:i/>
          <w:iCs/>
          <w:u w:val="single"/>
        </w:rPr>
        <w:t>mahika kai</w:t>
      </w:r>
      <w:r w:rsidR="00FD4FAD">
        <w:rPr>
          <w:rStyle w:val="FootnoteReference"/>
        </w:rPr>
        <w:footnoteReference w:id="446"/>
      </w:r>
      <w:r w:rsidRPr="00472578">
        <w:rPr>
          <w:rFonts w:ascii="Calibri" w:eastAsia="Calibri" w:hAnsi="Calibri" w:cs="Calibri"/>
        </w:rPr>
        <w:t xml:space="preserve"> and indigenous </w:t>
      </w:r>
      <w:r w:rsidRPr="00472578">
        <w:rPr>
          <w:rFonts w:ascii="Calibri" w:eastAsia="Calibri" w:hAnsi="Calibri" w:cs="Calibri"/>
          <w:i/>
          <w:iCs/>
        </w:rPr>
        <w:t>biodiversity</w:t>
      </w:r>
      <w:r w:rsidRPr="00472578">
        <w:rPr>
          <w:rFonts w:ascii="Calibri" w:eastAsia="Calibri" w:hAnsi="Calibri" w:cs="Calibri"/>
        </w:rPr>
        <w:t xml:space="preserve"> from weed and pest invasion. </w:t>
      </w:r>
    </w:p>
    <w:p w14:paraId="48D16E76" w14:textId="684A8FF5" w:rsidR="00B02DBF" w:rsidRPr="00472578" w:rsidRDefault="00B02DBF" w:rsidP="00E92686">
      <w:pPr>
        <w:numPr>
          <w:ilvl w:val="0"/>
          <w:numId w:val="20"/>
        </w:numPr>
        <w:autoSpaceDE w:val="0"/>
        <w:autoSpaceDN w:val="0"/>
        <w:adjustRightInd w:val="0"/>
        <w:ind w:left="567" w:hanging="567"/>
        <w:contextualSpacing/>
        <w:jc w:val="both"/>
      </w:pPr>
      <w:r w:rsidRPr="00472578">
        <w:rPr>
          <w:rFonts w:ascii="Calibri" w:eastAsia="Calibri" w:hAnsi="Calibri" w:cs="Calibri"/>
        </w:rPr>
        <w:t xml:space="preserve">Loss of indigenous </w:t>
      </w:r>
      <w:r w:rsidRPr="00472578">
        <w:rPr>
          <w:strike/>
        </w:rPr>
        <w:t>fish</w:t>
      </w:r>
      <w:r w:rsidRPr="00472578">
        <w:t xml:space="preserve"> </w:t>
      </w:r>
      <w:r w:rsidRPr="00472578">
        <w:rPr>
          <w:u w:val="single"/>
        </w:rPr>
        <w:t>freshwater</w:t>
      </w:r>
      <w:r w:rsidRPr="00472578">
        <w:rPr>
          <w:rStyle w:val="FootnoteReference"/>
        </w:rPr>
        <w:footnoteReference w:id="447"/>
      </w:r>
      <w:r w:rsidRPr="00472578">
        <w:t xml:space="preserve"> </w:t>
      </w:r>
      <w:r w:rsidRPr="00472578">
        <w:rPr>
          <w:rFonts w:ascii="Calibri" w:eastAsia="Calibri" w:hAnsi="Calibri" w:cs="Calibri"/>
        </w:rPr>
        <w:t xml:space="preserve">species, many of which are taoka and </w:t>
      </w:r>
      <w:r w:rsidR="00262B94" w:rsidRPr="009C237D">
        <w:rPr>
          <w:strike/>
        </w:rPr>
        <w:t>mahika kai</w:t>
      </w:r>
      <w:r w:rsidR="00262B94" w:rsidRPr="00472578">
        <w:t xml:space="preserve"> </w:t>
      </w:r>
      <w:r w:rsidR="00262B94" w:rsidRPr="00ED09B1">
        <w:rPr>
          <w:i/>
          <w:iCs/>
          <w:u w:val="single"/>
        </w:rPr>
        <w:t>mahika kai</w:t>
      </w:r>
      <w:r w:rsidR="00262B94">
        <w:rPr>
          <w:rStyle w:val="FootnoteReference"/>
        </w:rPr>
        <w:footnoteReference w:id="448"/>
      </w:r>
      <w:r w:rsidRPr="00472578">
        <w:rPr>
          <w:rFonts w:ascii="Calibri" w:eastAsia="Calibri" w:hAnsi="Calibri" w:cs="Calibri"/>
        </w:rPr>
        <w:t>, through displacement and predation.</w:t>
      </w:r>
    </w:p>
    <w:p w14:paraId="25877651" w14:textId="77777777" w:rsidR="00B02DBF" w:rsidRPr="00472578" w:rsidRDefault="00B02DBF" w:rsidP="00E92686">
      <w:pPr>
        <w:numPr>
          <w:ilvl w:val="0"/>
          <w:numId w:val="20"/>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Loss of indigenous flora and fauna remnants and lack of co-ordinated management of habitat corridors. </w:t>
      </w:r>
    </w:p>
    <w:p w14:paraId="58D2C5E9" w14:textId="04ADADE8" w:rsidR="00B02DBF" w:rsidRPr="00472578" w:rsidRDefault="00B02DBF" w:rsidP="00E92686">
      <w:pPr>
        <w:numPr>
          <w:ilvl w:val="0"/>
          <w:numId w:val="20"/>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Impacts on </w:t>
      </w:r>
      <w:r w:rsidR="00262B94" w:rsidRPr="009C237D">
        <w:rPr>
          <w:strike/>
        </w:rPr>
        <w:t>mahika kai</w:t>
      </w:r>
      <w:r w:rsidR="00262B94" w:rsidRPr="00472578">
        <w:t xml:space="preserve"> </w:t>
      </w:r>
      <w:r w:rsidR="00262B94" w:rsidRPr="001551AA">
        <w:rPr>
          <w:i/>
          <w:iCs/>
          <w:u w:val="single"/>
        </w:rPr>
        <w:t>mahika kai</w:t>
      </w:r>
      <w:r w:rsidR="00262B94">
        <w:rPr>
          <w:rStyle w:val="FootnoteReference"/>
        </w:rPr>
        <w:footnoteReference w:id="449"/>
      </w:r>
      <w:r w:rsidRPr="00472578">
        <w:rPr>
          <w:rFonts w:ascii="Calibri" w:eastAsia="Calibri" w:hAnsi="Calibri" w:cs="Calibri"/>
        </w:rPr>
        <w:t xml:space="preserve"> and aquatic ecosystems from a lack of effective catchment-wide riparian management. </w:t>
      </w:r>
    </w:p>
    <w:p w14:paraId="28FF563C" w14:textId="77777777" w:rsidR="00B02DBF" w:rsidRPr="00472578" w:rsidRDefault="00B02DBF" w:rsidP="00E92686">
      <w:pPr>
        <w:numPr>
          <w:ilvl w:val="0"/>
          <w:numId w:val="20"/>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Loss of recruitment of indigenous flora in remnant bush areas due to continuous stock grazing. </w:t>
      </w:r>
    </w:p>
    <w:p w14:paraId="669C066C" w14:textId="77777777" w:rsidR="00B02DBF" w:rsidRPr="00472578" w:rsidRDefault="00B02DBF" w:rsidP="00E92686">
      <w:pPr>
        <w:numPr>
          <w:ilvl w:val="0"/>
          <w:numId w:val="20"/>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The impact of inappropriate forestry developments, conversion of tussock lands and other intensification of farming on indigenous flora and fauna values, including ecological disturbance and displacement of species. </w:t>
      </w:r>
    </w:p>
    <w:p w14:paraId="0AAF5A25" w14:textId="39A7472D" w:rsidR="00B02DBF" w:rsidRPr="00472578" w:rsidRDefault="00B02DBF" w:rsidP="00E92686">
      <w:pPr>
        <w:numPr>
          <w:ilvl w:val="0"/>
          <w:numId w:val="20"/>
        </w:numPr>
        <w:ind w:left="567" w:hanging="567"/>
        <w:jc w:val="both"/>
        <w:rPr>
          <w:rFonts w:cs="Calibri"/>
          <w:iCs/>
          <w:u w:val="single"/>
        </w:rPr>
      </w:pPr>
      <w:r w:rsidRPr="00472578">
        <w:rPr>
          <w:rFonts w:cs="Calibri"/>
          <w:iCs/>
          <w:u w:val="single"/>
        </w:rPr>
        <w:t>A persistent lack of recognition of Kāi Tahu perspectives, values and mātauraka in indigenous species and habitat management, planning, and decision</w:t>
      </w:r>
      <w:r w:rsidR="002651F8" w:rsidRPr="00472578">
        <w:rPr>
          <w:rFonts w:cs="Calibri"/>
          <w:iCs/>
          <w:u w:val="single"/>
        </w:rPr>
        <w:t>-</w:t>
      </w:r>
      <w:r w:rsidRPr="00472578">
        <w:rPr>
          <w:rFonts w:cs="Calibri"/>
          <w:iCs/>
          <w:u w:val="single"/>
        </w:rPr>
        <w:t xml:space="preserve">making. </w:t>
      </w:r>
    </w:p>
    <w:p w14:paraId="0421E90E" w14:textId="6D103134" w:rsidR="00B02DBF" w:rsidRPr="00472578" w:rsidRDefault="00B02DBF" w:rsidP="00E92686">
      <w:pPr>
        <w:numPr>
          <w:ilvl w:val="0"/>
          <w:numId w:val="20"/>
        </w:numPr>
        <w:ind w:left="567" w:hanging="567"/>
        <w:jc w:val="both"/>
        <w:rPr>
          <w:rFonts w:cs="Calibri"/>
          <w:iCs/>
          <w:u w:val="single"/>
        </w:rPr>
      </w:pPr>
      <w:r w:rsidRPr="00472578">
        <w:rPr>
          <w:rFonts w:cs="Calibri"/>
          <w:iCs/>
          <w:u w:val="single"/>
        </w:rPr>
        <w:t xml:space="preserve">The loss of cultural knowledge, mātauraka, and tikaka that has accompanied the loss of </w:t>
      </w:r>
      <w:r w:rsidRPr="00262B94">
        <w:rPr>
          <w:rFonts w:cs="Calibri"/>
          <w:i/>
          <w:u w:val="single"/>
        </w:rPr>
        <w:t>mahika kai</w:t>
      </w:r>
      <w:r w:rsidRPr="00472578">
        <w:rPr>
          <w:rFonts w:cs="Calibri"/>
          <w:iCs/>
          <w:u w:val="single"/>
        </w:rPr>
        <w:t>, and indigenous biodiversity.</w:t>
      </w:r>
      <w:r w:rsidRPr="00472578">
        <w:rPr>
          <w:rStyle w:val="FootnoteReference"/>
          <w:rFonts w:cs="Calibri"/>
          <w:iCs/>
        </w:rPr>
        <w:footnoteReference w:id="450"/>
      </w:r>
    </w:p>
    <w:p w14:paraId="3ECBC5DE" w14:textId="44F7A101" w:rsidR="00B02DBF" w:rsidRPr="00472578" w:rsidRDefault="00B02DBF" w:rsidP="00E92686">
      <w:pPr>
        <w:pStyle w:val="Heading4"/>
        <w:jc w:val="both"/>
        <w:rPr>
          <w:rFonts w:eastAsia="National-Book"/>
        </w:rPr>
      </w:pPr>
      <w:r w:rsidRPr="00472578">
        <w:rPr>
          <w:rFonts w:eastAsia="National-Book"/>
        </w:rPr>
        <w:t>RMIA</w:t>
      </w:r>
      <w:r w:rsidR="00B208D6" w:rsidRPr="00472578">
        <w:t>-MKB-</w:t>
      </w:r>
      <w:r w:rsidRPr="00472578">
        <w:rPr>
          <w:rFonts w:eastAsia="National-Book"/>
        </w:rPr>
        <w:t xml:space="preserve">I2 – Regulatory and physical barriers have impeded the ability of Kāi Tahu to access </w:t>
      </w:r>
      <w:r w:rsidR="004D477C" w:rsidRPr="009C237D">
        <w:rPr>
          <w:strike/>
        </w:rPr>
        <w:t>mahika kai</w:t>
      </w:r>
      <w:r w:rsidR="004D477C" w:rsidRPr="00472578">
        <w:t xml:space="preserve"> </w:t>
      </w:r>
      <w:r w:rsidR="004D477C" w:rsidRPr="001551AA">
        <w:rPr>
          <w:i/>
          <w:iCs w:val="0"/>
          <w:u w:val="single"/>
        </w:rPr>
        <w:t>mahika kai</w:t>
      </w:r>
      <w:r w:rsidR="004D477C">
        <w:rPr>
          <w:rStyle w:val="FootnoteReference"/>
        </w:rPr>
        <w:footnoteReference w:id="451"/>
      </w:r>
      <w:r w:rsidRPr="00472578">
        <w:rPr>
          <w:rFonts w:eastAsia="National-Book"/>
        </w:rPr>
        <w:t xml:space="preserve"> and to undertake </w:t>
      </w:r>
      <w:r w:rsidRPr="00472578">
        <w:rPr>
          <w:rFonts w:eastAsia="National-Book"/>
          <w:iCs w:val="0"/>
        </w:rPr>
        <w:t>customary</w:t>
      </w:r>
      <w:r w:rsidRPr="00472578">
        <w:rPr>
          <w:rFonts w:eastAsia="National-Book"/>
        </w:rPr>
        <w:t xml:space="preserve"> harvest</w:t>
      </w:r>
    </w:p>
    <w:p w14:paraId="2A72A2E7" w14:textId="12BAFA0F" w:rsidR="00B02DBF" w:rsidRPr="00472578" w:rsidRDefault="00B02DBF" w:rsidP="00E92686">
      <w:pPr>
        <w:pStyle w:val="JustifiedSpacing"/>
      </w:pPr>
      <w:r w:rsidRPr="00472578">
        <w:t xml:space="preserve">The ability for Kāi Tahu to exercise customary rights to </w:t>
      </w:r>
      <w:r w:rsidR="004D477C" w:rsidRPr="009C237D">
        <w:rPr>
          <w:strike/>
        </w:rPr>
        <w:t>mahika kai</w:t>
      </w:r>
      <w:r w:rsidR="004D477C" w:rsidRPr="00472578">
        <w:t xml:space="preserve"> </w:t>
      </w:r>
      <w:r w:rsidR="004D477C" w:rsidRPr="001551AA">
        <w:rPr>
          <w:i/>
          <w:iCs/>
          <w:u w:val="single"/>
        </w:rPr>
        <w:t>mahika kai</w:t>
      </w:r>
      <w:r w:rsidR="004D477C">
        <w:rPr>
          <w:rStyle w:val="FootnoteReference"/>
        </w:rPr>
        <w:footnoteReference w:id="452"/>
      </w:r>
      <w:r w:rsidRPr="00472578">
        <w:t xml:space="preserve"> has been impeded by obstacles to accessing </w:t>
      </w:r>
      <w:r w:rsidR="004D477C" w:rsidRPr="009C237D">
        <w:rPr>
          <w:strike/>
        </w:rPr>
        <w:t>mahika kai</w:t>
      </w:r>
      <w:r w:rsidR="004D477C" w:rsidRPr="00472578">
        <w:t xml:space="preserve"> </w:t>
      </w:r>
      <w:r w:rsidR="004D477C" w:rsidRPr="001551AA">
        <w:rPr>
          <w:i/>
          <w:iCs/>
          <w:u w:val="single"/>
        </w:rPr>
        <w:t>mahika kai</w:t>
      </w:r>
      <w:r w:rsidR="004D477C">
        <w:rPr>
          <w:rStyle w:val="FootnoteReference"/>
        </w:rPr>
        <w:footnoteReference w:id="453"/>
      </w:r>
      <w:r w:rsidRPr="00472578">
        <w:t xml:space="preserve"> sites. </w:t>
      </w:r>
      <w:r w:rsidRPr="00472578">
        <w:rPr>
          <w:iCs/>
        </w:rPr>
        <w:t>Obstacles include lack of physical access and the sites no longer being safe to access due to the site becoming polluted, or a change in flow velocity and/or depth.</w:t>
      </w:r>
      <w:r w:rsidRPr="00472578">
        <w:t xml:space="preserve"> </w:t>
      </w:r>
    </w:p>
    <w:p w14:paraId="0AE035D0" w14:textId="7BBBF986" w:rsidR="00B02DBF" w:rsidRPr="00472578" w:rsidRDefault="00B02DBF" w:rsidP="00E92686">
      <w:pPr>
        <w:pStyle w:val="Heading4"/>
        <w:jc w:val="both"/>
        <w:rPr>
          <w:rFonts w:eastAsia="National-Book"/>
        </w:rPr>
      </w:pPr>
      <w:r w:rsidRPr="00472578">
        <w:rPr>
          <w:rFonts w:eastAsia="National-Book"/>
        </w:rPr>
        <w:lastRenderedPageBreak/>
        <w:t>RMIA</w:t>
      </w:r>
      <w:r w:rsidR="00B208D6" w:rsidRPr="00472578">
        <w:t>-MKB-</w:t>
      </w:r>
      <w:r w:rsidRPr="00472578">
        <w:rPr>
          <w:rFonts w:eastAsia="National-Book"/>
        </w:rPr>
        <w:t xml:space="preserve">I3 – Impacts of </w:t>
      </w:r>
      <w:r w:rsidRPr="00472578">
        <w:rPr>
          <w:rFonts w:eastAsia="National-Book"/>
          <w:i/>
        </w:rPr>
        <w:t>climate change</w:t>
      </w:r>
      <w:r w:rsidRPr="00472578">
        <w:rPr>
          <w:rFonts w:eastAsia="National-Book"/>
        </w:rPr>
        <w:t xml:space="preserve"> on both species/habitat viability and increasing pest (flora/fauna) encroachments</w:t>
      </w:r>
    </w:p>
    <w:p w14:paraId="567D2163" w14:textId="77777777" w:rsidR="00B02DBF" w:rsidRPr="00472578" w:rsidRDefault="00B02DBF" w:rsidP="00E92686">
      <w:pPr>
        <w:pStyle w:val="JustifiedSpacing"/>
      </w:pPr>
      <w:r w:rsidRPr="00472578">
        <w:rPr>
          <w:i/>
          <w:iCs/>
        </w:rPr>
        <w:t>Climate change</w:t>
      </w:r>
      <w:r w:rsidRPr="00472578">
        <w:t xml:space="preserve"> is now affecting and will continue to affect habitat availability and suitability for species in Otago. In some cases, this will mean that species will be able to increase their distribution, which will encourage spread of pest/weed species. </w:t>
      </w:r>
      <w:r w:rsidRPr="00472578">
        <w:rPr>
          <w:i/>
          <w:iCs/>
        </w:rPr>
        <w:t>Climate change</w:t>
      </w:r>
      <w:r w:rsidRPr="00472578">
        <w:t xml:space="preserve"> will also reduce habitat and distributions for some species and affect habitat quality. These </w:t>
      </w:r>
      <w:r w:rsidRPr="00472578">
        <w:rPr>
          <w:i/>
          <w:iCs/>
        </w:rPr>
        <w:t>effects</w:t>
      </w:r>
      <w:r w:rsidRPr="00472578">
        <w:t xml:space="preserve"> may also accumulate; for example, a native species may have </w:t>
      </w:r>
      <w:proofErr w:type="gramStart"/>
      <w:r w:rsidRPr="00472578">
        <w:t>worse</w:t>
      </w:r>
      <w:proofErr w:type="gramEnd"/>
      <w:r w:rsidRPr="00472578">
        <w:t xml:space="preserve"> and less habitat and its pest/predator’s distribution and population may increase due to </w:t>
      </w:r>
      <w:r w:rsidRPr="00472578">
        <w:rPr>
          <w:i/>
          <w:iCs/>
        </w:rPr>
        <w:t>climate change</w:t>
      </w:r>
      <w:r w:rsidRPr="00472578">
        <w:t xml:space="preserve"> </w:t>
      </w:r>
      <w:r w:rsidRPr="00472578">
        <w:rPr>
          <w:i/>
          <w:iCs/>
        </w:rPr>
        <w:t>effects</w:t>
      </w:r>
      <w:r w:rsidRPr="00472578">
        <w:t xml:space="preserve">. Where possible, </w:t>
      </w:r>
      <w:r w:rsidRPr="00472578">
        <w:rPr>
          <w:u w:val="single"/>
        </w:rPr>
        <w:t xml:space="preserve">environmental management should include planning for </w:t>
      </w:r>
      <w:r w:rsidRPr="00472578">
        <w:t xml:space="preserve">these </w:t>
      </w:r>
      <w:r w:rsidRPr="00472578">
        <w:rPr>
          <w:i/>
          <w:iCs/>
        </w:rPr>
        <w:t>effects</w:t>
      </w:r>
      <w:r w:rsidRPr="00472578">
        <w:t xml:space="preserve"> </w:t>
      </w:r>
      <w:r w:rsidRPr="00472578">
        <w:rPr>
          <w:strike/>
        </w:rPr>
        <w:t>should be planned for in environmental management</w:t>
      </w:r>
      <w:r w:rsidRPr="00472578">
        <w:t xml:space="preserve"> </w:t>
      </w:r>
      <w:r w:rsidRPr="00472578">
        <w:rPr>
          <w:u w:val="single"/>
        </w:rPr>
        <w:t xml:space="preserve">and having regard for </w:t>
      </w:r>
      <w:r w:rsidRPr="00472578">
        <w:rPr>
          <w:iCs/>
          <w:u w:val="single"/>
        </w:rPr>
        <w:t>their impacts on Kāi Tahu and mana whenua values</w:t>
      </w:r>
      <w:r w:rsidRPr="00472578">
        <w:rPr>
          <w:iCs/>
        </w:rPr>
        <w:t>.</w:t>
      </w:r>
      <w:r w:rsidRPr="00472578">
        <w:rPr>
          <w:rStyle w:val="FootnoteReference"/>
          <w:iCs/>
        </w:rPr>
        <w:footnoteReference w:id="454"/>
      </w:r>
    </w:p>
    <w:p w14:paraId="1976AEFB" w14:textId="104F1A9D" w:rsidR="00B02DBF" w:rsidRPr="00472578" w:rsidRDefault="00B02DBF" w:rsidP="00E92686">
      <w:pPr>
        <w:pStyle w:val="Heading4"/>
        <w:jc w:val="both"/>
        <w:rPr>
          <w:rFonts w:eastAsia="National-Book"/>
        </w:rPr>
      </w:pPr>
      <w:r w:rsidRPr="00472578">
        <w:rPr>
          <w:rFonts w:eastAsia="National-Book"/>
        </w:rPr>
        <w:t>RMIA</w:t>
      </w:r>
      <w:r w:rsidR="00B208D6" w:rsidRPr="00472578">
        <w:t>-MKB-</w:t>
      </w:r>
      <w:r w:rsidRPr="00472578">
        <w:rPr>
          <w:rFonts w:eastAsia="National-Book"/>
        </w:rPr>
        <w:t>I4 – Shortage of protected and secure areas for biodiversity</w:t>
      </w:r>
    </w:p>
    <w:p w14:paraId="792388C1" w14:textId="77777777" w:rsidR="00B02DBF" w:rsidRPr="00472578" w:rsidRDefault="00B02DBF" w:rsidP="00E92686">
      <w:pPr>
        <w:pStyle w:val="JustifiedSpacing"/>
      </w:pPr>
      <w:r w:rsidRPr="00472578">
        <w:t xml:space="preserve">Currently there are not enough protected and secure areas for biodiversity in Otago. To ensure the long-term survival of our region’s most </w:t>
      </w:r>
      <w:r w:rsidRPr="00472578">
        <w:rPr>
          <w:i/>
          <w:iCs/>
        </w:rPr>
        <w:t>threatened species</w:t>
      </w:r>
      <w:r w:rsidRPr="00472578">
        <w:t xml:space="preserve">, a series of protected areas must be established, ideally in a network connected by corridors so that each individual population is more </w:t>
      </w:r>
      <w:r w:rsidRPr="00472578">
        <w:rPr>
          <w:i/>
          <w:iCs/>
        </w:rPr>
        <w:t>resilient</w:t>
      </w:r>
      <w:r w:rsidRPr="00472578">
        <w:t xml:space="preserve"> as well as the species’ overall population.</w:t>
      </w:r>
    </w:p>
    <w:p w14:paraId="63424F72" w14:textId="754C4B91" w:rsidR="00B02DBF" w:rsidRPr="00472578" w:rsidRDefault="00B02DBF" w:rsidP="00E92686">
      <w:pPr>
        <w:pStyle w:val="Heading4"/>
        <w:jc w:val="both"/>
        <w:rPr>
          <w:rFonts w:eastAsia="National-Book"/>
        </w:rPr>
      </w:pPr>
      <w:r w:rsidRPr="00472578">
        <w:rPr>
          <w:rFonts w:eastAsia="National-Book"/>
        </w:rPr>
        <w:t>RMIA</w:t>
      </w:r>
      <w:r w:rsidR="00B208D6" w:rsidRPr="00472578">
        <w:t>-MKB-</w:t>
      </w:r>
      <w:r w:rsidRPr="00472578">
        <w:rPr>
          <w:rFonts w:eastAsia="National-Book"/>
        </w:rPr>
        <w:t>I5 – Inconsistent approaches to biodiversity protection amongst regulatory authorities</w:t>
      </w:r>
    </w:p>
    <w:p w14:paraId="01EEA1A8" w14:textId="5BB59E20" w:rsidR="00B02DBF" w:rsidRPr="00472578" w:rsidRDefault="00B02DBF" w:rsidP="00E92686">
      <w:pPr>
        <w:pStyle w:val="JustifiedSpacing"/>
      </w:pPr>
      <w:r w:rsidRPr="00472578">
        <w:t xml:space="preserve">Biodiversity is managed by several entities who have different approaches and powers through their separate governing legislation. For example, regional and district councils have obligations under the Resource Management Act 1991 and the Department of Conservation has obligations under the Conservation Act 1987 </w:t>
      </w:r>
      <w:r w:rsidRPr="00472578">
        <w:rPr>
          <w:u w:val="single"/>
        </w:rPr>
        <w:t>and the Wildlife Act 1953.</w:t>
      </w:r>
      <w:r w:rsidRPr="00472578">
        <w:rPr>
          <w:rStyle w:val="FootnoteReference"/>
        </w:rPr>
        <w:footnoteReference w:id="455"/>
      </w:r>
      <w:r w:rsidRPr="00472578">
        <w:t xml:space="preserve"> Different pieces of legislation are not always consistent with each other. There can also be confusion about who is responsible for different aspects of biodiversity management as it is not managed by one entity. </w:t>
      </w:r>
    </w:p>
    <w:p w14:paraId="3ABC6A52" w14:textId="7BE26A32" w:rsidR="00B02DBF" w:rsidRPr="00472578" w:rsidRDefault="00B02DBF" w:rsidP="00E92686">
      <w:pPr>
        <w:pStyle w:val="Heading4"/>
        <w:jc w:val="both"/>
        <w:rPr>
          <w:rFonts w:eastAsia="National-Book"/>
        </w:rPr>
      </w:pPr>
      <w:r w:rsidRPr="00472578">
        <w:rPr>
          <w:rFonts w:eastAsia="National-Book"/>
        </w:rPr>
        <w:t>RMIA</w:t>
      </w:r>
      <w:r w:rsidR="00B208D6" w:rsidRPr="00472578">
        <w:t>-MKB-</w:t>
      </w:r>
      <w:r w:rsidRPr="00472578">
        <w:rPr>
          <w:rFonts w:eastAsia="National-Book"/>
        </w:rPr>
        <w:t>I6 – Lack of information on species health and viability</w:t>
      </w:r>
    </w:p>
    <w:p w14:paraId="69479FC9" w14:textId="77777777" w:rsidR="00B02DBF" w:rsidRPr="00472578" w:rsidRDefault="00B02DBF" w:rsidP="00E92686">
      <w:pPr>
        <w:pStyle w:val="JustifiedSpacing"/>
        <w:rPr>
          <w:rFonts w:eastAsia="National-Book"/>
        </w:rPr>
      </w:pPr>
      <w:r w:rsidRPr="00472578">
        <w:t>In many instances there is a lack of information on species. This absence of information on matters such as life histories, current and previous distributions and habitat preferences makes it difficult to make decisions about how best to manage these species.</w:t>
      </w:r>
    </w:p>
    <w:p w14:paraId="7BC9C43F" w14:textId="67CFAD35" w:rsidR="00B02DBF" w:rsidRPr="00472578" w:rsidRDefault="00B02DBF" w:rsidP="00E92686">
      <w:pPr>
        <w:pStyle w:val="Heading3"/>
        <w:jc w:val="both"/>
        <w:rPr>
          <w:rFonts w:eastAsiaTheme="minorHAnsi"/>
        </w:rPr>
      </w:pPr>
      <w:r w:rsidRPr="00472578">
        <w:t>RMIA</w:t>
      </w:r>
      <w:r w:rsidR="00B208D6" w:rsidRPr="00472578">
        <w:t>-</w:t>
      </w:r>
      <w:r w:rsidRPr="00472578">
        <w:t xml:space="preserve">WTU – </w:t>
      </w:r>
      <w:r w:rsidRPr="00472578">
        <w:rPr>
          <w:i/>
          <w:iCs/>
        </w:rPr>
        <w:t>Wāhi tūpuna</w:t>
      </w:r>
      <w:r w:rsidRPr="00472578">
        <w:t xml:space="preserve"> </w:t>
      </w:r>
    </w:p>
    <w:p w14:paraId="067AAA1D" w14:textId="77777777" w:rsidR="00B02DBF" w:rsidRPr="00472578" w:rsidRDefault="00B02DBF" w:rsidP="00E92686">
      <w:pPr>
        <w:pStyle w:val="Heading4"/>
        <w:jc w:val="both"/>
        <w:rPr>
          <w:rFonts w:eastAsia="National-Book"/>
        </w:rPr>
      </w:pPr>
      <w:bookmarkStart w:id="75" w:name="_Hlk41256716"/>
      <w:r w:rsidRPr="00472578">
        <w:rPr>
          <w:rFonts w:eastAsia="National-Book"/>
        </w:rPr>
        <w:t>Context</w:t>
      </w:r>
    </w:p>
    <w:p w14:paraId="2ADCCC84"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i/>
          <w:iCs/>
        </w:rPr>
        <w:t>Wāhi tūpuna</w:t>
      </w:r>
      <w:r w:rsidRPr="00472578">
        <w:rPr>
          <w:rFonts w:ascii="Calibri" w:eastAsia="Calibri" w:hAnsi="Calibri" w:cs="Calibri"/>
        </w:rPr>
        <w:t xml:space="preserve"> (ancestral landscapes) across Otago are made up of interconnected sites and areas reflecting the history and traditions associated with the long settlement of Kāi Tahu in Otago. </w:t>
      </w:r>
      <w:bookmarkStart w:id="76" w:name="_Hlk41302250"/>
      <w:bookmarkEnd w:id="76"/>
      <w:r w:rsidRPr="00472578">
        <w:t xml:space="preserve">Areas of significance that form part of </w:t>
      </w:r>
      <w:r w:rsidRPr="00472578">
        <w:rPr>
          <w:i/>
          <w:iCs/>
        </w:rPr>
        <w:t>wāhi tūpuna</w:t>
      </w:r>
      <w:r w:rsidRPr="00472578">
        <w:t xml:space="preserve"> include, but are not limited to:</w:t>
      </w:r>
    </w:p>
    <w:p w14:paraId="739E9D58" w14:textId="77777777" w:rsidR="00B02DBF" w:rsidRPr="00472578" w:rsidRDefault="00B02DBF" w:rsidP="00E92686">
      <w:pPr>
        <w:numPr>
          <w:ilvl w:val="0"/>
          <w:numId w:val="6"/>
        </w:numPr>
        <w:autoSpaceDE w:val="0"/>
        <w:autoSpaceDN w:val="0"/>
        <w:adjustRightInd w:val="0"/>
        <w:spacing w:before="60" w:after="60"/>
        <w:ind w:left="567" w:hanging="567"/>
        <w:jc w:val="both"/>
        <w:rPr>
          <w:rFonts w:ascii="Calibri" w:eastAsia="Calibri" w:hAnsi="Calibri" w:cs="Calibri"/>
        </w:rPr>
      </w:pPr>
      <w:r w:rsidRPr="00472578">
        <w:rPr>
          <w:rFonts w:ascii="Calibri" w:eastAsia="Calibri" w:hAnsi="Calibri" w:cs="Calibri"/>
        </w:rPr>
        <w:t xml:space="preserve">Wāhi tapu </w:t>
      </w:r>
    </w:p>
    <w:p w14:paraId="27073E6B" w14:textId="77777777" w:rsidR="00B02DBF" w:rsidRPr="00472578" w:rsidRDefault="00B02DBF" w:rsidP="00E92686">
      <w:pPr>
        <w:numPr>
          <w:ilvl w:val="0"/>
          <w:numId w:val="6"/>
        </w:numPr>
        <w:autoSpaceDE w:val="0"/>
        <w:autoSpaceDN w:val="0"/>
        <w:adjustRightInd w:val="0"/>
        <w:spacing w:before="60" w:after="60"/>
        <w:ind w:left="567" w:hanging="567"/>
        <w:jc w:val="both"/>
        <w:rPr>
          <w:rFonts w:ascii="Calibri" w:eastAsia="Calibri" w:hAnsi="Calibri" w:cs="Calibri"/>
        </w:rPr>
      </w:pPr>
      <w:r w:rsidRPr="00472578">
        <w:rPr>
          <w:rFonts w:ascii="Calibri" w:eastAsia="Calibri" w:hAnsi="Calibri" w:cs="Calibri"/>
        </w:rPr>
        <w:t xml:space="preserve">Kāika </w:t>
      </w:r>
      <w:r w:rsidRPr="00472578">
        <w:rPr>
          <w:rFonts w:ascii="Calibri" w:eastAsia="Calibri" w:hAnsi="Calibri" w:cs="Calibri"/>
          <w:i/>
          <w:iCs/>
        </w:rPr>
        <w:t>nohoaka</w:t>
      </w:r>
      <w:r w:rsidRPr="00472578">
        <w:rPr>
          <w:rFonts w:ascii="Calibri" w:eastAsia="Calibri" w:hAnsi="Calibri" w:cs="Calibri"/>
        </w:rPr>
        <w:t xml:space="preserve"> (settlements)</w:t>
      </w:r>
    </w:p>
    <w:p w14:paraId="5BF255AD" w14:textId="77777777" w:rsidR="00B02DBF" w:rsidRPr="00472578" w:rsidRDefault="00B02DBF" w:rsidP="00E92686">
      <w:pPr>
        <w:numPr>
          <w:ilvl w:val="0"/>
          <w:numId w:val="6"/>
        </w:numPr>
        <w:autoSpaceDE w:val="0"/>
        <w:autoSpaceDN w:val="0"/>
        <w:adjustRightInd w:val="0"/>
        <w:spacing w:before="60" w:after="60"/>
        <w:ind w:left="567" w:hanging="567"/>
        <w:jc w:val="both"/>
        <w:rPr>
          <w:rFonts w:ascii="Calibri" w:eastAsia="Calibri" w:hAnsi="Calibri" w:cs="Calibri"/>
        </w:rPr>
      </w:pPr>
      <w:r w:rsidRPr="00472578">
        <w:rPr>
          <w:rFonts w:ascii="Calibri" w:eastAsia="Calibri" w:hAnsi="Calibri" w:cs="Calibri"/>
        </w:rPr>
        <w:lastRenderedPageBreak/>
        <w:t>Wāhi kohātu and wāhi mahi kohātu (quarry sites)</w:t>
      </w:r>
    </w:p>
    <w:p w14:paraId="7ACDC0A2" w14:textId="77777777" w:rsidR="00B02DBF" w:rsidRPr="00472578" w:rsidRDefault="00B02DBF" w:rsidP="00E92686">
      <w:pPr>
        <w:numPr>
          <w:ilvl w:val="0"/>
          <w:numId w:val="6"/>
        </w:numPr>
        <w:autoSpaceDE w:val="0"/>
        <w:autoSpaceDN w:val="0"/>
        <w:adjustRightInd w:val="0"/>
        <w:spacing w:before="60" w:after="60"/>
        <w:ind w:left="567" w:hanging="567"/>
        <w:jc w:val="both"/>
        <w:rPr>
          <w:rFonts w:ascii="Calibri" w:eastAsia="Calibri" w:hAnsi="Calibri" w:cs="Calibri"/>
        </w:rPr>
      </w:pPr>
      <w:r w:rsidRPr="00472578">
        <w:rPr>
          <w:rFonts w:ascii="Calibri" w:eastAsia="Calibri" w:hAnsi="Calibri" w:cs="Calibri"/>
        </w:rPr>
        <w:t>Wāhi ikoa (place names)</w:t>
      </w:r>
    </w:p>
    <w:p w14:paraId="4264118B" w14:textId="77777777" w:rsidR="00B02DBF" w:rsidRPr="00472578" w:rsidRDefault="00B02DBF" w:rsidP="00E92686">
      <w:pPr>
        <w:numPr>
          <w:ilvl w:val="0"/>
          <w:numId w:val="6"/>
        </w:numPr>
        <w:autoSpaceDE w:val="0"/>
        <w:autoSpaceDN w:val="0"/>
        <w:adjustRightInd w:val="0"/>
        <w:spacing w:before="60" w:after="60"/>
        <w:ind w:left="567" w:hanging="567"/>
        <w:jc w:val="both"/>
        <w:rPr>
          <w:rFonts w:ascii="Calibri" w:eastAsia="Calibri" w:hAnsi="Calibri" w:cs="Calibri"/>
        </w:rPr>
      </w:pPr>
      <w:r w:rsidRPr="00472578">
        <w:rPr>
          <w:rFonts w:ascii="Calibri" w:eastAsia="Calibri" w:hAnsi="Calibri" w:cs="Calibri"/>
        </w:rPr>
        <w:t>Ara tawhito (traditional travel routes)</w:t>
      </w:r>
    </w:p>
    <w:p w14:paraId="1401E3BB" w14:textId="77777777" w:rsidR="00B02DBF" w:rsidRPr="00472578" w:rsidRDefault="00B02DBF" w:rsidP="00E92686">
      <w:pPr>
        <w:numPr>
          <w:ilvl w:val="0"/>
          <w:numId w:val="6"/>
        </w:numPr>
        <w:autoSpaceDE w:val="0"/>
        <w:autoSpaceDN w:val="0"/>
        <w:adjustRightInd w:val="0"/>
        <w:spacing w:before="60" w:after="60"/>
        <w:ind w:left="567" w:hanging="567"/>
        <w:jc w:val="both"/>
        <w:rPr>
          <w:rFonts w:ascii="Calibri" w:eastAsia="Calibri" w:hAnsi="Calibri" w:cs="Calibri"/>
        </w:rPr>
      </w:pPr>
      <w:r w:rsidRPr="00472578">
        <w:rPr>
          <w:rFonts w:cs="Calibri"/>
          <w:iCs/>
        </w:rPr>
        <w:t>Mauka (mountains)</w:t>
      </w:r>
      <w:r w:rsidRPr="00472578">
        <w:rPr>
          <w:rFonts w:cs="Calibri"/>
          <w:iCs/>
          <w:u w:val="single"/>
        </w:rPr>
        <w:t>, awa (rivers), roto (lakes), tai (coasts), and moana (seas)</w:t>
      </w:r>
      <w:r w:rsidRPr="00472578">
        <w:rPr>
          <w:rStyle w:val="FootnoteReference"/>
          <w:rFonts w:cs="Calibri"/>
          <w:iCs/>
        </w:rPr>
        <w:footnoteReference w:id="456"/>
      </w:r>
    </w:p>
    <w:p w14:paraId="278A356E"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It is important that resource management recognises the wider cultural setting by considering effects of activities on the broader </w:t>
      </w:r>
      <w:r w:rsidRPr="00472578">
        <w:rPr>
          <w:rFonts w:ascii="Calibri" w:eastAsia="Calibri" w:hAnsi="Calibri" w:cs="Calibri"/>
          <w:i/>
          <w:iCs/>
        </w:rPr>
        <w:t>wāhi tūpuna</w:t>
      </w:r>
      <w:r w:rsidRPr="00472578">
        <w:rPr>
          <w:rFonts w:ascii="Calibri" w:eastAsia="Calibri" w:hAnsi="Calibri" w:cs="Calibri"/>
        </w:rPr>
        <w:t xml:space="preserve"> rather than just on discrete sites. </w:t>
      </w:r>
    </w:p>
    <w:p w14:paraId="7C309526" w14:textId="70E8A7BC" w:rsidR="00B02DBF" w:rsidRPr="00472578" w:rsidRDefault="00B02DBF" w:rsidP="00E92686">
      <w:pPr>
        <w:pStyle w:val="Heading4"/>
        <w:jc w:val="both"/>
        <w:rPr>
          <w:rFonts w:eastAsia="National-Book"/>
        </w:rPr>
      </w:pPr>
      <w:r w:rsidRPr="00472578">
        <w:rPr>
          <w:rFonts w:eastAsia="National-Book"/>
        </w:rPr>
        <w:t>RMIA</w:t>
      </w:r>
      <w:r w:rsidR="00B208D6" w:rsidRPr="00472578">
        <w:t>-WTU-</w:t>
      </w:r>
      <w:r w:rsidRPr="00472578">
        <w:rPr>
          <w:rFonts w:eastAsia="National-Book"/>
        </w:rPr>
        <w:t xml:space="preserve">I1 – The values of </w:t>
      </w:r>
      <w:r w:rsidRPr="00472578">
        <w:rPr>
          <w:rFonts w:eastAsia="National-Book"/>
          <w:i/>
          <w:iCs w:val="0"/>
        </w:rPr>
        <w:t>wāhi tūpuna</w:t>
      </w:r>
      <w:r w:rsidRPr="00472578">
        <w:rPr>
          <w:rFonts w:eastAsia="National-Book"/>
        </w:rPr>
        <w:t xml:space="preserve"> are poorly recognised in resource management in Otago </w:t>
      </w:r>
    </w:p>
    <w:bookmarkEnd w:id="75"/>
    <w:p w14:paraId="6ED6CAFD" w14:textId="2DA1C4E8"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Land, </w:t>
      </w:r>
      <w:r w:rsidRPr="00472578">
        <w:rPr>
          <w:u w:val="single"/>
        </w:rPr>
        <w:t>freshwater, and coastal</w:t>
      </w:r>
      <w:r w:rsidRPr="00472578">
        <w:rPr>
          <w:rStyle w:val="FootnoteReference"/>
        </w:rPr>
        <w:footnoteReference w:id="457"/>
      </w:r>
      <w:r w:rsidRPr="00472578">
        <w:rPr>
          <w:rFonts w:ascii="Calibri" w:eastAsia="Calibri" w:hAnsi="Calibri" w:cs="Calibri"/>
        </w:rPr>
        <w:t xml:space="preserve"> management regimes have failed to adequately provide for Kāi Tahu interests in </w:t>
      </w:r>
      <w:r w:rsidRPr="00472578">
        <w:rPr>
          <w:rFonts w:ascii="Calibri" w:eastAsia="Calibri" w:hAnsi="Calibri" w:cs="Calibri"/>
          <w:i/>
          <w:iCs/>
        </w:rPr>
        <w:t>wāhi tūpuna</w:t>
      </w:r>
      <w:r w:rsidRPr="00472578">
        <w:rPr>
          <w:rFonts w:ascii="Calibri" w:eastAsia="Calibri" w:hAnsi="Calibri" w:cs="Calibri"/>
        </w:rPr>
        <w:t xml:space="preserve">. Attention has been too narrowly focused on the cultural redress components of the </w:t>
      </w:r>
      <w:r w:rsidRPr="00725C9D">
        <w:rPr>
          <w:rFonts w:ascii="Calibri" w:eastAsia="Calibri" w:hAnsi="Calibri" w:cs="Calibri"/>
          <w:strike/>
        </w:rPr>
        <w:t>Ngāi Tahu Claims Settlement Act 1998</w:t>
      </w:r>
      <w:r w:rsidRPr="00472578">
        <w:rPr>
          <w:rFonts w:ascii="Calibri" w:eastAsia="Calibri" w:hAnsi="Calibri" w:cs="Calibri"/>
        </w:rPr>
        <w:t xml:space="preserve"> </w:t>
      </w:r>
      <w:r w:rsidR="00725C9D" w:rsidRPr="00B71CFB">
        <w:rPr>
          <w:rFonts w:ascii="Calibri" w:eastAsia="Calibri" w:hAnsi="Calibri" w:cs="Calibri"/>
          <w:u w:val="single"/>
        </w:rPr>
        <w:t>NTCSA</w:t>
      </w:r>
      <w:r w:rsidR="00B71CFB" w:rsidRPr="009466A9">
        <w:rPr>
          <w:rStyle w:val="FootnoteReference"/>
          <w:rFonts w:ascii="Calibri" w:eastAsia="Calibri" w:hAnsi="Calibri" w:cs="Calibri"/>
        </w:rPr>
        <w:footnoteReference w:id="458"/>
      </w:r>
      <w:r w:rsidR="00B71CFB" w:rsidRPr="009466A9">
        <w:rPr>
          <w:rFonts w:ascii="Calibri" w:eastAsia="Calibri" w:hAnsi="Calibri" w:cs="Calibri"/>
        </w:rPr>
        <w:t xml:space="preserve"> </w:t>
      </w:r>
      <w:r w:rsidRPr="00472578">
        <w:rPr>
          <w:rFonts w:ascii="Calibri" w:eastAsia="Calibri" w:hAnsi="Calibri" w:cs="Calibri"/>
        </w:rPr>
        <w:t xml:space="preserve">(statutory acknowledgements, place names, tōpuni areas and </w:t>
      </w:r>
      <w:r w:rsidRPr="00472578">
        <w:rPr>
          <w:rFonts w:ascii="Calibri" w:eastAsia="Calibri" w:hAnsi="Calibri" w:cs="Calibri"/>
          <w:i/>
          <w:iCs/>
        </w:rPr>
        <w:t>nohoaka</w:t>
      </w:r>
      <w:r w:rsidRPr="00472578">
        <w:rPr>
          <w:rFonts w:ascii="Calibri" w:eastAsia="Calibri" w:hAnsi="Calibri" w:cs="Calibri"/>
        </w:rPr>
        <w:t xml:space="preserve"> sites), whereas </w:t>
      </w:r>
      <w:r w:rsidRPr="00472578">
        <w:rPr>
          <w:rFonts w:ascii="Calibri" w:eastAsia="Calibri" w:hAnsi="Calibri" w:cs="Calibri"/>
          <w:i/>
          <w:iCs/>
        </w:rPr>
        <w:t>wāhi tūpuna</w:t>
      </w:r>
      <w:r w:rsidRPr="00472578">
        <w:rPr>
          <w:rFonts w:ascii="Calibri" w:eastAsia="Calibri" w:hAnsi="Calibri" w:cs="Calibri"/>
        </w:rPr>
        <w:t xml:space="preserve"> are considerably broader than the areas described in the legislation. The values of these areas can be adversely affected by inappropriate </w:t>
      </w:r>
      <w:r w:rsidRPr="00472578">
        <w:rPr>
          <w:rFonts w:ascii="Calibri" w:eastAsia="Calibri" w:hAnsi="Calibri" w:cs="Calibri"/>
          <w:i/>
          <w:iCs/>
        </w:rPr>
        <w:t>land</w:t>
      </w:r>
      <w:r w:rsidRPr="00472578">
        <w:rPr>
          <w:rFonts w:ascii="Calibri" w:eastAsia="Calibri" w:hAnsi="Calibri" w:cs="Calibri"/>
        </w:rPr>
        <w:t xml:space="preserve"> use and development.</w:t>
      </w:r>
    </w:p>
    <w:p w14:paraId="4136333D"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Specific concerns include: </w:t>
      </w:r>
    </w:p>
    <w:p w14:paraId="57587138" w14:textId="77777777" w:rsidR="00B02DBF" w:rsidRPr="00472578" w:rsidRDefault="00B02DBF" w:rsidP="00E92686">
      <w:pPr>
        <w:numPr>
          <w:ilvl w:val="0"/>
          <w:numId w:val="19"/>
        </w:numPr>
        <w:autoSpaceDE w:val="0"/>
        <w:autoSpaceDN w:val="0"/>
        <w:adjustRightInd w:val="0"/>
        <w:spacing w:after="0"/>
        <w:ind w:left="567" w:hanging="567"/>
        <w:jc w:val="both"/>
        <w:rPr>
          <w:rFonts w:ascii="Calibri" w:eastAsia="Calibri" w:hAnsi="Calibri" w:cs="Calibri"/>
        </w:rPr>
      </w:pPr>
      <w:r w:rsidRPr="00472578">
        <w:rPr>
          <w:rFonts w:ascii="Calibri" w:eastAsia="Calibri" w:hAnsi="Calibri" w:cs="Calibri"/>
        </w:rPr>
        <w:t xml:space="preserve">Changes to the recognisable character of </w:t>
      </w:r>
      <w:r w:rsidRPr="00472578">
        <w:rPr>
          <w:rFonts w:ascii="Calibri" w:eastAsia="Calibri" w:hAnsi="Calibri" w:cs="Calibri"/>
          <w:i/>
          <w:iCs/>
        </w:rPr>
        <w:t>wāhi tūpuna</w:t>
      </w:r>
      <w:r w:rsidRPr="00472578">
        <w:rPr>
          <w:rFonts w:ascii="Calibri" w:eastAsia="Calibri" w:hAnsi="Calibri" w:cs="Calibri"/>
        </w:rPr>
        <w:t xml:space="preserve"> resulting from intensified </w:t>
      </w:r>
      <w:r w:rsidRPr="00472578">
        <w:rPr>
          <w:rFonts w:ascii="Calibri" w:eastAsia="Calibri" w:hAnsi="Calibri" w:cs="Calibri"/>
          <w:i/>
          <w:iCs/>
        </w:rPr>
        <w:t>land use</w:t>
      </w:r>
      <w:r w:rsidRPr="00472578">
        <w:rPr>
          <w:rFonts w:ascii="Calibri" w:eastAsia="Calibri" w:hAnsi="Calibri" w:cs="Calibri"/>
        </w:rPr>
        <w:t xml:space="preserve">, spread of exotic wilding trees and other woody weeds, forestry, subdivision, development of </w:t>
      </w:r>
      <w:r w:rsidRPr="00472578">
        <w:rPr>
          <w:rFonts w:ascii="Calibri" w:eastAsia="Calibri" w:hAnsi="Calibri" w:cs="Calibri"/>
          <w:i/>
          <w:iCs/>
        </w:rPr>
        <w:t>buildings</w:t>
      </w:r>
      <w:r w:rsidRPr="00472578">
        <w:rPr>
          <w:rFonts w:ascii="Calibri" w:eastAsia="Calibri" w:hAnsi="Calibri" w:cs="Calibri"/>
        </w:rPr>
        <w:t xml:space="preserve"> and </w:t>
      </w:r>
      <w:r w:rsidRPr="00472578">
        <w:rPr>
          <w:rFonts w:ascii="Calibri" w:eastAsia="Calibri" w:hAnsi="Calibri" w:cs="Calibri"/>
          <w:i/>
          <w:iCs/>
        </w:rPr>
        <w:t>structures</w:t>
      </w:r>
      <w:r w:rsidRPr="00472578">
        <w:rPr>
          <w:rFonts w:ascii="Calibri" w:eastAsia="Calibri" w:hAnsi="Calibri" w:cs="Calibri"/>
        </w:rPr>
        <w:t>.</w:t>
      </w:r>
    </w:p>
    <w:p w14:paraId="76FC44D0" w14:textId="77777777" w:rsidR="00B02DBF" w:rsidRPr="00472578" w:rsidRDefault="00B02DBF" w:rsidP="00E92686">
      <w:pPr>
        <w:numPr>
          <w:ilvl w:val="0"/>
          <w:numId w:val="19"/>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Impacts on the integrity of </w:t>
      </w:r>
      <w:r w:rsidRPr="00472578">
        <w:rPr>
          <w:rFonts w:ascii="Calibri" w:eastAsia="Calibri" w:hAnsi="Calibri" w:cs="Calibri"/>
          <w:i/>
          <w:iCs/>
        </w:rPr>
        <w:t>wāhi tūpuna</w:t>
      </w:r>
      <w:r w:rsidRPr="00472578">
        <w:rPr>
          <w:rFonts w:ascii="Calibri" w:eastAsia="Calibri" w:hAnsi="Calibri" w:cs="Calibri"/>
        </w:rPr>
        <w:t xml:space="preserve"> from extension and maintenance of </w:t>
      </w:r>
      <w:r w:rsidRPr="00472578">
        <w:rPr>
          <w:rFonts w:ascii="Calibri" w:eastAsia="Calibri" w:hAnsi="Calibri" w:cs="Calibri"/>
          <w:i/>
          <w:iCs/>
        </w:rPr>
        <w:t>infrastructure</w:t>
      </w:r>
      <w:r w:rsidRPr="00472578">
        <w:rPr>
          <w:rFonts w:ascii="Calibri" w:eastAsia="Calibri" w:hAnsi="Calibri" w:cs="Calibri"/>
        </w:rPr>
        <w:t xml:space="preserve"> such as transport, </w:t>
      </w:r>
      <w:proofErr w:type="gramStart"/>
      <w:r w:rsidRPr="00472578" w:rsidDel="009903D6">
        <w:rPr>
          <w:rFonts w:ascii="Calibri" w:eastAsia="Calibri" w:hAnsi="Calibri" w:cs="Calibri"/>
        </w:rPr>
        <w:t>telecommunications</w:t>
      </w:r>
      <w:proofErr w:type="gramEnd"/>
      <w:r w:rsidRPr="00472578">
        <w:rPr>
          <w:rFonts w:ascii="Calibri" w:eastAsia="Calibri" w:hAnsi="Calibri" w:cs="Calibri"/>
        </w:rPr>
        <w:t xml:space="preserve"> and other utility networks. </w:t>
      </w:r>
    </w:p>
    <w:p w14:paraId="46E8C6BD" w14:textId="77777777" w:rsidR="00B02DBF" w:rsidRPr="00472578" w:rsidRDefault="00B02DBF" w:rsidP="00E92686">
      <w:pPr>
        <w:numPr>
          <w:ilvl w:val="0"/>
          <w:numId w:val="19"/>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Modification of landforms by </w:t>
      </w:r>
      <w:r w:rsidRPr="00472578">
        <w:rPr>
          <w:rFonts w:ascii="Calibri" w:eastAsia="Calibri" w:hAnsi="Calibri" w:cs="Calibri"/>
          <w:i/>
          <w:iCs/>
        </w:rPr>
        <w:t>earthworks</w:t>
      </w:r>
      <w:r w:rsidRPr="00472578">
        <w:rPr>
          <w:rFonts w:ascii="Calibri" w:eastAsia="Calibri" w:hAnsi="Calibri" w:cs="Calibri"/>
        </w:rPr>
        <w:t xml:space="preserve">, particularly on ridgelines and upper slopes and near waterways. </w:t>
      </w:r>
    </w:p>
    <w:p w14:paraId="6B1D1F24" w14:textId="77777777" w:rsidR="00B02DBF" w:rsidRPr="00472578" w:rsidRDefault="00B02DBF" w:rsidP="00E92686">
      <w:pPr>
        <w:numPr>
          <w:ilvl w:val="0"/>
          <w:numId w:val="19"/>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Impacts on wāhi tapu and archaeological sites from </w:t>
      </w:r>
      <w:r w:rsidRPr="00472578">
        <w:rPr>
          <w:rFonts w:ascii="Calibri" w:eastAsia="Calibri" w:hAnsi="Calibri" w:cs="Calibri"/>
          <w:i/>
          <w:iCs/>
        </w:rPr>
        <w:t>earthworks</w:t>
      </w:r>
      <w:r w:rsidRPr="00472578">
        <w:rPr>
          <w:rFonts w:ascii="Calibri" w:eastAsia="Calibri" w:hAnsi="Calibri" w:cs="Calibri"/>
        </w:rPr>
        <w:t xml:space="preserve">. </w:t>
      </w:r>
    </w:p>
    <w:p w14:paraId="5740AA27" w14:textId="77777777" w:rsidR="00B02DBF" w:rsidRPr="00472578" w:rsidRDefault="00B02DBF" w:rsidP="00E92686">
      <w:pPr>
        <w:numPr>
          <w:ilvl w:val="0"/>
          <w:numId w:val="19"/>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Sedimentation of </w:t>
      </w:r>
      <w:r w:rsidRPr="00472578">
        <w:rPr>
          <w:rFonts w:ascii="Calibri" w:eastAsia="Calibri" w:hAnsi="Calibri" w:cs="Calibri"/>
          <w:i/>
          <w:iCs/>
        </w:rPr>
        <w:t>water bodies</w:t>
      </w:r>
      <w:r w:rsidRPr="00472578">
        <w:rPr>
          <w:rFonts w:ascii="Calibri" w:eastAsia="Calibri" w:hAnsi="Calibri" w:cs="Calibri"/>
        </w:rPr>
        <w:t xml:space="preserve"> within </w:t>
      </w:r>
      <w:r w:rsidRPr="00472578">
        <w:rPr>
          <w:rFonts w:ascii="Calibri" w:eastAsia="Calibri" w:hAnsi="Calibri" w:cs="Calibri"/>
          <w:i/>
          <w:iCs/>
        </w:rPr>
        <w:t>wāhi tupuna</w:t>
      </w:r>
      <w:r w:rsidRPr="00472578">
        <w:rPr>
          <w:rFonts w:ascii="Calibri" w:eastAsia="Calibri" w:hAnsi="Calibri" w:cs="Calibri"/>
        </w:rPr>
        <w:t xml:space="preserve"> from </w:t>
      </w:r>
      <w:r w:rsidRPr="00472578">
        <w:rPr>
          <w:rFonts w:ascii="Calibri" w:eastAsia="Calibri" w:hAnsi="Calibri" w:cs="Calibri"/>
          <w:i/>
          <w:iCs/>
        </w:rPr>
        <w:t>earthworks.</w:t>
      </w:r>
    </w:p>
    <w:p w14:paraId="66CC8098" w14:textId="77777777" w:rsidR="00B02DBF" w:rsidRPr="00472578" w:rsidRDefault="00B02DBF" w:rsidP="00E92686">
      <w:pPr>
        <w:numPr>
          <w:ilvl w:val="0"/>
          <w:numId w:val="19"/>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 xml:space="preserve">Poor land management and inappropriate </w:t>
      </w:r>
      <w:r w:rsidRPr="00472578">
        <w:rPr>
          <w:rFonts w:ascii="Calibri" w:eastAsia="Calibri" w:hAnsi="Calibri" w:cs="Calibri"/>
          <w:i/>
          <w:iCs/>
        </w:rPr>
        <w:t>land use</w:t>
      </w:r>
      <w:r w:rsidRPr="00472578">
        <w:rPr>
          <w:rFonts w:ascii="Calibri" w:eastAsia="Calibri" w:hAnsi="Calibri" w:cs="Calibri"/>
        </w:rPr>
        <w:t xml:space="preserve"> degrades the whenua itself. </w:t>
      </w:r>
    </w:p>
    <w:p w14:paraId="4E6E2CAC" w14:textId="77777777" w:rsidR="00B02DBF" w:rsidRPr="00472578" w:rsidRDefault="00B02DBF" w:rsidP="00E92686">
      <w:pPr>
        <w:numPr>
          <w:ilvl w:val="0"/>
          <w:numId w:val="19"/>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Failure to recognise Kāi Tahu connections to the land through use of traditional names for landscape features and sites.</w:t>
      </w:r>
    </w:p>
    <w:p w14:paraId="73B49A13" w14:textId="7059D4F2" w:rsidR="00B02DBF" w:rsidRPr="00472578" w:rsidRDefault="00B02DBF" w:rsidP="00E92686">
      <w:pPr>
        <w:pStyle w:val="Heading3"/>
        <w:jc w:val="both"/>
        <w:rPr>
          <w:rFonts w:eastAsiaTheme="minorHAnsi"/>
        </w:rPr>
      </w:pPr>
      <w:bookmarkStart w:id="77" w:name="_Hlk72401879"/>
      <w:r w:rsidRPr="00472578">
        <w:t>RMIA</w:t>
      </w:r>
      <w:r w:rsidR="00B208D6" w:rsidRPr="00472578">
        <w:t>-</w:t>
      </w:r>
      <w:r w:rsidRPr="00472578">
        <w:t xml:space="preserve">WTA – Wāhi tapu </w:t>
      </w:r>
      <w:bookmarkStart w:id="78" w:name="_Hlk72401768"/>
      <w:r w:rsidRPr="00472578">
        <w:t>and w</w:t>
      </w:r>
      <w:r w:rsidRPr="00472578">
        <w:rPr>
          <w:rFonts w:cstheme="minorHAnsi"/>
        </w:rPr>
        <w:t>ā</w:t>
      </w:r>
      <w:r w:rsidRPr="00472578">
        <w:t>hi taoka</w:t>
      </w:r>
      <w:bookmarkEnd w:id="78"/>
    </w:p>
    <w:p w14:paraId="7287B1B4" w14:textId="77777777" w:rsidR="00B02DBF" w:rsidRPr="00472578" w:rsidRDefault="00B02DBF" w:rsidP="00E92686">
      <w:pPr>
        <w:pStyle w:val="Heading4"/>
        <w:jc w:val="both"/>
        <w:rPr>
          <w:rFonts w:eastAsia="National-Book"/>
        </w:rPr>
      </w:pPr>
      <w:r w:rsidRPr="00472578">
        <w:rPr>
          <w:rFonts w:eastAsia="National-Book"/>
        </w:rPr>
        <w:t>Context</w:t>
      </w:r>
    </w:p>
    <w:p w14:paraId="5AB92852"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Tribal land was not just the source of economic well-being. For Māori it was also the burial ground of the placenta and of the bones of ancestors, the abode of tribal atua and a storybook through place names and traditions. This is reflected in </w:t>
      </w:r>
      <w:r w:rsidRPr="00472578">
        <w:rPr>
          <w:rFonts w:cs="Calibri"/>
          <w:iCs/>
          <w:strike/>
        </w:rPr>
        <w:t>Te Reo</w:t>
      </w:r>
      <w:r w:rsidRPr="00472578">
        <w:rPr>
          <w:rFonts w:cs="Calibri"/>
          <w:iCs/>
        </w:rPr>
        <w:t xml:space="preserve"> </w:t>
      </w:r>
      <w:r w:rsidRPr="00472578">
        <w:rPr>
          <w:rFonts w:cs="Calibri"/>
          <w:iCs/>
          <w:u w:val="single"/>
        </w:rPr>
        <w:t>te reo</w:t>
      </w:r>
      <w:r w:rsidRPr="00472578">
        <w:rPr>
          <w:rStyle w:val="FootnoteReference"/>
          <w:rFonts w:cs="Calibri"/>
          <w:iCs/>
        </w:rPr>
        <w:footnoteReference w:id="459"/>
      </w:r>
      <w:r w:rsidRPr="00472578">
        <w:rPr>
          <w:rFonts w:ascii="Calibri" w:eastAsia="Calibri" w:hAnsi="Calibri" w:cs="Calibri"/>
        </w:rPr>
        <w:t xml:space="preserve"> Māori, as the word ‘whenua’ means both ‘placenta’ and ‘land’. Ancestral lands were therefore regarded with deep veneration. For Kāi Tahu, </w:t>
      </w:r>
      <w:r w:rsidRPr="00472578">
        <w:rPr>
          <w:rFonts w:cs="Calibri"/>
          <w:iCs/>
          <w:u w:val="single"/>
        </w:rPr>
        <w:t xml:space="preserve">the terms </w:t>
      </w:r>
      <w:r w:rsidRPr="00472578">
        <w:rPr>
          <w:rFonts w:cs="Calibri"/>
          <w:iCs/>
        </w:rPr>
        <w:t>wāhi tapu and wāhi taoka refer</w:t>
      </w:r>
      <w:r w:rsidRPr="00472578">
        <w:rPr>
          <w:rFonts w:cs="Calibri"/>
          <w:iCs/>
          <w:strike/>
        </w:rPr>
        <w:t>s</w:t>
      </w:r>
      <w:r w:rsidRPr="00472578">
        <w:rPr>
          <w:rFonts w:cs="Calibri"/>
          <w:iCs/>
        </w:rPr>
        <w:t xml:space="preserve"> to places </w:t>
      </w:r>
      <w:r w:rsidRPr="00472578">
        <w:rPr>
          <w:rFonts w:cs="Calibri"/>
          <w:iCs/>
          <w:u w:val="single"/>
        </w:rPr>
        <w:t xml:space="preserve">with elevated mana and tapu due to their close association with atua </w:t>
      </w:r>
      <w:r w:rsidRPr="00472578">
        <w:rPr>
          <w:rFonts w:cs="Calibri"/>
          <w:iCs/>
          <w:u w:val="single"/>
        </w:rPr>
        <w:lastRenderedPageBreak/>
        <w:t xml:space="preserve">and tūpuna. For example: </w:t>
      </w:r>
      <w:r w:rsidRPr="00472578">
        <w:rPr>
          <w:rFonts w:cs="Calibri"/>
          <w:iCs/>
          <w:strike/>
        </w:rPr>
        <w:t>that hold the respect of the people in accordance with tikaka or history including</w:t>
      </w:r>
      <w:r w:rsidRPr="00472578">
        <w:rPr>
          <w:rFonts w:ascii="Calibri" w:eastAsia="Calibri" w:hAnsi="Calibri" w:cs="Calibri"/>
        </w:rPr>
        <w:t>:</w:t>
      </w:r>
      <w:r w:rsidRPr="00472578">
        <w:rPr>
          <w:rStyle w:val="FootnoteReference"/>
          <w:rFonts w:ascii="Calibri" w:eastAsia="Calibri" w:hAnsi="Calibri" w:cs="Calibri"/>
        </w:rPr>
        <w:footnoteReference w:id="460"/>
      </w:r>
    </w:p>
    <w:p w14:paraId="0C4CBB37" w14:textId="77777777" w:rsidR="00B02DBF" w:rsidRPr="00472578" w:rsidRDefault="00B02DBF" w:rsidP="00E92686">
      <w:pPr>
        <w:numPr>
          <w:ilvl w:val="0"/>
          <w:numId w:val="7"/>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Mauka (mountains)</w:t>
      </w:r>
    </w:p>
    <w:p w14:paraId="76B6F642" w14:textId="77777777" w:rsidR="00B02DBF" w:rsidRPr="00472578" w:rsidRDefault="00B02DBF" w:rsidP="00E92686">
      <w:pPr>
        <w:numPr>
          <w:ilvl w:val="0"/>
          <w:numId w:val="7"/>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Urupā (burial places)</w:t>
      </w:r>
    </w:p>
    <w:p w14:paraId="6412348A" w14:textId="77777777" w:rsidR="00B02DBF" w:rsidRPr="00472578" w:rsidRDefault="00B02DBF" w:rsidP="00E92686">
      <w:pPr>
        <w:numPr>
          <w:ilvl w:val="0"/>
          <w:numId w:val="7"/>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Tuhituhi neherā (rock art)</w:t>
      </w:r>
    </w:p>
    <w:p w14:paraId="297687FF" w14:textId="77777777" w:rsidR="00B02DBF" w:rsidRPr="00472578" w:rsidRDefault="00B02DBF" w:rsidP="00E92686">
      <w:pPr>
        <w:numPr>
          <w:ilvl w:val="0"/>
          <w:numId w:val="7"/>
        </w:numPr>
        <w:autoSpaceDE w:val="0"/>
        <w:autoSpaceDN w:val="0"/>
        <w:adjustRightInd w:val="0"/>
        <w:ind w:left="567" w:hanging="567"/>
        <w:contextualSpacing/>
        <w:jc w:val="both"/>
        <w:rPr>
          <w:rFonts w:ascii="Calibri" w:eastAsia="Calibri" w:hAnsi="Calibri" w:cs="Calibri"/>
        </w:rPr>
      </w:pPr>
      <w:r w:rsidRPr="00472578">
        <w:rPr>
          <w:rFonts w:ascii="Calibri" w:eastAsia="Calibri" w:hAnsi="Calibri" w:cs="Calibri"/>
        </w:rPr>
        <w:t>Umu (ovens)</w:t>
      </w:r>
    </w:p>
    <w:p w14:paraId="434C10C3" w14:textId="77777777" w:rsidR="00B02DBF" w:rsidRPr="00472578" w:rsidRDefault="00B02DBF" w:rsidP="00E92686">
      <w:pPr>
        <w:numPr>
          <w:ilvl w:val="0"/>
          <w:numId w:val="7"/>
        </w:numPr>
        <w:autoSpaceDE w:val="0"/>
        <w:autoSpaceDN w:val="0"/>
        <w:adjustRightInd w:val="0"/>
        <w:ind w:left="567" w:hanging="567"/>
        <w:jc w:val="both"/>
        <w:rPr>
          <w:rFonts w:ascii="Calibri" w:eastAsia="Calibri" w:hAnsi="Calibri" w:cs="Calibri"/>
        </w:rPr>
      </w:pPr>
      <w:r w:rsidRPr="00472578">
        <w:rPr>
          <w:rFonts w:ascii="Calibri" w:eastAsia="Calibri" w:hAnsi="Calibri" w:cs="Calibri"/>
          <w:i/>
          <w:iCs/>
        </w:rPr>
        <w:t>Nohoaka</w:t>
      </w:r>
      <w:r w:rsidRPr="00472578">
        <w:rPr>
          <w:rFonts w:ascii="Calibri" w:eastAsia="Calibri" w:hAnsi="Calibri" w:cs="Calibri"/>
        </w:rPr>
        <w:t xml:space="preserve"> (seasonal camp sites)</w:t>
      </w:r>
    </w:p>
    <w:p w14:paraId="582BDB7C" w14:textId="00F20F06" w:rsidR="00B02DBF" w:rsidRPr="00472578" w:rsidRDefault="00B02DBF" w:rsidP="00E92686">
      <w:pPr>
        <w:pStyle w:val="Heading4"/>
        <w:jc w:val="both"/>
        <w:rPr>
          <w:rFonts w:eastAsia="National-Book"/>
        </w:rPr>
      </w:pPr>
      <w:r w:rsidRPr="00472578">
        <w:rPr>
          <w:rFonts w:eastAsia="National-Book"/>
        </w:rPr>
        <w:t>RMIA</w:t>
      </w:r>
      <w:r w:rsidR="00B208D6" w:rsidRPr="00472578">
        <w:t>-WTA-</w:t>
      </w:r>
      <w:r w:rsidRPr="00472578">
        <w:rPr>
          <w:rFonts w:eastAsia="National-Book"/>
        </w:rPr>
        <w:t xml:space="preserve">I1 – </w:t>
      </w:r>
      <w:r w:rsidRPr="00472578">
        <w:rPr>
          <w:rFonts w:eastAsia="National-Book"/>
          <w:i/>
        </w:rPr>
        <w:t>Land use</w:t>
      </w:r>
      <w:r w:rsidRPr="00472578">
        <w:rPr>
          <w:rFonts w:eastAsia="National-Book"/>
        </w:rPr>
        <w:t xml:space="preserve"> activities have resulted in disturbance and degradation of wāhi tapu and w</w:t>
      </w:r>
      <w:r w:rsidRPr="00472578">
        <w:rPr>
          <w:rFonts w:ascii="Calibri" w:eastAsia="Calibri" w:hAnsi="Calibri" w:cs="Calibri"/>
        </w:rPr>
        <w:t xml:space="preserve">āhi taoka </w:t>
      </w:r>
      <w:r w:rsidRPr="00472578">
        <w:rPr>
          <w:rFonts w:eastAsia="National-Book"/>
        </w:rPr>
        <w:t>sites and the cultural and spiritual values associated with these areas</w:t>
      </w:r>
    </w:p>
    <w:p w14:paraId="25900B4D" w14:textId="77777777" w:rsidR="00B02DBF" w:rsidRPr="00472578" w:rsidRDefault="00B02DBF" w:rsidP="00E92686">
      <w:pPr>
        <w:pStyle w:val="JustifiedSpacing"/>
      </w:pPr>
      <w:r w:rsidRPr="00472578">
        <w:t xml:space="preserve">Wāhi tapu </w:t>
      </w:r>
      <w:r w:rsidRPr="00472578">
        <w:rPr>
          <w:rFonts w:eastAsia="Calibri"/>
        </w:rPr>
        <w:t xml:space="preserve">and wāhi taoka </w:t>
      </w:r>
      <w:r w:rsidRPr="00472578">
        <w:t xml:space="preserve">sites are vulnerable to disturbance or destruction from the direct </w:t>
      </w:r>
      <w:r w:rsidRPr="00472578">
        <w:rPr>
          <w:i/>
          <w:iCs/>
        </w:rPr>
        <w:t>effects</w:t>
      </w:r>
      <w:r w:rsidRPr="00472578">
        <w:t xml:space="preserve"> of resource </w:t>
      </w:r>
      <w:r w:rsidRPr="00472578">
        <w:rPr>
          <w:i/>
          <w:iCs/>
        </w:rPr>
        <w:t>use</w:t>
      </w:r>
      <w:r w:rsidRPr="00472578">
        <w:t xml:space="preserve"> and development. This is through activities that require </w:t>
      </w:r>
      <w:r w:rsidRPr="00472578">
        <w:rPr>
          <w:i/>
          <w:iCs/>
        </w:rPr>
        <w:t>earthworks</w:t>
      </w:r>
      <w:r w:rsidRPr="00472578">
        <w:t xml:space="preserve"> as well as from natural or human-induced changes to biophysical processes such as coastal erosion. Wāhi tapu </w:t>
      </w:r>
      <w:r w:rsidRPr="00472578">
        <w:rPr>
          <w:rFonts w:eastAsia="Calibri"/>
        </w:rPr>
        <w:t xml:space="preserve">and wāhi taoka </w:t>
      </w:r>
      <w:r w:rsidRPr="00472578">
        <w:t xml:space="preserve">values can also be adversely affected by the encroachment of culturally offensive activities </w:t>
      </w:r>
      <w:proofErr w:type="gramStart"/>
      <w:r w:rsidRPr="00472578">
        <w:t>e.g.</w:t>
      </w:r>
      <w:proofErr w:type="gramEnd"/>
      <w:r w:rsidRPr="00472578">
        <w:t xml:space="preserve"> it is inappropriate to have a </w:t>
      </w:r>
      <w:r w:rsidRPr="00472578">
        <w:rPr>
          <w:i/>
          <w:iCs/>
        </w:rPr>
        <w:t>wastewater</w:t>
      </w:r>
      <w:r w:rsidRPr="00472578">
        <w:t xml:space="preserve"> treatment plant at or near a wāhi tapu or </w:t>
      </w:r>
      <w:r w:rsidRPr="00472578">
        <w:rPr>
          <w:rFonts w:eastAsia="Calibri"/>
        </w:rPr>
        <w:t>wāhi taoka</w:t>
      </w:r>
      <w:r w:rsidRPr="00472578">
        <w:t xml:space="preserve">. </w:t>
      </w:r>
    </w:p>
    <w:p w14:paraId="220E47FD" w14:textId="77777777" w:rsidR="00B02DBF" w:rsidRPr="00472578" w:rsidRDefault="00B02DBF" w:rsidP="00E92686">
      <w:pPr>
        <w:pStyle w:val="JustifiedSpacing"/>
      </w:pPr>
      <w:r w:rsidRPr="00472578">
        <w:t xml:space="preserve">Specific concerns include: </w:t>
      </w:r>
    </w:p>
    <w:p w14:paraId="18EC8589" w14:textId="77777777" w:rsidR="00B02DBF" w:rsidRPr="00472578" w:rsidRDefault="00B02DBF" w:rsidP="00E92686">
      <w:pPr>
        <w:pStyle w:val="JustifiedSpacing"/>
        <w:numPr>
          <w:ilvl w:val="0"/>
          <w:numId w:val="18"/>
        </w:numPr>
        <w:ind w:left="567" w:hanging="567"/>
        <w:contextualSpacing/>
      </w:pPr>
      <w:r w:rsidRPr="00472578">
        <w:t xml:space="preserve">Disturbance, </w:t>
      </w:r>
      <w:proofErr w:type="gramStart"/>
      <w:r w:rsidRPr="00472578">
        <w:t>modification</w:t>
      </w:r>
      <w:proofErr w:type="gramEnd"/>
      <w:r w:rsidRPr="00472578">
        <w:t xml:space="preserve"> or destruction of wāhi tapu or </w:t>
      </w:r>
      <w:bookmarkStart w:id="79" w:name="_Hlk72402730"/>
      <w:r w:rsidRPr="00472578">
        <w:rPr>
          <w:rFonts w:eastAsia="Calibri"/>
        </w:rPr>
        <w:t xml:space="preserve">wāhi taoka </w:t>
      </w:r>
      <w:bookmarkEnd w:id="79"/>
      <w:r w:rsidRPr="00472578">
        <w:t xml:space="preserve">by </w:t>
      </w:r>
      <w:r w:rsidRPr="00472578">
        <w:rPr>
          <w:i/>
          <w:iCs/>
        </w:rPr>
        <w:t>earthworks</w:t>
      </w:r>
      <w:r w:rsidRPr="00472578">
        <w:t>.</w:t>
      </w:r>
    </w:p>
    <w:p w14:paraId="44CB9D54" w14:textId="77777777" w:rsidR="00B02DBF" w:rsidRPr="00472578" w:rsidRDefault="00B02DBF" w:rsidP="00E92686">
      <w:pPr>
        <w:pStyle w:val="JustifiedSpacing"/>
        <w:numPr>
          <w:ilvl w:val="0"/>
          <w:numId w:val="18"/>
        </w:numPr>
        <w:ind w:left="567" w:hanging="567"/>
        <w:contextualSpacing/>
      </w:pPr>
      <w:r w:rsidRPr="00472578">
        <w:t xml:space="preserve">Degradation of the cultural value and integrity of wāhi tapu or </w:t>
      </w:r>
      <w:r w:rsidRPr="00472578">
        <w:rPr>
          <w:rFonts w:eastAsia="Calibri"/>
        </w:rPr>
        <w:t xml:space="preserve">wāhi taoka </w:t>
      </w:r>
      <w:r w:rsidRPr="00472578">
        <w:t xml:space="preserve">through contamination by </w:t>
      </w:r>
      <w:r w:rsidRPr="00472578">
        <w:rPr>
          <w:i/>
          <w:iCs/>
        </w:rPr>
        <w:t>discharges</w:t>
      </w:r>
      <w:r w:rsidRPr="00472578">
        <w:t xml:space="preserve">, inappropriate development, and culturally inappropriate activities such as mining/quarrying, </w:t>
      </w:r>
      <w:proofErr w:type="gramStart"/>
      <w:r w:rsidRPr="00472578">
        <w:rPr>
          <w:i/>
          <w:iCs/>
        </w:rPr>
        <w:t>landfills</w:t>
      </w:r>
      <w:proofErr w:type="gramEnd"/>
      <w:r w:rsidRPr="00472578">
        <w:t xml:space="preserve"> or </w:t>
      </w:r>
      <w:r w:rsidRPr="00472578">
        <w:rPr>
          <w:i/>
          <w:iCs/>
        </w:rPr>
        <w:t>wastewater</w:t>
      </w:r>
      <w:r w:rsidRPr="00472578">
        <w:t xml:space="preserve"> disposal.</w:t>
      </w:r>
    </w:p>
    <w:p w14:paraId="525F8112" w14:textId="77777777" w:rsidR="00B02DBF" w:rsidRPr="00472578" w:rsidRDefault="00B02DBF" w:rsidP="00E92686">
      <w:pPr>
        <w:pStyle w:val="JustifiedSpacing"/>
        <w:numPr>
          <w:ilvl w:val="0"/>
          <w:numId w:val="18"/>
        </w:numPr>
        <w:ind w:left="567" w:hanging="567"/>
        <w:contextualSpacing/>
      </w:pPr>
      <w:r w:rsidRPr="00472578">
        <w:t>The resurfacing of kōiwi takata (human remains) through natural and human-induced processes</w:t>
      </w:r>
      <w:r w:rsidRPr="00472578">
        <w:rPr>
          <w:iCs/>
          <w:u w:val="single"/>
        </w:rPr>
        <w:t>, such as climate change,</w:t>
      </w:r>
      <w:r w:rsidRPr="00472578">
        <w:rPr>
          <w:rStyle w:val="FootnoteReference"/>
          <w:iCs/>
        </w:rPr>
        <w:footnoteReference w:id="461"/>
      </w:r>
      <w:r w:rsidRPr="00472578">
        <w:t xml:space="preserve"> and ensuring that these are kept safe and returned to Kāi Tahu so that they can be reinterred in accordance with tikaka.</w:t>
      </w:r>
    </w:p>
    <w:p w14:paraId="34E77C69" w14:textId="77777777" w:rsidR="00B02DBF" w:rsidRPr="00472578" w:rsidRDefault="00B02DBF" w:rsidP="00E92686">
      <w:pPr>
        <w:pStyle w:val="JustifiedSpacing"/>
        <w:numPr>
          <w:ilvl w:val="0"/>
          <w:numId w:val="18"/>
        </w:numPr>
        <w:ind w:left="567" w:hanging="567"/>
        <w:contextualSpacing/>
      </w:pPr>
      <w:r w:rsidRPr="00472578">
        <w:t xml:space="preserve">Ineffective management of </w:t>
      </w:r>
      <w:r w:rsidRPr="00472578">
        <w:rPr>
          <w:i/>
          <w:iCs/>
        </w:rPr>
        <w:t>effects</w:t>
      </w:r>
      <w:r w:rsidRPr="00472578">
        <w:t xml:space="preserve"> due to inappropriate and inaccurate recording of wāhi tapu and </w:t>
      </w:r>
      <w:r w:rsidRPr="00472578">
        <w:rPr>
          <w:rFonts w:eastAsia="Calibri"/>
        </w:rPr>
        <w:t>wāhi taoka</w:t>
      </w:r>
      <w:r w:rsidRPr="00472578">
        <w:t xml:space="preserve">, and misinterpretation of the status and importance of sites. </w:t>
      </w:r>
    </w:p>
    <w:p w14:paraId="2F9C9F10" w14:textId="199F672E" w:rsidR="00B02DBF" w:rsidRPr="00472578" w:rsidRDefault="00B02DBF" w:rsidP="00E92686">
      <w:pPr>
        <w:pStyle w:val="Heading4"/>
        <w:jc w:val="both"/>
        <w:rPr>
          <w:rFonts w:eastAsia="National-Book"/>
        </w:rPr>
      </w:pPr>
      <w:r w:rsidRPr="00472578">
        <w:rPr>
          <w:rFonts w:eastAsia="National-Book"/>
        </w:rPr>
        <w:t>RMIA</w:t>
      </w:r>
      <w:r w:rsidR="00B208D6" w:rsidRPr="00472578">
        <w:t>-WTA-</w:t>
      </w:r>
      <w:r w:rsidRPr="00472578">
        <w:rPr>
          <w:rFonts w:eastAsia="National-Book"/>
        </w:rPr>
        <w:t xml:space="preserve">I2 – Access to wāhi tapu and </w:t>
      </w:r>
      <w:r w:rsidRPr="00472578">
        <w:rPr>
          <w:rFonts w:ascii="Calibri" w:eastAsia="Calibri" w:hAnsi="Calibri" w:cs="Calibri"/>
        </w:rPr>
        <w:t xml:space="preserve">wāhi taoka </w:t>
      </w:r>
      <w:r w:rsidRPr="00472578">
        <w:rPr>
          <w:rFonts w:eastAsia="National-Book"/>
        </w:rPr>
        <w:t xml:space="preserve">and the ability to undertake </w:t>
      </w:r>
      <w:r w:rsidRPr="00472578">
        <w:rPr>
          <w:rFonts w:eastAsia="National-Book"/>
          <w:iCs w:val="0"/>
        </w:rPr>
        <w:t>customary</w:t>
      </w:r>
      <w:r w:rsidRPr="00472578">
        <w:rPr>
          <w:rFonts w:eastAsia="National-Book"/>
        </w:rPr>
        <w:t xml:space="preserve"> activities on these sites has been impeded</w:t>
      </w:r>
    </w:p>
    <w:p w14:paraId="268EF744" w14:textId="3EC482EA" w:rsidR="00B02DBF" w:rsidRPr="00472578" w:rsidRDefault="00B02DBF" w:rsidP="00E92686">
      <w:pPr>
        <w:pStyle w:val="JustifiedSpacing"/>
      </w:pPr>
      <w:r w:rsidRPr="00472578">
        <w:t xml:space="preserve">Access to culturally important sites has been impeded in many ways, affecting the ability of </w:t>
      </w:r>
      <w:r w:rsidRPr="00472578">
        <w:rPr>
          <w:i/>
          <w:iCs/>
        </w:rPr>
        <w:t>mana whenua</w:t>
      </w:r>
      <w:r w:rsidRPr="00472578">
        <w:t xml:space="preserve"> to carry out customary activities. Many sites are privately owned and cannot be accessed. Some sites no longer exist, or the customary activities associated cannot be undertaken – for example, </w:t>
      </w:r>
      <w:r w:rsidRPr="00472578">
        <w:rPr>
          <w:i/>
          <w:iCs/>
        </w:rPr>
        <w:t>nohoaka</w:t>
      </w:r>
      <w:r w:rsidRPr="00472578">
        <w:t xml:space="preserve"> sites associated with </w:t>
      </w:r>
      <w:r w:rsidR="004D477C" w:rsidRPr="009C237D">
        <w:rPr>
          <w:strike/>
        </w:rPr>
        <w:t>mahika kai</w:t>
      </w:r>
      <w:r w:rsidR="004D477C" w:rsidRPr="00472578">
        <w:t xml:space="preserve"> </w:t>
      </w:r>
      <w:r w:rsidR="004D477C" w:rsidRPr="00EC7E15">
        <w:rPr>
          <w:i/>
          <w:iCs/>
          <w:u w:val="single"/>
        </w:rPr>
        <w:t>mahika kai</w:t>
      </w:r>
      <w:r w:rsidR="004D477C">
        <w:rPr>
          <w:rStyle w:val="FootnoteReference"/>
        </w:rPr>
        <w:footnoteReference w:id="462"/>
      </w:r>
      <w:r w:rsidRPr="00472578">
        <w:t xml:space="preserve"> gathering cannot be used if the </w:t>
      </w:r>
      <w:r w:rsidR="004D477C" w:rsidRPr="009C237D">
        <w:rPr>
          <w:strike/>
        </w:rPr>
        <w:t>mahika kai</w:t>
      </w:r>
      <w:r w:rsidR="004D477C" w:rsidRPr="00472578">
        <w:t xml:space="preserve"> </w:t>
      </w:r>
      <w:r w:rsidR="004D477C" w:rsidRPr="00EC7E15">
        <w:rPr>
          <w:i/>
          <w:iCs/>
          <w:u w:val="single"/>
        </w:rPr>
        <w:t>mahika kai</w:t>
      </w:r>
      <w:r w:rsidR="004D477C">
        <w:rPr>
          <w:rStyle w:val="FootnoteReference"/>
        </w:rPr>
        <w:footnoteReference w:id="463"/>
      </w:r>
      <w:r w:rsidRPr="00472578">
        <w:t xml:space="preserve"> is no longer there. </w:t>
      </w:r>
    </w:p>
    <w:p w14:paraId="55B0A5FF" w14:textId="6FDF45AF" w:rsidR="00B02DBF" w:rsidRPr="00472578" w:rsidRDefault="00B02DBF" w:rsidP="00E92686">
      <w:pPr>
        <w:pStyle w:val="JustifiedSpacing"/>
        <w:rPr>
          <w:rFonts w:eastAsia="National-Book"/>
        </w:rPr>
      </w:pPr>
      <w:r w:rsidRPr="00472578">
        <w:t xml:space="preserve">A limited number of </w:t>
      </w:r>
      <w:r w:rsidRPr="00472578">
        <w:rPr>
          <w:i/>
          <w:iCs/>
        </w:rPr>
        <w:t>nohoaka</w:t>
      </w:r>
      <w:r w:rsidRPr="00472578">
        <w:t xml:space="preserve"> sites were granted to Kāi Tahu through the </w:t>
      </w:r>
      <w:r w:rsidRPr="00922E34">
        <w:rPr>
          <w:strike/>
        </w:rPr>
        <w:t>Ngāi Tahu Claims Settlement Act 1998</w:t>
      </w:r>
      <w:r w:rsidRPr="00472578">
        <w:t xml:space="preserve"> </w:t>
      </w:r>
      <w:r w:rsidR="00922E34" w:rsidRPr="00355304">
        <w:rPr>
          <w:u w:val="single"/>
        </w:rPr>
        <w:t>NTCSA</w:t>
      </w:r>
      <w:r w:rsidR="00CE7CF9">
        <w:rPr>
          <w:rStyle w:val="FootnoteReference"/>
        </w:rPr>
        <w:footnoteReference w:id="464"/>
      </w:r>
      <w:r w:rsidR="00CE7CF9">
        <w:t xml:space="preserve"> </w:t>
      </w:r>
      <w:r w:rsidRPr="00472578">
        <w:t xml:space="preserve">as redress for loss of traditional sites. Some of these were traditional sites, but others were in new locations. Some </w:t>
      </w:r>
      <w:r w:rsidRPr="00472578">
        <w:rPr>
          <w:i/>
          <w:iCs/>
        </w:rPr>
        <w:t>nohoaka</w:t>
      </w:r>
      <w:r w:rsidRPr="00472578">
        <w:t xml:space="preserve"> have also become dissociated from their customary use due to </w:t>
      </w:r>
      <w:r w:rsidRPr="00472578">
        <w:rPr>
          <w:i/>
          <w:iCs/>
        </w:rPr>
        <w:lastRenderedPageBreak/>
        <w:t>land</w:t>
      </w:r>
      <w:r w:rsidRPr="00472578">
        <w:t xml:space="preserve"> use change</w:t>
      </w:r>
      <w:r w:rsidRPr="00472578">
        <w:rPr>
          <w:u w:val="single"/>
        </w:rPr>
        <w:t>, freshwater management practices,</w:t>
      </w:r>
      <w:r w:rsidRPr="00472578">
        <w:rPr>
          <w:rStyle w:val="FootnoteReference"/>
        </w:rPr>
        <w:footnoteReference w:id="465"/>
      </w:r>
      <w:r w:rsidRPr="00472578">
        <w:t xml:space="preserve"> and hazard management. For example, if the </w:t>
      </w:r>
      <w:r w:rsidRPr="00472578">
        <w:rPr>
          <w:i/>
          <w:iCs/>
        </w:rPr>
        <w:t>river</w:t>
      </w:r>
      <w:r w:rsidRPr="00472578">
        <w:t xml:space="preserve"> channel has moved and the </w:t>
      </w:r>
      <w:r w:rsidRPr="00472578">
        <w:rPr>
          <w:i/>
          <w:iCs/>
        </w:rPr>
        <w:t>nohoaka</w:t>
      </w:r>
      <w:r w:rsidRPr="00472578">
        <w:t xml:space="preserve"> has not, whānau visiting the </w:t>
      </w:r>
      <w:r w:rsidRPr="00472578">
        <w:rPr>
          <w:i/>
          <w:iCs/>
        </w:rPr>
        <w:t>nohoaka</w:t>
      </w:r>
      <w:r w:rsidRPr="00472578">
        <w:t xml:space="preserve"> are not able to fish there. </w:t>
      </w:r>
      <w:bookmarkStart w:id="80" w:name="_Toc49763480"/>
    </w:p>
    <w:bookmarkEnd w:id="77"/>
    <w:bookmarkEnd w:id="80"/>
    <w:p w14:paraId="74DD0D9C" w14:textId="3AEDEC21" w:rsidR="00B02DBF" w:rsidRPr="00472578" w:rsidRDefault="00B02DBF" w:rsidP="00E92686">
      <w:pPr>
        <w:pStyle w:val="Heading3"/>
        <w:jc w:val="both"/>
        <w:rPr>
          <w:rFonts w:eastAsiaTheme="minorHAnsi"/>
        </w:rPr>
      </w:pPr>
      <w:r w:rsidRPr="00472578">
        <w:t>RMIA</w:t>
      </w:r>
      <w:r w:rsidR="00B208D6" w:rsidRPr="00472578">
        <w:t>-</w:t>
      </w:r>
      <w:r w:rsidRPr="00472578">
        <w:t>AA – Air and atmosphere</w:t>
      </w:r>
    </w:p>
    <w:p w14:paraId="5F60220A" w14:textId="77777777" w:rsidR="00B02DBF" w:rsidRPr="00472578" w:rsidRDefault="00B02DBF" w:rsidP="00E92686">
      <w:pPr>
        <w:pStyle w:val="Heading4"/>
        <w:jc w:val="both"/>
        <w:rPr>
          <w:rFonts w:eastAsia="National-Book"/>
        </w:rPr>
      </w:pPr>
      <w:r w:rsidRPr="00472578">
        <w:rPr>
          <w:rFonts w:eastAsia="National-Book"/>
        </w:rPr>
        <w:t>Context</w:t>
      </w:r>
    </w:p>
    <w:p w14:paraId="0606C9F4" w14:textId="6C88B1F7" w:rsidR="00B02DBF" w:rsidRPr="00472578" w:rsidRDefault="00B02DBF" w:rsidP="00E92686">
      <w:pPr>
        <w:jc w:val="both"/>
      </w:pPr>
      <w:r w:rsidRPr="00472578">
        <w:t xml:space="preserve">As discussed in Part 1, the air and atmosphere are resources of significance to Kāi Tahu. </w:t>
      </w:r>
      <w:r w:rsidRPr="00472578">
        <w:rPr>
          <w:rFonts w:ascii="Calibri" w:eastAsia="Calibri" w:hAnsi="Calibri" w:cs="Calibri"/>
        </w:rPr>
        <w:t>In Kāi Tahu traditions, air and atmosphere emerged through the creation traditions and Te Ao Marama. The air is an integral part of the environment that must be valued, used with respect, and passed on intact to the next generation. Pollution of the atmosphere adversely affects the mauri of this taoka and other taoka such as plants and animals.</w:t>
      </w:r>
    </w:p>
    <w:p w14:paraId="4D7E53D5" w14:textId="1400AB00" w:rsidR="00B02DBF" w:rsidRPr="00472578" w:rsidRDefault="00B02DBF" w:rsidP="00E92686">
      <w:pPr>
        <w:pStyle w:val="Heading4"/>
        <w:jc w:val="both"/>
        <w:rPr>
          <w:rFonts w:eastAsia="National-Book"/>
        </w:rPr>
      </w:pPr>
      <w:r w:rsidRPr="00472578">
        <w:rPr>
          <w:rFonts w:eastAsia="National-Book"/>
        </w:rPr>
        <w:t>RMIA</w:t>
      </w:r>
      <w:r w:rsidR="00B208D6" w:rsidRPr="00472578">
        <w:t>-AA-</w:t>
      </w:r>
      <w:r w:rsidRPr="00472578">
        <w:rPr>
          <w:rFonts w:eastAsia="National-Book"/>
        </w:rPr>
        <w:t xml:space="preserve">I1 –The cultural impacts of </w:t>
      </w:r>
      <w:r w:rsidRPr="00472578">
        <w:rPr>
          <w:rFonts w:eastAsia="National-Book"/>
          <w:i/>
        </w:rPr>
        <w:t>discharges</w:t>
      </w:r>
      <w:r w:rsidRPr="00472578">
        <w:rPr>
          <w:rFonts w:eastAsia="National-Book"/>
        </w:rPr>
        <w:t xml:space="preserve"> to air are poorly recognised in resource management</w:t>
      </w:r>
    </w:p>
    <w:p w14:paraId="0262E315" w14:textId="499D6945" w:rsidR="00B02DBF" w:rsidRPr="00472578" w:rsidRDefault="00B02DBF" w:rsidP="00E92686">
      <w:pPr>
        <w:pStyle w:val="JustifiedSpacing"/>
      </w:pPr>
      <w:r w:rsidRPr="00472578">
        <w:t xml:space="preserve">The cultural impacts of air pollution and </w:t>
      </w:r>
      <w:r w:rsidRPr="00472578">
        <w:rPr>
          <w:i/>
          <w:iCs/>
        </w:rPr>
        <w:t>discharges</w:t>
      </w:r>
      <w:r w:rsidRPr="00472578">
        <w:t xml:space="preserve"> to air are poorly understood and seldom recognised. </w:t>
      </w:r>
      <w:r w:rsidRPr="00472578">
        <w:rPr>
          <w:i/>
          <w:iCs/>
        </w:rPr>
        <w:t>Discharges</w:t>
      </w:r>
      <w:r w:rsidRPr="00472578">
        <w:t xml:space="preserve"> to air can adversely affect health and can be culturally offensive. Clean air is important to the health of </w:t>
      </w:r>
      <w:r w:rsidR="004D477C" w:rsidRPr="009C237D">
        <w:rPr>
          <w:strike/>
        </w:rPr>
        <w:t>mahika kai</w:t>
      </w:r>
      <w:r w:rsidR="004D477C" w:rsidRPr="00472578">
        <w:t xml:space="preserve"> </w:t>
      </w:r>
      <w:r w:rsidR="004D477C" w:rsidRPr="00EC7E15">
        <w:rPr>
          <w:i/>
          <w:iCs/>
          <w:u w:val="single"/>
        </w:rPr>
        <w:t>mahika kai</w:t>
      </w:r>
      <w:r w:rsidR="004D477C">
        <w:rPr>
          <w:rStyle w:val="FootnoteReference"/>
        </w:rPr>
        <w:footnoteReference w:id="466"/>
      </w:r>
      <w:r w:rsidRPr="00472578">
        <w:t xml:space="preserve"> and people, and odour and other emissions impact on the tapu of wāhi tapu sites. Air emissions can also reduce the visibility of cultural landscape features and of the moon, </w:t>
      </w:r>
      <w:proofErr w:type="gramStart"/>
      <w:r w:rsidRPr="00472578">
        <w:t>stars</w:t>
      </w:r>
      <w:proofErr w:type="gramEnd"/>
      <w:r w:rsidRPr="00472578">
        <w:t xml:space="preserve"> and rainbows. </w:t>
      </w:r>
    </w:p>
    <w:p w14:paraId="26AE41CC" w14:textId="77777777" w:rsidR="00B02DBF" w:rsidRPr="00472578" w:rsidRDefault="00B02DBF" w:rsidP="00E92686">
      <w:pPr>
        <w:pStyle w:val="JustifiedSpacing"/>
      </w:pPr>
      <w:r w:rsidRPr="00472578">
        <w:t>Specific concerns include:</w:t>
      </w:r>
    </w:p>
    <w:p w14:paraId="061EE630" w14:textId="0B92FC7C" w:rsidR="00B02DBF" w:rsidRPr="00472578" w:rsidRDefault="00B02DBF" w:rsidP="00E92686">
      <w:pPr>
        <w:pStyle w:val="JustifiedSpacing"/>
        <w:numPr>
          <w:ilvl w:val="0"/>
          <w:numId w:val="21"/>
        </w:numPr>
        <w:ind w:left="567" w:hanging="567"/>
        <w:contextualSpacing/>
      </w:pPr>
      <w:r w:rsidRPr="00472578">
        <w:rPr>
          <w:iCs/>
        </w:rPr>
        <w:t xml:space="preserve">Potential impacts of climate change which could </w:t>
      </w:r>
      <w:r w:rsidRPr="00472578">
        <w:rPr>
          <w:iCs/>
          <w:strike/>
        </w:rPr>
        <w:t>potentially</w:t>
      </w:r>
      <w:r w:rsidRPr="00472578">
        <w:rPr>
          <w:iCs/>
        </w:rPr>
        <w:t xml:space="preserve"> negatively affect </w:t>
      </w:r>
      <w:r w:rsidRPr="00472578">
        <w:rPr>
          <w:iCs/>
          <w:u w:val="single"/>
        </w:rPr>
        <w:t>taoka such as</w:t>
      </w:r>
      <w:r w:rsidRPr="00472578">
        <w:rPr>
          <w:iCs/>
        </w:rPr>
        <w:t xml:space="preserve"> wai </w:t>
      </w:r>
      <w:r w:rsidRPr="00472578">
        <w:rPr>
          <w:iCs/>
          <w:strike/>
        </w:rPr>
        <w:t>Māori</w:t>
      </w:r>
      <w:r w:rsidRPr="00472578">
        <w:rPr>
          <w:iCs/>
        </w:rPr>
        <w:t xml:space="preserve"> </w:t>
      </w:r>
      <w:r w:rsidRPr="00472578">
        <w:rPr>
          <w:iCs/>
          <w:u w:val="single"/>
        </w:rPr>
        <w:t>māori and wai tai</w:t>
      </w:r>
      <w:r w:rsidRPr="00472578">
        <w:rPr>
          <w:iCs/>
        </w:rPr>
        <w:t>,</w:t>
      </w:r>
      <w:r w:rsidR="007837DC" w:rsidRPr="007837DC">
        <w:rPr>
          <w:rStyle w:val="FootnoteReference"/>
        </w:rPr>
        <w:t xml:space="preserve"> </w:t>
      </w:r>
      <w:r w:rsidR="007837DC" w:rsidRPr="00472578">
        <w:rPr>
          <w:rStyle w:val="FootnoteReference"/>
          <w:iCs/>
        </w:rPr>
        <w:footnoteReference w:id="467"/>
      </w:r>
      <w:r w:rsidRPr="00472578">
        <w:rPr>
          <w:iCs/>
        </w:rPr>
        <w:t xml:space="preserve"> </w:t>
      </w:r>
      <w:r w:rsidR="007837DC" w:rsidRPr="009C237D">
        <w:rPr>
          <w:strike/>
        </w:rPr>
        <w:t>mahika kai</w:t>
      </w:r>
      <w:r w:rsidR="007837DC" w:rsidRPr="00472578">
        <w:t xml:space="preserve"> </w:t>
      </w:r>
      <w:r w:rsidR="007837DC" w:rsidRPr="00EC7E15">
        <w:rPr>
          <w:i/>
          <w:iCs/>
          <w:u w:val="single"/>
        </w:rPr>
        <w:t>mahika kai</w:t>
      </w:r>
      <w:r w:rsidR="007837DC">
        <w:rPr>
          <w:rStyle w:val="FootnoteReference"/>
        </w:rPr>
        <w:footnoteReference w:id="468"/>
      </w:r>
      <w:r w:rsidRPr="00472578">
        <w:rPr>
          <w:iCs/>
        </w:rPr>
        <w:t xml:space="preserve"> and biodiversity, </w:t>
      </w:r>
      <w:r w:rsidRPr="00472578">
        <w:rPr>
          <w:i/>
        </w:rPr>
        <w:t>wāhi tūpuna</w:t>
      </w:r>
      <w:r w:rsidRPr="00472578">
        <w:rPr>
          <w:iCs/>
        </w:rPr>
        <w:t xml:space="preserve">, wāhi tapu, </w:t>
      </w:r>
      <w:r w:rsidRPr="00472578">
        <w:rPr>
          <w:iCs/>
          <w:u w:val="single"/>
        </w:rPr>
        <w:t xml:space="preserve">and wāhi taoka, </w:t>
      </w:r>
      <w:r w:rsidR="00C77AD6" w:rsidRPr="00472578">
        <w:rPr>
          <w:iCs/>
          <w:strike/>
        </w:rPr>
        <w:t>the</w:t>
      </w:r>
      <w:r w:rsidR="00C77AD6" w:rsidRPr="00472578">
        <w:rPr>
          <w:iCs/>
          <w:u w:val="single"/>
        </w:rPr>
        <w:t xml:space="preserve"> </w:t>
      </w:r>
      <w:r w:rsidRPr="00472578">
        <w:rPr>
          <w:iCs/>
          <w:strike/>
        </w:rPr>
        <w:t>coastal environment</w:t>
      </w:r>
      <w:r w:rsidRPr="00472578">
        <w:rPr>
          <w:rStyle w:val="FootnoteReference"/>
          <w:iCs/>
        </w:rPr>
        <w:footnoteReference w:id="469"/>
      </w:r>
      <w:r w:rsidRPr="00472578">
        <w:rPr>
          <w:iCs/>
        </w:rPr>
        <w:t xml:space="preserve"> </w:t>
      </w:r>
      <w:r w:rsidRPr="00472578">
        <w:rPr>
          <w:iCs/>
          <w:strike/>
        </w:rPr>
        <w:t>and</w:t>
      </w:r>
      <w:r w:rsidRPr="00472578">
        <w:rPr>
          <w:rStyle w:val="FootnoteReference"/>
          <w:iCs/>
        </w:rPr>
        <w:footnoteReference w:id="470"/>
      </w:r>
      <w:r w:rsidRPr="00472578">
        <w:rPr>
          <w:iCs/>
        </w:rPr>
        <w:t xml:space="preserve"> the well-being of all people</w:t>
      </w:r>
      <w:r w:rsidRPr="00472578">
        <w:rPr>
          <w:iCs/>
          <w:u w:val="single"/>
        </w:rPr>
        <w:t>, and the environment as an integrated system</w:t>
      </w:r>
      <w:r w:rsidRPr="00472578">
        <w:t>.</w:t>
      </w:r>
      <w:r w:rsidRPr="00472578">
        <w:rPr>
          <w:rStyle w:val="FootnoteReference"/>
        </w:rPr>
        <w:footnoteReference w:id="471"/>
      </w:r>
      <w:r w:rsidRPr="00472578">
        <w:t xml:space="preserve"> </w:t>
      </w:r>
    </w:p>
    <w:p w14:paraId="6A7176F5" w14:textId="77777777" w:rsidR="00B02DBF" w:rsidRPr="00472578" w:rsidRDefault="00B02DBF" w:rsidP="00E92686">
      <w:pPr>
        <w:pStyle w:val="JustifiedSpacing"/>
        <w:numPr>
          <w:ilvl w:val="0"/>
          <w:numId w:val="21"/>
        </w:numPr>
        <w:ind w:left="567" w:hanging="567"/>
        <w:contextualSpacing/>
      </w:pPr>
      <w:r w:rsidRPr="00472578">
        <w:t xml:space="preserve">Insufficient data has been collected and distributed about the </w:t>
      </w:r>
      <w:r w:rsidRPr="00472578">
        <w:rPr>
          <w:i/>
          <w:iCs/>
        </w:rPr>
        <w:t>effects</w:t>
      </w:r>
      <w:r w:rsidRPr="00472578">
        <w:t xml:space="preserve"> of </w:t>
      </w:r>
      <w:r w:rsidRPr="00472578">
        <w:rPr>
          <w:i/>
          <w:iCs/>
        </w:rPr>
        <w:t>discharges</w:t>
      </w:r>
      <w:r w:rsidRPr="00472578">
        <w:t xml:space="preserve"> to air.</w:t>
      </w:r>
    </w:p>
    <w:p w14:paraId="1DED85B3" w14:textId="48B0E7BE" w:rsidR="00B02DBF" w:rsidRPr="00472578" w:rsidRDefault="00B02DBF" w:rsidP="00E92686">
      <w:pPr>
        <w:pStyle w:val="JustifiedSpacing"/>
        <w:numPr>
          <w:ilvl w:val="0"/>
          <w:numId w:val="21"/>
        </w:numPr>
        <w:ind w:left="567" w:hanging="567"/>
        <w:contextualSpacing/>
      </w:pPr>
      <w:r w:rsidRPr="00472578">
        <w:t xml:space="preserve">The </w:t>
      </w:r>
      <w:r w:rsidRPr="00472578">
        <w:rPr>
          <w:i/>
          <w:iCs/>
        </w:rPr>
        <w:t>effects</w:t>
      </w:r>
      <w:r w:rsidRPr="00472578">
        <w:t xml:space="preserve"> of </w:t>
      </w:r>
      <w:r w:rsidRPr="00472578">
        <w:rPr>
          <w:i/>
          <w:iCs/>
        </w:rPr>
        <w:t>discharges</w:t>
      </w:r>
      <w:r w:rsidRPr="00472578">
        <w:t xml:space="preserve"> to air on the health of people and </w:t>
      </w:r>
      <w:r w:rsidR="007837DC" w:rsidRPr="009C237D">
        <w:rPr>
          <w:strike/>
        </w:rPr>
        <w:t>mahika kai</w:t>
      </w:r>
      <w:r w:rsidR="007837DC" w:rsidRPr="00472578">
        <w:t xml:space="preserve"> </w:t>
      </w:r>
      <w:r w:rsidR="007837DC" w:rsidRPr="00EC7E15">
        <w:rPr>
          <w:i/>
          <w:iCs/>
          <w:u w:val="single"/>
        </w:rPr>
        <w:t>mahika kai</w:t>
      </w:r>
      <w:r w:rsidR="007837DC">
        <w:rPr>
          <w:rStyle w:val="FootnoteReference"/>
        </w:rPr>
        <w:footnoteReference w:id="472"/>
      </w:r>
      <w:r w:rsidRPr="00472578">
        <w:t xml:space="preserve">, including </w:t>
      </w:r>
      <w:r w:rsidRPr="00472578">
        <w:rPr>
          <w:i/>
          <w:iCs/>
        </w:rPr>
        <w:t>discharges</w:t>
      </w:r>
      <w:r w:rsidRPr="00472578">
        <w:t xml:space="preserve"> from industrial or trade premises, agrichemical spray drift, vehicle emissions and emissions from domestic fires in built up areas prone to inversion layers.</w:t>
      </w:r>
    </w:p>
    <w:p w14:paraId="3C2EDEB2" w14:textId="07EE69C9" w:rsidR="00B02DBF" w:rsidRPr="00472578" w:rsidRDefault="00B02DBF" w:rsidP="00E92686">
      <w:pPr>
        <w:pStyle w:val="JustifiedSpacing"/>
        <w:numPr>
          <w:ilvl w:val="0"/>
          <w:numId w:val="21"/>
        </w:numPr>
        <w:ind w:left="567" w:hanging="567"/>
        <w:contextualSpacing/>
      </w:pPr>
      <w:r w:rsidRPr="00472578">
        <w:t xml:space="preserve">Culturally offensive </w:t>
      </w:r>
      <w:r w:rsidRPr="00472578">
        <w:rPr>
          <w:i/>
          <w:iCs/>
        </w:rPr>
        <w:t>discharges</w:t>
      </w:r>
      <w:r w:rsidRPr="00472578">
        <w:t xml:space="preserve"> from crematoriums, if located </w:t>
      </w:r>
      <w:proofErr w:type="gramStart"/>
      <w:r w:rsidRPr="00472578">
        <w:t>in close proximity to</w:t>
      </w:r>
      <w:proofErr w:type="gramEnd"/>
      <w:r w:rsidRPr="00472578">
        <w:t xml:space="preserve"> </w:t>
      </w:r>
      <w:r w:rsidR="007837DC" w:rsidRPr="009C237D">
        <w:rPr>
          <w:strike/>
        </w:rPr>
        <w:t>mahika kai</w:t>
      </w:r>
      <w:r w:rsidR="007837DC" w:rsidRPr="00472578">
        <w:t xml:space="preserve"> </w:t>
      </w:r>
      <w:r w:rsidR="007837DC" w:rsidRPr="00EC7E15">
        <w:rPr>
          <w:i/>
          <w:iCs/>
          <w:u w:val="single"/>
        </w:rPr>
        <w:t>mahika kai</w:t>
      </w:r>
      <w:r w:rsidR="007837DC">
        <w:rPr>
          <w:rStyle w:val="FootnoteReference"/>
        </w:rPr>
        <w:footnoteReference w:id="473"/>
      </w:r>
      <w:r w:rsidR="007837DC" w:rsidRPr="00472578">
        <w:rPr>
          <w:iCs/>
        </w:rPr>
        <w:t xml:space="preserve"> </w:t>
      </w:r>
      <w:r w:rsidRPr="00472578">
        <w:t xml:space="preserve">and wāhi taoka. </w:t>
      </w:r>
    </w:p>
    <w:p w14:paraId="6D22351E" w14:textId="77777777" w:rsidR="00B02DBF" w:rsidRPr="00472578" w:rsidRDefault="00B02DBF" w:rsidP="00E92686">
      <w:pPr>
        <w:pStyle w:val="JustifiedSpacing"/>
        <w:numPr>
          <w:ilvl w:val="0"/>
          <w:numId w:val="21"/>
        </w:numPr>
        <w:ind w:left="567" w:hanging="567"/>
        <w:contextualSpacing/>
      </w:pPr>
      <w:r w:rsidRPr="00472578">
        <w:t xml:space="preserve">Adverse </w:t>
      </w:r>
      <w:r w:rsidRPr="00472578">
        <w:rPr>
          <w:i/>
          <w:iCs/>
        </w:rPr>
        <w:t>effects</w:t>
      </w:r>
      <w:r w:rsidRPr="00472578">
        <w:t xml:space="preserve"> of vegetation burning on the integrity and the tapu of wāhi tapu sites.</w:t>
      </w:r>
    </w:p>
    <w:p w14:paraId="545CB3A9" w14:textId="6AC606D7" w:rsidR="00B02DBF" w:rsidRPr="00472578" w:rsidRDefault="00B02DBF" w:rsidP="00E92686">
      <w:pPr>
        <w:pStyle w:val="JustifiedSpacing"/>
        <w:numPr>
          <w:ilvl w:val="0"/>
          <w:numId w:val="21"/>
        </w:numPr>
        <w:ind w:left="567" w:hanging="567"/>
        <w:contextualSpacing/>
      </w:pPr>
      <w:r w:rsidRPr="00472578">
        <w:t xml:space="preserve">Impacts of </w:t>
      </w:r>
      <w:bookmarkStart w:id="81" w:name="_Hlk41257440"/>
      <w:r w:rsidRPr="00472578">
        <w:t xml:space="preserve">odour on wāhi tapu, </w:t>
      </w:r>
      <w:r w:rsidR="00464480" w:rsidRPr="009C237D">
        <w:rPr>
          <w:strike/>
        </w:rPr>
        <w:t>mahika kai</w:t>
      </w:r>
      <w:r w:rsidR="00464480" w:rsidRPr="00472578">
        <w:t xml:space="preserve"> </w:t>
      </w:r>
      <w:r w:rsidR="00464480" w:rsidRPr="00EC7E15">
        <w:rPr>
          <w:i/>
          <w:iCs/>
          <w:u w:val="single"/>
        </w:rPr>
        <w:t>mahika kai</w:t>
      </w:r>
      <w:r w:rsidR="00464480">
        <w:rPr>
          <w:rStyle w:val="FootnoteReference"/>
        </w:rPr>
        <w:footnoteReference w:id="474"/>
      </w:r>
      <w:r w:rsidR="00464480" w:rsidRPr="00472578">
        <w:rPr>
          <w:iCs/>
        </w:rPr>
        <w:t xml:space="preserve"> </w:t>
      </w:r>
      <w:r w:rsidRPr="00472578">
        <w:t>sites</w:t>
      </w:r>
      <w:bookmarkEnd w:id="81"/>
      <w:r w:rsidRPr="00472578">
        <w:t xml:space="preserve"> and </w:t>
      </w:r>
      <w:r w:rsidRPr="00472578">
        <w:rPr>
          <w:i/>
          <w:iCs/>
        </w:rPr>
        <w:t>nohoaka</w:t>
      </w:r>
      <w:r w:rsidRPr="00472578">
        <w:t xml:space="preserve">. </w:t>
      </w:r>
    </w:p>
    <w:p w14:paraId="03654CAA" w14:textId="77777777" w:rsidR="00B02DBF" w:rsidRPr="00472578" w:rsidRDefault="00B02DBF" w:rsidP="00E92686">
      <w:pPr>
        <w:pStyle w:val="JustifiedSpacing"/>
        <w:numPr>
          <w:ilvl w:val="0"/>
          <w:numId w:val="21"/>
        </w:numPr>
        <w:ind w:left="567" w:hanging="567"/>
        <w:contextualSpacing/>
      </w:pPr>
      <w:r w:rsidRPr="00472578">
        <w:t xml:space="preserve">Impacts of urban settlement and </w:t>
      </w:r>
      <w:r w:rsidRPr="00472578">
        <w:rPr>
          <w:i/>
          <w:iCs/>
        </w:rPr>
        <w:t>discharges</w:t>
      </w:r>
      <w:r w:rsidRPr="00472578">
        <w:t xml:space="preserve"> to air on the visibility of the sky and </w:t>
      </w:r>
      <w:r w:rsidRPr="00472578">
        <w:rPr>
          <w:i/>
          <w:iCs/>
        </w:rPr>
        <w:t>wāhi tūpuna</w:t>
      </w:r>
      <w:r w:rsidRPr="00472578">
        <w:t xml:space="preserve"> features.</w:t>
      </w:r>
    </w:p>
    <w:p w14:paraId="603AC94F" w14:textId="77777777" w:rsidR="00B02DBF" w:rsidRPr="00472578" w:rsidRDefault="00B02DBF" w:rsidP="00E92686">
      <w:pPr>
        <w:pStyle w:val="JustifiedSpacing"/>
        <w:numPr>
          <w:ilvl w:val="0"/>
          <w:numId w:val="21"/>
        </w:numPr>
        <w:ind w:left="567" w:hanging="567"/>
      </w:pPr>
      <w:r w:rsidRPr="00472578">
        <w:lastRenderedPageBreak/>
        <w:t>The impact of dust on the integrity of rock art sites.</w:t>
      </w:r>
      <w:bookmarkStart w:id="82" w:name="_Toc49763481"/>
    </w:p>
    <w:bookmarkEnd w:id="82"/>
    <w:p w14:paraId="4A49B457" w14:textId="42191204" w:rsidR="00B02DBF" w:rsidRPr="00472578" w:rsidRDefault="00B02DBF" w:rsidP="00E92686">
      <w:pPr>
        <w:pStyle w:val="Heading3"/>
        <w:jc w:val="both"/>
        <w:rPr>
          <w:rFonts w:eastAsia="National-Book"/>
        </w:rPr>
      </w:pPr>
      <w:r w:rsidRPr="00472578">
        <w:rPr>
          <w:rFonts w:eastAsia="National-Book"/>
        </w:rPr>
        <w:t>RMIA</w:t>
      </w:r>
      <w:r w:rsidR="00B208D6" w:rsidRPr="00472578">
        <w:t>-</w:t>
      </w:r>
      <w:r w:rsidRPr="00472578">
        <w:rPr>
          <w:rFonts w:eastAsia="National-Book"/>
        </w:rPr>
        <w:t>CE – Coastal environment (</w:t>
      </w:r>
      <w:r w:rsidRPr="00472578">
        <w:rPr>
          <w:u w:val="single"/>
        </w:rPr>
        <w:t>te takutai</w:t>
      </w:r>
      <w:r w:rsidRPr="00472578">
        <w:t xml:space="preserve"> </w:t>
      </w:r>
      <w:r w:rsidRPr="00472578">
        <w:rPr>
          <w:strike/>
        </w:rPr>
        <w:t xml:space="preserve">Taku tai </w:t>
      </w:r>
      <w:r w:rsidRPr="00472578">
        <w:t xml:space="preserve">moana me te wai </w:t>
      </w:r>
      <w:r w:rsidRPr="00472578">
        <w:rPr>
          <w:strike/>
        </w:rPr>
        <w:t>Māori</w:t>
      </w:r>
      <w:r w:rsidRPr="00472578">
        <w:t xml:space="preserve"> </w:t>
      </w:r>
      <w:r w:rsidRPr="00472578">
        <w:rPr>
          <w:u w:val="single"/>
        </w:rPr>
        <w:t>tai</w:t>
      </w:r>
      <w:r w:rsidRPr="00472578">
        <w:rPr>
          <w:rFonts w:eastAsia="National-Book"/>
        </w:rPr>
        <w:t>)</w:t>
      </w:r>
      <w:r w:rsidRPr="00472578">
        <w:rPr>
          <w:rStyle w:val="FootnoteReference"/>
          <w:rFonts w:eastAsia="National-Book"/>
          <w:b w:val="0"/>
          <w:bCs/>
          <w:color w:val="auto"/>
        </w:rPr>
        <w:footnoteReference w:id="475"/>
      </w:r>
    </w:p>
    <w:p w14:paraId="089842E1" w14:textId="77777777" w:rsidR="00B02DBF" w:rsidRPr="00472578" w:rsidRDefault="00B02DBF" w:rsidP="00E92686">
      <w:pPr>
        <w:pStyle w:val="Heading4"/>
        <w:jc w:val="both"/>
        <w:rPr>
          <w:rFonts w:eastAsia="National-Book"/>
        </w:rPr>
      </w:pPr>
      <w:r w:rsidRPr="00472578">
        <w:rPr>
          <w:rFonts w:eastAsia="National-Book"/>
        </w:rPr>
        <w:t>Context</w:t>
      </w:r>
    </w:p>
    <w:p w14:paraId="544A59F9" w14:textId="77777777" w:rsidR="00B02DBF" w:rsidRPr="00472578" w:rsidRDefault="00B02DBF" w:rsidP="00E92686">
      <w:pPr>
        <w:autoSpaceDE w:val="0"/>
        <w:autoSpaceDN w:val="0"/>
        <w:adjustRightInd w:val="0"/>
        <w:spacing w:line="254" w:lineRule="auto"/>
        <w:jc w:val="both"/>
        <w:rPr>
          <w:rFonts w:ascii="Calibri" w:eastAsia="Calibri" w:hAnsi="Calibri" w:cs="Calibri"/>
        </w:rPr>
      </w:pPr>
      <w:r w:rsidRPr="00472578">
        <w:rPr>
          <w:rFonts w:ascii="Calibri" w:eastAsia="Calibri" w:hAnsi="Calibri" w:cs="Calibri"/>
        </w:rPr>
        <w:t xml:space="preserve">The coastal environment is particularly significant for Kāi Tahu in the southern South Island. The spiritual and cultural significance of taku tai moana me te wai māori (saltwater and </w:t>
      </w:r>
      <w:r w:rsidRPr="00472578">
        <w:rPr>
          <w:rFonts w:ascii="Calibri" w:eastAsia="Calibri" w:hAnsi="Calibri" w:cs="Calibri"/>
          <w:i/>
          <w:iCs/>
        </w:rPr>
        <w:t>freshwater</w:t>
      </w:r>
      <w:r w:rsidRPr="00472578">
        <w:rPr>
          <w:rFonts w:ascii="Calibri" w:eastAsia="Calibri" w:hAnsi="Calibri" w:cs="Calibri"/>
        </w:rPr>
        <w:t xml:space="preserve">) and the interconnection between </w:t>
      </w:r>
      <w:r w:rsidRPr="00472578">
        <w:rPr>
          <w:rFonts w:ascii="Calibri" w:eastAsia="Calibri" w:hAnsi="Calibri" w:cs="Calibri"/>
          <w:i/>
          <w:iCs/>
        </w:rPr>
        <w:t>land</w:t>
      </w:r>
      <w:r w:rsidRPr="00472578">
        <w:rPr>
          <w:rFonts w:ascii="Calibri" w:eastAsia="Calibri" w:hAnsi="Calibri" w:cs="Calibri"/>
        </w:rPr>
        <w:t xml:space="preserve"> and sea environments are not always well recognised in management of the coastal environment. </w:t>
      </w:r>
    </w:p>
    <w:p w14:paraId="436A940D" w14:textId="2F381F0E" w:rsidR="00B02DBF" w:rsidRPr="00472578" w:rsidRDefault="00B02DBF" w:rsidP="00E92686">
      <w:pPr>
        <w:pStyle w:val="Heading4"/>
        <w:jc w:val="both"/>
        <w:rPr>
          <w:rFonts w:eastAsia="National-Book"/>
        </w:rPr>
      </w:pPr>
      <w:r w:rsidRPr="00472578">
        <w:rPr>
          <w:rFonts w:eastAsia="National-Book"/>
        </w:rPr>
        <w:t>RMIA</w:t>
      </w:r>
      <w:r w:rsidR="00A14880" w:rsidRPr="00472578">
        <w:t>-CE-</w:t>
      </w:r>
      <w:r w:rsidRPr="00472578">
        <w:t>I</w:t>
      </w:r>
      <w:r w:rsidRPr="00472578">
        <w:rPr>
          <w:rFonts w:eastAsia="National-Book"/>
        </w:rPr>
        <w:t xml:space="preserve">1 – </w:t>
      </w:r>
      <w:r w:rsidR="00464480">
        <w:rPr>
          <w:strike/>
        </w:rPr>
        <w:t>M</w:t>
      </w:r>
      <w:r w:rsidR="00464480" w:rsidRPr="009C237D">
        <w:rPr>
          <w:strike/>
        </w:rPr>
        <w:t>ahika kai</w:t>
      </w:r>
      <w:r w:rsidR="00464480" w:rsidRPr="00472578">
        <w:rPr>
          <w:rFonts w:eastAsia="National-Book"/>
        </w:rPr>
        <w:t xml:space="preserve"> </w:t>
      </w:r>
      <w:r w:rsidR="00464480" w:rsidRPr="00071AAF">
        <w:rPr>
          <w:i/>
          <w:iCs w:val="0"/>
          <w:u w:val="single"/>
        </w:rPr>
        <w:t>Mahika kai</w:t>
      </w:r>
      <w:r w:rsidR="00464480">
        <w:rPr>
          <w:rStyle w:val="FootnoteReference"/>
        </w:rPr>
        <w:footnoteReference w:id="476"/>
      </w:r>
      <w:r w:rsidR="00464480" w:rsidRPr="00472578">
        <w:rPr>
          <w:iCs w:val="0"/>
        </w:rPr>
        <w:t xml:space="preserve"> </w:t>
      </w:r>
      <w:r w:rsidRPr="00472578">
        <w:rPr>
          <w:rFonts w:eastAsia="National-Book"/>
        </w:rPr>
        <w:t>and coastal systems are adversely affected by lack of integrated management across the land-water interface</w:t>
      </w:r>
    </w:p>
    <w:p w14:paraId="6ABE9475" w14:textId="49EAFD5D"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Management of </w:t>
      </w:r>
      <w:r w:rsidR="00464480" w:rsidRPr="009C237D">
        <w:rPr>
          <w:strike/>
        </w:rPr>
        <w:t>mahika kai</w:t>
      </w:r>
      <w:r w:rsidR="00464480" w:rsidRPr="00472578">
        <w:t xml:space="preserve"> </w:t>
      </w:r>
      <w:r w:rsidR="00464480" w:rsidRPr="00071AAF">
        <w:rPr>
          <w:i/>
          <w:iCs/>
          <w:u w:val="single"/>
        </w:rPr>
        <w:t>mahika kai</w:t>
      </w:r>
      <w:r w:rsidR="00464480">
        <w:rPr>
          <w:rStyle w:val="FootnoteReference"/>
        </w:rPr>
        <w:footnoteReference w:id="477"/>
      </w:r>
      <w:r>
        <w:t xml:space="preserve"> </w:t>
      </w:r>
      <w:r w:rsidRPr="00472578">
        <w:rPr>
          <w:rFonts w:ascii="Calibri" w:eastAsia="Calibri" w:hAnsi="Calibri" w:cs="Calibri"/>
        </w:rPr>
        <w:t xml:space="preserve">species and their habitats </w:t>
      </w:r>
      <w:proofErr w:type="gramStart"/>
      <w:r w:rsidRPr="00472578">
        <w:rPr>
          <w:rFonts w:ascii="Calibri" w:eastAsia="Calibri" w:hAnsi="Calibri" w:cs="Calibri"/>
        </w:rPr>
        <w:t>varies</w:t>
      </w:r>
      <w:proofErr w:type="gramEnd"/>
      <w:r w:rsidRPr="00472578">
        <w:rPr>
          <w:rFonts w:ascii="Calibri" w:eastAsia="Calibri" w:hAnsi="Calibri" w:cs="Calibri"/>
        </w:rPr>
        <w:t xml:space="preserve"> and is not holistic. Many important indigenous </w:t>
      </w:r>
      <w:r w:rsidR="00464480" w:rsidRPr="009C237D">
        <w:rPr>
          <w:strike/>
        </w:rPr>
        <w:t>mahika kai</w:t>
      </w:r>
      <w:r w:rsidR="00464480" w:rsidRPr="00472578">
        <w:t xml:space="preserve"> </w:t>
      </w:r>
      <w:r w:rsidR="00464480" w:rsidRPr="00071AAF">
        <w:rPr>
          <w:i/>
          <w:iCs/>
          <w:u w:val="single"/>
        </w:rPr>
        <w:t>mahika kai</w:t>
      </w:r>
      <w:r w:rsidR="00464480">
        <w:rPr>
          <w:rStyle w:val="FootnoteReference"/>
        </w:rPr>
        <w:footnoteReference w:id="478"/>
      </w:r>
      <w:r w:rsidR="00464480" w:rsidRPr="00472578">
        <w:rPr>
          <w:iCs/>
        </w:rPr>
        <w:t xml:space="preserve"> </w:t>
      </w:r>
      <w:r w:rsidRPr="00472578">
        <w:rPr>
          <w:rFonts w:ascii="Calibri" w:eastAsia="Calibri" w:hAnsi="Calibri" w:cs="Calibri"/>
        </w:rPr>
        <w:t xml:space="preserve">fish species are diadromous and move between </w:t>
      </w:r>
      <w:r w:rsidRPr="00472578">
        <w:rPr>
          <w:rFonts w:ascii="Calibri" w:eastAsia="Calibri" w:hAnsi="Calibri" w:cs="Calibri"/>
          <w:i/>
          <w:iCs/>
        </w:rPr>
        <w:t>freshwater</w:t>
      </w:r>
      <w:r w:rsidRPr="00472578">
        <w:rPr>
          <w:rFonts w:ascii="Calibri" w:eastAsia="Calibri" w:hAnsi="Calibri" w:cs="Calibri"/>
        </w:rPr>
        <w:t xml:space="preserve"> and the ocean during different parts of their life cycle. The interconnection between </w:t>
      </w:r>
      <w:r w:rsidRPr="00472578">
        <w:rPr>
          <w:rFonts w:ascii="Calibri" w:eastAsia="Calibri" w:hAnsi="Calibri" w:cs="Calibri"/>
          <w:i/>
          <w:iCs/>
        </w:rPr>
        <w:t>land</w:t>
      </w:r>
      <w:r w:rsidRPr="00472578">
        <w:rPr>
          <w:rFonts w:ascii="Calibri" w:eastAsia="Calibri" w:hAnsi="Calibri" w:cs="Calibri"/>
        </w:rPr>
        <w:t xml:space="preserve"> and marine environments needs to be carefully considered </w:t>
      </w:r>
      <w:proofErr w:type="gramStart"/>
      <w:r w:rsidRPr="00472578">
        <w:rPr>
          <w:rFonts w:ascii="Calibri" w:eastAsia="Calibri" w:hAnsi="Calibri" w:cs="Calibri"/>
        </w:rPr>
        <w:t>in order to</w:t>
      </w:r>
      <w:proofErr w:type="gramEnd"/>
      <w:r w:rsidRPr="00472578">
        <w:rPr>
          <w:rFonts w:ascii="Calibri" w:eastAsia="Calibri" w:hAnsi="Calibri" w:cs="Calibri"/>
        </w:rPr>
        <w:t xml:space="preserve"> manage </w:t>
      </w:r>
      <w:r w:rsidRPr="00472578">
        <w:rPr>
          <w:rFonts w:ascii="Calibri" w:eastAsia="Calibri" w:hAnsi="Calibri" w:cs="Calibri"/>
          <w:i/>
          <w:iCs/>
        </w:rPr>
        <w:t>effects</w:t>
      </w:r>
      <w:r w:rsidRPr="00472578">
        <w:rPr>
          <w:rFonts w:ascii="Calibri" w:eastAsia="Calibri" w:hAnsi="Calibri" w:cs="Calibri"/>
        </w:rPr>
        <w:t xml:space="preserve"> that cross the </w:t>
      </w:r>
      <w:r w:rsidRPr="00472578">
        <w:rPr>
          <w:rFonts w:ascii="Calibri" w:eastAsia="Calibri" w:hAnsi="Calibri" w:cs="Calibri"/>
          <w:i/>
          <w:iCs/>
        </w:rPr>
        <w:t>coastal marine area</w:t>
      </w:r>
      <w:r w:rsidRPr="00472578">
        <w:rPr>
          <w:rFonts w:ascii="Calibri" w:eastAsia="Calibri" w:hAnsi="Calibri" w:cs="Calibri"/>
        </w:rPr>
        <w:t xml:space="preserve"> boundary. </w:t>
      </w:r>
    </w:p>
    <w:p w14:paraId="2C522F43"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Specific concerns include:</w:t>
      </w:r>
    </w:p>
    <w:p w14:paraId="67EBE040" w14:textId="77777777" w:rsidR="00B02DBF" w:rsidRPr="00472578" w:rsidRDefault="00B02DBF" w:rsidP="00E92686">
      <w:pPr>
        <w:pStyle w:val="JustifiedSpacing"/>
        <w:numPr>
          <w:ilvl w:val="0"/>
          <w:numId w:val="22"/>
        </w:numPr>
        <w:ind w:left="567" w:hanging="567"/>
        <w:contextualSpacing/>
      </w:pPr>
      <w:r w:rsidRPr="00472578">
        <w:rPr>
          <w:i/>
          <w:iCs/>
        </w:rPr>
        <w:t>Effects</w:t>
      </w:r>
      <w:r w:rsidRPr="00472578">
        <w:t xml:space="preserve"> on the coastal environment and natural systems resulting from modifications to waterways, such as damming and artificial openings of </w:t>
      </w:r>
      <w:r w:rsidRPr="00472578">
        <w:rPr>
          <w:i/>
          <w:iCs/>
        </w:rPr>
        <w:t>river</w:t>
      </w:r>
      <w:r w:rsidRPr="00472578">
        <w:t xml:space="preserve"> mouths, </w:t>
      </w:r>
      <w:proofErr w:type="gramStart"/>
      <w:r w:rsidRPr="00472578">
        <w:t>estuary</w:t>
      </w:r>
      <w:proofErr w:type="gramEnd"/>
      <w:r w:rsidRPr="00472578">
        <w:t xml:space="preserve"> and lagoon systems.</w:t>
      </w:r>
    </w:p>
    <w:p w14:paraId="5F06D8F4" w14:textId="77777777" w:rsidR="00B02DBF" w:rsidRPr="00472578" w:rsidRDefault="00B02DBF" w:rsidP="00E92686">
      <w:pPr>
        <w:pStyle w:val="JustifiedSpacing"/>
        <w:numPr>
          <w:ilvl w:val="0"/>
          <w:numId w:val="22"/>
        </w:numPr>
        <w:ind w:left="567" w:hanging="567"/>
        <w:contextualSpacing/>
      </w:pPr>
      <w:r w:rsidRPr="00472578">
        <w:t xml:space="preserve">The </w:t>
      </w:r>
      <w:r w:rsidRPr="00472578">
        <w:rPr>
          <w:i/>
          <w:iCs/>
        </w:rPr>
        <w:t>effects</w:t>
      </w:r>
      <w:r w:rsidRPr="00472578">
        <w:t xml:space="preserve"> of reductions in </w:t>
      </w:r>
      <w:r w:rsidRPr="00472578">
        <w:rPr>
          <w:i/>
          <w:iCs/>
        </w:rPr>
        <w:t>river</w:t>
      </w:r>
      <w:r w:rsidRPr="00472578">
        <w:t xml:space="preserve"> flows on ingress of saltwater to </w:t>
      </w:r>
      <w:r w:rsidRPr="00472578">
        <w:rPr>
          <w:i/>
          <w:iCs/>
        </w:rPr>
        <w:t>river</w:t>
      </w:r>
      <w:r w:rsidRPr="00472578">
        <w:t xml:space="preserve"> systems and conditions for inaka spawning.</w:t>
      </w:r>
    </w:p>
    <w:p w14:paraId="24BE0373" w14:textId="77777777" w:rsidR="00B02DBF" w:rsidRPr="00472578" w:rsidRDefault="00B02DBF" w:rsidP="00E92686">
      <w:pPr>
        <w:pStyle w:val="JustifiedSpacing"/>
        <w:numPr>
          <w:ilvl w:val="0"/>
          <w:numId w:val="22"/>
        </w:numPr>
        <w:ind w:left="567" w:hanging="567"/>
        <w:contextualSpacing/>
      </w:pPr>
      <w:r w:rsidRPr="00472578">
        <w:t xml:space="preserve">Barriers to species migration, and hence lifecycles, created by changes to </w:t>
      </w:r>
      <w:r w:rsidRPr="00472578">
        <w:rPr>
          <w:i/>
          <w:iCs/>
        </w:rPr>
        <w:t>river</w:t>
      </w:r>
      <w:r w:rsidRPr="00472578">
        <w:t xml:space="preserve"> mouths from reductions in </w:t>
      </w:r>
      <w:r w:rsidRPr="00472578">
        <w:rPr>
          <w:i/>
          <w:iCs/>
        </w:rPr>
        <w:t>river</w:t>
      </w:r>
      <w:r w:rsidRPr="00472578">
        <w:t xml:space="preserve"> flow. </w:t>
      </w:r>
    </w:p>
    <w:p w14:paraId="28972174" w14:textId="77777777" w:rsidR="00B02DBF" w:rsidRPr="00472578" w:rsidRDefault="00B02DBF" w:rsidP="00E92686">
      <w:pPr>
        <w:pStyle w:val="JustifiedSpacing"/>
        <w:numPr>
          <w:ilvl w:val="0"/>
          <w:numId w:val="22"/>
        </w:numPr>
        <w:ind w:left="567" w:hanging="567"/>
        <w:contextualSpacing/>
      </w:pPr>
      <w:r w:rsidRPr="00472578">
        <w:t>Impacts of changes in sediment transport on coastal ecosystems.</w:t>
      </w:r>
    </w:p>
    <w:p w14:paraId="48EB2E57" w14:textId="77777777" w:rsidR="00B02DBF" w:rsidRPr="00472578" w:rsidRDefault="00B02DBF" w:rsidP="00E92686">
      <w:pPr>
        <w:pStyle w:val="JustifiedSpacing"/>
        <w:numPr>
          <w:ilvl w:val="0"/>
          <w:numId w:val="22"/>
        </w:numPr>
        <w:ind w:left="567" w:hanging="567"/>
        <w:contextualSpacing/>
      </w:pPr>
      <w:r w:rsidRPr="00472578">
        <w:t xml:space="preserve">The </w:t>
      </w:r>
      <w:r w:rsidRPr="00472578">
        <w:rPr>
          <w:i/>
          <w:iCs/>
        </w:rPr>
        <w:t>effects</w:t>
      </w:r>
      <w:r w:rsidRPr="00472578">
        <w:t xml:space="preserve"> of </w:t>
      </w:r>
      <w:r w:rsidRPr="00472578">
        <w:rPr>
          <w:i/>
          <w:iCs/>
        </w:rPr>
        <w:t>land</w:t>
      </w:r>
      <w:r w:rsidRPr="00472578">
        <w:t xml:space="preserve"> </w:t>
      </w:r>
      <w:r w:rsidRPr="00472578">
        <w:rPr>
          <w:i/>
          <w:iCs/>
        </w:rPr>
        <w:t>reclamation</w:t>
      </w:r>
      <w:r w:rsidRPr="00472578">
        <w:t xml:space="preserve"> on </w:t>
      </w:r>
      <w:r w:rsidRPr="00472578">
        <w:rPr>
          <w:i/>
          <w:iCs/>
        </w:rPr>
        <w:t>water</w:t>
      </w:r>
      <w:r w:rsidRPr="00472578">
        <w:t xml:space="preserve"> quality and flow in enclosed </w:t>
      </w:r>
      <w:r w:rsidRPr="00472578">
        <w:rPr>
          <w:strike/>
        </w:rPr>
        <w:t>harbors</w:t>
      </w:r>
      <w:r w:rsidRPr="00472578">
        <w:t xml:space="preserve"> </w:t>
      </w:r>
      <w:r w:rsidRPr="00472578">
        <w:rPr>
          <w:u w:val="single"/>
        </w:rPr>
        <w:t>harbours</w:t>
      </w:r>
      <w:r w:rsidRPr="00472578">
        <w:rPr>
          <w:rStyle w:val="FootnoteReference"/>
        </w:rPr>
        <w:footnoteReference w:id="479"/>
      </w:r>
      <w:r w:rsidRPr="00472578">
        <w:t xml:space="preserve"> and estuarine ecosystems.</w:t>
      </w:r>
    </w:p>
    <w:p w14:paraId="015D9939" w14:textId="77777777" w:rsidR="00B02DBF" w:rsidRPr="00472578" w:rsidRDefault="00B02DBF" w:rsidP="00E92686">
      <w:pPr>
        <w:pStyle w:val="JustifiedSpacing"/>
        <w:numPr>
          <w:ilvl w:val="0"/>
          <w:numId w:val="22"/>
        </w:numPr>
        <w:ind w:left="567" w:hanging="567"/>
        <w:contextualSpacing/>
      </w:pPr>
      <w:r w:rsidRPr="00472578">
        <w:rPr>
          <w:i/>
          <w:iCs/>
        </w:rPr>
        <w:t>Effects</w:t>
      </w:r>
      <w:r w:rsidRPr="00472578">
        <w:t xml:space="preserve"> of </w:t>
      </w:r>
      <w:r w:rsidRPr="00472578">
        <w:rPr>
          <w:i/>
          <w:iCs/>
        </w:rPr>
        <w:t>land</w:t>
      </w:r>
      <w:r w:rsidRPr="00472578">
        <w:t xml:space="preserve"> </w:t>
      </w:r>
      <w:r w:rsidRPr="00472578">
        <w:rPr>
          <w:i/>
          <w:iCs/>
        </w:rPr>
        <w:t>use</w:t>
      </w:r>
      <w:r w:rsidRPr="00472578">
        <w:t xml:space="preserve"> activities and poor management of coastal margins on </w:t>
      </w:r>
      <w:r w:rsidRPr="00472578">
        <w:rPr>
          <w:i/>
          <w:iCs/>
        </w:rPr>
        <w:t>coastal water</w:t>
      </w:r>
      <w:r w:rsidRPr="00472578">
        <w:t xml:space="preserve"> quality.</w:t>
      </w:r>
    </w:p>
    <w:p w14:paraId="7ECBDC78" w14:textId="39AE76E3" w:rsidR="00B02DBF" w:rsidRPr="00472578" w:rsidRDefault="00B02DBF" w:rsidP="00E92686">
      <w:pPr>
        <w:pStyle w:val="JustifiedSpacing"/>
        <w:numPr>
          <w:ilvl w:val="0"/>
          <w:numId w:val="22"/>
        </w:numPr>
        <w:ind w:left="567" w:hanging="567"/>
      </w:pPr>
      <w:r w:rsidRPr="00472578">
        <w:rPr>
          <w:i/>
          <w:iCs/>
        </w:rPr>
        <w:t>Climate change</w:t>
      </w:r>
      <w:r w:rsidRPr="00472578">
        <w:t xml:space="preserve"> </w:t>
      </w:r>
      <w:r w:rsidRPr="00472578">
        <w:rPr>
          <w:i/>
          <w:iCs/>
        </w:rPr>
        <w:t>effects</w:t>
      </w:r>
      <w:r w:rsidRPr="00472578">
        <w:t xml:space="preserve"> occur across the land-water interface and the </w:t>
      </w:r>
      <w:r w:rsidRPr="00472578">
        <w:rPr>
          <w:i/>
          <w:iCs/>
        </w:rPr>
        <w:t>freshwater</w:t>
      </w:r>
      <w:r w:rsidRPr="00472578">
        <w:t xml:space="preserve">-saltwater interface, and cause changes to </w:t>
      </w:r>
      <w:r w:rsidR="00464480" w:rsidRPr="009C237D">
        <w:rPr>
          <w:strike/>
        </w:rPr>
        <w:t>mahika kai</w:t>
      </w:r>
      <w:r w:rsidR="00464480" w:rsidRPr="00472578">
        <w:t xml:space="preserve"> </w:t>
      </w:r>
      <w:r w:rsidR="00464480" w:rsidRPr="00071AAF">
        <w:rPr>
          <w:i/>
          <w:iCs/>
          <w:u w:val="single"/>
        </w:rPr>
        <w:t>mahika kai</w:t>
      </w:r>
      <w:r w:rsidR="00464480">
        <w:rPr>
          <w:rStyle w:val="FootnoteReference"/>
        </w:rPr>
        <w:footnoteReference w:id="480"/>
      </w:r>
      <w:r w:rsidR="00464480" w:rsidRPr="00472578">
        <w:rPr>
          <w:iCs/>
        </w:rPr>
        <w:t xml:space="preserve"> </w:t>
      </w:r>
      <w:r w:rsidRPr="00472578">
        <w:t xml:space="preserve">species distribution and the quality and locations of </w:t>
      </w:r>
      <w:r w:rsidR="00464480" w:rsidRPr="009C237D">
        <w:rPr>
          <w:strike/>
        </w:rPr>
        <w:t>mahika kai</w:t>
      </w:r>
      <w:r w:rsidR="00464480" w:rsidRPr="00472578">
        <w:t xml:space="preserve"> </w:t>
      </w:r>
      <w:r w:rsidR="00464480" w:rsidRPr="00071AAF">
        <w:rPr>
          <w:i/>
          <w:iCs/>
          <w:u w:val="single"/>
        </w:rPr>
        <w:t>mahika kai</w:t>
      </w:r>
      <w:r w:rsidR="00464480">
        <w:rPr>
          <w:rStyle w:val="FootnoteReference"/>
        </w:rPr>
        <w:footnoteReference w:id="481"/>
      </w:r>
      <w:r w:rsidR="00464480" w:rsidRPr="00472578">
        <w:rPr>
          <w:iCs/>
        </w:rPr>
        <w:t xml:space="preserve"> </w:t>
      </w:r>
      <w:r w:rsidRPr="00472578">
        <w:t>habitat.</w:t>
      </w:r>
    </w:p>
    <w:p w14:paraId="6DD5F3B5" w14:textId="12FA9930" w:rsidR="00B02DBF" w:rsidRPr="00472578" w:rsidRDefault="00B02DBF" w:rsidP="00E92686">
      <w:pPr>
        <w:pStyle w:val="Heading4"/>
        <w:jc w:val="both"/>
        <w:rPr>
          <w:rFonts w:eastAsia="National-Book"/>
        </w:rPr>
      </w:pPr>
      <w:bookmarkStart w:id="83" w:name="_Hlk68791208"/>
      <w:r w:rsidRPr="00472578">
        <w:rPr>
          <w:rFonts w:eastAsia="National-Book"/>
        </w:rPr>
        <w:lastRenderedPageBreak/>
        <w:t>RMIA</w:t>
      </w:r>
      <w:r w:rsidR="00A14880" w:rsidRPr="00472578">
        <w:t>-CE-</w:t>
      </w:r>
      <w:r w:rsidRPr="00472578">
        <w:rPr>
          <w:rFonts w:eastAsia="National-Book"/>
        </w:rPr>
        <w:t xml:space="preserve">I2 </w:t>
      </w:r>
      <w:bookmarkEnd w:id="83"/>
      <w:r w:rsidRPr="00472578">
        <w:rPr>
          <w:rFonts w:eastAsia="National-Book"/>
        </w:rPr>
        <w:t xml:space="preserve">– </w:t>
      </w:r>
      <w:r w:rsidRPr="00472578">
        <w:rPr>
          <w:rFonts w:eastAsia="National-Book"/>
          <w:i/>
        </w:rPr>
        <w:t>Discharges</w:t>
      </w:r>
      <w:r w:rsidRPr="00472578">
        <w:rPr>
          <w:rFonts w:eastAsia="National-Book"/>
        </w:rPr>
        <w:t xml:space="preserve"> into </w:t>
      </w:r>
      <w:r w:rsidRPr="00472578">
        <w:rPr>
          <w:rFonts w:eastAsia="National-Book"/>
          <w:i/>
        </w:rPr>
        <w:t>coastal waters</w:t>
      </w:r>
      <w:r w:rsidRPr="00472578">
        <w:rPr>
          <w:rFonts w:eastAsia="National-Book"/>
        </w:rPr>
        <w:t xml:space="preserve"> and marine dumping of waste degrade </w:t>
      </w:r>
      <w:r w:rsidR="00212778" w:rsidRPr="009C237D">
        <w:rPr>
          <w:strike/>
        </w:rPr>
        <w:t>mahika kai</w:t>
      </w:r>
      <w:r w:rsidR="00212778" w:rsidRPr="00472578">
        <w:rPr>
          <w:rFonts w:eastAsia="National-Book"/>
        </w:rPr>
        <w:t xml:space="preserve"> </w:t>
      </w:r>
      <w:r w:rsidR="00212778" w:rsidRPr="00071AAF">
        <w:rPr>
          <w:i/>
          <w:iCs w:val="0"/>
          <w:u w:val="single"/>
        </w:rPr>
        <w:t>mahika kai</w:t>
      </w:r>
      <w:r w:rsidR="00212778">
        <w:rPr>
          <w:rStyle w:val="FootnoteReference"/>
        </w:rPr>
        <w:footnoteReference w:id="482"/>
      </w:r>
      <w:r w:rsidR="00212778" w:rsidRPr="00472578">
        <w:rPr>
          <w:iCs w:val="0"/>
        </w:rPr>
        <w:t xml:space="preserve"> </w:t>
      </w:r>
      <w:r w:rsidRPr="00472578">
        <w:rPr>
          <w:rFonts w:eastAsia="National-Book"/>
        </w:rPr>
        <w:t xml:space="preserve">and the mauri of the </w:t>
      </w:r>
      <w:r w:rsidRPr="00472578">
        <w:rPr>
          <w:rFonts w:eastAsia="National-Book"/>
          <w:i/>
        </w:rPr>
        <w:t>waters</w:t>
      </w:r>
    </w:p>
    <w:p w14:paraId="43F365C2" w14:textId="77777777" w:rsidR="00B02DBF" w:rsidRPr="00472578" w:rsidRDefault="00B02DBF" w:rsidP="00E92686">
      <w:pPr>
        <w:pStyle w:val="JustifiedSpacing"/>
      </w:pPr>
      <w:r w:rsidRPr="00472578">
        <w:t xml:space="preserve">The practice of using the marine environment as a sink for disposal of waste from </w:t>
      </w:r>
      <w:r w:rsidRPr="00472578">
        <w:rPr>
          <w:strike/>
        </w:rPr>
        <w:t xml:space="preserve">both </w:t>
      </w:r>
      <w:r w:rsidRPr="00472578">
        <w:rPr>
          <w:i/>
          <w:iCs/>
          <w:strike/>
        </w:rPr>
        <w:t>land</w:t>
      </w:r>
      <w:r w:rsidRPr="00472578">
        <w:rPr>
          <w:strike/>
        </w:rPr>
        <w:t xml:space="preserve"> development and marine vessels</w:t>
      </w:r>
      <w:r w:rsidRPr="00472578">
        <w:t xml:space="preserve"> </w:t>
      </w:r>
      <w:r w:rsidRPr="00472578">
        <w:rPr>
          <w:u w:val="single"/>
          <w:lang w:val="en-AU"/>
        </w:rPr>
        <w:t>activities that occur on land and in the marine environment</w:t>
      </w:r>
      <w:r w:rsidRPr="00472578">
        <w:rPr>
          <w:rStyle w:val="FootnoteReference"/>
          <w:lang w:val="en-AU"/>
        </w:rPr>
        <w:footnoteReference w:id="483"/>
      </w:r>
      <w:r w:rsidRPr="00472578">
        <w:t xml:space="preserve"> is culturally offensive and has resulted in degradation of kaimoana resources. Leaching and overland runoff of </w:t>
      </w:r>
      <w:r w:rsidRPr="00472578">
        <w:rPr>
          <w:i/>
          <w:iCs/>
        </w:rPr>
        <w:t>contaminants</w:t>
      </w:r>
      <w:r w:rsidRPr="00472578">
        <w:t xml:space="preserve"> from activities occurring near the coast have also contributed to the adverse </w:t>
      </w:r>
      <w:r w:rsidRPr="00472578">
        <w:rPr>
          <w:i/>
          <w:iCs/>
        </w:rPr>
        <w:t>effects</w:t>
      </w:r>
      <w:r w:rsidRPr="00472578">
        <w:t xml:space="preserve"> on the marine area. </w:t>
      </w:r>
    </w:p>
    <w:p w14:paraId="6B9398D1"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Specific concerns include:</w:t>
      </w:r>
    </w:p>
    <w:p w14:paraId="185A85DC" w14:textId="77777777" w:rsidR="00B02DBF" w:rsidRPr="00472578" w:rsidRDefault="00B02DBF" w:rsidP="00E92686">
      <w:pPr>
        <w:pStyle w:val="JustifiedSpacing"/>
        <w:numPr>
          <w:ilvl w:val="0"/>
          <w:numId w:val="23"/>
        </w:numPr>
        <w:ind w:left="567" w:hanging="567"/>
        <w:contextualSpacing/>
      </w:pPr>
      <w:r w:rsidRPr="00472578">
        <w:t xml:space="preserve">Point source industrial </w:t>
      </w:r>
      <w:r w:rsidRPr="00472578">
        <w:rPr>
          <w:i/>
          <w:iCs/>
        </w:rPr>
        <w:t>discharges</w:t>
      </w:r>
      <w:r w:rsidRPr="00472578">
        <w:t xml:space="preserve"> to the coastal environment.</w:t>
      </w:r>
    </w:p>
    <w:p w14:paraId="63CE0D2E" w14:textId="77777777" w:rsidR="00B02DBF" w:rsidRPr="00472578" w:rsidRDefault="00B02DBF" w:rsidP="00E92686">
      <w:pPr>
        <w:pStyle w:val="JustifiedSpacing"/>
        <w:numPr>
          <w:ilvl w:val="0"/>
          <w:numId w:val="23"/>
        </w:numPr>
        <w:ind w:left="567" w:hanging="567"/>
        <w:contextualSpacing/>
      </w:pPr>
      <w:r w:rsidRPr="00472578">
        <w:t xml:space="preserve">Contamination of </w:t>
      </w:r>
      <w:r w:rsidRPr="00472578">
        <w:rPr>
          <w:i/>
          <w:iCs/>
        </w:rPr>
        <w:t>coastal waters</w:t>
      </w:r>
      <w:r w:rsidRPr="00472578">
        <w:t xml:space="preserve"> by leachate from inappropriately sited </w:t>
      </w:r>
      <w:r w:rsidRPr="00472578">
        <w:rPr>
          <w:i/>
          <w:iCs/>
        </w:rPr>
        <w:t>landfills</w:t>
      </w:r>
      <w:r w:rsidRPr="00472578">
        <w:t xml:space="preserve"> and other waste disposal sites and runoff from coastal subdivisions.</w:t>
      </w:r>
    </w:p>
    <w:p w14:paraId="72DC89C1" w14:textId="77777777" w:rsidR="00B02DBF" w:rsidRPr="00472578" w:rsidRDefault="00B02DBF" w:rsidP="00E92686">
      <w:pPr>
        <w:pStyle w:val="JustifiedSpacing"/>
        <w:numPr>
          <w:ilvl w:val="0"/>
          <w:numId w:val="23"/>
        </w:numPr>
        <w:ind w:left="567" w:hanging="567"/>
        <w:contextualSpacing/>
      </w:pPr>
      <w:r w:rsidRPr="00472578">
        <w:rPr>
          <w:i/>
          <w:iCs/>
        </w:rPr>
        <w:t>Discharges</w:t>
      </w:r>
      <w:r w:rsidRPr="00472578">
        <w:t xml:space="preserve"> of </w:t>
      </w:r>
      <w:r w:rsidRPr="00472578">
        <w:rPr>
          <w:i/>
          <w:iCs/>
        </w:rPr>
        <w:t>sewage</w:t>
      </w:r>
      <w:r w:rsidRPr="00472578">
        <w:t xml:space="preserve"> from marine outfalls, poorly designed or inadequate coastal sewerage </w:t>
      </w:r>
      <w:r w:rsidRPr="00472578">
        <w:rPr>
          <w:i/>
          <w:iCs/>
        </w:rPr>
        <w:t>infrastructure</w:t>
      </w:r>
      <w:r w:rsidRPr="00472578">
        <w:t xml:space="preserve"> and freedom camping.</w:t>
      </w:r>
    </w:p>
    <w:p w14:paraId="119DAE79" w14:textId="77777777" w:rsidR="00B02DBF" w:rsidRPr="00472578" w:rsidRDefault="00B02DBF" w:rsidP="00E92686">
      <w:pPr>
        <w:pStyle w:val="JustifiedSpacing"/>
        <w:numPr>
          <w:ilvl w:val="0"/>
          <w:numId w:val="23"/>
        </w:numPr>
        <w:ind w:left="567" w:hanging="567"/>
        <w:contextualSpacing/>
      </w:pPr>
      <w:r w:rsidRPr="00472578">
        <w:t xml:space="preserve">The </w:t>
      </w:r>
      <w:r w:rsidRPr="00472578">
        <w:rPr>
          <w:i/>
          <w:iCs/>
        </w:rPr>
        <w:t>effects</w:t>
      </w:r>
      <w:r w:rsidRPr="00472578">
        <w:t xml:space="preserve"> of </w:t>
      </w:r>
      <w:r w:rsidRPr="00472578">
        <w:rPr>
          <w:i/>
          <w:iCs/>
        </w:rPr>
        <w:t>contaminants</w:t>
      </w:r>
      <w:r w:rsidRPr="00472578">
        <w:t xml:space="preserve"> such as oil and carbon particles in </w:t>
      </w:r>
      <w:r w:rsidRPr="00472578">
        <w:rPr>
          <w:i/>
          <w:iCs/>
        </w:rPr>
        <w:t>discharges</w:t>
      </w:r>
      <w:r w:rsidRPr="00472578">
        <w:t xml:space="preserve"> of </w:t>
      </w:r>
      <w:r w:rsidRPr="00472578">
        <w:rPr>
          <w:i/>
          <w:iCs/>
        </w:rPr>
        <w:t>stormwater</w:t>
      </w:r>
      <w:r w:rsidRPr="00472578">
        <w:t xml:space="preserve"> from urban </w:t>
      </w:r>
      <w:r w:rsidRPr="00472578">
        <w:rPr>
          <w:i/>
          <w:iCs/>
        </w:rPr>
        <w:t>roads</w:t>
      </w:r>
      <w:r w:rsidRPr="00472578">
        <w:t>.</w:t>
      </w:r>
    </w:p>
    <w:p w14:paraId="693B0716" w14:textId="77777777" w:rsidR="00B02DBF" w:rsidRPr="00472578" w:rsidRDefault="00B02DBF" w:rsidP="00E92686">
      <w:pPr>
        <w:pStyle w:val="JustifiedSpacing"/>
        <w:numPr>
          <w:ilvl w:val="0"/>
          <w:numId w:val="23"/>
        </w:numPr>
        <w:ind w:left="567" w:hanging="567"/>
        <w:contextualSpacing/>
      </w:pPr>
      <w:r w:rsidRPr="00472578">
        <w:rPr>
          <w:i/>
          <w:iCs/>
        </w:rPr>
        <w:t>Discharges</w:t>
      </w:r>
      <w:r w:rsidRPr="00472578">
        <w:t xml:space="preserve"> of </w:t>
      </w:r>
      <w:r w:rsidRPr="00472578">
        <w:rPr>
          <w:i/>
          <w:iCs/>
        </w:rPr>
        <w:t>sewage</w:t>
      </w:r>
      <w:r w:rsidRPr="00472578">
        <w:t xml:space="preserve"> and contaminated bilge and ballast </w:t>
      </w:r>
      <w:r w:rsidRPr="00472578">
        <w:rPr>
          <w:i/>
          <w:iCs/>
        </w:rPr>
        <w:t>water</w:t>
      </w:r>
      <w:r w:rsidRPr="00472578">
        <w:t xml:space="preserve"> from </w:t>
      </w:r>
      <w:r w:rsidRPr="00472578">
        <w:rPr>
          <w:i/>
          <w:iCs/>
        </w:rPr>
        <w:t>ships</w:t>
      </w:r>
      <w:r w:rsidRPr="00472578">
        <w:t>.</w:t>
      </w:r>
    </w:p>
    <w:p w14:paraId="188BBA80" w14:textId="7FAA6B4E" w:rsidR="00B02DBF" w:rsidRPr="00472578" w:rsidRDefault="00B02DBF" w:rsidP="00E92686">
      <w:pPr>
        <w:pStyle w:val="JustifiedSpacing"/>
        <w:numPr>
          <w:ilvl w:val="0"/>
          <w:numId w:val="23"/>
        </w:numPr>
        <w:ind w:left="567" w:hanging="567"/>
        <w:contextualSpacing/>
      </w:pPr>
      <w:r w:rsidRPr="00472578">
        <w:t>Proliferation of rubbish in the coastal environment</w:t>
      </w:r>
      <w:r w:rsidRPr="00472578">
        <w:rPr>
          <w:u w:val="single"/>
        </w:rPr>
        <w:t xml:space="preserve"> and in lakes and rivers</w:t>
      </w:r>
      <w:r w:rsidRPr="00472578">
        <w:t>,</w:t>
      </w:r>
      <w:r w:rsidRPr="00472578">
        <w:rPr>
          <w:rStyle w:val="FootnoteReference"/>
        </w:rPr>
        <w:footnoteReference w:id="484"/>
      </w:r>
      <w:r w:rsidRPr="00472578">
        <w:t xml:space="preserve"> including materials such as lengths of rope from boats and moorings, plastic packaging strips, discarded and lost fishing gear, glass and plastic bottles as well as other dumped material.</w:t>
      </w:r>
    </w:p>
    <w:p w14:paraId="437E7C5E" w14:textId="77777777" w:rsidR="00B02DBF" w:rsidRPr="00472578" w:rsidRDefault="00B02DBF" w:rsidP="00E92686">
      <w:pPr>
        <w:pStyle w:val="JustifiedSpacing"/>
        <w:numPr>
          <w:ilvl w:val="0"/>
          <w:numId w:val="23"/>
        </w:numPr>
        <w:ind w:left="567" w:hanging="567"/>
        <w:contextualSpacing/>
      </w:pPr>
      <w:r w:rsidRPr="00472578">
        <w:rPr>
          <w:i/>
          <w:iCs/>
        </w:rPr>
        <w:t>Discharge</w:t>
      </w:r>
      <w:r w:rsidRPr="00472578">
        <w:t xml:space="preserve"> or disposal of waste products from the processing of marine species.</w:t>
      </w:r>
    </w:p>
    <w:p w14:paraId="66760101" w14:textId="77777777" w:rsidR="00B02DBF" w:rsidRPr="00472578" w:rsidRDefault="00B02DBF" w:rsidP="00E92686">
      <w:pPr>
        <w:pStyle w:val="JustifiedSpacing"/>
        <w:numPr>
          <w:ilvl w:val="0"/>
          <w:numId w:val="23"/>
        </w:numPr>
        <w:ind w:left="567" w:hanging="567"/>
        <w:contextualSpacing/>
      </w:pPr>
      <w:r w:rsidRPr="00472578">
        <w:t>Oil and chemical spills negatively affecting the natural environment.</w:t>
      </w:r>
    </w:p>
    <w:p w14:paraId="581181EB" w14:textId="77777777" w:rsidR="00B02DBF" w:rsidRPr="00472578" w:rsidRDefault="00B02DBF" w:rsidP="00E92686">
      <w:pPr>
        <w:pStyle w:val="JustifiedSpacing"/>
        <w:numPr>
          <w:ilvl w:val="0"/>
          <w:numId w:val="23"/>
        </w:numPr>
        <w:ind w:left="567" w:hanging="567"/>
        <w:rPr>
          <w:rFonts w:eastAsia="National-Book"/>
        </w:rPr>
      </w:pPr>
      <w:r w:rsidRPr="00472578">
        <w:rPr>
          <w:rFonts w:eastAsia="National-Book"/>
        </w:rPr>
        <w:t xml:space="preserve">Indiscriminate </w:t>
      </w:r>
      <w:r w:rsidRPr="00472578">
        <w:rPr>
          <w:rFonts w:eastAsia="National-Book"/>
          <w:i/>
        </w:rPr>
        <w:t>discharge</w:t>
      </w:r>
      <w:r w:rsidRPr="00472578">
        <w:rPr>
          <w:rFonts w:eastAsia="National-Book"/>
        </w:rPr>
        <w:t xml:space="preserve"> of human ashes in sensitive areas such as kaimoana areas, or without the knowledge of </w:t>
      </w:r>
      <w:r w:rsidRPr="00472578">
        <w:rPr>
          <w:rFonts w:eastAsia="National-Book"/>
          <w:i/>
          <w:iCs/>
        </w:rPr>
        <w:t>takata whenua</w:t>
      </w:r>
      <w:r w:rsidRPr="00472578">
        <w:rPr>
          <w:rFonts w:eastAsia="National-Book"/>
        </w:rPr>
        <w:t xml:space="preserve">. </w:t>
      </w:r>
    </w:p>
    <w:p w14:paraId="32B1E632" w14:textId="76458E44" w:rsidR="00B02DBF" w:rsidRPr="00472578" w:rsidRDefault="00B02DBF" w:rsidP="00E92686">
      <w:pPr>
        <w:pStyle w:val="Heading4"/>
        <w:jc w:val="both"/>
        <w:rPr>
          <w:rFonts w:eastAsia="National-Book"/>
        </w:rPr>
      </w:pPr>
      <w:r w:rsidRPr="00472578">
        <w:rPr>
          <w:rFonts w:eastAsia="National-Book"/>
        </w:rPr>
        <w:t>RMIA</w:t>
      </w:r>
      <w:r w:rsidR="00A14880" w:rsidRPr="00472578">
        <w:t>-CE-</w:t>
      </w:r>
      <w:r w:rsidRPr="00472578">
        <w:rPr>
          <w:rFonts w:eastAsia="National-Book"/>
        </w:rPr>
        <w:t xml:space="preserve">I3 – The ability for Kāi Tahu ki Otago to access and harvest kaimoana has been impeded by the </w:t>
      </w:r>
      <w:r w:rsidRPr="00472578">
        <w:rPr>
          <w:rFonts w:eastAsia="National-Book"/>
          <w:i/>
        </w:rPr>
        <w:t>effects</w:t>
      </w:r>
      <w:r w:rsidRPr="00472578">
        <w:rPr>
          <w:rFonts w:eastAsia="National-Book"/>
        </w:rPr>
        <w:t xml:space="preserve"> of activities in the coastal and marine environment</w:t>
      </w:r>
    </w:p>
    <w:p w14:paraId="6DD8CD20"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 xml:space="preserve">Parts of the coastal environment in Otago have been heavily modified since the arrival of settlers. Many parts of the coast around Dunedin have been reclaimed to establish the city, and the harbor has been dredged to enable the growth of the port. This has limited the ability for whānau to carry out customary harvest of kaimoana resources and to access sites of significance for customary fishing. Whānau are often unable to physically access the foreshore and seabed for the collection of </w:t>
      </w:r>
      <w:proofErr w:type="gramStart"/>
      <w:r w:rsidRPr="00472578">
        <w:rPr>
          <w:rFonts w:ascii="Calibri" w:eastAsia="Calibri" w:hAnsi="Calibri" w:cs="Calibri"/>
        </w:rPr>
        <w:t>kaimoana, or</w:t>
      </w:r>
      <w:proofErr w:type="gramEnd"/>
      <w:r w:rsidRPr="00472578">
        <w:rPr>
          <w:rFonts w:ascii="Calibri" w:eastAsia="Calibri" w:hAnsi="Calibri" w:cs="Calibri"/>
        </w:rPr>
        <w:t xml:space="preserve"> find that kai is no longer safe to eat due to pollution.</w:t>
      </w:r>
    </w:p>
    <w:p w14:paraId="314230F9" w14:textId="77777777" w:rsidR="00B02DBF" w:rsidRPr="00472578" w:rsidRDefault="00B02DBF" w:rsidP="00E92686">
      <w:pPr>
        <w:autoSpaceDE w:val="0"/>
        <w:autoSpaceDN w:val="0"/>
        <w:adjustRightInd w:val="0"/>
        <w:jc w:val="both"/>
        <w:rPr>
          <w:rFonts w:ascii="Calibri" w:eastAsia="Calibri" w:hAnsi="Calibri" w:cs="Calibri"/>
        </w:rPr>
      </w:pPr>
      <w:r w:rsidRPr="00472578">
        <w:rPr>
          <w:rFonts w:ascii="Calibri" w:eastAsia="Calibri" w:hAnsi="Calibri" w:cs="Calibri"/>
        </w:rPr>
        <w:t>Specific concerns include:</w:t>
      </w:r>
    </w:p>
    <w:p w14:paraId="535D8D1C" w14:textId="77777777" w:rsidR="00B02DBF" w:rsidRPr="00472578" w:rsidRDefault="00B02DBF" w:rsidP="00E92686">
      <w:pPr>
        <w:pStyle w:val="JustifiedSpacing"/>
        <w:numPr>
          <w:ilvl w:val="0"/>
          <w:numId w:val="24"/>
        </w:numPr>
        <w:ind w:left="567" w:hanging="567"/>
        <w:contextualSpacing/>
      </w:pPr>
      <w:r w:rsidRPr="00472578">
        <w:t xml:space="preserve">Impacts on kaimoana and associated habitats from the </w:t>
      </w:r>
      <w:r w:rsidRPr="00472578">
        <w:rPr>
          <w:i/>
          <w:iCs/>
        </w:rPr>
        <w:t>effects</w:t>
      </w:r>
      <w:r w:rsidRPr="00472578">
        <w:t xml:space="preserve"> of waterway modifications on estuarine systems and the </w:t>
      </w:r>
      <w:r w:rsidRPr="00472578">
        <w:rPr>
          <w:i/>
          <w:iCs/>
        </w:rPr>
        <w:t>freshwater</w:t>
      </w:r>
      <w:r w:rsidRPr="00472578">
        <w:t xml:space="preserve">/saltwater interface. </w:t>
      </w:r>
    </w:p>
    <w:p w14:paraId="46FB3E0B" w14:textId="77777777" w:rsidR="00B02DBF" w:rsidRPr="00472578" w:rsidRDefault="00B02DBF" w:rsidP="00E92686">
      <w:pPr>
        <w:pStyle w:val="JustifiedSpacing"/>
        <w:numPr>
          <w:ilvl w:val="0"/>
          <w:numId w:val="24"/>
        </w:numPr>
        <w:ind w:left="567" w:hanging="567"/>
        <w:contextualSpacing/>
      </w:pPr>
      <w:r w:rsidRPr="00472578">
        <w:t xml:space="preserve">Modification or loss of marine habitats </w:t>
      </w:r>
      <w:proofErr w:type="gramStart"/>
      <w:r w:rsidRPr="00472578">
        <w:t>as a result of</w:t>
      </w:r>
      <w:proofErr w:type="gramEnd"/>
      <w:r w:rsidRPr="00472578">
        <w:t xml:space="preserve"> </w:t>
      </w:r>
      <w:r w:rsidRPr="00472578">
        <w:rPr>
          <w:i/>
          <w:iCs/>
        </w:rPr>
        <w:t>reclamation</w:t>
      </w:r>
      <w:r w:rsidRPr="00472578">
        <w:t xml:space="preserve">, dredging and dumping. </w:t>
      </w:r>
    </w:p>
    <w:p w14:paraId="2F8801CA" w14:textId="77777777" w:rsidR="00B02DBF" w:rsidRPr="00472578" w:rsidRDefault="00B02DBF" w:rsidP="00E92686">
      <w:pPr>
        <w:pStyle w:val="JustifiedSpacing"/>
        <w:numPr>
          <w:ilvl w:val="0"/>
          <w:numId w:val="24"/>
        </w:numPr>
        <w:ind w:left="567" w:hanging="567"/>
        <w:contextualSpacing/>
      </w:pPr>
      <w:r w:rsidRPr="00472578">
        <w:t>Disturbance of intertidal habitats by vehicle access along beaches.</w:t>
      </w:r>
    </w:p>
    <w:p w14:paraId="0FB97B67" w14:textId="77777777" w:rsidR="00B02DBF" w:rsidRPr="00472578" w:rsidRDefault="00B02DBF" w:rsidP="00E92686">
      <w:pPr>
        <w:pStyle w:val="JustifiedSpacing"/>
        <w:numPr>
          <w:ilvl w:val="0"/>
          <w:numId w:val="24"/>
        </w:numPr>
        <w:ind w:left="567" w:hanging="567"/>
        <w:contextualSpacing/>
      </w:pPr>
      <w:r w:rsidRPr="00472578">
        <w:t xml:space="preserve">Potential for modification and displacement of habitats by </w:t>
      </w:r>
      <w:r w:rsidRPr="00472578">
        <w:rPr>
          <w:i/>
          <w:iCs/>
        </w:rPr>
        <w:t>aquaculture activities</w:t>
      </w:r>
      <w:r w:rsidRPr="00472578">
        <w:t>.</w:t>
      </w:r>
    </w:p>
    <w:p w14:paraId="59BFC9CD" w14:textId="77777777" w:rsidR="00B02DBF" w:rsidRPr="00472578" w:rsidRDefault="00B02DBF" w:rsidP="00E92686">
      <w:pPr>
        <w:pStyle w:val="JustifiedSpacing"/>
        <w:numPr>
          <w:ilvl w:val="0"/>
          <w:numId w:val="24"/>
        </w:numPr>
        <w:ind w:left="567" w:hanging="567"/>
        <w:contextualSpacing/>
      </w:pPr>
      <w:r w:rsidRPr="00472578">
        <w:t xml:space="preserve">The negative </w:t>
      </w:r>
      <w:r w:rsidRPr="00472578">
        <w:rPr>
          <w:i/>
          <w:iCs/>
        </w:rPr>
        <w:t>effects</w:t>
      </w:r>
      <w:r w:rsidRPr="00472578">
        <w:t xml:space="preserve"> of point and non-point source </w:t>
      </w:r>
      <w:r w:rsidRPr="00472578">
        <w:rPr>
          <w:i/>
          <w:iCs/>
        </w:rPr>
        <w:t>discharges</w:t>
      </w:r>
      <w:r w:rsidRPr="00472578">
        <w:t xml:space="preserve"> on </w:t>
      </w:r>
      <w:r w:rsidRPr="00472578">
        <w:rPr>
          <w:i/>
          <w:iCs/>
        </w:rPr>
        <w:t>water</w:t>
      </w:r>
      <w:r w:rsidRPr="00472578">
        <w:t xml:space="preserve"> quality.</w:t>
      </w:r>
    </w:p>
    <w:p w14:paraId="2DAD9DD5" w14:textId="77777777" w:rsidR="00B02DBF" w:rsidRPr="00472578" w:rsidRDefault="00B02DBF" w:rsidP="00E92686">
      <w:pPr>
        <w:pStyle w:val="JustifiedSpacing"/>
        <w:numPr>
          <w:ilvl w:val="0"/>
          <w:numId w:val="24"/>
        </w:numPr>
        <w:ind w:left="567" w:hanging="567"/>
        <w:contextualSpacing/>
      </w:pPr>
      <w:r w:rsidRPr="00472578">
        <w:t xml:space="preserve">The introduction and spread of exotic species, such as the invasive seaweed </w:t>
      </w:r>
      <w:r w:rsidRPr="00472578">
        <w:rPr>
          <w:i/>
          <w:iCs/>
        </w:rPr>
        <w:t>undaria</w:t>
      </w:r>
      <w:r w:rsidRPr="00472578">
        <w:t xml:space="preserve">, through ballast, hull cleaning, and other shipping activities. </w:t>
      </w:r>
    </w:p>
    <w:p w14:paraId="788CBE7B" w14:textId="77777777" w:rsidR="00B02DBF" w:rsidRPr="00472578" w:rsidRDefault="00B02DBF" w:rsidP="00E92686">
      <w:pPr>
        <w:pStyle w:val="JustifiedSpacing"/>
        <w:numPr>
          <w:ilvl w:val="0"/>
          <w:numId w:val="24"/>
        </w:numPr>
        <w:ind w:left="567" w:hanging="567"/>
      </w:pPr>
      <w:r w:rsidRPr="00472578">
        <w:lastRenderedPageBreak/>
        <w:t xml:space="preserve">Loss of access due to development of coastal </w:t>
      </w:r>
      <w:r w:rsidRPr="00472578">
        <w:rPr>
          <w:i/>
          <w:iCs/>
        </w:rPr>
        <w:t>land</w:t>
      </w:r>
      <w:r w:rsidRPr="00472578">
        <w:t>.</w:t>
      </w:r>
    </w:p>
    <w:p w14:paraId="4A74672C" w14:textId="0D7ED4D3" w:rsidR="00B02DBF" w:rsidRPr="00472578" w:rsidRDefault="00B02DBF" w:rsidP="00E92686">
      <w:pPr>
        <w:pStyle w:val="Heading4"/>
        <w:jc w:val="both"/>
        <w:rPr>
          <w:rFonts w:eastAsia="National-Book"/>
        </w:rPr>
      </w:pPr>
      <w:r w:rsidRPr="00472578">
        <w:rPr>
          <w:rFonts w:eastAsia="National-Book"/>
        </w:rPr>
        <w:t>RMIA</w:t>
      </w:r>
      <w:r w:rsidR="00A14880" w:rsidRPr="00472578">
        <w:t>-CE-</w:t>
      </w:r>
      <w:r w:rsidRPr="00472578">
        <w:rPr>
          <w:rFonts w:eastAsia="National-Book"/>
        </w:rPr>
        <w:t>I4 – Habitat disturbance and modification has contributed to decline in populations of indigenous marine species, including marine mammals</w:t>
      </w:r>
    </w:p>
    <w:p w14:paraId="6EA6F1CD" w14:textId="7C145246" w:rsidR="00B02DBF" w:rsidRPr="00472578" w:rsidRDefault="00B02DBF" w:rsidP="00E92686">
      <w:pPr>
        <w:pStyle w:val="JustifiedSpacing"/>
      </w:pPr>
      <w:r w:rsidRPr="00472578">
        <w:t>Indigenous marine species, including marine mammals, are regarded as taoka by Kāi Tahu, and in many cases these are recognised through the NTCSA</w:t>
      </w:r>
      <w:r w:rsidR="00C66405" w:rsidRPr="00EF1863">
        <w:rPr>
          <w:rFonts w:cs="Times New Roman"/>
          <w:strike/>
        </w:rPr>
        <w:t xml:space="preserve"> 1998</w:t>
      </w:r>
      <w:r w:rsidR="00C66405">
        <w:rPr>
          <w:rStyle w:val="FootnoteReference"/>
          <w:rFonts w:cs="Times New Roman"/>
        </w:rPr>
        <w:footnoteReference w:id="485"/>
      </w:r>
      <w:r w:rsidRPr="00472578">
        <w:t xml:space="preserve">. The health and abundance of marine species populations are threatened by modification and loss of natural habitat </w:t>
      </w:r>
      <w:proofErr w:type="gramStart"/>
      <w:r w:rsidRPr="00472578">
        <w:t>as a result of</w:t>
      </w:r>
      <w:proofErr w:type="gramEnd"/>
      <w:r w:rsidRPr="00472578">
        <w:t xml:space="preserve"> the impacts identified in RMIA</w:t>
      </w:r>
      <w:r w:rsidR="00A14880" w:rsidRPr="00472578">
        <w:t>-CE-</w:t>
      </w:r>
      <w:r w:rsidRPr="00472578">
        <w:t>I2 and RMIA</w:t>
      </w:r>
      <w:r w:rsidR="00A14880" w:rsidRPr="00472578">
        <w:t>-CE-</w:t>
      </w:r>
      <w:r w:rsidRPr="00472578">
        <w:t xml:space="preserve">I3. </w:t>
      </w:r>
    </w:p>
    <w:p w14:paraId="1597381E" w14:textId="14A73570" w:rsidR="00B02DBF" w:rsidRPr="00472578" w:rsidRDefault="00B02DBF" w:rsidP="00E92686">
      <w:pPr>
        <w:pStyle w:val="Heading4"/>
        <w:jc w:val="both"/>
        <w:rPr>
          <w:rFonts w:eastAsia="National-Book"/>
        </w:rPr>
      </w:pPr>
      <w:r w:rsidRPr="00472578">
        <w:rPr>
          <w:rFonts w:eastAsia="National-Book"/>
        </w:rPr>
        <w:t>RMIA</w:t>
      </w:r>
      <w:r w:rsidR="00A14880" w:rsidRPr="00472578">
        <w:t>-CE-</w:t>
      </w:r>
      <w:r w:rsidRPr="00472578">
        <w:t>I</w:t>
      </w:r>
      <w:r w:rsidRPr="00472578">
        <w:rPr>
          <w:rFonts w:eastAsia="National-Book"/>
        </w:rPr>
        <w:t xml:space="preserve">5 – Wāhi tapu and </w:t>
      </w:r>
      <w:r w:rsidRPr="00472578">
        <w:rPr>
          <w:rFonts w:eastAsia="National-Book"/>
          <w:i/>
          <w:iCs w:val="0"/>
        </w:rPr>
        <w:t>wāhi tūpuna</w:t>
      </w:r>
      <w:r w:rsidRPr="00472578">
        <w:rPr>
          <w:rFonts w:eastAsia="National-Book"/>
        </w:rPr>
        <w:t xml:space="preserve"> values in the coastal environment are poorly recognised and protected</w:t>
      </w:r>
    </w:p>
    <w:p w14:paraId="65508713" w14:textId="57E7E4A0" w:rsidR="00B02DBF" w:rsidRPr="00472578" w:rsidRDefault="00B02DBF" w:rsidP="00E92686">
      <w:pPr>
        <w:pStyle w:val="JustifiedSpacing"/>
      </w:pPr>
      <w:r w:rsidRPr="00472578">
        <w:t xml:space="preserve">The coastal environment is the domain of Takaroa and includes the </w:t>
      </w:r>
      <w:r w:rsidRPr="00472578">
        <w:rPr>
          <w:i/>
          <w:iCs/>
        </w:rPr>
        <w:t>coastal waters</w:t>
      </w:r>
      <w:r w:rsidRPr="00472578">
        <w:t xml:space="preserve"> of </w:t>
      </w:r>
      <w:r w:rsidRPr="00472578">
        <w:rPr>
          <w:iCs/>
        </w:rPr>
        <w:t xml:space="preserve">Te </w:t>
      </w:r>
      <w:r w:rsidRPr="00472578">
        <w:rPr>
          <w:iCs/>
          <w:strike/>
        </w:rPr>
        <w:t xml:space="preserve">Tai o Ara Te Uru </w:t>
      </w:r>
      <w:r w:rsidRPr="00472578">
        <w:rPr>
          <w:iCs/>
          <w:u w:val="single"/>
        </w:rPr>
        <w:t>Tai – o – Araiteuru</w:t>
      </w:r>
      <w:r w:rsidRPr="00472578">
        <w:rPr>
          <w:rStyle w:val="FootnoteReference"/>
          <w:iCs/>
        </w:rPr>
        <w:footnoteReference w:id="486"/>
      </w:r>
      <w:r w:rsidRPr="00472578">
        <w:t xml:space="preserve"> as well as the adjoining land. Tauraka waka (waka landing places) occur up and down the coast in their hundreds and wherever a tauraka waka is located there is also likely to be a </w:t>
      </w:r>
      <w:r w:rsidRPr="00472578">
        <w:rPr>
          <w:i/>
          <w:iCs/>
        </w:rPr>
        <w:t>nohoaka</w:t>
      </w:r>
      <w:r w:rsidRPr="00472578">
        <w:t xml:space="preserve">, fishing ground, kaimoana resource, or rimurapa (seaweed) with the sea trail linked to a land trail or </w:t>
      </w:r>
      <w:r w:rsidR="00212778" w:rsidRPr="009C237D">
        <w:rPr>
          <w:strike/>
        </w:rPr>
        <w:t>mahika kai</w:t>
      </w:r>
      <w:r w:rsidR="00212778" w:rsidRPr="00472578">
        <w:t xml:space="preserve"> </w:t>
      </w:r>
      <w:r w:rsidR="00212778" w:rsidRPr="00071AAF">
        <w:rPr>
          <w:i/>
          <w:iCs/>
          <w:u w:val="single"/>
        </w:rPr>
        <w:t>mahika kai</w:t>
      </w:r>
      <w:r w:rsidR="00212778">
        <w:rPr>
          <w:rStyle w:val="FootnoteReference"/>
        </w:rPr>
        <w:footnoteReference w:id="487"/>
      </w:r>
      <w:r w:rsidR="00212778" w:rsidRPr="00472578">
        <w:rPr>
          <w:iCs/>
        </w:rPr>
        <w:t xml:space="preserve"> </w:t>
      </w:r>
      <w:r w:rsidRPr="00472578">
        <w:t xml:space="preserve">resource. Burial sites and other wāhi tapu are also associated with these </w:t>
      </w:r>
      <w:r w:rsidRPr="00472578">
        <w:rPr>
          <w:i/>
          <w:iCs/>
        </w:rPr>
        <w:t>wāhi tūpuna</w:t>
      </w:r>
      <w:r w:rsidRPr="00472578">
        <w:t xml:space="preserve">. Seascapes such as reef systems also form part of </w:t>
      </w:r>
      <w:r w:rsidRPr="00472578">
        <w:rPr>
          <w:i/>
          <w:iCs/>
        </w:rPr>
        <w:t>wāhi tūpuna</w:t>
      </w:r>
      <w:r w:rsidRPr="00472578">
        <w:t>.</w:t>
      </w:r>
    </w:p>
    <w:p w14:paraId="5D5ADC3C" w14:textId="77777777" w:rsidR="00B02DBF" w:rsidRPr="00472578" w:rsidRDefault="00B02DBF" w:rsidP="00E92686">
      <w:pPr>
        <w:pStyle w:val="JustifiedSpacing"/>
      </w:pPr>
      <w:r w:rsidRPr="00472578">
        <w:t xml:space="preserve">Wāhi tapu and the broader </w:t>
      </w:r>
      <w:r w:rsidRPr="00472578">
        <w:rPr>
          <w:i/>
          <w:iCs/>
        </w:rPr>
        <w:t>wāhi tūpuna</w:t>
      </w:r>
      <w:r w:rsidRPr="00472578">
        <w:t xml:space="preserve"> can be adversely affected by inappropriate activities and developments on coastal land and in the </w:t>
      </w:r>
      <w:r w:rsidRPr="00472578">
        <w:rPr>
          <w:i/>
          <w:iCs/>
        </w:rPr>
        <w:t>coastal marine areas</w:t>
      </w:r>
      <w:r w:rsidRPr="00472578">
        <w:t>.</w:t>
      </w:r>
    </w:p>
    <w:p w14:paraId="01BFDF10" w14:textId="77777777" w:rsidR="00B02DBF" w:rsidRPr="00472578" w:rsidRDefault="00B02DBF" w:rsidP="00E92686">
      <w:pPr>
        <w:pStyle w:val="JustifiedSpacing"/>
      </w:pPr>
      <w:r w:rsidRPr="00472578">
        <w:t>Specific concerns include:</w:t>
      </w:r>
    </w:p>
    <w:p w14:paraId="38DD268E" w14:textId="77777777" w:rsidR="00B02DBF" w:rsidRPr="00472578" w:rsidRDefault="00B02DBF" w:rsidP="00E92686">
      <w:pPr>
        <w:pStyle w:val="JustifiedSpacing"/>
        <w:numPr>
          <w:ilvl w:val="0"/>
          <w:numId w:val="25"/>
        </w:numPr>
        <w:ind w:left="567" w:hanging="567"/>
        <w:contextualSpacing/>
      </w:pPr>
      <w:r w:rsidRPr="00472578">
        <w:t xml:space="preserve">Damage to and disturbance of wāhi tapu resulting from coastal erosion </w:t>
      </w:r>
      <w:r w:rsidRPr="00472578">
        <w:rPr>
          <w:iCs/>
          <w:u w:val="single"/>
        </w:rPr>
        <w:t>and the impacts of climate change</w:t>
      </w:r>
      <w:r w:rsidRPr="00472578">
        <w:rPr>
          <w:iCs/>
        </w:rPr>
        <w:t>,</w:t>
      </w:r>
      <w:r w:rsidRPr="00472578">
        <w:rPr>
          <w:rStyle w:val="FootnoteReference"/>
          <w:iCs/>
        </w:rPr>
        <w:footnoteReference w:id="488"/>
      </w:r>
      <w:r w:rsidRPr="00472578">
        <w:t xml:space="preserve"> earthworks associated with </w:t>
      </w:r>
      <w:r w:rsidRPr="00472578">
        <w:rPr>
          <w:i/>
          <w:iCs/>
        </w:rPr>
        <w:t>subdivisions</w:t>
      </w:r>
      <w:r w:rsidRPr="00472578">
        <w:t xml:space="preserve">, and development of coastal walkways. </w:t>
      </w:r>
    </w:p>
    <w:p w14:paraId="171CE2D8" w14:textId="77777777" w:rsidR="00B02DBF" w:rsidRPr="00472578" w:rsidRDefault="00B02DBF" w:rsidP="00E92686">
      <w:pPr>
        <w:pStyle w:val="JustifiedSpacing"/>
        <w:numPr>
          <w:ilvl w:val="0"/>
          <w:numId w:val="25"/>
        </w:numPr>
        <w:ind w:left="567" w:hanging="567"/>
        <w:contextualSpacing/>
      </w:pPr>
      <w:r w:rsidRPr="00472578">
        <w:t xml:space="preserve">The </w:t>
      </w:r>
      <w:r w:rsidRPr="00472578">
        <w:rPr>
          <w:i/>
          <w:iCs/>
        </w:rPr>
        <w:t>effects</w:t>
      </w:r>
      <w:r w:rsidRPr="00472578">
        <w:t xml:space="preserve"> of </w:t>
      </w:r>
      <w:r w:rsidRPr="00472578">
        <w:rPr>
          <w:i/>
          <w:iCs/>
        </w:rPr>
        <w:t>land</w:t>
      </w:r>
      <w:r w:rsidRPr="00472578">
        <w:t xml:space="preserve"> fragmentation on access to sites of significance.</w:t>
      </w:r>
    </w:p>
    <w:p w14:paraId="4A372700" w14:textId="77777777" w:rsidR="00B02DBF" w:rsidRPr="00472578" w:rsidRDefault="00B02DBF" w:rsidP="00E92686">
      <w:pPr>
        <w:pStyle w:val="JustifiedSpacing"/>
        <w:numPr>
          <w:ilvl w:val="0"/>
          <w:numId w:val="25"/>
        </w:numPr>
        <w:ind w:left="567" w:hanging="567"/>
        <w:contextualSpacing/>
      </w:pPr>
      <w:r w:rsidRPr="00472578">
        <w:t xml:space="preserve">Loss of the integrity of cultural landscapes by </w:t>
      </w:r>
      <w:r w:rsidRPr="00472578">
        <w:rPr>
          <w:i/>
          <w:iCs/>
        </w:rPr>
        <w:t>reclamation</w:t>
      </w:r>
      <w:r w:rsidRPr="00472578">
        <w:t xml:space="preserve"> and the inappropriate location of </w:t>
      </w:r>
      <w:r w:rsidRPr="00472578">
        <w:rPr>
          <w:i/>
          <w:iCs/>
        </w:rPr>
        <w:t>structures</w:t>
      </w:r>
      <w:r w:rsidRPr="00472578">
        <w:t xml:space="preserve"> and activities associated with aquaculture, tourism activities, </w:t>
      </w:r>
      <w:r w:rsidRPr="00472578">
        <w:rPr>
          <w:i/>
          <w:iCs/>
        </w:rPr>
        <w:t>infrastructure,</w:t>
      </w:r>
      <w:r w:rsidRPr="00472578">
        <w:t xml:space="preserve"> and vessel moorings.</w:t>
      </w:r>
    </w:p>
    <w:p w14:paraId="40DFFD1F" w14:textId="77777777" w:rsidR="00B02DBF" w:rsidRPr="00472578" w:rsidRDefault="00B02DBF" w:rsidP="00E92686">
      <w:pPr>
        <w:pStyle w:val="JustifiedSpacing"/>
        <w:numPr>
          <w:ilvl w:val="0"/>
          <w:numId w:val="25"/>
        </w:numPr>
        <w:ind w:left="567" w:hanging="567"/>
        <w:contextualSpacing/>
      </w:pPr>
      <w:r w:rsidRPr="00472578">
        <w:t>Disturbance from mining of the seabed and foreshore.</w:t>
      </w:r>
    </w:p>
    <w:p w14:paraId="6BFE6B18" w14:textId="77777777" w:rsidR="00B02DBF" w:rsidRPr="00472578" w:rsidRDefault="00B02DBF" w:rsidP="00E92686">
      <w:pPr>
        <w:pStyle w:val="JustifiedSpacing"/>
        <w:numPr>
          <w:ilvl w:val="0"/>
          <w:numId w:val="25"/>
        </w:numPr>
        <w:ind w:left="567" w:hanging="567"/>
        <w:contextualSpacing/>
      </w:pPr>
      <w:r w:rsidRPr="00472578">
        <w:t xml:space="preserve">Restriction of access to tauraka waka and associated trails due to </w:t>
      </w:r>
      <w:r w:rsidRPr="00472578">
        <w:rPr>
          <w:i/>
          <w:iCs/>
        </w:rPr>
        <w:t>land</w:t>
      </w:r>
      <w:r w:rsidRPr="00472578">
        <w:t xml:space="preserve"> development.</w:t>
      </w:r>
    </w:p>
    <w:p w14:paraId="1A5F79F2" w14:textId="77777777" w:rsidR="00B02DBF" w:rsidRPr="00472578" w:rsidRDefault="00B02DBF" w:rsidP="00E92686">
      <w:pPr>
        <w:pStyle w:val="JustifiedSpacing"/>
        <w:numPr>
          <w:ilvl w:val="0"/>
          <w:numId w:val="25"/>
        </w:numPr>
        <w:ind w:left="567" w:hanging="567"/>
        <w:contextualSpacing/>
      </w:pPr>
      <w:r w:rsidRPr="00472578">
        <w:t xml:space="preserve">The cumulative </w:t>
      </w:r>
      <w:r w:rsidRPr="00472578">
        <w:rPr>
          <w:i/>
          <w:iCs/>
        </w:rPr>
        <w:t>effect</w:t>
      </w:r>
      <w:r w:rsidRPr="00472578">
        <w:t xml:space="preserve"> of incremental, uncoordinated </w:t>
      </w:r>
      <w:r w:rsidRPr="00472578">
        <w:rPr>
          <w:i/>
          <w:iCs/>
        </w:rPr>
        <w:t>subdivisions, land use</w:t>
      </w:r>
      <w:r w:rsidRPr="00472578">
        <w:t xml:space="preserve"> change and building within the coastal environment.</w:t>
      </w:r>
    </w:p>
    <w:p w14:paraId="5BD60710" w14:textId="69F65F64" w:rsidR="00B02DBF" w:rsidRPr="00472578" w:rsidRDefault="00B02DBF" w:rsidP="00E92686">
      <w:pPr>
        <w:pStyle w:val="JustifiedSpacing"/>
        <w:numPr>
          <w:ilvl w:val="0"/>
          <w:numId w:val="25"/>
        </w:numPr>
        <w:ind w:left="567" w:hanging="567"/>
      </w:pPr>
      <w:r w:rsidRPr="00472578">
        <w:t xml:space="preserve">Failure to recognise and provide for the </w:t>
      </w:r>
      <w:r w:rsidRPr="00472578">
        <w:rPr>
          <w:i/>
          <w:iCs/>
        </w:rPr>
        <w:t>effects</w:t>
      </w:r>
      <w:r w:rsidRPr="00472578">
        <w:t xml:space="preserve"> </w:t>
      </w:r>
      <w:r w:rsidRPr="00472578">
        <w:rPr>
          <w:iCs/>
          <w:u w:val="single"/>
        </w:rPr>
        <w:t>of climate change and</w:t>
      </w:r>
      <w:r w:rsidRPr="00472578">
        <w:rPr>
          <w:rStyle w:val="FootnoteReference"/>
          <w:iCs/>
        </w:rPr>
        <w:footnoteReference w:id="489"/>
      </w:r>
      <w:r w:rsidRPr="00472578">
        <w:rPr>
          <w:iCs/>
        </w:rPr>
        <w:t xml:space="preserve"> </w:t>
      </w:r>
      <w:r w:rsidRPr="00472578">
        <w:t>of changing sea levels on coastal landscapes.</w:t>
      </w:r>
    </w:p>
    <w:p w14:paraId="3CD9DBF6" w14:textId="24420C47" w:rsidR="00B02DBF" w:rsidRPr="00472578" w:rsidRDefault="00B02DBF" w:rsidP="00E92686">
      <w:pPr>
        <w:pStyle w:val="Heading3"/>
        <w:jc w:val="both"/>
      </w:pPr>
      <w:r w:rsidRPr="00472578">
        <w:lastRenderedPageBreak/>
        <w:t>RMIA</w:t>
      </w:r>
      <w:r w:rsidR="00A14880" w:rsidRPr="00472578">
        <w:t>-</w:t>
      </w:r>
      <w:r w:rsidRPr="00472578">
        <w:t xml:space="preserve">PO – Pounamu </w:t>
      </w:r>
    </w:p>
    <w:p w14:paraId="0CD83C78" w14:textId="77777777" w:rsidR="00B02DBF" w:rsidRPr="00472578" w:rsidRDefault="00B02DBF" w:rsidP="00E92686">
      <w:pPr>
        <w:pStyle w:val="Heading4"/>
        <w:jc w:val="both"/>
      </w:pPr>
      <w:r w:rsidRPr="00472578">
        <w:t>Context</w:t>
      </w:r>
    </w:p>
    <w:p w14:paraId="5E9481BD" w14:textId="2D0EDF35" w:rsidR="00B02DBF" w:rsidRPr="00472578" w:rsidRDefault="00B02DBF" w:rsidP="00E92686">
      <w:pPr>
        <w:pStyle w:val="JustifiedSpacing"/>
      </w:pPr>
      <w:r w:rsidRPr="00472578">
        <w:t xml:space="preserve">Kāi Tahu customs are intricately linked to this special taoka. </w:t>
      </w:r>
      <w:r w:rsidRPr="00472578">
        <w:rPr>
          <w:rFonts w:eastAsia="National-Book"/>
        </w:rPr>
        <w:t>There is currently no Regional Pounamu Plan for Otago. Management of this taoka is currently dependent on the provisions of the Ngāi Tahu (Pounamu Vesting) Act 1997 and a rāhui pounamu is in place in the Otago region.</w:t>
      </w:r>
    </w:p>
    <w:p w14:paraId="024207B4" w14:textId="7158A26F" w:rsidR="00B02DBF" w:rsidRPr="00472578" w:rsidRDefault="00B02DBF" w:rsidP="00E92686">
      <w:pPr>
        <w:pStyle w:val="Heading4"/>
        <w:jc w:val="both"/>
        <w:rPr>
          <w:rFonts w:eastAsia="National-Book"/>
        </w:rPr>
      </w:pPr>
      <w:r w:rsidRPr="00472578">
        <w:rPr>
          <w:rFonts w:eastAsia="National-Book"/>
        </w:rPr>
        <w:t>RMIA</w:t>
      </w:r>
      <w:r w:rsidR="00A14880" w:rsidRPr="00472578">
        <w:t>-</w:t>
      </w:r>
      <w:r w:rsidRPr="00472578">
        <w:rPr>
          <w:rFonts w:eastAsia="National-Book"/>
        </w:rPr>
        <w:t>PO</w:t>
      </w:r>
      <w:r w:rsidR="00A14880" w:rsidRPr="00472578">
        <w:t>-</w:t>
      </w:r>
      <w:r w:rsidRPr="00472578">
        <w:rPr>
          <w:rFonts w:eastAsia="National-Book"/>
        </w:rPr>
        <w:t xml:space="preserve">I1 – Pounamu resources need protection from the </w:t>
      </w:r>
      <w:r w:rsidRPr="00472578">
        <w:rPr>
          <w:rFonts w:eastAsia="National-Book"/>
          <w:i/>
        </w:rPr>
        <w:t>effects</w:t>
      </w:r>
      <w:r w:rsidRPr="00472578">
        <w:rPr>
          <w:rFonts w:eastAsia="National-Book"/>
        </w:rPr>
        <w:t xml:space="preserve"> of </w:t>
      </w:r>
      <w:r w:rsidRPr="00472578">
        <w:rPr>
          <w:rFonts w:eastAsia="National-Book"/>
          <w:i/>
        </w:rPr>
        <w:t>land use</w:t>
      </w:r>
      <w:r w:rsidRPr="00472578">
        <w:rPr>
          <w:rFonts w:eastAsia="National-Book"/>
        </w:rPr>
        <w:t xml:space="preserve"> activities</w:t>
      </w:r>
    </w:p>
    <w:p w14:paraId="3A2E4847" w14:textId="77777777" w:rsidR="00B02DBF" w:rsidRPr="00472578" w:rsidRDefault="00B02DBF" w:rsidP="00E92686">
      <w:pPr>
        <w:pStyle w:val="JustifiedSpacing"/>
      </w:pPr>
      <w:r w:rsidRPr="00472578">
        <w:t xml:space="preserve">Pounamu is a taoka for Kāi Tahu, but lack of recognition and protection of pounamu resources may lead to these resources being unknowingly degraded, for example by extraction of material for </w:t>
      </w:r>
      <w:r w:rsidRPr="00472578">
        <w:rPr>
          <w:i/>
          <w:iCs/>
        </w:rPr>
        <w:t>road</w:t>
      </w:r>
      <w:r w:rsidRPr="00472578">
        <w:t xml:space="preserve"> aggregate.</w:t>
      </w:r>
    </w:p>
    <w:p w14:paraId="1C979501" w14:textId="77777777" w:rsidR="00B02DBF" w:rsidRPr="00472578" w:rsidRDefault="00B02DBF" w:rsidP="00E92686">
      <w:pPr>
        <w:jc w:val="both"/>
      </w:pPr>
    </w:p>
    <w:p w14:paraId="02CBC131" w14:textId="77777777" w:rsidR="00B02DBF" w:rsidRPr="00472578" w:rsidRDefault="00B02DBF" w:rsidP="00E92686">
      <w:pPr>
        <w:pStyle w:val="BodyText"/>
      </w:pPr>
    </w:p>
    <w:p w14:paraId="5DBF2E32" w14:textId="705C76FB" w:rsidR="00A14880" w:rsidRPr="00472578" w:rsidRDefault="00A14880" w:rsidP="00E92686">
      <w:pPr>
        <w:jc w:val="both"/>
        <w:rPr>
          <w:sz w:val="20"/>
        </w:rPr>
      </w:pPr>
      <w:r w:rsidRPr="00472578">
        <w:rPr>
          <w:sz w:val="20"/>
        </w:rPr>
        <w:br w:type="page"/>
      </w:r>
    </w:p>
    <w:p w14:paraId="1F1DA6CA" w14:textId="77777777" w:rsidR="00F458B9" w:rsidRPr="00472578" w:rsidRDefault="00F458B9" w:rsidP="00E92686">
      <w:pPr>
        <w:pStyle w:val="Heading2"/>
        <w:jc w:val="both"/>
      </w:pPr>
      <w:bookmarkStart w:id="84" w:name="_Toc49763483"/>
      <w:bookmarkStart w:id="85" w:name="_Toc52435137"/>
      <w:bookmarkStart w:id="86" w:name="_Toc73105356"/>
      <w:bookmarkStart w:id="87" w:name="_Toc102551277"/>
      <w:bookmarkStart w:id="88" w:name="_Hlk63949572"/>
      <w:r w:rsidRPr="00472578">
        <w:lastRenderedPageBreak/>
        <w:t>IM – Integrated management</w:t>
      </w:r>
      <w:bookmarkEnd w:id="84"/>
      <w:bookmarkEnd w:id="85"/>
      <w:bookmarkEnd w:id="86"/>
      <w:bookmarkEnd w:id="87"/>
    </w:p>
    <w:p w14:paraId="4F946069" w14:textId="77777777" w:rsidR="00F458B9" w:rsidRPr="00472578" w:rsidRDefault="00F458B9" w:rsidP="00E92686">
      <w:pPr>
        <w:pStyle w:val="Heading3"/>
        <w:jc w:val="both"/>
      </w:pPr>
      <w:bookmarkStart w:id="89" w:name="_Toc49763484"/>
      <w:bookmarkStart w:id="90" w:name="_Toc56620193"/>
      <w:r w:rsidRPr="00472578">
        <w:t>Objectives</w:t>
      </w:r>
      <w:bookmarkEnd w:id="89"/>
      <w:bookmarkEnd w:id="90"/>
    </w:p>
    <w:p w14:paraId="0A436B7F" w14:textId="77777777" w:rsidR="00F458B9" w:rsidRPr="00472578" w:rsidRDefault="00F458B9" w:rsidP="00E92686">
      <w:pPr>
        <w:pStyle w:val="Heading4"/>
        <w:jc w:val="both"/>
      </w:pPr>
      <w:r w:rsidRPr="00472578">
        <w:t>IM-O1 – Long term vision</w:t>
      </w:r>
    </w:p>
    <w:p w14:paraId="577FA853" w14:textId="4B660BC4" w:rsidR="00F458B9" w:rsidRPr="00472578" w:rsidRDefault="00F458B9" w:rsidP="00E92686">
      <w:pPr>
        <w:jc w:val="both"/>
      </w:pPr>
      <w:r w:rsidRPr="00472578">
        <w:t xml:space="preserve">The management of </w:t>
      </w:r>
      <w:r w:rsidRPr="00472578">
        <w:rPr>
          <w:i/>
          <w:iCs/>
        </w:rPr>
        <w:t>natural and physical resources</w:t>
      </w:r>
      <w:r w:rsidRPr="00472578">
        <w:t xml:space="preserve"> </w:t>
      </w:r>
      <w:r w:rsidRPr="00472578">
        <w:rPr>
          <w:strike/>
        </w:rPr>
        <w:t>in Otago,</w:t>
      </w:r>
      <w:r w:rsidRPr="00472578">
        <w:rPr>
          <w:rStyle w:val="FootnoteReference"/>
        </w:rPr>
        <w:footnoteReference w:id="490"/>
      </w:r>
      <w:r w:rsidRPr="00472578">
        <w:t xml:space="preserve"> by and for the people of Otago, </w:t>
      </w:r>
      <w:r w:rsidRPr="00472578">
        <w:rPr>
          <w:strike/>
        </w:rPr>
        <w:t>including</w:t>
      </w:r>
      <w:r w:rsidRPr="00472578">
        <w:t xml:space="preserve"> </w:t>
      </w:r>
      <w:r w:rsidRPr="00472578">
        <w:rPr>
          <w:u w:val="single"/>
        </w:rPr>
        <w:t>in partnership with</w:t>
      </w:r>
      <w:r w:rsidRPr="00472578">
        <w:rPr>
          <w:rStyle w:val="FootnoteReference"/>
        </w:rPr>
        <w:footnoteReference w:id="491"/>
      </w:r>
      <w:r w:rsidRPr="00472578">
        <w:t xml:space="preserve"> K</w:t>
      </w:r>
      <w:r w:rsidRPr="00472578">
        <w:rPr>
          <w:rFonts w:eastAsia="Times New Roman"/>
        </w:rPr>
        <w:t>ā</w:t>
      </w:r>
      <w:r w:rsidRPr="00472578">
        <w:t xml:space="preserve">i Tahu, </w:t>
      </w:r>
      <w:r w:rsidRPr="00472578">
        <w:rPr>
          <w:strike/>
        </w:rPr>
        <w:t>and as expressed in all resource management plans and decision making,</w:t>
      </w:r>
      <w:r w:rsidR="00AA2788" w:rsidRPr="00472578">
        <w:rPr>
          <w:rStyle w:val="FootnoteReference"/>
        </w:rPr>
        <w:footnoteReference w:id="492"/>
      </w:r>
      <w:r w:rsidR="00AA2788" w:rsidRPr="00472578">
        <w:t xml:space="preserve"> achieves </w:t>
      </w:r>
      <w:r w:rsidR="00E91398" w:rsidRPr="00472578">
        <w:rPr>
          <w:u w:val="single"/>
        </w:rPr>
        <w:t>a</w:t>
      </w:r>
      <w:r w:rsidR="00E91398" w:rsidRPr="00472578">
        <w:t xml:space="preserve"> </w:t>
      </w:r>
      <w:r w:rsidR="00AA2788" w:rsidRPr="00472578">
        <w:t>h</w:t>
      </w:r>
      <w:r w:rsidRPr="00472578">
        <w:t>ealthy</w:t>
      </w:r>
      <w:r w:rsidRPr="00472578">
        <w:rPr>
          <w:strike/>
        </w:rPr>
        <w:t>,</w:t>
      </w:r>
      <w:r w:rsidRPr="00472578">
        <w:t xml:space="preserve"> </w:t>
      </w:r>
      <w:r w:rsidRPr="00472578">
        <w:rPr>
          <w:u w:val="single"/>
        </w:rPr>
        <w:t>and</w:t>
      </w:r>
      <w:r w:rsidRPr="00472578">
        <w:t xml:space="preserve"> resilient</w:t>
      </w:r>
      <w:r w:rsidRPr="00472578">
        <w:rPr>
          <w:strike/>
        </w:rPr>
        <w:t>, and safeguarded</w:t>
      </w:r>
      <w:r w:rsidRPr="00472578">
        <w:rPr>
          <w:rStyle w:val="FootnoteReference"/>
        </w:rPr>
        <w:footnoteReference w:id="493"/>
      </w:r>
      <w:r w:rsidRPr="00472578">
        <w:t xml:space="preserve"> natural </w:t>
      </w:r>
      <w:r w:rsidRPr="00472578">
        <w:rPr>
          <w:strike/>
        </w:rPr>
        <w:t>systems</w:t>
      </w:r>
      <w:r w:rsidRPr="00472578">
        <w:rPr>
          <w:u w:val="single"/>
        </w:rPr>
        <w:t xml:space="preserve"> environment</w:t>
      </w:r>
      <w:r w:rsidRPr="00472578">
        <w:t>,</w:t>
      </w:r>
      <w:r w:rsidRPr="00472578">
        <w:rPr>
          <w:rStyle w:val="FootnoteReference"/>
        </w:rPr>
        <w:footnoteReference w:id="494"/>
      </w:r>
      <w:r w:rsidRPr="00472578">
        <w:t xml:space="preserve"> </w:t>
      </w:r>
      <w:r w:rsidRPr="00472578">
        <w:rPr>
          <w:strike/>
        </w:rPr>
        <w:t>and</w:t>
      </w:r>
      <w:r w:rsidRPr="00472578">
        <w:t xml:space="preserve"> </w:t>
      </w:r>
      <w:r w:rsidR="004E2A08" w:rsidRPr="00472578">
        <w:rPr>
          <w:u w:val="single"/>
        </w:rPr>
        <w:t>inc</w:t>
      </w:r>
      <w:r w:rsidR="00612D8B" w:rsidRPr="00472578">
        <w:rPr>
          <w:u w:val="single"/>
        </w:rPr>
        <w:t>luding</w:t>
      </w:r>
      <w:r w:rsidR="00100FBF" w:rsidRPr="00472578">
        <w:rPr>
          <w:rStyle w:val="FootnoteReference"/>
        </w:rPr>
        <w:footnoteReference w:id="495"/>
      </w:r>
      <w:r w:rsidR="00612D8B" w:rsidRPr="00472578">
        <w:t xml:space="preserve"> </w:t>
      </w:r>
      <w:r w:rsidRPr="00472578">
        <w:t xml:space="preserve">the ecosystem services </w:t>
      </w:r>
      <w:r w:rsidRPr="00472578">
        <w:rPr>
          <w:strike/>
        </w:rPr>
        <w:t>they</w:t>
      </w:r>
      <w:r w:rsidRPr="00472578">
        <w:t xml:space="preserve"> </w:t>
      </w:r>
      <w:r w:rsidRPr="00472578">
        <w:rPr>
          <w:strike/>
        </w:rPr>
        <w:t>offer</w:t>
      </w:r>
      <w:r w:rsidR="00E91398" w:rsidRPr="00472578">
        <w:rPr>
          <w:u w:val="single"/>
        </w:rPr>
        <w:t xml:space="preserve"> it</w:t>
      </w:r>
      <w:r w:rsidRPr="00472578">
        <w:rPr>
          <w:u w:val="single"/>
        </w:rPr>
        <w:t xml:space="preserve"> provide</w:t>
      </w:r>
      <w:r w:rsidR="00E91398" w:rsidRPr="00472578">
        <w:rPr>
          <w:u w:val="single"/>
        </w:rPr>
        <w:t>s</w:t>
      </w:r>
      <w:r w:rsidRPr="00472578">
        <w:t>,</w:t>
      </w:r>
      <w:r w:rsidRPr="00472578">
        <w:rPr>
          <w:rStyle w:val="FootnoteReference"/>
        </w:rPr>
        <w:footnoteReference w:id="496"/>
      </w:r>
      <w:r w:rsidRPr="00472578">
        <w:t xml:space="preserve"> and supports the well-being of present and future generations</w:t>
      </w:r>
      <w:r w:rsidRPr="00472578">
        <w:rPr>
          <w:strike/>
        </w:rPr>
        <w:t>,</w:t>
      </w:r>
      <w:r w:rsidRPr="00472578">
        <w:t xml:space="preserve"> </w:t>
      </w:r>
      <w:r w:rsidRPr="00472578">
        <w:rPr>
          <w:u w:val="single"/>
        </w:rPr>
        <w:t>(</w:t>
      </w:r>
      <w:bookmarkStart w:id="91" w:name="_Hlk91661674"/>
      <w:r w:rsidRPr="00472578">
        <w:t>mō tātou, ā, mō kā uri ā muri ake nei</w:t>
      </w:r>
      <w:bookmarkEnd w:id="91"/>
      <w:r w:rsidRPr="00472578">
        <w:rPr>
          <w:u w:val="single"/>
        </w:rPr>
        <w:t>)</w:t>
      </w:r>
      <w:r w:rsidRPr="00472578">
        <w:t>.</w:t>
      </w:r>
      <w:r w:rsidRPr="00472578">
        <w:rPr>
          <w:rStyle w:val="FootnoteReference"/>
        </w:rPr>
        <w:footnoteReference w:id="497"/>
      </w:r>
    </w:p>
    <w:p w14:paraId="5769530A" w14:textId="77777777" w:rsidR="00F458B9" w:rsidRPr="00472578" w:rsidRDefault="00F458B9" w:rsidP="00E92686">
      <w:pPr>
        <w:pStyle w:val="Heading4"/>
        <w:jc w:val="both"/>
      </w:pPr>
      <w:r w:rsidRPr="00472578">
        <w:t>IM-O2 – Ki uta ki tai</w:t>
      </w:r>
    </w:p>
    <w:p w14:paraId="7EA38D22" w14:textId="44AB7968" w:rsidR="00F458B9" w:rsidRPr="00472578" w:rsidRDefault="00F458B9" w:rsidP="00E92686">
      <w:pPr>
        <w:pStyle w:val="JustifiedSpacing"/>
      </w:pPr>
      <w:r w:rsidRPr="00472578">
        <w:rPr>
          <w:u w:val="single"/>
        </w:rPr>
        <w:t>The management of n</w:t>
      </w:r>
      <w:r w:rsidRPr="00472578">
        <w:rPr>
          <w:i/>
          <w:iCs/>
          <w:strike/>
        </w:rPr>
        <w:t>N</w:t>
      </w:r>
      <w:r w:rsidRPr="00472578">
        <w:rPr>
          <w:i/>
          <w:iCs/>
        </w:rPr>
        <w:t>atural and physical resource</w:t>
      </w:r>
      <w:r w:rsidRPr="00472578">
        <w:rPr>
          <w:i/>
          <w:iCs/>
          <w:strike/>
        </w:rPr>
        <w:t>s</w:t>
      </w:r>
      <w:r w:rsidRPr="00472578">
        <w:t xml:space="preserve"> </w:t>
      </w:r>
      <w:r w:rsidRPr="00472578">
        <w:rPr>
          <w:strike/>
        </w:rPr>
        <w:t>management and decision making in Otago</w:t>
      </w:r>
      <w:r w:rsidRPr="00472578">
        <w:rPr>
          <w:rStyle w:val="FootnoteReference"/>
        </w:rPr>
        <w:footnoteReference w:id="498"/>
      </w:r>
      <w:r w:rsidRPr="00472578">
        <w:t xml:space="preserve"> embraces ki uta ki tai, recognising that the </w:t>
      </w:r>
      <w:r w:rsidRPr="00472578">
        <w:rPr>
          <w:i/>
          <w:iCs/>
        </w:rPr>
        <w:t>environment</w:t>
      </w:r>
      <w:r w:rsidRPr="00472578">
        <w:t xml:space="preserve"> is an interconnected system</w:t>
      </w:r>
      <w:r w:rsidRPr="00472578">
        <w:rPr>
          <w:strike/>
        </w:rPr>
        <w:t>,</w:t>
      </w:r>
      <w:r w:rsidRPr="00472578">
        <w:rPr>
          <w:rStyle w:val="FootnoteReference"/>
        </w:rPr>
        <w:footnoteReference w:id="499"/>
      </w:r>
      <w:r w:rsidRPr="00472578">
        <w:t xml:space="preserve"> which depends on its connections to flourish</w:t>
      </w:r>
      <w:r w:rsidRPr="00472578">
        <w:rPr>
          <w:strike/>
        </w:rPr>
        <w:t>,</w:t>
      </w:r>
      <w:r w:rsidRPr="00472578">
        <w:rPr>
          <w:rStyle w:val="FootnoteReference"/>
        </w:rPr>
        <w:footnoteReference w:id="500"/>
      </w:r>
      <w:r w:rsidRPr="00472578">
        <w:t xml:space="preserve"> and must be </w:t>
      </w:r>
      <w:r w:rsidRPr="00472578">
        <w:rPr>
          <w:strike/>
        </w:rPr>
        <w:t>considered</w:t>
      </w:r>
      <w:r w:rsidRPr="00472578">
        <w:t xml:space="preserve"> </w:t>
      </w:r>
      <w:r w:rsidRPr="00472578">
        <w:rPr>
          <w:u w:val="single"/>
        </w:rPr>
        <w:t>managed</w:t>
      </w:r>
      <w:r w:rsidRPr="00472578">
        <w:rPr>
          <w:rStyle w:val="FootnoteReference"/>
        </w:rPr>
        <w:footnoteReference w:id="501"/>
      </w:r>
      <w:r w:rsidRPr="00472578">
        <w:t xml:space="preserve"> as an interdependent whole. </w:t>
      </w:r>
    </w:p>
    <w:p w14:paraId="636A3DC5" w14:textId="77777777" w:rsidR="00F458B9" w:rsidRPr="00472578" w:rsidRDefault="00F458B9" w:rsidP="00E92686">
      <w:pPr>
        <w:pStyle w:val="Heading4"/>
        <w:jc w:val="both"/>
      </w:pPr>
      <w:r w:rsidRPr="00472578">
        <w:t xml:space="preserve">IM-O3 – </w:t>
      </w:r>
      <w:r w:rsidRPr="00472578">
        <w:rPr>
          <w:strike/>
        </w:rPr>
        <w:t>Environmentally s</w:t>
      </w:r>
      <w:r w:rsidRPr="00472578">
        <w:rPr>
          <w:u w:val="single"/>
        </w:rPr>
        <w:t>S</w:t>
      </w:r>
      <w:r w:rsidRPr="00472578">
        <w:t>ustainable impact</w:t>
      </w:r>
      <w:r w:rsidRPr="00472578">
        <w:rPr>
          <w:rStyle w:val="FootnoteReference"/>
        </w:rPr>
        <w:footnoteReference w:id="502"/>
      </w:r>
    </w:p>
    <w:p w14:paraId="7DD0A879" w14:textId="77777777" w:rsidR="00F458B9" w:rsidRPr="00472578" w:rsidRDefault="00F458B9" w:rsidP="00E92686">
      <w:pPr>
        <w:pStyle w:val="Paragraphs"/>
        <w:numPr>
          <w:ilvl w:val="0"/>
          <w:numId w:val="0"/>
        </w:numPr>
        <w:jc w:val="both"/>
        <w:rPr>
          <w:rFonts w:cstheme="minorHAnsi"/>
          <w:u w:color="000000" w:themeColor="text1"/>
        </w:rPr>
      </w:pPr>
      <w:r w:rsidRPr="639E38F9">
        <w:rPr>
          <w:rFonts w:cstheme="minorBidi"/>
        </w:rPr>
        <w:t xml:space="preserve">Otago’s communities carry out their activities in a way that preserves environmental integrity, form, function, and </w:t>
      </w:r>
      <w:r w:rsidRPr="639E38F9">
        <w:rPr>
          <w:rFonts w:cstheme="minorBidi"/>
          <w:i/>
        </w:rPr>
        <w:t>resilience</w:t>
      </w:r>
      <w:r w:rsidRPr="639E38F9">
        <w:rPr>
          <w:rFonts w:cstheme="minorBidi"/>
        </w:rPr>
        <w:t xml:space="preserve">, so that the life-supporting capacities of air, </w:t>
      </w:r>
      <w:r w:rsidRPr="639E38F9">
        <w:rPr>
          <w:rFonts w:cstheme="minorBidi"/>
          <w:i/>
        </w:rPr>
        <w:t>water</w:t>
      </w:r>
      <w:r w:rsidRPr="639E38F9">
        <w:rPr>
          <w:rFonts w:cstheme="minorBidi"/>
        </w:rPr>
        <w:t xml:space="preserve">, soil, </w:t>
      </w:r>
      <w:r w:rsidRPr="639E38F9">
        <w:rPr>
          <w:rFonts w:cstheme="minorBidi"/>
          <w:u w:val="single"/>
        </w:rPr>
        <w:t>and</w:t>
      </w:r>
      <w:r w:rsidRPr="639E38F9">
        <w:rPr>
          <w:rFonts w:cstheme="minorBidi"/>
        </w:rPr>
        <w:t xml:space="preserve"> ecosystems</w:t>
      </w:r>
      <w:r w:rsidRPr="639E38F9">
        <w:rPr>
          <w:rFonts w:cstheme="minorBidi"/>
          <w:u w:val="single" w:color="000000" w:themeColor="text1"/>
        </w:rPr>
        <w:t xml:space="preserve"> are safeguarded</w:t>
      </w:r>
      <w:r w:rsidRPr="639E38F9">
        <w:rPr>
          <w:rFonts w:cstheme="minorBidi"/>
          <w:strike/>
        </w:rPr>
        <w:t>, and indigenous biodiversity endure</w:t>
      </w:r>
      <w:r w:rsidRPr="639E38F9">
        <w:rPr>
          <w:rStyle w:val="FootnoteReference"/>
          <w:rFonts w:cstheme="minorBidi"/>
        </w:rPr>
        <w:footnoteReference w:id="503"/>
      </w:r>
      <w:r w:rsidRPr="639E38F9">
        <w:rPr>
          <w:rFonts w:cstheme="minorBidi"/>
        </w:rPr>
        <w:t xml:space="preserve"> for future generations.</w:t>
      </w:r>
    </w:p>
    <w:p w14:paraId="48DC181A" w14:textId="7F2A7170" w:rsidR="00F458B9" w:rsidRPr="00472578" w:rsidRDefault="00F458B9" w:rsidP="00E92686">
      <w:pPr>
        <w:pStyle w:val="Heading4"/>
        <w:jc w:val="both"/>
      </w:pPr>
      <w:bookmarkStart w:id="92" w:name="_Hlk49508430"/>
      <w:r w:rsidRPr="00472578">
        <w:t xml:space="preserve">IM-O4 – </w:t>
      </w:r>
      <w:r w:rsidRPr="00472578">
        <w:rPr>
          <w:i/>
          <w:iCs w:val="0"/>
        </w:rPr>
        <w:t>Climate change</w:t>
      </w:r>
      <w:r w:rsidR="001036A9" w:rsidRPr="00472578">
        <w:rPr>
          <w:rStyle w:val="FootnoteReference"/>
        </w:rPr>
        <w:footnoteReference w:id="504"/>
      </w:r>
    </w:p>
    <w:p w14:paraId="4703F929" w14:textId="77777777" w:rsidR="001036A9" w:rsidRPr="00472578" w:rsidRDefault="00F458B9" w:rsidP="00E92686">
      <w:pPr>
        <w:pStyle w:val="JustifiedSpacing"/>
      </w:pPr>
      <w:r w:rsidRPr="00472578">
        <w:t xml:space="preserve">Otago’s communities, including Kāi Tahu, understand what </w:t>
      </w:r>
      <w:r w:rsidRPr="00472578">
        <w:rPr>
          <w:i/>
          <w:iCs/>
        </w:rPr>
        <w:t>climate change</w:t>
      </w:r>
      <w:r w:rsidRPr="00472578">
        <w:t xml:space="preserve"> means for their future, and </w:t>
      </w:r>
      <w:r w:rsidRPr="00472578">
        <w:rPr>
          <w:u w:val="single"/>
        </w:rPr>
        <w:t>responses to</w:t>
      </w:r>
      <w:r w:rsidRPr="00472578">
        <w:t xml:space="preserve"> </w:t>
      </w:r>
      <w:r w:rsidRPr="00472578">
        <w:rPr>
          <w:i/>
          <w:iCs/>
        </w:rPr>
        <w:t>climate change</w:t>
      </w:r>
      <w:r w:rsidRPr="00472578">
        <w:t xml:space="preserve"> </w:t>
      </w:r>
      <w:r w:rsidRPr="00472578">
        <w:rPr>
          <w:strike/>
        </w:rPr>
        <w:t>responses</w:t>
      </w:r>
      <w:r w:rsidRPr="00472578">
        <w:rPr>
          <w:rStyle w:val="FootnoteReference"/>
        </w:rPr>
        <w:footnoteReference w:id="505"/>
      </w:r>
      <w:r w:rsidRPr="00472578">
        <w:t xml:space="preserve"> in the region</w:t>
      </w:r>
      <w:r w:rsidRPr="00472578">
        <w:rPr>
          <w:strike/>
        </w:rPr>
        <w:t>,</w:t>
      </w:r>
      <w:r w:rsidRPr="00472578">
        <w:t xml:space="preserve"> </w:t>
      </w:r>
      <w:r w:rsidR="001036A9" w:rsidRPr="00472578">
        <w:rPr>
          <w:u w:val="single"/>
        </w:rPr>
        <w:t>(</w:t>
      </w:r>
      <w:r w:rsidRPr="00472578">
        <w:t xml:space="preserve">including </w:t>
      </w:r>
      <w:r w:rsidRPr="00472578">
        <w:rPr>
          <w:i/>
          <w:iCs/>
          <w:u w:val="single"/>
        </w:rPr>
        <w:t>climate change</w:t>
      </w:r>
      <w:r w:rsidRPr="00472578">
        <w:t xml:space="preserve"> </w:t>
      </w:r>
      <w:r w:rsidRPr="00472578">
        <w:rPr>
          <w:i/>
          <w:iCs/>
        </w:rPr>
        <w:t>adaptation</w:t>
      </w:r>
      <w:r w:rsidRPr="00472578">
        <w:t xml:space="preserve"> and </w:t>
      </w:r>
      <w:r w:rsidRPr="00472578">
        <w:rPr>
          <w:i/>
          <w:iCs/>
          <w:u w:val="single"/>
        </w:rPr>
        <w:t>climate change</w:t>
      </w:r>
      <w:r w:rsidRPr="00472578">
        <w:rPr>
          <w:i/>
          <w:iCs/>
        </w:rPr>
        <w:t xml:space="preserve"> mitigation</w:t>
      </w:r>
      <w:r w:rsidRPr="00472578">
        <w:t xml:space="preserve"> </w:t>
      </w:r>
      <w:r w:rsidRPr="00472578">
        <w:rPr>
          <w:strike/>
        </w:rPr>
        <w:t>actions,</w:t>
      </w:r>
      <w:r w:rsidR="001036A9" w:rsidRPr="00472578">
        <w:rPr>
          <w:u w:val="single"/>
        </w:rPr>
        <w:t>)</w:t>
      </w:r>
      <w:r w:rsidR="001036A9" w:rsidRPr="00472578">
        <w:rPr>
          <w:rStyle w:val="FootnoteReference"/>
        </w:rPr>
        <w:t>:</w:t>
      </w:r>
      <w:r w:rsidRPr="00472578">
        <w:rPr>
          <w:rStyle w:val="FootnoteReference"/>
        </w:rPr>
        <w:footnoteReference w:id="506"/>
      </w:r>
      <w:r w:rsidRPr="00472578">
        <w:t xml:space="preserve"> </w:t>
      </w:r>
    </w:p>
    <w:p w14:paraId="1CC1DE72" w14:textId="43017E66" w:rsidR="001036A9" w:rsidRPr="00472578" w:rsidRDefault="001036A9" w:rsidP="00E92686">
      <w:pPr>
        <w:pStyle w:val="JustifiedSpacing"/>
        <w:ind w:left="567" w:hanging="567"/>
        <w:rPr>
          <w:u w:val="single"/>
        </w:rPr>
      </w:pPr>
      <w:r w:rsidRPr="00472578">
        <w:rPr>
          <w:u w:val="single"/>
        </w:rPr>
        <w:t>(1)</w:t>
      </w:r>
      <w:r w:rsidRPr="00472578">
        <w:rPr>
          <w:u w:val="single"/>
        </w:rPr>
        <w:tab/>
      </w:r>
      <w:r w:rsidR="00F458B9" w:rsidRPr="00472578">
        <w:t xml:space="preserve">are aligned with national level </w:t>
      </w:r>
      <w:r w:rsidR="00F458B9" w:rsidRPr="00472578">
        <w:rPr>
          <w:i/>
          <w:iCs/>
        </w:rPr>
        <w:t>climate change</w:t>
      </w:r>
      <w:r w:rsidR="00F458B9" w:rsidRPr="00472578">
        <w:t xml:space="preserve"> responses</w:t>
      </w:r>
      <w:r w:rsidRPr="00472578">
        <w:rPr>
          <w:u w:val="single"/>
        </w:rPr>
        <w:t>,</w:t>
      </w:r>
      <w:r w:rsidR="00F458B9" w:rsidRPr="00472578">
        <w:t xml:space="preserve"> </w:t>
      </w:r>
    </w:p>
    <w:p w14:paraId="086267B5" w14:textId="77777777" w:rsidR="001036A9" w:rsidRPr="00472578" w:rsidRDefault="001036A9" w:rsidP="00E92686">
      <w:pPr>
        <w:pStyle w:val="JustifiedSpacing"/>
        <w:ind w:left="567" w:hanging="567"/>
      </w:pPr>
      <w:r w:rsidRPr="00472578">
        <w:rPr>
          <w:u w:val="single"/>
        </w:rPr>
        <w:lastRenderedPageBreak/>
        <w:t>(2)</w:t>
      </w:r>
      <w:r w:rsidRPr="00472578">
        <w:rPr>
          <w:u w:val="single"/>
        </w:rPr>
        <w:tab/>
      </w:r>
      <w:r w:rsidR="00F458B9" w:rsidRPr="00472578">
        <w:rPr>
          <w:u w:val="single"/>
        </w:rPr>
        <w:t>assist with achieving the national target for emissions reduction</w:t>
      </w:r>
      <w:r w:rsidRPr="00472578">
        <w:rPr>
          <w:u w:val="single"/>
        </w:rPr>
        <w:t>,</w:t>
      </w:r>
      <w:r w:rsidR="00F458B9" w:rsidRPr="00472578">
        <w:rPr>
          <w:rStyle w:val="FootnoteReference"/>
        </w:rPr>
        <w:footnoteReference w:id="507"/>
      </w:r>
      <w:r w:rsidR="00F458B9" w:rsidRPr="00472578">
        <w:t xml:space="preserve"> and </w:t>
      </w:r>
    </w:p>
    <w:p w14:paraId="3E9577E2" w14:textId="70C6369F" w:rsidR="00F458B9" w:rsidRPr="00472578" w:rsidRDefault="001036A9" w:rsidP="00E92686">
      <w:pPr>
        <w:pStyle w:val="JustifiedSpacing"/>
        <w:ind w:left="567" w:hanging="567"/>
      </w:pPr>
      <w:r w:rsidRPr="00472578">
        <w:rPr>
          <w:u w:val="single"/>
        </w:rPr>
        <w:t>(3)</w:t>
      </w:r>
      <w:r w:rsidRPr="00472578">
        <w:rPr>
          <w:u w:val="single"/>
        </w:rPr>
        <w:tab/>
      </w:r>
      <w:r w:rsidR="00F458B9" w:rsidRPr="00472578">
        <w:t>are recognised as integral to achieving the outcomes sought by this RPS.</w:t>
      </w:r>
    </w:p>
    <w:p w14:paraId="0724FC29" w14:textId="77777777" w:rsidR="00F458B9" w:rsidRPr="00472578" w:rsidRDefault="00F458B9" w:rsidP="00E92686">
      <w:pPr>
        <w:pStyle w:val="Heading3"/>
        <w:jc w:val="both"/>
      </w:pPr>
      <w:bookmarkStart w:id="93" w:name="_Toc49763485"/>
      <w:bookmarkStart w:id="94" w:name="_Toc56620194"/>
      <w:bookmarkEnd w:id="92"/>
      <w:r w:rsidRPr="00472578">
        <w:t>Policies</w:t>
      </w:r>
      <w:bookmarkEnd w:id="93"/>
      <w:bookmarkEnd w:id="94"/>
    </w:p>
    <w:p w14:paraId="30EA6951" w14:textId="77777777" w:rsidR="00F458B9" w:rsidRPr="00472578" w:rsidRDefault="00F458B9" w:rsidP="00E92686">
      <w:pPr>
        <w:pStyle w:val="Heading4"/>
        <w:jc w:val="both"/>
        <w:rPr>
          <w:b w:val="0"/>
          <w:bCs/>
        </w:rPr>
      </w:pPr>
      <w:bookmarkStart w:id="95" w:name="_Hlk92801878"/>
      <w:r w:rsidRPr="00472578">
        <w:t xml:space="preserve">IM-P1 – Integrated approach </w:t>
      </w:r>
      <w:r w:rsidRPr="00472578">
        <w:rPr>
          <w:u w:val="single"/>
        </w:rPr>
        <w:t>to decision-making</w:t>
      </w:r>
      <w:r w:rsidRPr="00472578">
        <w:rPr>
          <w:rStyle w:val="FootnoteReference"/>
          <w:b w:val="0"/>
          <w:bCs/>
        </w:rPr>
        <w:footnoteReference w:id="508"/>
      </w:r>
    </w:p>
    <w:p w14:paraId="2BD719A6" w14:textId="77777777" w:rsidR="00F458B9" w:rsidRPr="00472578" w:rsidRDefault="00F458B9" w:rsidP="00E92686">
      <w:pPr>
        <w:jc w:val="both"/>
        <w:rPr>
          <w:u w:val="single"/>
        </w:rPr>
      </w:pPr>
      <w:bookmarkStart w:id="96" w:name="_Hlk91686184"/>
      <w:r w:rsidRPr="00472578">
        <w:rPr>
          <w:u w:val="single"/>
        </w:rPr>
        <w:t>Giving effect to the integrated package of objectives and policies in this RPS requires decision-makers to consider all provisions relevant to an issue or decision and apply them according to the terms in which they are expressed, and if there is a conflict between provisions that cannot be resolved by the application of higher order documents, prioritise:</w:t>
      </w:r>
    </w:p>
    <w:p w14:paraId="75FFCB3F" w14:textId="31F54A96" w:rsidR="00F458B9" w:rsidRPr="00472578" w:rsidRDefault="00F458B9" w:rsidP="00E92686">
      <w:pPr>
        <w:ind w:left="567" w:hanging="567"/>
        <w:jc w:val="both"/>
        <w:rPr>
          <w:u w:val="single"/>
        </w:rPr>
      </w:pPr>
      <w:r w:rsidRPr="00472578">
        <w:rPr>
          <w:u w:val="single"/>
        </w:rPr>
        <w:t>(1)</w:t>
      </w:r>
      <w:r w:rsidRPr="00472578">
        <w:rPr>
          <w:u w:val="single"/>
        </w:rPr>
        <w:tab/>
        <w:t xml:space="preserve">the life-supporting capacity and mauri of the natural environment and the health needs of people, </w:t>
      </w:r>
      <w:r w:rsidR="000A3E84" w:rsidRPr="00472578">
        <w:rPr>
          <w:u w:val="single"/>
        </w:rPr>
        <w:t xml:space="preserve">and </w:t>
      </w:r>
      <w:r w:rsidRPr="00472578">
        <w:rPr>
          <w:u w:val="single"/>
        </w:rPr>
        <w:t>then</w:t>
      </w:r>
    </w:p>
    <w:p w14:paraId="712516D6" w14:textId="77777777" w:rsidR="00F458B9" w:rsidRPr="00472578" w:rsidRDefault="00F458B9" w:rsidP="00E92686">
      <w:pPr>
        <w:ind w:left="567" w:hanging="567"/>
        <w:jc w:val="both"/>
        <w:rPr>
          <w:u w:val="single"/>
        </w:rPr>
      </w:pPr>
      <w:r w:rsidRPr="00472578">
        <w:rPr>
          <w:u w:val="single"/>
        </w:rPr>
        <w:t>(2)</w:t>
      </w:r>
      <w:r w:rsidRPr="00472578">
        <w:rPr>
          <w:u w:val="single"/>
        </w:rPr>
        <w:tab/>
        <w:t>the ability of people and communities to provide for their social, economic, and cultural well-being, now and in the future.</w:t>
      </w:r>
      <w:r w:rsidRPr="00472578">
        <w:rPr>
          <w:rStyle w:val="FootnoteReference"/>
        </w:rPr>
        <w:t xml:space="preserve"> </w:t>
      </w:r>
      <w:r w:rsidRPr="00472578">
        <w:rPr>
          <w:rStyle w:val="FootnoteReference"/>
        </w:rPr>
        <w:footnoteReference w:id="509"/>
      </w:r>
    </w:p>
    <w:p w14:paraId="36E9FFC3" w14:textId="77777777" w:rsidR="00F458B9" w:rsidRPr="00472578" w:rsidRDefault="00F458B9" w:rsidP="00E92686">
      <w:pPr>
        <w:jc w:val="both"/>
        <w:rPr>
          <w:strike/>
        </w:rPr>
      </w:pPr>
      <w:r w:rsidRPr="00472578">
        <w:rPr>
          <w:strike/>
        </w:rPr>
        <w:t>The objectives and policies in this RPS form an integrated package, in which:</w:t>
      </w:r>
    </w:p>
    <w:p w14:paraId="4A05A498" w14:textId="77777777" w:rsidR="00F458B9" w:rsidRPr="00472578" w:rsidRDefault="00F458B9" w:rsidP="00E92686">
      <w:pPr>
        <w:ind w:left="567" w:hanging="567"/>
        <w:jc w:val="both"/>
        <w:rPr>
          <w:strike/>
        </w:rPr>
      </w:pPr>
      <w:r w:rsidRPr="00472578">
        <w:rPr>
          <w:strike/>
        </w:rPr>
        <w:t>(1)</w:t>
      </w:r>
      <w:r w:rsidRPr="00472578">
        <w:rPr>
          <w:strike/>
        </w:rPr>
        <w:tab/>
        <w:t xml:space="preserve">all activities are carried out within the environmental constraints of this RPS, </w:t>
      </w:r>
    </w:p>
    <w:p w14:paraId="5588435E" w14:textId="77777777" w:rsidR="00F458B9" w:rsidRPr="00472578" w:rsidRDefault="00F458B9" w:rsidP="00E92686">
      <w:pPr>
        <w:ind w:left="567" w:hanging="567"/>
        <w:jc w:val="both"/>
        <w:rPr>
          <w:strike/>
        </w:rPr>
      </w:pPr>
      <w:r w:rsidRPr="00472578">
        <w:rPr>
          <w:strike/>
        </w:rPr>
        <w:t>(2)</w:t>
      </w:r>
      <w:r w:rsidRPr="00472578">
        <w:rPr>
          <w:strike/>
        </w:rPr>
        <w:tab/>
        <w:t>all provisions relevant to an issue or decision must be considered,</w:t>
      </w:r>
    </w:p>
    <w:p w14:paraId="678D596B" w14:textId="77777777" w:rsidR="00F458B9" w:rsidRPr="00472578" w:rsidRDefault="00F458B9" w:rsidP="00E92686">
      <w:pPr>
        <w:ind w:left="567" w:hanging="567"/>
        <w:jc w:val="both"/>
        <w:rPr>
          <w:strike/>
        </w:rPr>
      </w:pPr>
      <w:r w:rsidRPr="00472578">
        <w:rPr>
          <w:strike/>
        </w:rPr>
        <w:t>(3)</w:t>
      </w:r>
      <w:r w:rsidRPr="00472578">
        <w:rPr>
          <w:strike/>
        </w:rPr>
        <w:tab/>
        <w:t>if multiple provisions are relevant, they must be considered together and applied according to the terms in which they are expressed, and</w:t>
      </w:r>
    </w:p>
    <w:p w14:paraId="34AC49C5" w14:textId="77777777" w:rsidR="00F458B9" w:rsidRPr="00472578" w:rsidRDefault="00F458B9" w:rsidP="00E92686">
      <w:pPr>
        <w:ind w:left="567" w:hanging="567"/>
        <w:jc w:val="both"/>
        <w:rPr>
          <w:strike/>
        </w:rPr>
      </w:pPr>
      <w:r w:rsidRPr="00472578">
        <w:rPr>
          <w:strike/>
        </w:rPr>
        <w:t>(4)</w:t>
      </w:r>
      <w:r w:rsidRPr="00472578">
        <w:rPr>
          <w:strike/>
        </w:rPr>
        <w:tab/>
        <w:t>notwithstanding the above,</w:t>
      </w:r>
      <w:r w:rsidRPr="00472578" w:rsidDel="001E2069">
        <w:rPr>
          <w:strike/>
        </w:rPr>
        <w:t xml:space="preserve"> </w:t>
      </w:r>
      <w:r w:rsidRPr="00472578">
        <w:rPr>
          <w:strike/>
        </w:rPr>
        <w:t>all provisions must be interpreted and applied to achieve the integrated management objectives IM-O1 to IM-O4.</w:t>
      </w:r>
    </w:p>
    <w:bookmarkEnd w:id="95"/>
    <w:bookmarkEnd w:id="96"/>
    <w:p w14:paraId="5096D39F" w14:textId="77777777" w:rsidR="00F458B9" w:rsidRPr="00472578" w:rsidRDefault="00F458B9" w:rsidP="00E92686">
      <w:pPr>
        <w:pStyle w:val="Heading4"/>
        <w:jc w:val="both"/>
        <w:rPr>
          <w:strike/>
        </w:rPr>
      </w:pPr>
      <w:r w:rsidRPr="00472578">
        <w:rPr>
          <w:strike/>
        </w:rPr>
        <w:t>IM-P2 – Decision priorities</w:t>
      </w:r>
    </w:p>
    <w:p w14:paraId="4541586C" w14:textId="77777777" w:rsidR="00F458B9" w:rsidRPr="00472578" w:rsidRDefault="00F458B9" w:rsidP="00E92686">
      <w:pPr>
        <w:jc w:val="both"/>
        <w:rPr>
          <w:strike/>
        </w:rPr>
      </w:pPr>
      <w:r w:rsidRPr="00472578">
        <w:rPr>
          <w:strike/>
        </w:rPr>
        <w:t>Unless expressly stated otherwise, all decision making under this RPS shall:</w:t>
      </w:r>
    </w:p>
    <w:p w14:paraId="76EA0305" w14:textId="77777777" w:rsidR="00F458B9" w:rsidRPr="00472578" w:rsidRDefault="00F458B9" w:rsidP="00E92686">
      <w:pPr>
        <w:pStyle w:val="JustifiedSpacing"/>
        <w:ind w:left="567" w:hanging="567"/>
        <w:rPr>
          <w:strike/>
        </w:rPr>
      </w:pPr>
      <w:r w:rsidRPr="00472578">
        <w:rPr>
          <w:strike/>
        </w:rPr>
        <w:t>(1)</w:t>
      </w:r>
      <w:r w:rsidRPr="00472578">
        <w:rPr>
          <w:strike/>
        </w:rPr>
        <w:tab/>
        <w:t>firstly, secure the long-term life-supporting capacity and mauri of the natural environment,</w:t>
      </w:r>
    </w:p>
    <w:p w14:paraId="0A82C437" w14:textId="77777777" w:rsidR="00F458B9" w:rsidRPr="00472578" w:rsidRDefault="00F458B9" w:rsidP="00E92686">
      <w:pPr>
        <w:pStyle w:val="JustifiedSpacing"/>
        <w:ind w:left="567" w:hanging="567"/>
        <w:rPr>
          <w:strike/>
        </w:rPr>
      </w:pPr>
      <w:r w:rsidRPr="00472578">
        <w:rPr>
          <w:strike/>
        </w:rPr>
        <w:t>(2)</w:t>
      </w:r>
      <w:r w:rsidRPr="00472578">
        <w:rPr>
          <w:strike/>
        </w:rPr>
        <w:tab/>
        <w:t>secondly, promote the health needs of people, and</w:t>
      </w:r>
    </w:p>
    <w:p w14:paraId="55AE2CF3" w14:textId="77777777" w:rsidR="00F458B9" w:rsidRPr="00472578" w:rsidRDefault="00F458B9" w:rsidP="00E92686">
      <w:pPr>
        <w:pStyle w:val="JustifiedSpacing"/>
        <w:ind w:left="567" w:hanging="567"/>
        <w:rPr>
          <w:strike/>
        </w:rPr>
      </w:pPr>
      <w:r w:rsidRPr="00472578">
        <w:rPr>
          <w:strike/>
        </w:rPr>
        <w:t xml:space="preserve">(3) </w:t>
      </w:r>
      <w:r w:rsidRPr="00472578">
        <w:rPr>
          <w:strike/>
        </w:rPr>
        <w:tab/>
        <w:t>thirdly, safeguard the ability of people and communities to provide for their social, economic, and cultural well-being, now and in the future.</w:t>
      </w:r>
      <w:r w:rsidRPr="00472578">
        <w:rPr>
          <w:rStyle w:val="FootnoteReference"/>
        </w:rPr>
        <w:footnoteReference w:id="510"/>
      </w:r>
    </w:p>
    <w:p w14:paraId="15FF3E3F" w14:textId="77777777" w:rsidR="00F458B9" w:rsidRPr="00472578" w:rsidRDefault="00F458B9" w:rsidP="00E92686">
      <w:pPr>
        <w:pStyle w:val="Heading4"/>
        <w:jc w:val="both"/>
      </w:pPr>
      <w:r w:rsidRPr="00472578">
        <w:lastRenderedPageBreak/>
        <w:t xml:space="preserve">IM-P3 – Providing for </w:t>
      </w:r>
      <w:r w:rsidRPr="00472578">
        <w:rPr>
          <w:i/>
        </w:rPr>
        <w:t>mana whenua</w:t>
      </w:r>
      <w:r w:rsidRPr="00472578">
        <w:t xml:space="preserve"> cultural values in achieving integrated management </w:t>
      </w:r>
    </w:p>
    <w:p w14:paraId="7C03B3CD" w14:textId="0473B7C4" w:rsidR="00F458B9" w:rsidRPr="00472578" w:rsidRDefault="00F458B9" w:rsidP="00E92686">
      <w:pPr>
        <w:pStyle w:val="JustifiedSpacing"/>
      </w:pPr>
      <w:r w:rsidRPr="00472578">
        <w:t xml:space="preserve">Recognise and provide for </w:t>
      </w:r>
      <w:r w:rsidRPr="00472578">
        <w:rPr>
          <w:u w:val="single"/>
        </w:rPr>
        <w:t>the relationship of</w:t>
      </w:r>
      <w:r w:rsidRPr="00472578">
        <w:t xml:space="preserve"> Kāi Tahu</w:t>
      </w:r>
      <w:r w:rsidR="00BD6221">
        <w:t xml:space="preserve"> </w:t>
      </w:r>
      <w:r w:rsidRPr="00472578">
        <w:rPr>
          <w:strike/>
        </w:rPr>
        <w:t>’s relationship</w:t>
      </w:r>
      <w:r w:rsidRPr="00472578">
        <w:rPr>
          <w:rStyle w:val="FootnoteReference"/>
        </w:rPr>
        <w:footnoteReference w:id="511"/>
      </w:r>
      <w:r w:rsidRPr="00472578">
        <w:t xml:space="preserve"> with natural resources by: </w:t>
      </w:r>
    </w:p>
    <w:p w14:paraId="3515B32A" w14:textId="77777777" w:rsidR="00F458B9" w:rsidRPr="00472578" w:rsidRDefault="00F458B9" w:rsidP="00E92686">
      <w:pPr>
        <w:pStyle w:val="JustifiedSpacing"/>
        <w:ind w:left="567" w:hanging="567"/>
      </w:pPr>
      <w:r w:rsidRPr="00472578">
        <w:t>(1)</w:t>
      </w:r>
      <w:r w:rsidRPr="00472578">
        <w:tab/>
        <w:t xml:space="preserve">enabling </w:t>
      </w:r>
      <w:r w:rsidRPr="00472578">
        <w:rPr>
          <w:i/>
        </w:rPr>
        <w:t>mana whenua</w:t>
      </w:r>
      <w:r w:rsidRPr="00472578">
        <w:t xml:space="preserve"> to exercise rakatirataka and </w:t>
      </w:r>
      <w:r w:rsidRPr="00472578">
        <w:rPr>
          <w:i/>
          <w:iCs/>
        </w:rPr>
        <w:t>kaitiakitaka</w:t>
      </w:r>
      <w:r w:rsidRPr="00472578">
        <w:t>,</w:t>
      </w:r>
    </w:p>
    <w:p w14:paraId="1C87171F" w14:textId="77777777" w:rsidR="00F458B9" w:rsidRPr="00472578" w:rsidRDefault="00F458B9" w:rsidP="00E92686">
      <w:pPr>
        <w:pStyle w:val="JustifiedSpacing"/>
        <w:ind w:left="567" w:hanging="567"/>
      </w:pPr>
      <w:r w:rsidRPr="00472578">
        <w:t>(2)</w:t>
      </w:r>
      <w:r w:rsidRPr="00472578">
        <w:tab/>
        <w:t xml:space="preserve">facilitating active participation of </w:t>
      </w:r>
      <w:r w:rsidRPr="00472578">
        <w:rPr>
          <w:i/>
        </w:rPr>
        <w:t>mana whenua</w:t>
      </w:r>
      <w:r w:rsidRPr="00472578">
        <w:t xml:space="preserve"> in resource management </w:t>
      </w:r>
      <w:r w:rsidRPr="00472578">
        <w:rPr>
          <w:u w:val="single"/>
        </w:rPr>
        <w:t>processes and</w:t>
      </w:r>
      <w:r w:rsidRPr="00472578">
        <w:rPr>
          <w:rStyle w:val="FootnoteReference"/>
        </w:rPr>
        <w:footnoteReference w:id="512"/>
      </w:r>
      <w:r w:rsidRPr="00472578">
        <w:rPr>
          <w:u w:val="single"/>
        </w:rPr>
        <w:t xml:space="preserve"> </w:t>
      </w:r>
      <w:r w:rsidRPr="00472578">
        <w:t>decision-making,</w:t>
      </w:r>
    </w:p>
    <w:p w14:paraId="058EB0F8" w14:textId="20A38E93" w:rsidR="00F458B9" w:rsidRPr="00472578" w:rsidRDefault="00F458B9" w:rsidP="00E92686">
      <w:pPr>
        <w:pStyle w:val="JustifiedSpacing"/>
        <w:ind w:left="567" w:hanging="567"/>
      </w:pPr>
      <w:r w:rsidRPr="00472578">
        <w:t>(3)</w:t>
      </w:r>
      <w:r w:rsidRPr="00472578">
        <w:tab/>
        <w:t xml:space="preserve">incorporating mātauraka Māori in </w:t>
      </w:r>
      <w:r w:rsidRPr="00472578">
        <w:rPr>
          <w:u w:val="single"/>
        </w:rPr>
        <w:t>processes and</w:t>
      </w:r>
      <w:r w:rsidRPr="00472578">
        <w:rPr>
          <w:rStyle w:val="FootnoteReference"/>
        </w:rPr>
        <w:footnoteReference w:id="513"/>
      </w:r>
      <w:r w:rsidRPr="00472578">
        <w:t xml:space="preserve"> decision</w:t>
      </w:r>
      <w:r w:rsidRPr="00472578">
        <w:rPr>
          <w:u w:val="single"/>
        </w:rPr>
        <w:t>-</w:t>
      </w:r>
      <w:r w:rsidRPr="00472578">
        <w:t>making</w:t>
      </w:r>
      <w:r w:rsidR="00B32B84" w:rsidRPr="00472578">
        <w:rPr>
          <w:rStyle w:val="FootnoteReference"/>
        </w:rPr>
        <w:footnoteReference w:id="514"/>
      </w:r>
      <w:r w:rsidRPr="00472578">
        <w:t>, and</w:t>
      </w:r>
    </w:p>
    <w:p w14:paraId="4E27D01E" w14:textId="6AF54443" w:rsidR="00F458B9" w:rsidRPr="00472578" w:rsidRDefault="00F458B9" w:rsidP="00E92686">
      <w:pPr>
        <w:pStyle w:val="JustifiedSpacing"/>
        <w:ind w:left="567" w:hanging="567"/>
      </w:pPr>
      <w:r w:rsidRPr="00472578">
        <w:t>(4)</w:t>
      </w:r>
      <w:r w:rsidRPr="00472578">
        <w:tab/>
        <w:t xml:space="preserve">ensuring resource management provides for the connections of Kāi Tahu to </w:t>
      </w:r>
      <w:r w:rsidRPr="00472578">
        <w:rPr>
          <w:i/>
          <w:iCs/>
        </w:rPr>
        <w:t>wāhi tūpuna</w:t>
      </w:r>
      <w:r w:rsidRPr="00472578">
        <w:t xml:space="preserve">, </w:t>
      </w:r>
      <w:r w:rsidRPr="00472578">
        <w:rPr>
          <w:i/>
          <w:iCs/>
          <w:strike/>
        </w:rPr>
        <w:t>water</w:t>
      </w:r>
      <w:r w:rsidRPr="00472578">
        <w:rPr>
          <w:strike/>
        </w:rPr>
        <w:t xml:space="preserve"> and </w:t>
      </w:r>
      <w:r w:rsidRPr="00472578">
        <w:rPr>
          <w:i/>
          <w:iCs/>
          <w:strike/>
        </w:rPr>
        <w:t>water bodies</w:t>
      </w:r>
      <w:r w:rsidRPr="00472578">
        <w:rPr>
          <w:strike/>
        </w:rPr>
        <w:t>, the coastal environment,</w:t>
      </w:r>
      <w:r w:rsidRPr="00472578">
        <w:t xml:space="preserve"> </w:t>
      </w:r>
      <w:r w:rsidRPr="00472578">
        <w:rPr>
          <w:u w:val="single"/>
        </w:rPr>
        <w:t xml:space="preserve">wai māori (including awa </w:t>
      </w:r>
      <w:r w:rsidR="002B6ADF">
        <w:rPr>
          <w:u w:val="single"/>
        </w:rPr>
        <w:t xml:space="preserve">[rivers] </w:t>
      </w:r>
      <w:r w:rsidRPr="00472578">
        <w:rPr>
          <w:u w:val="single"/>
        </w:rPr>
        <w:t>and roto</w:t>
      </w:r>
      <w:r w:rsidR="002B6ADF">
        <w:rPr>
          <w:u w:val="single"/>
        </w:rPr>
        <w:t xml:space="preserve"> [lakes]</w:t>
      </w:r>
      <w:r w:rsidRPr="00472578">
        <w:rPr>
          <w:u w:val="single"/>
        </w:rPr>
        <w:t>) and wai tai (including te takutai moana</w:t>
      </w:r>
      <w:r w:rsidR="004A317A">
        <w:rPr>
          <w:u w:val="single"/>
        </w:rPr>
        <w:t xml:space="preserve"> [coastal marine area]</w:t>
      </w:r>
      <w:r w:rsidRPr="00472578">
        <w:rPr>
          <w:u w:val="single"/>
        </w:rPr>
        <w:t>) and</w:t>
      </w:r>
      <w:r w:rsidR="000C5797" w:rsidRPr="639E38F9">
        <w:rPr>
          <w:rStyle w:val="FootnoteReference"/>
          <w:rFonts w:cstheme="minorBidi"/>
        </w:rPr>
        <w:footnoteReference w:id="515"/>
      </w:r>
      <w:r w:rsidRPr="00472578">
        <w:t xml:space="preserve"> </w:t>
      </w:r>
      <w:r w:rsidR="00212778" w:rsidRPr="009C237D">
        <w:rPr>
          <w:strike/>
        </w:rPr>
        <w:t>mahika kai</w:t>
      </w:r>
      <w:r w:rsidR="00212778" w:rsidRPr="00472578">
        <w:t xml:space="preserve"> </w:t>
      </w:r>
      <w:r w:rsidR="00212778" w:rsidRPr="00A52BB7">
        <w:rPr>
          <w:i/>
          <w:iCs/>
          <w:u w:val="single"/>
        </w:rPr>
        <w:t>mahika kai</w:t>
      </w:r>
      <w:r w:rsidR="00212778">
        <w:rPr>
          <w:rStyle w:val="FootnoteReference"/>
        </w:rPr>
        <w:footnoteReference w:id="516"/>
      </w:r>
      <w:r w:rsidR="00212778" w:rsidRPr="00472578">
        <w:rPr>
          <w:iCs/>
        </w:rPr>
        <w:t xml:space="preserve"> </w:t>
      </w:r>
      <w:r w:rsidRPr="00472578">
        <w:t>and habitats of taoka species.</w:t>
      </w:r>
      <w:r w:rsidRPr="00472578">
        <w:rPr>
          <w:rStyle w:val="FootnoteReference"/>
        </w:rPr>
        <w:footnoteReference w:id="517"/>
      </w:r>
    </w:p>
    <w:p w14:paraId="6867E750" w14:textId="77777777" w:rsidR="00F458B9" w:rsidRPr="00472578" w:rsidRDefault="00F458B9" w:rsidP="00E92686">
      <w:pPr>
        <w:pStyle w:val="Heading4"/>
        <w:jc w:val="both"/>
      </w:pPr>
      <w:r w:rsidRPr="00472578">
        <w:t>IM-P4 – Setting a strategic approach to ecosystem health</w:t>
      </w:r>
    </w:p>
    <w:p w14:paraId="7521CEC9" w14:textId="77777777" w:rsidR="00F458B9" w:rsidRPr="00472578" w:rsidRDefault="00F458B9" w:rsidP="00E92686">
      <w:pPr>
        <w:pStyle w:val="JustifiedSpacing"/>
      </w:pPr>
      <w:r w:rsidRPr="00472578">
        <w:t xml:space="preserve">Healthy </w:t>
      </w:r>
      <w:r w:rsidRPr="00472578">
        <w:rPr>
          <w:u w:val="single"/>
        </w:rPr>
        <w:t>and resilient</w:t>
      </w:r>
      <w:r w:rsidRPr="00472578">
        <w:rPr>
          <w:rStyle w:val="FootnoteReference"/>
        </w:rPr>
        <w:footnoteReference w:id="518"/>
      </w:r>
      <w:r w:rsidRPr="00472578">
        <w:t xml:space="preserve"> ecosystems and ecosystem services are achieved </w:t>
      </w:r>
      <w:r w:rsidRPr="00472578">
        <w:rPr>
          <w:u w:val="single"/>
        </w:rPr>
        <w:t>by</w:t>
      </w:r>
      <w:r w:rsidRPr="00472578">
        <w:t xml:space="preserve"> </w:t>
      </w:r>
      <w:r w:rsidRPr="00472578">
        <w:rPr>
          <w:strike/>
        </w:rPr>
        <w:t>through a planning framework that</w:t>
      </w:r>
      <w:r w:rsidRPr="00472578">
        <w:t>:</w:t>
      </w:r>
      <w:r w:rsidRPr="00472578">
        <w:rPr>
          <w:rStyle w:val="FootnoteReference"/>
        </w:rPr>
        <w:footnoteReference w:id="519"/>
      </w:r>
    </w:p>
    <w:p w14:paraId="2D06F659" w14:textId="77777777" w:rsidR="00F458B9" w:rsidRPr="00472578" w:rsidRDefault="00F458B9" w:rsidP="00E92686">
      <w:pPr>
        <w:ind w:left="567" w:hanging="567"/>
        <w:jc w:val="both"/>
      </w:pPr>
      <w:r w:rsidRPr="00472578">
        <w:t>(1)</w:t>
      </w:r>
      <w:r w:rsidRPr="00472578">
        <w:tab/>
      </w:r>
      <w:r w:rsidRPr="00472578">
        <w:rPr>
          <w:strike/>
        </w:rPr>
        <w:t>protects</w:t>
      </w:r>
      <w:r w:rsidRPr="00472578">
        <w:t xml:space="preserve"> </w:t>
      </w:r>
      <w:r w:rsidRPr="00472578">
        <w:rPr>
          <w:u w:val="single"/>
        </w:rPr>
        <w:t xml:space="preserve">having </w:t>
      </w:r>
      <w:proofErr w:type="gramStart"/>
      <w:r w:rsidRPr="00472578">
        <w:rPr>
          <w:u w:val="single"/>
        </w:rPr>
        <w:t>particular regard</w:t>
      </w:r>
      <w:proofErr w:type="gramEnd"/>
      <w:r w:rsidRPr="00472578">
        <w:rPr>
          <w:u w:val="single"/>
        </w:rPr>
        <w:t xml:space="preserve"> to</w:t>
      </w:r>
      <w:r w:rsidRPr="00472578">
        <w:t xml:space="preserve"> their </w:t>
      </w:r>
      <w:r w:rsidRPr="00472578">
        <w:rPr>
          <w:i/>
          <w:iCs/>
        </w:rPr>
        <w:t>intrinsic values</w:t>
      </w:r>
      <w:r w:rsidRPr="00472578">
        <w:t>,</w:t>
      </w:r>
      <w:r w:rsidRPr="00472578">
        <w:rPr>
          <w:rStyle w:val="FootnoteReference"/>
        </w:rPr>
        <w:footnoteReference w:id="520"/>
      </w:r>
    </w:p>
    <w:p w14:paraId="7F257B96" w14:textId="77777777" w:rsidR="00F458B9" w:rsidRPr="00472578" w:rsidRDefault="00F458B9" w:rsidP="00E92686">
      <w:pPr>
        <w:ind w:left="567" w:hanging="567"/>
        <w:jc w:val="both"/>
      </w:pPr>
      <w:r w:rsidRPr="00472578">
        <w:t>(2)</w:t>
      </w:r>
      <w:r w:rsidRPr="00472578">
        <w:tab/>
      </w:r>
      <w:r w:rsidRPr="639E38F9">
        <w:rPr>
          <w:strike/>
        </w:rPr>
        <w:t>tak</w:t>
      </w:r>
      <w:r w:rsidRPr="639E38F9">
        <w:t>e</w:t>
      </w:r>
      <w:r w:rsidRPr="639E38F9">
        <w:rPr>
          <w:strike/>
        </w:rPr>
        <w:t>s</w:t>
      </w:r>
      <w:r w:rsidRPr="639E38F9">
        <w:t xml:space="preserve"> </w:t>
      </w:r>
      <w:r w:rsidRPr="639E38F9">
        <w:rPr>
          <w:u w:val="single" w:color="000000" w:themeColor="text1"/>
        </w:rPr>
        <w:t>taking</w:t>
      </w:r>
      <w:r w:rsidRPr="00472578">
        <w:rPr>
          <w:rStyle w:val="FootnoteReference"/>
        </w:rPr>
        <w:footnoteReference w:id="521"/>
      </w:r>
      <w:r w:rsidRPr="00472578">
        <w:t xml:space="preserve"> a long-term strategic approach that recognises changing </w:t>
      </w:r>
      <w:r w:rsidRPr="00472578">
        <w:rPr>
          <w:i/>
          <w:iCs/>
        </w:rPr>
        <w:t xml:space="preserve">environments </w:t>
      </w:r>
      <w:r w:rsidRPr="00472578">
        <w:rPr>
          <w:u w:val="single"/>
        </w:rPr>
        <w:t>and the impacts of climate change</w:t>
      </w:r>
      <w:r w:rsidRPr="00472578">
        <w:t>,</w:t>
      </w:r>
      <w:r w:rsidRPr="00472578">
        <w:rPr>
          <w:rStyle w:val="FootnoteReference"/>
        </w:rPr>
        <w:footnoteReference w:id="522"/>
      </w:r>
      <w:r w:rsidRPr="00472578">
        <w:t xml:space="preserve"> </w:t>
      </w:r>
    </w:p>
    <w:p w14:paraId="5C031FBA" w14:textId="36930755" w:rsidR="00F458B9" w:rsidRPr="00472578" w:rsidRDefault="00F458B9" w:rsidP="00E92686">
      <w:pPr>
        <w:ind w:left="567" w:hanging="567"/>
        <w:jc w:val="both"/>
      </w:pPr>
      <w:r w:rsidRPr="00472578">
        <w:t>(3)</w:t>
      </w:r>
      <w:r w:rsidRPr="00472578">
        <w:tab/>
      </w:r>
      <w:r w:rsidRPr="639E38F9">
        <w:rPr>
          <w:strike/>
        </w:rPr>
        <w:t>recognises</w:t>
      </w:r>
      <w:r w:rsidRPr="639E38F9">
        <w:t xml:space="preserve"> </w:t>
      </w:r>
      <w:r w:rsidRPr="639E38F9">
        <w:rPr>
          <w:u w:val="single" w:color="000000" w:themeColor="text1"/>
        </w:rPr>
        <w:t>recognising</w:t>
      </w:r>
      <w:r w:rsidRPr="639E38F9">
        <w:t xml:space="preserve"> </w:t>
      </w:r>
      <w:r w:rsidRPr="00472578">
        <w:t xml:space="preserve">and </w:t>
      </w:r>
      <w:r w:rsidRPr="00472578">
        <w:rPr>
          <w:strike/>
        </w:rPr>
        <w:t>provides</w:t>
      </w:r>
      <w:r w:rsidRPr="00472578">
        <w:t xml:space="preserve"> </w:t>
      </w:r>
      <w:r w:rsidR="00530182" w:rsidRPr="00472578">
        <w:rPr>
          <w:u w:val="single"/>
        </w:rPr>
        <w:t>providing</w:t>
      </w:r>
      <w:r w:rsidR="00530182" w:rsidRPr="00472578">
        <w:rPr>
          <w:rStyle w:val="FootnoteReference"/>
        </w:rPr>
        <w:footnoteReference w:id="523"/>
      </w:r>
      <w:r w:rsidR="00530182" w:rsidRPr="00472578">
        <w:t xml:space="preserve"> </w:t>
      </w:r>
      <w:r w:rsidRPr="00472578">
        <w:t>for ecosystem complexity and interconnections, and</w:t>
      </w:r>
    </w:p>
    <w:p w14:paraId="7EE514AF" w14:textId="77777777" w:rsidR="00F458B9" w:rsidRPr="00472578" w:rsidRDefault="00F458B9" w:rsidP="00E92686">
      <w:pPr>
        <w:ind w:left="567" w:hanging="567"/>
        <w:jc w:val="both"/>
      </w:pPr>
      <w:r w:rsidRPr="00472578">
        <w:t>(4)</w:t>
      </w:r>
      <w:r w:rsidRPr="00472578">
        <w:tab/>
      </w:r>
      <w:r w:rsidRPr="00472578">
        <w:rPr>
          <w:strike/>
        </w:rPr>
        <w:t>anticipates</w:t>
      </w:r>
      <w:r w:rsidRPr="00472578">
        <w:t xml:space="preserve"> </w:t>
      </w:r>
      <w:r w:rsidRPr="00472578">
        <w:rPr>
          <w:u w:val="single"/>
        </w:rPr>
        <w:t>anticipating</w:t>
      </w:r>
      <w:r w:rsidRPr="00472578">
        <w:t xml:space="preserve">, or </w:t>
      </w:r>
      <w:r w:rsidRPr="00472578">
        <w:rPr>
          <w:strike/>
        </w:rPr>
        <w:t>responds</w:t>
      </w:r>
      <w:r w:rsidRPr="00472578">
        <w:t xml:space="preserve"> </w:t>
      </w:r>
      <w:r w:rsidRPr="00472578">
        <w:rPr>
          <w:u w:val="single"/>
        </w:rPr>
        <w:t>responding</w:t>
      </w:r>
      <w:r w:rsidRPr="00472578">
        <w:rPr>
          <w:rStyle w:val="FootnoteReference"/>
        </w:rPr>
        <w:footnoteReference w:id="524"/>
      </w:r>
      <w:r w:rsidRPr="00472578">
        <w:t xml:space="preserve"> swiftly to, changes in activities, pressures, and trends. </w:t>
      </w:r>
    </w:p>
    <w:p w14:paraId="35576FEA" w14:textId="77777777" w:rsidR="00F458B9" w:rsidRPr="00472578" w:rsidRDefault="00F458B9" w:rsidP="00E92686">
      <w:pPr>
        <w:pStyle w:val="Heading4"/>
        <w:jc w:val="both"/>
      </w:pPr>
      <w:r w:rsidRPr="00472578">
        <w:t>IM-P5 – Managing environmental interconnections</w:t>
      </w:r>
    </w:p>
    <w:p w14:paraId="766D4509" w14:textId="77777777" w:rsidR="00F458B9" w:rsidRPr="00472578" w:rsidRDefault="00F458B9" w:rsidP="00E92686">
      <w:pPr>
        <w:jc w:val="both"/>
      </w:pPr>
      <w:r w:rsidRPr="00472578">
        <w:t xml:space="preserve">Coordinate the management of interconnected </w:t>
      </w:r>
      <w:r w:rsidRPr="00472578">
        <w:rPr>
          <w:i/>
          <w:iCs/>
        </w:rPr>
        <w:t>natural and physical resources</w:t>
      </w:r>
      <w:r w:rsidRPr="00472578">
        <w:t xml:space="preserve"> by recognising </w:t>
      </w:r>
      <w:r w:rsidRPr="00472578">
        <w:rPr>
          <w:strike/>
        </w:rPr>
        <w:t>and providing for</w:t>
      </w:r>
      <w:r w:rsidRPr="00472578">
        <w:t>:</w:t>
      </w:r>
      <w:r w:rsidRPr="00472578">
        <w:rPr>
          <w:rStyle w:val="FootnoteReference"/>
        </w:rPr>
        <w:footnoteReference w:id="525"/>
      </w:r>
    </w:p>
    <w:p w14:paraId="58FE7316" w14:textId="77777777" w:rsidR="00F458B9" w:rsidRPr="00472578" w:rsidRDefault="00F458B9" w:rsidP="00E92686">
      <w:pPr>
        <w:ind w:left="567" w:hanging="567"/>
        <w:jc w:val="both"/>
      </w:pPr>
      <w:r w:rsidRPr="00472578">
        <w:t>(1)</w:t>
      </w:r>
      <w:r w:rsidRPr="00472578">
        <w:tab/>
        <w:t xml:space="preserve">situations where the value and function of a </w:t>
      </w:r>
      <w:r w:rsidRPr="00472578">
        <w:rPr>
          <w:i/>
          <w:iCs/>
        </w:rPr>
        <w:t>natural or physical resource</w:t>
      </w:r>
      <w:r w:rsidRPr="00472578">
        <w:t xml:space="preserve"> extends beyond the immediate, or directly adjacent, area of interest,</w:t>
      </w:r>
    </w:p>
    <w:p w14:paraId="349206E8" w14:textId="00D0A629" w:rsidR="00F458B9" w:rsidRPr="00472578" w:rsidRDefault="00F458B9" w:rsidP="00E92686">
      <w:pPr>
        <w:ind w:left="567" w:hanging="567"/>
        <w:jc w:val="both"/>
      </w:pPr>
      <w:r w:rsidRPr="00472578">
        <w:lastRenderedPageBreak/>
        <w:t>(2)</w:t>
      </w:r>
      <w:r w:rsidRPr="00472578">
        <w:tab/>
        <w:t xml:space="preserve">the effects of activities on a </w:t>
      </w:r>
      <w:r w:rsidRPr="00472578">
        <w:rPr>
          <w:i/>
          <w:iCs/>
        </w:rPr>
        <w:t xml:space="preserve">natural or physical </w:t>
      </w:r>
      <w:proofErr w:type="gramStart"/>
      <w:r w:rsidRPr="00472578">
        <w:rPr>
          <w:i/>
          <w:iCs/>
        </w:rPr>
        <w:t>resource</w:t>
      </w:r>
      <w:r w:rsidRPr="00472578">
        <w:t xml:space="preserve"> as a whole</w:t>
      </w:r>
      <w:r w:rsidRPr="00472578">
        <w:rPr>
          <w:u w:val="single"/>
        </w:rPr>
        <w:t>, or</w:t>
      </w:r>
      <w:proofErr w:type="gramEnd"/>
      <w:r w:rsidRPr="00472578">
        <w:rPr>
          <w:u w:val="single"/>
        </w:rPr>
        <w:t xml:space="preserve"> on the environment,</w:t>
      </w:r>
      <w:r w:rsidRPr="00472578">
        <w:rPr>
          <w:rStyle w:val="FootnoteReference"/>
        </w:rPr>
        <w:footnoteReference w:id="526"/>
      </w:r>
      <w:r w:rsidRPr="00472578">
        <w:t xml:space="preserve"> when that resource is managed as sub-units, and</w:t>
      </w:r>
    </w:p>
    <w:p w14:paraId="611FCC0B" w14:textId="77777777" w:rsidR="00F458B9" w:rsidRPr="00472578" w:rsidRDefault="00F458B9" w:rsidP="00E92686">
      <w:pPr>
        <w:ind w:left="567" w:hanging="567"/>
        <w:jc w:val="both"/>
      </w:pPr>
      <w:r w:rsidRPr="00472578">
        <w:t>(3)</w:t>
      </w:r>
      <w:r w:rsidRPr="00472578">
        <w:tab/>
        <w:t xml:space="preserve">the impacts of management of one </w:t>
      </w:r>
      <w:r w:rsidRPr="00472578">
        <w:rPr>
          <w:i/>
          <w:iCs/>
        </w:rPr>
        <w:t>natural or physical resource</w:t>
      </w:r>
      <w:r w:rsidRPr="00472578">
        <w:t xml:space="preserve"> on the values of another, or on the </w:t>
      </w:r>
      <w:r w:rsidRPr="00472578">
        <w:rPr>
          <w:i/>
          <w:iCs/>
        </w:rPr>
        <w:t>environment</w:t>
      </w:r>
      <w:r w:rsidRPr="00472578">
        <w:t>.</w:t>
      </w:r>
    </w:p>
    <w:p w14:paraId="1BE3B311" w14:textId="77777777" w:rsidR="00F458B9" w:rsidRPr="00472578" w:rsidRDefault="00F458B9" w:rsidP="00E92686">
      <w:pPr>
        <w:pStyle w:val="Heading4"/>
        <w:jc w:val="both"/>
      </w:pPr>
      <w:r w:rsidRPr="00472578">
        <w:t>IM-P6 – Acting on best available information</w:t>
      </w:r>
    </w:p>
    <w:p w14:paraId="09594A54" w14:textId="1CC44E58" w:rsidR="00F458B9" w:rsidRPr="00472578" w:rsidRDefault="00F458B9" w:rsidP="00E92686">
      <w:pPr>
        <w:pStyle w:val="JustifiedSpacing"/>
        <w:rPr>
          <w:u w:val="single"/>
        </w:rPr>
      </w:pPr>
      <w:r w:rsidRPr="00472578">
        <w:t xml:space="preserve">Avoid unreasonable delays </w:t>
      </w:r>
      <w:r w:rsidR="00511D3E" w:rsidRPr="00472578">
        <w:rPr>
          <w:u w:val="single"/>
        </w:rPr>
        <w:t>and manage uncertainties</w:t>
      </w:r>
      <w:r w:rsidR="00B412FA" w:rsidRPr="00472578">
        <w:rPr>
          <w:rStyle w:val="FootnoteReference"/>
        </w:rPr>
        <w:footnoteReference w:id="527"/>
      </w:r>
      <w:r w:rsidR="00A0572A" w:rsidRPr="00472578">
        <w:t xml:space="preserve"> </w:t>
      </w:r>
      <w:r w:rsidRPr="00472578">
        <w:t xml:space="preserve">in decision-making processes by using the best information available at the time, including </w:t>
      </w:r>
      <w:r w:rsidRPr="00472578">
        <w:rPr>
          <w:strike/>
        </w:rPr>
        <w:t>but not limited to</w:t>
      </w:r>
      <w:r w:rsidRPr="00472578">
        <w:rPr>
          <w:rFonts w:eastAsia="National-Book"/>
        </w:rPr>
        <w:t xml:space="preserve"> </w:t>
      </w:r>
      <w:r w:rsidR="00B95E99" w:rsidRPr="00472578">
        <w:rPr>
          <w:rFonts w:eastAsia="National-Book"/>
          <w:u w:val="single"/>
        </w:rPr>
        <w:t>complete and scientifically robust data</w:t>
      </w:r>
      <w:r w:rsidR="00B809C4" w:rsidRPr="00472578">
        <w:rPr>
          <w:rFonts w:eastAsia="National-Book"/>
          <w:u w:val="single"/>
        </w:rPr>
        <w:t>,</w:t>
      </w:r>
      <w:r w:rsidR="00B95E99" w:rsidRPr="00472578">
        <w:rPr>
          <w:rFonts w:eastAsia="National-Book"/>
        </w:rPr>
        <w:t xml:space="preserve"> </w:t>
      </w:r>
      <w:r w:rsidRPr="00472578">
        <w:rPr>
          <w:rFonts w:eastAsia="National-Book"/>
        </w:rPr>
        <w:t>mātauraka</w:t>
      </w:r>
      <w:r w:rsidRPr="00472578">
        <w:t xml:space="preserve"> M</w:t>
      </w:r>
      <w:r w:rsidRPr="00472578">
        <w:rPr>
          <w:rFonts w:eastAsia="National-Book"/>
        </w:rPr>
        <w:t>ā</w:t>
      </w:r>
      <w:r w:rsidRPr="00472578">
        <w:t>ori,</w:t>
      </w:r>
      <w:r w:rsidRPr="00E73D6E">
        <w:t xml:space="preserve"> </w:t>
      </w:r>
      <w:r w:rsidRPr="00472578">
        <w:rPr>
          <w:strike/>
        </w:rPr>
        <w:t>local knowledge, and reliable partial data.</w:t>
      </w:r>
      <w:r w:rsidRPr="00472578">
        <w:t xml:space="preserve"> </w:t>
      </w:r>
      <w:r w:rsidR="00913FE1" w:rsidRPr="00472578">
        <w:rPr>
          <w:u w:val="single"/>
        </w:rPr>
        <w:t>a</w:t>
      </w:r>
      <w:r w:rsidR="00B809C4" w:rsidRPr="00472578">
        <w:rPr>
          <w:u w:val="single"/>
        </w:rPr>
        <w:t>nd</w:t>
      </w:r>
      <w:r w:rsidR="00913FE1" w:rsidRPr="00472578">
        <w:rPr>
          <w:u w:val="single"/>
        </w:rPr>
        <w:t>:</w:t>
      </w:r>
      <w:r w:rsidR="00AA0777" w:rsidRPr="00472578">
        <w:rPr>
          <w:rStyle w:val="FootnoteReference"/>
        </w:rPr>
        <w:footnoteReference w:id="528"/>
      </w:r>
    </w:p>
    <w:p w14:paraId="21AF466B" w14:textId="580C4D43" w:rsidR="00913FE1" w:rsidRPr="00472578" w:rsidRDefault="00C44A5B" w:rsidP="00E92686">
      <w:pPr>
        <w:pStyle w:val="JustifiedSpacing"/>
        <w:ind w:left="567" w:hanging="567"/>
        <w:rPr>
          <w:u w:val="single"/>
        </w:rPr>
      </w:pPr>
      <w:r w:rsidRPr="00472578">
        <w:rPr>
          <w:u w:val="single"/>
        </w:rPr>
        <w:t>(1)</w:t>
      </w:r>
      <w:r w:rsidRPr="00472578">
        <w:rPr>
          <w:u w:val="single"/>
        </w:rPr>
        <w:tab/>
      </w:r>
      <w:r w:rsidR="0048276C" w:rsidRPr="00472578">
        <w:rPr>
          <w:u w:val="single"/>
        </w:rPr>
        <w:t xml:space="preserve">in the absence of complete and </w:t>
      </w:r>
      <w:r w:rsidR="00C72E29" w:rsidRPr="00472578">
        <w:rPr>
          <w:u w:val="single"/>
        </w:rPr>
        <w:t>scientifically</w:t>
      </w:r>
      <w:r w:rsidR="0048276C" w:rsidRPr="00472578">
        <w:rPr>
          <w:u w:val="single"/>
        </w:rPr>
        <w:t xml:space="preserve"> robust data, </w:t>
      </w:r>
      <w:r w:rsidR="00C72E29" w:rsidRPr="00472578">
        <w:rPr>
          <w:u w:val="single"/>
        </w:rPr>
        <w:t>using information obtained from modelling</w:t>
      </w:r>
      <w:r w:rsidR="000524EB" w:rsidRPr="00472578">
        <w:rPr>
          <w:u w:val="single"/>
        </w:rPr>
        <w:t>,</w:t>
      </w:r>
      <w:r w:rsidR="00C72E29" w:rsidRPr="00472578">
        <w:rPr>
          <w:u w:val="single"/>
        </w:rPr>
        <w:t xml:space="preserve"> reliable partial data,</w:t>
      </w:r>
      <w:r w:rsidR="000524EB" w:rsidRPr="00472578">
        <w:rPr>
          <w:u w:val="single"/>
        </w:rPr>
        <w:t xml:space="preserve"> and</w:t>
      </w:r>
      <w:r w:rsidR="00C72E29" w:rsidRPr="00472578">
        <w:rPr>
          <w:u w:val="single"/>
        </w:rPr>
        <w:t xml:space="preserve"> local knowledge</w:t>
      </w:r>
      <w:r w:rsidR="000524EB" w:rsidRPr="00472578">
        <w:rPr>
          <w:u w:val="single"/>
        </w:rPr>
        <w:t>, but in doing so:</w:t>
      </w:r>
    </w:p>
    <w:p w14:paraId="03F725C8" w14:textId="596FBD57" w:rsidR="000524EB" w:rsidRPr="00472578" w:rsidRDefault="000524EB" w:rsidP="00E92686">
      <w:pPr>
        <w:pStyle w:val="JustifiedSpacing"/>
        <w:ind w:left="1134" w:hanging="567"/>
        <w:rPr>
          <w:u w:val="single"/>
        </w:rPr>
      </w:pPr>
      <w:r w:rsidRPr="00472578">
        <w:rPr>
          <w:u w:val="single"/>
        </w:rPr>
        <w:t>(a)</w:t>
      </w:r>
      <w:r w:rsidRPr="00472578">
        <w:rPr>
          <w:u w:val="single"/>
        </w:rPr>
        <w:tab/>
        <w:t xml:space="preserve">prefer sources of information </w:t>
      </w:r>
      <w:r w:rsidR="004669E8" w:rsidRPr="00472578">
        <w:rPr>
          <w:u w:val="single"/>
        </w:rPr>
        <w:t>that provide the greatest level of certainty, and</w:t>
      </w:r>
    </w:p>
    <w:p w14:paraId="08AC355D" w14:textId="0997494D" w:rsidR="004669E8" w:rsidRPr="00472578" w:rsidRDefault="004669E8" w:rsidP="00E92686">
      <w:pPr>
        <w:pStyle w:val="JustifiedSpacing"/>
        <w:ind w:left="1134" w:hanging="567"/>
        <w:rPr>
          <w:u w:val="single"/>
        </w:rPr>
      </w:pPr>
      <w:r w:rsidRPr="00472578">
        <w:rPr>
          <w:u w:val="single"/>
        </w:rPr>
        <w:t>(b)</w:t>
      </w:r>
      <w:r w:rsidRPr="00472578">
        <w:rPr>
          <w:u w:val="single"/>
        </w:rPr>
        <w:tab/>
        <w:t>take all practicable steps to reduce uncertainty</w:t>
      </w:r>
      <w:r w:rsidR="007236A3" w:rsidRPr="00472578">
        <w:rPr>
          <w:u w:val="single"/>
        </w:rPr>
        <w:t>, and</w:t>
      </w:r>
      <w:r w:rsidR="00A1539C" w:rsidRPr="00472578">
        <w:rPr>
          <w:rStyle w:val="FootnoteReference"/>
        </w:rPr>
        <w:footnoteReference w:id="529"/>
      </w:r>
    </w:p>
    <w:p w14:paraId="63C53B3C" w14:textId="69FFB809" w:rsidR="007236A3" w:rsidRPr="00472578" w:rsidRDefault="007236A3" w:rsidP="00E92686">
      <w:pPr>
        <w:pStyle w:val="JustifiedSpacing"/>
        <w:ind w:left="567" w:hanging="567"/>
        <w:rPr>
          <w:u w:val="single"/>
        </w:rPr>
      </w:pPr>
      <w:r w:rsidRPr="00472578">
        <w:rPr>
          <w:u w:val="single"/>
        </w:rPr>
        <w:t>(2)</w:t>
      </w:r>
      <w:r w:rsidRPr="00472578">
        <w:rPr>
          <w:u w:val="single"/>
        </w:rPr>
        <w:tab/>
        <w:t xml:space="preserve">adopt a precautionary approach </w:t>
      </w:r>
      <w:r w:rsidR="00C060A7" w:rsidRPr="00472578">
        <w:rPr>
          <w:u w:val="single"/>
        </w:rPr>
        <w:t>towards activities whose effects are uncertain, unknown, or little understood, but potentially significantly adverse.</w:t>
      </w:r>
      <w:r w:rsidR="00A1539C" w:rsidRPr="00472578">
        <w:rPr>
          <w:rStyle w:val="FootnoteReference"/>
        </w:rPr>
        <w:t xml:space="preserve"> </w:t>
      </w:r>
      <w:r w:rsidR="00A1539C" w:rsidRPr="00472578">
        <w:rPr>
          <w:rStyle w:val="FootnoteReference"/>
        </w:rPr>
        <w:footnoteReference w:id="530"/>
      </w:r>
    </w:p>
    <w:p w14:paraId="15A417A0" w14:textId="77777777" w:rsidR="00F458B9" w:rsidRPr="00472578" w:rsidRDefault="00F458B9" w:rsidP="00E92686">
      <w:pPr>
        <w:pStyle w:val="Heading4"/>
        <w:jc w:val="both"/>
      </w:pPr>
      <w:r w:rsidRPr="00472578">
        <w:t>IM-P7 – Cross boundary management</w:t>
      </w:r>
    </w:p>
    <w:p w14:paraId="532AFF62" w14:textId="444CE21E" w:rsidR="00F458B9" w:rsidRPr="00472578" w:rsidRDefault="00F458B9" w:rsidP="00E92686">
      <w:pPr>
        <w:pStyle w:val="JustifiedSpacing"/>
        <w:rPr>
          <w:b/>
          <w:bCs/>
        </w:rPr>
      </w:pPr>
      <w:r w:rsidRPr="00472578">
        <w:t xml:space="preserve">Coordinate the management of </w:t>
      </w:r>
      <w:r w:rsidRPr="00472578">
        <w:rPr>
          <w:strike/>
        </w:rPr>
        <w:t>Otago’s</w:t>
      </w:r>
      <w:r w:rsidR="00D85EB8" w:rsidRPr="00472578">
        <w:rPr>
          <w:rStyle w:val="FootnoteReference"/>
        </w:rPr>
        <w:footnoteReference w:id="531"/>
      </w:r>
      <w:r w:rsidRPr="00472578">
        <w:t xml:space="preserve"> </w:t>
      </w:r>
      <w:r w:rsidRPr="00472578">
        <w:rPr>
          <w:i/>
          <w:iCs/>
        </w:rPr>
        <w:t>natural and physical resources</w:t>
      </w:r>
      <w:r w:rsidRPr="00472578">
        <w:rPr>
          <w:u w:val="single"/>
        </w:rPr>
        <w:t xml:space="preserve"> and the </w:t>
      </w:r>
      <w:r w:rsidRPr="00472578">
        <w:rPr>
          <w:i/>
          <w:iCs/>
          <w:u w:val="single"/>
        </w:rPr>
        <w:t>environment</w:t>
      </w:r>
      <w:r w:rsidRPr="00472578">
        <w:rPr>
          <w:rStyle w:val="FootnoteReference"/>
        </w:rPr>
        <w:footnoteReference w:id="532"/>
      </w:r>
      <w:r w:rsidRPr="00472578">
        <w:rPr>
          <w:i/>
          <w:iCs/>
        </w:rPr>
        <w:t xml:space="preserve"> </w:t>
      </w:r>
      <w:r w:rsidRPr="00472578">
        <w:t xml:space="preserve">across jurisdictional boundaries and, whenever possible, between overlapping or related agency responsibilities. </w:t>
      </w:r>
    </w:p>
    <w:p w14:paraId="33943D86" w14:textId="44CF6EB8" w:rsidR="00F458B9" w:rsidRPr="00472578" w:rsidRDefault="00F458B9" w:rsidP="00E92686">
      <w:pPr>
        <w:pStyle w:val="Heading4"/>
        <w:jc w:val="both"/>
      </w:pPr>
      <w:r w:rsidRPr="00472578">
        <w:t xml:space="preserve">IM-P8 – </w:t>
      </w:r>
      <w:r w:rsidRPr="00472578">
        <w:rPr>
          <w:i/>
          <w:iCs w:val="0"/>
          <w:u w:val="single"/>
        </w:rPr>
        <w:t>Effects</w:t>
      </w:r>
      <w:r w:rsidRPr="00472578">
        <w:rPr>
          <w:u w:val="single"/>
        </w:rPr>
        <w:t xml:space="preserve"> of</w:t>
      </w:r>
      <w:r w:rsidRPr="00472578">
        <w:t xml:space="preserve"> </w:t>
      </w:r>
      <w:r w:rsidRPr="00472578">
        <w:rPr>
          <w:i/>
          <w:iCs w:val="0"/>
          <w:strike/>
        </w:rPr>
        <w:t>C</w:t>
      </w:r>
      <w:r w:rsidR="00E13A3F" w:rsidRPr="00472578">
        <w:rPr>
          <w:i/>
          <w:iCs w:val="0"/>
          <w:u w:val="single"/>
        </w:rPr>
        <w:t>c</w:t>
      </w:r>
      <w:r w:rsidRPr="00472578">
        <w:rPr>
          <w:i/>
          <w:iCs w:val="0"/>
        </w:rPr>
        <w:t>limate change</w:t>
      </w:r>
      <w:r w:rsidRPr="00472578">
        <w:t xml:space="preserve"> </w:t>
      </w:r>
      <w:r w:rsidRPr="00472578">
        <w:rPr>
          <w:strike/>
        </w:rPr>
        <w:t>impacts</w:t>
      </w:r>
      <w:r w:rsidRPr="00472578">
        <w:rPr>
          <w:rStyle w:val="FootnoteReference"/>
        </w:rPr>
        <w:footnoteReference w:id="533"/>
      </w:r>
    </w:p>
    <w:p w14:paraId="59091F3C" w14:textId="77777777" w:rsidR="00F458B9" w:rsidRPr="00472578" w:rsidRDefault="00F458B9" w:rsidP="00E92686">
      <w:pPr>
        <w:pStyle w:val="JustifiedSpacing"/>
      </w:pPr>
      <w:r w:rsidRPr="00472578">
        <w:t xml:space="preserve">Recognise and provide for </w:t>
      </w:r>
      <w:r w:rsidRPr="00472578">
        <w:rPr>
          <w:u w:val="single"/>
        </w:rPr>
        <w:t xml:space="preserve">the </w:t>
      </w:r>
      <w:r w:rsidRPr="00472578">
        <w:rPr>
          <w:i/>
          <w:iCs/>
          <w:u w:val="single"/>
        </w:rPr>
        <w:t>effects</w:t>
      </w:r>
      <w:r w:rsidRPr="00472578">
        <w:rPr>
          <w:u w:val="single"/>
        </w:rPr>
        <w:t xml:space="preserve"> of</w:t>
      </w:r>
      <w:r w:rsidRPr="00472578">
        <w:t xml:space="preserve"> </w:t>
      </w:r>
      <w:r w:rsidRPr="00472578">
        <w:rPr>
          <w:i/>
          <w:iCs/>
        </w:rPr>
        <w:t>climate change</w:t>
      </w:r>
      <w:r w:rsidRPr="00472578">
        <w:t xml:space="preserve"> </w:t>
      </w:r>
      <w:r w:rsidRPr="00472578">
        <w:rPr>
          <w:strike/>
        </w:rPr>
        <w:t xml:space="preserve">processes and </w:t>
      </w:r>
      <w:r w:rsidRPr="00472578">
        <w:rPr>
          <w:i/>
          <w:iCs/>
          <w:strike/>
        </w:rPr>
        <w:t>risks</w:t>
      </w:r>
      <w:r w:rsidRPr="00472578">
        <w:t xml:space="preserve"> by:</w:t>
      </w:r>
      <w:r w:rsidRPr="00472578">
        <w:rPr>
          <w:rStyle w:val="FootnoteReference"/>
        </w:rPr>
        <w:footnoteReference w:id="534"/>
      </w:r>
    </w:p>
    <w:p w14:paraId="4E002DAB" w14:textId="77777777" w:rsidR="00F458B9" w:rsidRPr="00472578" w:rsidRDefault="00F458B9" w:rsidP="00E92686">
      <w:pPr>
        <w:pStyle w:val="JustifiedSpacing"/>
        <w:ind w:left="567" w:hanging="567"/>
      </w:pPr>
      <w:r w:rsidRPr="00472578">
        <w:rPr>
          <w:u w:val="single"/>
        </w:rPr>
        <w:t>(1)</w:t>
      </w:r>
      <w:r w:rsidRPr="004C526D">
        <w:rPr>
          <w:rStyle w:val="FootnoteReference"/>
        </w:rPr>
        <w:footnoteReference w:id="535"/>
      </w:r>
      <w:r w:rsidRPr="004C526D">
        <w:tab/>
      </w:r>
      <w:r w:rsidRPr="00472578">
        <w:t xml:space="preserve">identifying </w:t>
      </w:r>
      <w:r w:rsidRPr="00472578">
        <w:rPr>
          <w:u w:val="single"/>
        </w:rPr>
        <w:t xml:space="preserve">the </w:t>
      </w:r>
      <w:r w:rsidRPr="00472578">
        <w:rPr>
          <w:i/>
          <w:iCs/>
          <w:u w:val="single"/>
        </w:rPr>
        <w:t>effects</w:t>
      </w:r>
      <w:r w:rsidRPr="00472578">
        <w:rPr>
          <w:u w:val="single"/>
        </w:rPr>
        <w:t xml:space="preserve"> of</w:t>
      </w:r>
      <w:r w:rsidRPr="00472578">
        <w:t xml:space="preserve"> </w:t>
      </w:r>
      <w:r w:rsidRPr="00472578">
        <w:rPr>
          <w:i/>
          <w:iCs/>
        </w:rPr>
        <w:t>climate change</w:t>
      </w:r>
      <w:r w:rsidRPr="00472578">
        <w:t xml:space="preserve"> </w:t>
      </w:r>
      <w:r w:rsidRPr="00472578">
        <w:rPr>
          <w:strike/>
        </w:rPr>
        <w:t>impacts</w:t>
      </w:r>
      <w:r w:rsidRPr="00472578">
        <w:rPr>
          <w:rStyle w:val="FootnoteReference"/>
        </w:rPr>
        <w:footnoteReference w:id="536"/>
      </w:r>
      <w:r w:rsidRPr="00472578">
        <w:t xml:space="preserve"> in Otago, including </w:t>
      </w:r>
      <w:r w:rsidRPr="00472578">
        <w:rPr>
          <w:strike/>
        </w:rPr>
        <w:t>impacts</w:t>
      </w:r>
      <w:r w:rsidRPr="00472578">
        <w:t xml:space="preserve"> from </w:t>
      </w:r>
      <w:r w:rsidRPr="00472578">
        <w:rPr>
          <w:strike/>
        </w:rPr>
        <w:t>a te ao Māori</w:t>
      </w:r>
      <w:r w:rsidRPr="00472578">
        <w:t xml:space="preserve"> </w:t>
      </w:r>
      <w:r w:rsidRPr="00472578">
        <w:rPr>
          <w:u w:val="single"/>
        </w:rPr>
        <w:t>the</w:t>
      </w:r>
      <w:r w:rsidRPr="00472578">
        <w:t xml:space="preserve"> perspective</w:t>
      </w:r>
      <w:r w:rsidRPr="00472578">
        <w:rPr>
          <w:u w:val="single"/>
        </w:rPr>
        <w:t>s of Kāi Tahu as mana whenua</w:t>
      </w:r>
      <w:r w:rsidRPr="00472578">
        <w:t>,</w:t>
      </w:r>
      <w:r w:rsidRPr="00472578">
        <w:rPr>
          <w:rStyle w:val="FootnoteReference"/>
        </w:rPr>
        <w:footnoteReference w:id="537"/>
      </w:r>
      <w:r w:rsidRPr="00472578">
        <w:t xml:space="preserve"> </w:t>
      </w:r>
    </w:p>
    <w:p w14:paraId="77E4D009" w14:textId="77777777" w:rsidR="00F458B9" w:rsidRPr="00472578" w:rsidRDefault="00F458B9" w:rsidP="00E92686">
      <w:pPr>
        <w:pStyle w:val="JustifiedSpacing"/>
        <w:ind w:left="567" w:hanging="567"/>
      </w:pPr>
      <w:r w:rsidRPr="00472578">
        <w:rPr>
          <w:u w:val="single"/>
        </w:rPr>
        <w:t>(2)</w:t>
      </w:r>
      <w:r w:rsidRPr="004C526D">
        <w:tab/>
      </w:r>
      <w:r w:rsidRPr="00472578">
        <w:t xml:space="preserve">assessing how the </w:t>
      </w:r>
      <w:r w:rsidRPr="00472578">
        <w:rPr>
          <w:strike/>
        </w:rPr>
        <w:t>impacts</w:t>
      </w:r>
      <w:r w:rsidRPr="00472578">
        <w:t xml:space="preserve"> </w:t>
      </w:r>
      <w:r w:rsidRPr="00472578">
        <w:rPr>
          <w:i/>
          <w:iCs/>
          <w:u w:val="single"/>
        </w:rPr>
        <w:t>effects</w:t>
      </w:r>
      <w:r w:rsidRPr="00472578">
        <w:rPr>
          <w:rStyle w:val="FootnoteReference"/>
        </w:rPr>
        <w:footnoteReference w:id="538"/>
      </w:r>
      <w:r w:rsidRPr="00472578">
        <w:t xml:space="preserve"> are likely to change over time</w:t>
      </w:r>
      <w:r w:rsidRPr="00472578">
        <w:rPr>
          <w:u w:val="single"/>
        </w:rPr>
        <w:t>,</w:t>
      </w:r>
      <w:r w:rsidRPr="00472578">
        <w:t xml:space="preserve"> and </w:t>
      </w:r>
    </w:p>
    <w:p w14:paraId="200DDE16" w14:textId="77777777" w:rsidR="00F458B9" w:rsidRPr="00472578" w:rsidRDefault="00F458B9" w:rsidP="00E92686">
      <w:pPr>
        <w:pStyle w:val="JustifiedSpacing"/>
        <w:ind w:left="567" w:hanging="567"/>
      </w:pPr>
      <w:r w:rsidRPr="00472578">
        <w:rPr>
          <w:u w:val="single"/>
        </w:rPr>
        <w:t>(3)</w:t>
      </w:r>
      <w:r w:rsidRPr="004C526D">
        <w:tab/>
      </w:r>
      <w:r w:rsidRPr="00472578">
        <w:rPr>
          <w:strike/>
        </w:rPr>
        <w:t>anticipating</w:t>
      </w:r>
      <w:r w:rsidRPr="00472578">
        <w:t xml:space="preserve"> </w:t>
      </w:r>
      <w:proofErr w:type="gramStart"/>
      <w:r w:rsidRPr="00472578">
        <w:rPr>
          <w:u w:val="single"/>
        </w:rPr>
        <w:t>taking into account</w:t>
      </w:r>
      <w:proofErr w:type="gramEnd"/>
      <w:r w:rsidRPr="00472578">
        <w:rPr>
          <w:rStyle w:val="FootnoteReference"/>
        </w:rPr>
        <w:footnoteReference w:id="539"/>
      </w:r>
      <w:r w:rsidRPr="00472578">
        <w:t xml:space="preserve"> those changes in resource management processes and decisions.</w:t>
      </w:r>
    </w:p>
    <w:p w14:paraId="4F0DAC5C" w14:textId="77777777" w:rsidR="00F458B9" w:rsidRPr="00472578" w:rsidRDefault="00F458B9" w:rsidP="00E92686">
      <w:pPr>
        <w:pStyle w:val="Heading4"/>
        <w:jc w:val="both"/>
        <w:rPr>
          <w:strike/>
        </w:rPr>
      </w:pPr>
      <w:r w:rsidRPr="00472578">
        <w:rPr>
          <w:strike/>
        </w:rPr>
        <w:lastRenderedPageBreak/>
        <w:t>IM-P9 – Community response to c</w:t>
      </w:r>
      <w:r w:rsidRPr="00472578">
        <w:rPr>
          <w:i/>
          <w:iCs w:val="0"/>
          <w:strike/>
        </w:rPr>
        <w:t>limate change</w:t>
      </w:r>
      <w:r w:rsidRPr="00472578">
        <w:rPr>
          <w:strike/>
        </w:rPr>
        <w:t xml:space="preserve"> impacts</w:t>
      </w:r>
    </w:p>
    <w:p w14:paraId="5A9A325E" w14:textId="77777777" w:rsidR="00F458B9" w:rsidRPr="00472578" w:rsidRDefault="00F458B9" w:rsidP="00E92686">
      <w:pPr>
        <w:pStyle w:val="JustifiedSpacing"/>
      </w:pPr>
      <w:r w:rsidRPr="00472578">
        <w:rPr>
          <w:strike/>
        </w:rPr>
        <w:t xml:space="preserve">By 2030 Otago’s communities have established responses for adapting to the impacts of </w:t>
      </w:r>
      <w:r w:rsidRPr="00472578">
        <w:rPr>
          <w:i/>
          <w:iCs/>
          <w:strike/>
        </w:rPr>
        <w:t>climate change</w:t>
      </w:r>
      <w:r w:rsidRPr="00472578">
        <w:rPr>
          <w:strike/>
        </w:rPr>
        <w:t xml:space="preserve">, are adjusting their lifestyles to follow them, and are reducing their </w:t>
      </w:r>
      <w:r w:rsidRPr="00472578">
        <w:rPr>
          <w:i/>
          <w:iCs/>
          <w:strike/>
        </w:rPr>
        <w:t>greenhouse gas</w:t>
      </w:r>
      <w:r w:rsidRPr="00472578">
        <w:rPr>
          <w:strike/>
        </w:rPr>
        <w:t xml:space="preserve"> emissions to achieve net-zero carbon emissions by 2050.</w:t>
      </w:r>
      <w:r w:rsidRPr="00472578">
        <w:rPr>
          <w:rStyle w:val="FootnoteReference"/>
        </w:rPr>
        <w:footnoteReference w:id="540"/>
      </w:r>
    </w:p>
    <w:p w14:paraId="688B1E08" w14:textId="77777777" w:rsidR="00F458B9" w:rsidRPr="00472578" w:rsidRDefault="00F458B9" w:rsidP="00E92686">
      <w:pPr>
        <w:pStyle w:val="Heading4"/>
        <w:jc w:val="both"/>
      </w:pPr>
      <w:r w:rsidRPr="00472578">
        <w:t xml:space="preserve">IM-P10 – </w:t>
      </w:r>
      <w:r w:rsidRPr="00472578">
        <w:rPr>
          <w:i/>
          <w:iCs w:val="0"/>
        </w:rPr>
        <w:t>Climate change</w:t>
      </w:r>
      <w:r w:rsidRPr="00472578">
        <w:t xml:space="preserve"> </w:t>
      </w:r>
      <w:r w:rsidRPr="00472578">
        <w:rPr>
          <w:i/>
          <w:iCs w:val="0"/>
        </w:rPr>
        <w:t>adaptation</w:t>
      </w:r>
      <w:r w:rsidRPr="00472578">
        <w:t xml:space="preserve"> and </w:t>
      </w:r>
      <w:r w:rsidRPr="00472578">
        <w:rPr>
          <w:i/>
          <w:iCs w:val="0"/>
          <w:u w:val="single"/>
        </w:rPr>
        <w:t>climate change</w:t>
      </w:r>
      <w:r w:rsidRPr="00472578">
        <w:rPr>
          <w:i/>
          <w:iCs w:val="0"/>
        </w:rPr>
        <w:t xml:space="preserve"> mitigation</w:t>
      </w:r>
      <w:r w:rsidRPr="00472578">
        <w:rPr>
          <w:rStyle w:val="FootnoteReference"/>
        </w:rPr>
        <w:footnoteReference w:id="541"/>
      </w:r>
    </w:p>
    <w:p w14:paraId="3C0C0999" w14:textId="77777777" w:rsidR="00F458B9" w:rsidRPr="00472578" w:rsidRDefault="00F458B9" w:rsidP="00E92686">
      <w:pPr>
        <w:jc w:val="both"/>
      </w:pPr>
      <w:r w:rsidRPr="00472578">
        <w:t xml:space="preserve">Identify and implement </w:t>
      </w:r>
      <w:r w:rsidRPr="00472578">
        <w:rPr>
          <w:i/>
          <w:iCs/>
        </w:rPr>
        <w:t>climate change</w:t>
      </w:r>
      <w:r w:rsidRPr="00472578">
        <w:t xml:space="preserve"> </w:t>
      </w:r>
      <w:r w:rsidRPr="00472578">
        <w:rPr>
          <w:i/>
          <w:iCs/>
        </w:rPr>
        <w:t>adaptation</w:t>
      </w:r>
      <w:r w:rsidRPr="00472578">
        <w:t xml:space="preserve"> and </w:t>
      </w:r>
      <w:r w:rsidRPr="00472578">
        <w:rPr>
          <w:i/>
          <w:iCs/>
          <w:u w:val="single"/>
        </w:rPr>
        <w:t>climate change</w:t>
      </w:r>
      <w:r w:rsidRPr="00472578">
        <w:rPr>
          <w:i/>
          <w:iCs/>
        </w:rPr>
        <w:t xml:space="preserve"> mitigation</w:t>
      </w:r>
      <w:r w:rsidRPr="00472578">
        <w:rPr>
          <w:rStyle w:val="FootnoteReference"/>
        </w:rPr>
        <w:footnoteReference w:id="542"/>
      </w:r>
      <w:r w:rsidRPr="00472578">
        <w:t xml:space="preserve"> methods for Otago that: </w:t>
      </w:r>
    </w:p>
    <w:p w14:paraId="34D9139D" w14:textId="77777777" w:rsidR="00F458B9" w:rsidRPr="00472578" w:rsidRDefault="00F458B9" w:rsidP="00E92686">
      <w:pPr>
        <w:pStyle w:val="JustifiedSpacing"/>
        <w:ind w:left="567" w:hanging="567"/>
      </w:pPr>
      <w:r w:rsidRPr="00472578">
        <w:t>(1)</w:t>
      </w:r>
      <w:r w:rsidRPr="00472578">
        <w:tab/>
        <w:t xml:space="preserve">minimise the </w:t>
      </w:r>
      <w:r w:rsidRPr="00472578">
        <w:rPr>
          <w:i/>
          <w:iCs/>
        </w:rPr>
        <w:t>effects</w:t>
      </w:r>
      <w:r w:rsidRPr="00472578">
        <w:t xml:space="preserve"> of </w:t>
      </w:r>
      <w:r w:rsidRPr="00472578">
        <w:rPr>
          <w:i/>
          <w:iCs/>
        </w:rPr>
        <w:t>climate change</w:t>
      </w:r>
      <w:r w:rsidRPr="00472578">
        <w:t xml:space="preserve"> </w:t>
      </w:r>
      <w:r w:rsidRPr="00472578">
        <w:rPr>
          <w:strike/>
        </w:rPr>
        <w:t xml:space="preserve">processes or </w:t>
      </w:r>
      <w:r w:rsidRPr="00472578">
        <w:rPr>
          <w:i/>
          <w:iCs/>
          <w:strike/>
        </w:rPr>
        <w:t>risks</w:t>
      </w:r>
      <w:r w:rsidRPr="00472578">
        <w:rPr>
          <w:rStyle w:val="FootnoteReference"/>
        </w:rPr>
        <w:footnoteReference w:id="543"/>
      </w:r>
      <w:r w:rsidRPr="00472578">
        <w:rPr>
          <w:i/>
          <w:iCs/>
        </w:rPr>
        <w:t xml:space="preserve"> </w:t>
      </w:r>
      <w:r w:rsidRPr="00472578">
        <w:rPr>
          <w:strike/>
        </w:rPr>
        <w:t>to existing activities</w:t>
      </w:r>
      <w:r w:rsidRPr="00472578">
        <w:t xml:space="preserve"> </w:t>
      </w:r>
      <w:r w:rsidRPr="00472578">
        <w:rPr>
          <w:u w:val="single"/>
        </w:rPr>
        <w:t>on the environment</w:t>
      </w:r>
      <w:r w:rsidRPr="00472578">
        <w:t>,</w:t>
      </w:r>
      <w:r w:rsidRPr="00472578">
        <w:rPr>
          <w:rStyle w:val="FootnoteReference"/>
        </w:rPr>
        <w:footnoteReference w:id="544"/>
      </w:r>
      <w:r w:rsidRPr="00472578">
        <w:t xml:space="preserve"> </w:t>
      </w:r>
    </w:p>
    <w:p w14:paraId="06D2507F" w14:textId="33B519AE" w:rsidR="00F458B9" w:rsidRPr="00472578" w:rsidRDefault="00F458B9" w:rsidP="00E92686">
      <w:pPr>
        <w:pStyle w:val="JustifiedSpacing"/>
        <w:ind w:left="567" w:hanging="567"/>
      </w:pPr>
      <w:r w:rsidRPr="00472578">
        <w:t>(2)</w:t>
      </w:r>
      <w:r w:rsidRPr="00472578">
        <w:tab/>
      </w:r>
      <w:r w:rsidRPr="00472578">
        <w:rPr>
          <w:strike/>
        </w:rPr>
        <w:t>prioritise</w:t>
      </w:r>
      <w:r w:rsidRPr="00472578">
        <w:t xml:space="preserve"> avoid</w:t>
      </w:r>
      <w:r w:rsidRPr="00472578">
        <w:rPr>
          <w:strike/>
        </w:rPr>
        <w:t>ing</w:t>
      </w:r>
      <w:r w:rsidRPr="00472578">
        <w:rPr>
          <w:rStyle w:val="FootnoteReference"/>
        </w:rPr>
        <w:footnoteReference w:id="545"/>
      </w:r>
      <w:r w:rsidRPr="00472578">
        <w:t xml:space="preserve"> the establishment of new activities in areas subject to </w:t>
      </w:r>
      <w:r w:rsidRPr="00472578">
        <w:rPr>
          <w:u w:val="single"/>
        </w:rPr>
        <w:t>significant</w:t>
      </w:r>
      <w:r w:rsidRPr="00472578">
        <w:rPr>
          <w:rStyle w:val="FootnoteReference"/>
        </w:rPr>
        <w:footnoteReference w:id="546"/>
      </w:r>
      <w:r w:rsidRPr="00472578">
        <w:t xml:space="preserve"> </w:t>
      </w:r>
      <w:r w:rsidRPr="00472578">
        <w:rPr>
          <w:i/>
          <w:iCs/>
        </w:rPr>
        <w:t>risk</w:t>
      </w:r>
      <w:r w:rsidRPr="00472578">
        <w:t xml:space="preserve"> from the </w:t>
      </w:r>
      <w:r w:rsidRPr="00472578">
        <w:rPr>
          <w:i/>
          <w:iCs/>
        </w:rPr>
        <w:t>effects</w:t>
      </w:r>
      <w:r w:rsidRPr="00472578">
        <w:t xml:space="preserve"> of </w:t>
      </w:r>
      <w:r w:rsidRPr="00472578">
        <w:rPr>
          <w:i/>
          <w:iCs/>
        </w:rPr>
        <w:t>climate change</w:t>
      </w:r>
      <w:r w:rsidRPr="00472578">
        <w:t xml:space="preserve">, unless those activities reduce, or are resilient to, those </w:t>
      </w:r>
      <w:r w:rsidRPr="00472578">
        <w:rPr>
          <w:u w:val="single"/>
        </w:rPr>
        <w:t>significant</w:t>
      </w:r>
      <w:r w:rsidRPr="00472578">
        <w:rPr>
          <w:rStyle w:val="FootnoteReference"/>
        </w:rPr>
        <w:footnoteReference w:id="547"/>
      </w:r>
      <w:r w:rsidRPr="00472578">
        <w:t xml:space="preserve"> </w:t>
      </w:r>
      <w:r w:rsidRPr="00472578">
        <w:rPr>
          <w:i/>
          <w:iCs/>
        </w:rPr>
        <w:t>risks</w:t>
      </w:r>
      <w:r w:rsidRPr="00472578">
        <w:t xml:space="preserve">, and </w:t>
      </w:r>
    </w:p>
    <w:p w14:paraId="4D66BF2D" w14:textId="77777777" w:rsidR="00F458B9" w:rsidRPr="00472578" w:rsidRDefault="00F458B9" w:rsidP="00E92686">
      <w:pPr>
        <w:pStyle w:val="JustifiedSpacing"/>
        <w:ind w:left="567" w:hanging="567"/>
        <w:rPr>
          <w:u w:val="single"/>
        </w:rPr>
      </w:pPr>
      <w:r w:rsidRPr="00472578">
        <w:t>(3)</w:t>
      </w:r>
      <w:r w:rsidRPr="00472578">
        <w:tab/>
        <w:t xml:space="preserve">provide Otago’s communities, including Kāi Tahu, with the best chance to thrive, even under the most extreme </w:t>
      </w:r>
      <w:r w:rsidRPr="00472578">
        <w:rPr>
          <w:i/>
          <w:iCs/>
        </w:rPr>
        <w:t>climate change</w:t>
      </w:r>
      <w:r w:rsidRPr="00472578">
        <w:t xml:space="preserve"> scenarios</w:t>
      </w:r>
      <w:r w:rsidRPr="00472578">
        <w:rPr>
          <w:strike/>
        </w:rPr>
        <w:t>.</w:t>
      </w:r>
      <w:r w:rsidRPr="00472578">
        <w:rPr>
          <w:u w:val="single"/>
        </w:rPr>
        <w:t>, and</w:t>
      </w:r>
    </w:p>
    <w:p w14:paraId="79C0ED2C" w14:textId="438857D1" w:rsidR="00F458B9" w:rsidRPr="00472578" w:rsidRDefault="00F458B9" w:rsidP="00E92686">
      <w:pPr>
        <w:pStyle w:val="JustifiedSpacing"/>
        <w:ind w:left="567" w:hanging="567"/>
      </w:pPr>
      <w:r w:rsidRPr="00472578">
        <w:rPr>
          <w:u w:val="single"/>
        </w:rPr>
        <w:t>(4)</w:t>
      </w:r>
      <w:r w:rsidRPr="00472578">
        <w:rPr>
          <w:u w:val="single"/>
        </w:rPr>
        <w:tab/>
        <w:t>enhance environmental</w:t>
      </w:r>
      <w:r w:rsidR="009652E5" w:rsidRPr="00472578">
        <w:rPr>
          <w:u w:val="single"/>
        </w:rPr>
        <w:t>, social, economic, and cultural</w:t>
      </w:r>
      <w:r w:rsidR="008A5CA2" w:rsidRPr="00472578">
        <w:rPr>
          <w:rStyle w:val="FootnoteReference"/>
          <w:u w:val="single"/>
        </w:rPr>
        <w:footnoteReference w:id="548"/>
      </w:r>
      <w:r w:rsidRPr="00472578">
        <w:rPr>
          <w:u w:val="single"/>
        </w:rPr>
        <w:t xml:space="preserve"> </w:t>
      </w:r>
      <w:r w:rsidRPr="00472578">
        <w:rPr>
          <w:i/>
          <w:iCs/>
          <w:u w:val="single"/>
        </w:rPr>
        <w:t>resilience</w:t>
      </w:r>
      <w:r w:rsidRPr="00472578">
        <w:rPr>
          <w:u w:val="single"/>
        </w:rPr>
        <w:t xml:space="preserve"> to the adverse </w:t>
      </w:r>
      <w:r w:rsidRPr="00472578">
        <w:rPr>
          <w:i/>
          <w:iCs/>
          <w:u w:val="single"/>
        </w:rPr>
        <w:t>effects</w:t>
      </w:r>
      <w:r w:rsidRPr="00472578">
        <w:rPr>
          <w:u w:val="single"/>
        </w:rPr>
        <w:t xml:space="preserve"> of </w:t>
      </w:r>
      <w:r w:rsidRPr="00472578">
        <w:rPr>
          <w:i/>
          <w:iCs/>
          <w:u w:val="single"/>
        </w:rPr>
        <w:t>climate change</w:t>
      </w:r>
      <w:r w:rsidRPr="00472578">
        <w:rPr>
          <w:u w:val="single"/>
        </w:rPr>
        <w:t>, including</w:t>
      </w:r>
      <w:r w:rsidRPr="00472578">
        <w:rPr>
          <w:rStyle w:val="FootnoteReference"/>
          <w:u w:val="single"/>
        </w:rPr>
        <w:footnoteReference w:id="549"/>
      </w:r>
      <w:r w:rsidRPr="00472578">
        <w:rPr>
          <w:i/>
          <w:iCs/>
          <w:u w:val="single"/>
        </w:rPr>
        <w:t xml:space="preserve"> </w:t>
      </w:r>
      <w:r w:rsidRPr="00472578">
        <w:rPr>
          <w:u w:val="single"/>
        </w:rPr>
        <w:t>by facilitating activities that reduce negative</w:t>
      </w:r>
      <w:r w:rsidRPr="00472578">
        <w:rPr>
          <w:rStyle w:val="FootnoteReference"/>
          <w:u w:val="single"/>
        </w:rPr>
        <w:footnoteReference w:id="550"/>
      </w:r>
      <w:r w:rsidRPr="00472578">
        <w:rPr>
          <w:u w:val="single"/>
        </w:rPr>
        <w:t xml:space="preserve"> human impacts on the </w:t>
      </w:r>
      <w:r w:rsidRPr="00472578">
        <w:rPr>
          <w:i/>
          <w:iCs/>
          <w:u w:val="single"/>
        </w:rPr>
        <w:t>environment.</w:t>
      </w:r>
      <w:r w:rsidR="00E71B7E" w:rsidRPr="00472578">
        <w:rPr>
          <w:rStyle w:val="FootnoteReference"/>
        </w:rPr>
        <w:t xml:space="preserve"> </w:t>
      </w:r>
      <w:r w:rsidR="00E71B7E" w:rsidRPr="00472578">
        <w:rPr>
          <w:rStyle w:val="FootnoteReference"/>
        </w:rPr>
        <w:footnoteReference w:id="551"/>
      </w:r>
    </w:p>
    <w:p w14:paraId="7957AA4A" w14:textId="637AA637" w:rsidR="00F458B9" w:rsidRPr="00472578" w:rsidRDefault="00F458B9" w:rsidP="00E92686">
      <w:pPr>
        <w:pStyle w:val="Heading4"/>
        <w:jc w:val="both"/>
        <w:rPr>
          <w:strike/>
        </w:rPr>
      </w:pPr>
      <w:r w:rsidRPr="00472578">
        <w:rPr>
          <w:strike/>
        </w:rPr>
        <w:t xml:space="preserve">IM-P11 – Enhancing environmental </w:t>
      </w:r>
      <w:r w:rsidRPr="00472578">
        <w:rPr>
          <w:i/>
          <w:iCs w:val="0"/>
          <w:strike/>
        </w:rPr>
        <w:t>resilience</w:t>
      </w:r>
      <w:r w:rsidRPr="00472578">
        <w:rPr>
          <w:strike/>
        </w:rPr>
        <w:t xml:space="preserve"> to </w:t>
      </w:r>
      <w:r w:rsidRPr="00472578">
        <w:rPr>
          <w:i/>
          <w:iCs w:val="0"/>
          <w:strike/>
        </w:rPr>
        <w:t>effects</w:t>
      </w:r>
      <w:r w:rsidRPr="00472578">
        <w:rPr>
          <w:strike/>
        </w:rPr>
        <w:t xml:space="preserve"> of </w:t>
      </w:r>
      <w:r w:rsidRPr="00472578">
        <w:rPr>
          <w:i/>
          <w:iCs w:val="0"/>
          <w:strike/>
        </w:rPr>
        <w:t>climate change</w:t>
      </w:r>
    </w:p>
    <w:p w14:paraId="332CDC15" w14:textId="77777777" w:rsidR="00F458B9" w:rsidRPr="00472578" w:rsidRDefault="00F458B9" w:rsidP="00E92686">
      <w:pPr>
        <w:pStyle w:val="JustifiedSpacing"/>
      </w:pPr>
      <w:r w:rsidRPr="00472578">
        <w:rPr>
          <w:strike/>
        </w:rPr>
        <w:t xml:space="preserve">Enhance environmental </w:t>
      </w:r>
      <w:r w:rsidRPr="00472578">
        <w:rPr>
          <w:i/>
          <w:iCs/>
          <w:strike/>
        </w:rPr>
        <w:t>resilience</w:t>
      </w:r>
      <w:r w:rsidRPr="00472578">
        <w:rPr>
          <w:strike/>
        </w:rPr>
        <w:t xml:space="preserve"> to the adverse </w:t>
      </w:r>
      <w:r w:rsidRPr="00472578">
        <w:rPr>
          <w:i/>
          <w:iCs/>
          <w:strike/>
        </w:rPr>
        <w:t>effects</w:t>
      </w:r>
      <w:r w:rsidRPr="00472578">
        <w:rPr>
          <w:strike/>
        </w:rPr>
        <w:t xml:space="preserve"> of </w:t>
      </w:r>
      <w:r w:rsidRPr="00472578">
        <w:rPr>
          <w:i/>
          <w:iCs/>
          <w:strike/>
        </w:rPr>
        <w:t>climate change</w:t>
      </w:r>
      <w:r w:rsidRPr="00472578">
        <w:rPr>
          <w:strike/>
        </w:rPr>
        <w:t xml:space="preserve"> by facilitating activities that reduce human impacts on the </w:t>
      </w:r>
      <w:r w:rsidRPr="00472578">
        <w:rPr>
          <w:i/>
          <w:iCs/>
          <w:strike/>
        </w:rPr>
        <w:t>environment</w:t>
      </w:r>
      <w:r w:rsidRPr="00472578">
        <w:rPr>
          <w:strike/>
        </w:rPr>
        <w:t>.</w:t>
      </w:r>
      <w:r w:rsidRPr="00472578">
        <w:t xml:space="preserve"> </w:t>
      </w:r>
      <w:r w:rsidRPr="00472578">
        <w:rPr>
          <w:rStyle w:val="FootnoteReference"/>
        </w:rPr>
        <w:footnoteReference w:id="552"/>
      </w:r>
    </w:p>
    <w:p w14:paraId="5B03ED91" w14:textId="77777777" w:rsidR="00F458B9" w:rsidRPr="00472578" w:rsidRDefault="00F458B9" w:rsidP="00E92686">
      <w:pPr>
        <w:pStyle w:val="Heading4"/>
        <w:jc w:val="both"/>
      </w:pPr>
      <w:r w:rsidRPr="00472578">
        <w:t xml:space="preserve">IM-P12 – Contravening </w:t>
      </w:r>
      <w:r w:rsidRPr="00472578">
        <w:rPr>
          <w:i/>
          <w:iCs w:val="0"/>
        </w:rPr>
        <w:t xml:space="preserve">environmental </w:t>
      </w:r>
      <w:r w:rsidRPr="00472578">
        <w:rPr>
          <w:strike/>
        </w:rPr>
        <w:t>bottom lines</w:t>
      </w:r>
      <w:r w:rsidRPr="00472578">
        <w:t xml:space="preserve"> </w:t>
      </w:r>
      <w:r w:rsidRPr="00472578">
        <w:rPr>
          <w:i/>
          <w:iCs w:val="0"/>
          <w:u w:val="single"/>
        </w:rPr>
        <w:t>limits</w:t>
      </w:r>
      <w:r w:rsidRPr="00472578">
        <w:rPr>
          <w:rStyle w:val="FootnoteReference"/>
          <w:b w:val="0"/>
          <w:bCs/>
          <w:color w:val="auto"/>
        </w:rPr>
        <w:footnoteReference w:id="553"/>
      </w:r>
      <w:r w:rsidRPr="00472578">
        <w:t xml:space="preserve"> for </w:t>
      </w:r>
      <w:r w:rsidRPr="00472578">
        <w:rPr>
          <w:i/>
          <w:iCs w:val="0"/>
        </w:rPr>
        <w:t>climate change</w:t>
      </w:r>
      <w:r w:rsidRPr="00472578">
        <w:t xml:space="preserve"> </w:t>
      </w:r>
      <w:r w:rsidRPr="00472578">
        <w:rPr>
          <w:i/>
          <w:iCs w:val="0"/>
        </w:rPr>
        <w:t>mitigation</w:t>
      </w:r>
    </w:p>
    <w:p w14:paraId="40BDA8A5" w14:textId="18206373" w:rsidR="00F458B9" w:rsidRPr="00472578" w:rsidRDefault="00F458B9" w:rsidP="00E92686">
      <w:pPr>
        <w:pStyle w:val="JustifiedSpacing"/>
      </w:pPr>
      <w:r w:rsidRPr="00472578">
        <w:rPr>
          <w:u w:val="single"/>
        </w:rPr>
        <w:t xml:space="preserve">Despite other provisions in this RPS, </w:t>
      </w:r>
      <w:r w:rsidRPr="00472578">
        <w:rPr>
          <w:strike/>
        </w:rPr>
        <w:t>W</w:t>
      </w:r>
      <w:r w:rsidR="00784C90" w:rsidRPr="00472578">
        <w:rPr>
          <w:u w:val="single"/>
        </w:rPr>
        <w:t>w</w:t>
      </w:r>
      <w:r w:rsidRPr="00472578">
        <w:t>here</w:t>
      </w:r>
      <w:r w:rsidRPr="00472578">
        <w:rPr>
          <w:rStyle w:val="FootnoteReference"/>
        </w:rPr>
        <w:footnoteReference w:id="554"/>
      </w:r>
      <w:r w:rsidRPr="00472578">
        <w:t xml:space="preserve"> a proposed activity provides or will provide enduring regionally or nationally significant </w:t>
      </w:r>
      <w:r w:rsidR="00A56331" w:rsidRPr="007C0FE2">
        <w:rPr>
          <w:i/>
          <w:u w:val="single"/>
        </w:rPr>
        <w:t>climate change</w:t>
      </w:r>
      <w:r w:rsidR="00A56331">
        <w:rPr>
          <w:i/>
          <w:u w:val="single"/>
        </w:rPr>
        <w:t xml:space="preserve"> </w:t>
      </w:r>
      <w:r w:rsidR="00A56331" w:rsidRPr="00255510">
        <w:rPr>
          <w:i/>
          <w:u w:val="single"/>
        </w:rPr>
        <w:t>mitigation</w:t>
      </w:r>
      <w:r w:rsidR="00A56331" w:rsidRPr="00255510">
        <w:rPr>
          <w:iCs/>
          <w:strike/>
        </w:rPr>
        <w:t xml:space="preserve"> mitigation</w:t>
      </w:r>
      <w:r w:rsidR="00A56331" w:rsidRPr="00784C90">
        <w:rPr>
          <w:rStyle w:val="FootnoteReference"/>
        </w:rPr>
        <w:footnoteReference w:id="555"/>
      </w:r>
      <w:r w:rsidRPr="00472578">
        <w:t xml:space="preserve"> </w:t>
      </w:r>
      <w:r w:rsidRPr="00472578">
        <w:rPr>
          <w:strike/>
        </w:rPr>
        <w:t xml:space="preserve">of </w:t>
      </w:r>
      <w:r w:rsidRPr="00472578">
        <w:rPr>
          <w:i/>
          <w:iCs/>
          <w:strike/>
        </w:rPr>
        <w:t>climate change</w:t>
      </w:r>
      <w:r w:rsidRPr="00472578">
        <w:rPr>
          <w:strike/>
        </w:rPr>
        <w:t xml:space="preserve"> impacts</w:t>
      </w:r>
      <w:r w:rsidRPr="00472578">
        <w:t xml:space="preserve">, with commensurate benefits for the well-being of people and communities and the wider </w:t>
      </w:r>
      <w:r w:rsidRPr="00472578">
        <w:rPr>
          <w:i/>
          <w:iCs/>
        </w:rPr>
        <w:t>environment</w:t>
      </w:r>
      <w:r w:rsidRPr="00472578">
        <w:t xml:space="preserve">, </w:t>
      </w:r>
      <w:r w:rsidRPr="00472578">
        <w:lastRenderedPageBreak/>
        <w:t xml:space="preserve">decision makers may, at their discretion, allow non-compliance with an </w:t>
      </w:r>
      <w:r w:rsidRPr="00472578">
        <w:rPr>
          <w:i/>
          <w:iCs/>
        </w:rPr>
        <w:t xml:space="preserve">environmental </w:t>
      </w:r>
      <w:r w:rsidRPr="00472578">
        <w:rPr>
          <w:strike/>
        </w:rPr>
        <w:t>bottom line</w:t>
      </w:r>
      <w:r w:rsidRPr="00472578">
        <w:t xml:space="preserve"> </w:t>
      </w:r>
      <w:r w:rsidRPr="00472578">
        <w:rPr>
          <w:i/>
          <w:iCs/>
          <w:u w:val="single"/>
        </w:rPr>
        <w:t>limit</w:t>
      </w:r>
      <w:r w:rsidRPr="00472578">
        <w:rPr>
          <w:rStyle w:val="FootnoteReference"/>
        </w:rPr>
        <w:footnoteReference w:id="556"/>
      </w:r>
      <w:r w:rsidRPr="00472578">
        <w:t xml:space="preserve"> set in</w:t>
      </w:r>
      <w:r w:rsidRPr="00472578">
        <w:rPr>
          <w:u w:val="single"/>
        </w:rPr>
        <w:t>, or resulting from,</w:t>
      </w:r>
      <w:r w:rsidRPr="00472578">
        <w:rPr>
          <w:rStyle w:val="FootnoteReference"/>
        </w:rPr>
        <w:footnoteReference w:id="557"/>
      </w:r>
      <w:r w:rsidRPr="00472578">
        <w:t xml:space="preserve"> any policy or method of this RPS only if they are satisfied that:</w:t>
      </w:r>
    </w:p>
    <w:p w14:paraId="46FB9B08" w14:textId="77777777" w:rsidR="00F458B9" w:rsidRPr="00472578" w:rsidRDefault="00F458B9" w:rsidP="00E92686">
      <w:pPr>
        <w:pStyle w:val="JustifiedSpacing"/>
        <w:ind w:left="567" w:hanging="567"/>
        <w:rPr>
          <w:u w:val="single"/>
        </w:rPr>
      </w:pPr>
      <w:r w:rsidRPr="00472578">
        <w:t>(1)</w:t>
      </w:r>
      <w:r w:rsidRPr="00472578">
        <w:tab/>
      </w:r>
      <w:r w:rsidRPr="00472578">
        <w:rPr>
          <w:strike/>
        </w:rPr>
        <w:t xml:space="preserve">the activity is designed and carried out to have the smallest possible environmental impact consistent with its purpose and </w:t>
      </w:r>
      <w:r w:rsidRPr="00472578">
        <w:rPr>
          <w:i/>
          <w:iCs/>
          <w:strike/>
        </w:rPr>
        <w:t>functional needs</w:t>
      </w:r>
      <w:r w:rsidRPr="00472578">
        <w:rPr>
          <w:strike/>
        </w:rPr>
        <w:t>,</w:t>
      </w:r>
      <w:r w:rsidRPr="00472578">
        <w:t xml:space="preserve"> </w:t>
      </w:r>
      <w:r w:rsidRPr="00472578">
        <w:rPr>
          <w:u w:val="single"/>
        </w:rPr>
        <w:t>adverse effects on the environment resulting from the activity are avoided, remedied, or mitigated so that they are reduced to the smallest amount reasonably practicable,</w:t>
      </w:r>
      <w:r w:rsidRPr="00472578">
        <w:rPr>
          <w:rStyle w:val="FootnoteReference"/>
        </w:rPr>
        <w:footnoteReference w:id="558"/>
      </w:r>
    </w:p>
    <w:p w14:paraId="3D775A9F" w14:textId="77777777" w:rsidR="00F458B9" w:rsidRPr="00472578" w:rsidRDefault="00F458B9" w:rsidP="00E92686">
      <w:pPr>
        <w:pStyle w:val="JustifiedSpacing"/>
        <w:ind w:left="567" w:hanging="567"/>
      </w:pPr>
      <w:r w:rsidRPr="00472578">
        <w:t>(2)</w:t>
      </w:r>
      <w:r w:rsidRPr="00472578">
        <w:tab/>
        <w:t xml:space="preserve">the activity is consistent and coordinated with other regional and national </w:t>
      </w:r>
      <w:r w:rsidRPr="00472578">
        <w:rPr>
          <w:i/>
          <w:iCs/>
        </w:rPr>
        <w:t>climate change</w:t>
      </w:r>
      <w:r w:rsidRPr="00472578">
        <w:t xml:space="preserve"> </w:t>
      </w:r>
      <w:r w:rsidRPr="00472578">
        <w:rPr>
          <w:i/>
          <w:iCs/>
        </w:rPr>
        <w:t>mitigation</w:t>
      </w:r>
      <w:r w:rsidRPr="00472578">
        <w:t xml:space="preserve"> activities, </w:t>
      </w:r>
    </w:p>
    <w:p w14:paraId="26DC6200" w14:textId="66AAD1D3" w:rsidR="00F458B9" w:rsidRPr="00472578" w:rsidRDefault="00F458B9" w:rsidP="00E92686">
      <w:pPr>
        <w:ind w:left="567" w:hanging="567"/>
        <w:jc w:val="both"/>
      </w:pPr>
      <w:r w:rsidRPr="00472578">
        <w:t>(3)</w:t>
      </w:r>
      <w:r w:rsidRPr="00472578">
        <w:tab/>
        <w:t xml:space="preserve">adverse </w:t>
      </w:r>
      <w:r w:rsidRPr="00472578">
        <w:rPr>
          <w:i/>
          <w:iCs/>
        </w:rPr>
        <w:t>effects</w:t>
      </w:r>
      <w:r w:rsidRPr="00472578">
        <w:t xml:space="preserve"> on the </w:t>
      </w:r>
      <w:r w:rsidRPr="00472578">
        <w:rPr>
          <w:i/>
          <w:iCs/>
        </w:rPr>
        <w:t>environment</w:t>
      </w:r>
      <w:r w:rsidRPr="00472578">
        <w:t xml:space="preserve"> that cannot be avoided, remedied, or mitigated are offset, or compensated for</w:t>
      </w:r>
      <w:r w:rsidRPr="00472578">
        <w:rPr>
          <w:u w:val="single"/>
        </w:rPr>
        <w:t xml:space="preserve">, </w:t>
      </w:r>
      <w:r w:rsidR="00DF2680" w:rsidRPr="00472578">
        <w:rPr>
          <w:u w:val="single"/>
        </w:rPr>
        <w:t xml:space="preserve">and </w:t>
      </w:r>
      <w:r w:rsidRPr="00472578">
        <w:rPr>
          <w:u w:val="single"/>
        </w:rPr>
        <w:t xml:space="preserve">for adverse </w:t>
      </w:r>
      <w:r w:rsidRPr="00472578">
        <w:rPr>
          <w:i/>
          <w:iCs/>
          <w:u w:val="single"/>
        </w:rPr>
        <w:t>effects</w:t>
      </w:r>
      <w:r w:rsidRPr="00472578">
        <w:rPr>
          <w:u w:val="single"/>
        </w:rPr>
        <w:t xml:space="preserve"> on indigenous biodiversity:</w:t>
      </w:r>
      <w:r w:rsidRPr="00472578">
        <w:t xml:space="preserve"> </w:t>
      </w:r>
      <w:r w:rsidRPr="00472578">
        <w:rPr>
          <w:strike/>
        </w:rPr>
        <w:t xml:space="preserve">if an offset is not possible, in accordance with any specific criteria for using offsets or compensation, </w:t>
      </w:r>
      <w:r w:rsidRPr="00472578" w:rsidDel="000E5ED3">
        <w:rPr>
          <w:strike/>
        </w:rPr>
        <w:t>and</w:t>
      </w:r>
      <w:r w:rsidRPr="00472578">
        <w:rPr>
          <w:strike/>
        </w:rPr>
        <w:t xml:space="preserve"> ensuring that any offset is:</w:t>
      </w:r>
    </w:p>
    <w:p w14:paraId="6FA8647A" w14:textId="77777777" w:rsidR="00F458B9" w:rsidRPr="00472578" w:rsidRDefault="00F458B9" w:rsidP="00E92686">
      <w:pPr>
        <w:ind w:left="1134" w:hanging="567"/>
        <w:jc w:val="both"/>
        <w:rPr>
          <w:u w:val="single"/>
        </w:rPr>
      </w:pPr>
      <w:r w:rsidRPr="00472578">
        <w:rPr>
          <w:u w:val="single"/>
        </w:rPr>
        <w:t>(aa)</w:t>
      </w:r>
      <w:r w:rsidRPr="00472578">
        <w:rPr>
          <w:u w:val="single"/>
        </w:rPr>
        <w:tab/>
        <w:t xml:space="preserve">where there are residual adverse </w:t>
      </w:r>
      <w:r w:rsidRPr="00472578">
        <w:rPr>
          <w:i/>
          <w:iCs/>
          <w:u w:val="single"/>
        </w:rPr>
        <w:t>effects</w:t>
      </w:r>
      <w:r w:rsidRPr="00472578">
        <w:rPr>
          <w:u w:val="single"/>
        </w:rPr>
        <w:t xml:space="preserve"> after avoidance, remediation, and mitigation, residual adverse </w:t>
      </w:r>
      <w:r w:rsidRPr="00472578">
        <w:rPr>
          <w:i/>
          <w:iCs/>
          <w:u w:val="single"/>
        </w:rPr>
        <w:t>effects</w:t>
      </w:r>
      <w:r w:rsidRPr="00472578">
        <w:rPr>
          <w:u w:val="single"/>
        </w:rPr>
        <w:t xml:space="preserve"> are offset in accordance with APP3, and</w:t>
      </w:r>
    </w:p>
    <w:p w14:paraId="2A238B4A" w14:textId="6C95E7D2" w:rsidR="00F458B9" w:rsidRPr="00472578" w:rsidRDefault="00F458B9" w:rsidP="00E92686">
      <w:pPr>
        <w:ind w:left="1134" w:hanging="567"/>
        <w:jc w:val="both"/>
        <w:rPr>
          <w:u w:val="single"/>
        </w:rPr>
      </w:pPr>
      <w:r w:rsidRPr="00472578">
        <w:rPr>
          <w:u w:val="single"/>
        </w:rPr>
        <w:t>(ab)</w:t>
      </w:r>
      <w:r w:rsidRPr="00472578">
        <w:rPr>
          <w:u w:val="single"/>
        </w:rPr>
        <w:tab/>
        <w:t xml:space="preserve">if biodiversity offsetting of residual adverse </w:t>
      </w:r>
      <w:r w:rsidRPr="00472578">
        <w:rPr>
          <w:i/>
          <w:iCs/>
          <w:u w:val="single"/>
        </w:rPr>
        <w:t>effects</w:t>
      </w:r>
      <w:r w:rsidRPr="00472578">
        <w:rPr>
          <w:u w:val="single"/>
        </w:rPr>
        <w:t xml:space="preserve"> is not possible, then those residual adverse </w:t>
      </w:r>
      <w:r w:rsidRPr="00472578">
        <w:rPr>
          <w:i/>
          <w:iCs/>
          <w:u w:val="single"/>
        </w:rPr>
        <w:t>effects</w:t>
      </w:r>
      <w:r w:rsidRPr="00472578">
        <w:rPr>
          <w:u w:val="single"/>
        </w:rPr>
        <w:t xml:space="preserve"> are compensated for in accordance with APP4</w:t>
      </w:r>
      <w:r w:rsidR="00DF2680" w:rsidRPr="00472578">
        <w:rPr>
          <w:u w:val="single"/>
        </w:rPr>
        <w:t>,</w:t>
      </w:r>
    </w:p>
    <w:p w14:paraId="30A3702C" w14:textId="77777777" w:rsidR="00F458B9" w:rsidRPr="00472578" w:rsidRDefault="00F458B9" w:rsidP="00E92686">
      <w:pPr>
        <w:ind w:left="1134" w:hanging="567"/>
        <w:jc w:val="both"/>
        <w:rPr>
          <w:rFonts w:eastAsia="National-Book" w:cs="Times New Roman"/>
          <w:strike/>
        </w:rPr>
      </w:pPr>
      <w:r w:rsidRPr="00472578">
        <w:rPr>
          <w:strike/>
        </w:rPr>
        <w:t>(a)</w:t>
      </w:r>
      <w:r w:rsidRPr="00472578">
        <w:rPr>
          <w:strike/>
        </w:rPr>
        <w:tab/>
        <w:t xml:space="preserve"> undertaken </w:t>
      </w:r>
      <w:r w:rsidRPr="00472578">
        <w:rPr>
          <w:rFonts w:eastAsia="National-Book" w:cs="Times New Roman"/>
          <w:strike/>
        </w:rPr>
        <w:t xml:space="preserve">where it will result in the best ecological outcome, </w:t>
      </w:r>
    </w:p>
    <w:p w14:paraId="09131D1B" w14:textId="77777777" w:rsidR="00F458B9" w:rsidRPr="00472578" w:rsidRDefault="00F458B9" w:rsidP="00E92686">
      <w:pPr>
        <w:ind w:left="1134" w:hanging="567"/>
        <w:jc w:val="both"/>
        <w:rPr>
          <w:rFonts w:eastAsia="National-Book" w:cs="Times New Roman"/>
          <w:strike/>
        </w:rPr>
      </w:pPr>
      <w:r w:rsidRPr="00472578">
        <w:rPr>
          <w:rFonts w:eastAsia="National-Book" w:cs="Times New Roman"/>
          <w:strike/>
        </w:rPr>
        <w:t>(b)</w:t>
      </w:r>
      <w:r w:rsidRPr="00472578">
        <w:rPr>
          <w:rFonts w:eastAsia="National-Book" w:cs="Times New Roman"/>
          <w:strike/>
        </w:rPr>
        <w:tab/>
        <w:t>close to the location of the activity, and</w:t>
      </w:r>
    </w:p>
    <w:p w14:paraId="3D505579" w14:textId="77777777" w:rsidR="00F458B9" w:rsidRPr="00472578" w:rsidRDefault="00F458B9" w:rsidP="00E92686">
      <w:pPr>
        <w:pStyle w:val="JustifiedSpacing"/>
        <w:ind w:left="1134" w:hanging="567"/>
      </w:pPr>
      <w:r w:rsidRPr="00472578">
        <w:rPr>
          <w:rFonts w:eastAsia="National-Book" w:cs="Times New Roman"/>
          <w:strike/>
        </w:rPr>
        <w:t>(c)</w:t>
      </w:r>
      <w:r w:rsidRPr="00472578">
        <w:rPr>
          <w:rFonts w:eastAsia="National-Book" w:cs="Times New Roman"/>
          <w:strike/>
        </w:rPr>
        <w:tab/>
        <w:t>within the same ecological district or coastal marine biogeographic region,</w:t>
      </w:r>
      <w:r w:rsidRPr="00472578">
        <w:rPr>
          <w:rStyle w:val="FootnoteReference"/>
        </w:rPr>
        <w:footnoteReference w:id="559"/>
      </w:r>
    </w:p>
    <w:p w14:paraId="4DEBD36E" w14:textId="77777777" w:rsidR="00F458B9" w:rsidRPr="00472578" w:rsidRDefault="00F458B9" w:rsidP="00E92686">
      <w:pPr>
        <w:pStyle w:val="JustifiedSpacing"/>
        <w:ind w:left="567" w:hanging="567"/>
      </w:pPr>
      <w:r w:rsidRPr="00472578">
        <w:t>(4)</w:t>
      </w:r>
      <w:r w:rsidRPr="00472578">
        <w:tab/>
        <w:t xml:space="preserve">the activity will not impede </w:t>
      </w:r>
      <w:r w:rsidRPr="00472578">
        <w:rPr>
          <w:strike/>
        </w:rPr>
        <w:t>either</w:t>
      </w:r>
      <w:r w:rsidRPr="00472578">
        <w:t xml:space="preserve"> the achievement of the objectives of this RPS</w:t>
      </w:r>
      <w:r w:rsidRPr="00472578">
        <w:rPr>
          <w:strike/>
        </w:rPr>
        <w:t xml:space="preserve"> or the objectives of regional policy statements in neighbouring regions</w:t>
      </w:r>
      <w:r w:rsidRPr="00472578">
        <w:t>,</w:t>
      </w:r>
      <w:r w:rsidRPr="00472578">
        <w:rPr>
          <w:rStyle w:val="FootnoteReference"/>
        </w:rPr>
        <w:footnoteReference w:id="560"/>
      </w:r>
      <w:r w:rsidRPr="00472578">
        <w:t xml:space="preserve"> and</w:t>
      </w:r>
    </w:p>
    <w:p w14:paraId="6B1AFFF2" w14:textId="77777777" w:rsidR="00F458B9" w:rsidRPr="00472578" w:rsidRDefault="00F458B9" w:rsidP="00E92686">
      <w:pPr>
        <w:pStyle w:val="JustifiedSpacing"/>
        <w:ind w:left="567" w:hanging="567"/>
      </w:pPr>
      <w:r w:rsidRPr="00472578">
        <w:t>(5)</w:t>
      </w:r>
      <w:r w:rsidRPr="00472578">
        <w:tab/>
        <w:t xml:space="preserve">the activity will not contravene </w:t>
      </w:r>
      <w:r w:rsidRPr="00472578">
        <w:rPr>
          <w:strike/>
        </w:rPr>
        <w:t>a bottom line</w:t>
      </w:r>
      <w:r w:rsidRPr="00472578">
        <w:t xml:space="preserve"> </w:t>
      </w:r>
      <w:r w:rsidRPr="00472578">
        <w:rPr>
          <w:u w:val="single"/>
        </w:rPr>
        <w:t xml:space="preserve">an </w:t>
      </w:r>
      <w:r w:rsidRPr="00472578">
        <w:rPr>
          <w:i/>
          <w:iCs/>
          <w:u w:val="single"/>
        </w:rPr>
        <w:t>environmental limit</w:t>
      </w:r>
      <w:r w:rsidRPr="00472578">
        <w:rPr>
          <w:rStyle w:val="FootnoteReference"/>
        </w:rPr>
        <w:footnoteReference w:id="561"/>
      </w:r>
      <w:r w:rsidRPr="00472578">
        <w:t xml:space="preserve"> set in a national policy statement or national environmental standard.</w:t>
      </w:r>
    </w:p>
    <w:p w14:paraId="05D9D0B7" w14:textId="77777777" w:rsidR="00F458B9" w:rsidRPr="00472578" w:rsidRDefault="00F458B9" w:rsidP="00E92686">
      <w:pPr>
        <w:pStyle w:val="Heading4"/>
        <w:jc w:val="both"/>
        <w:rPr>
          <w:strike/>
        </w:rPr>
      </w:pPr>
      <w:r w:rsidRPr="00472578">
        <w:rPr>
          <w:strike/>
        </w:rPr>
        <w:t xml:space="preserve">IM-P13 – Managing cumulative </w:t>
      </w:r>
      <w:r w:rsidRPr="00472578">
        <w:rPr>
          <w:i/>
          <w:iCs w:val="0"/>
          <w:strike/>
        </w:rPr>
        <w:t>effects</w:t>
      </w:r>
    </w:p>
    <w:p w14:paraId="1028C23E" w14:textId="77777777" w:rsidR="00F458B9" w:rsidRPr="00472578" w:rsidRDefault="00F458B9" w:rsidP="00E92686">
      <w:pPr>
        <w:jc w:val="both"/>
        <w:rPr>
          <w:color w:val="2E3436"/>
          <w:shd w:val="clear" w:color="auto" w:fill="FFFFFF"/>
        </w:rPr>
      </w:pPr>
      <w:r w:rsidRPr="00472578">
        <w:rPr>
          <w:strike/>
        </w:rPr>
        <w:t xml:space="preserve">Otago’s environmental integrity, form, function, and </w:t>
      </w:r>
      <w:r w:rsidRPr="00472578">
        <w:rPr>
          <w:i/>
          <w:iCs/>
          <w:strike/>
        </w:rPr>
        <w:t>resilience</w:t>
      </w:r>
      <w:r w:rsidRPr="00472578">
        <w:rPr>
          <w:strike/>
        </w:rPr>
        <w:t xml:space="preserve">, and opportunities for future generations, are protected by recognising and specifically managing the cumulative </w:t>
      </w:r>
      <w:r w:rsidRPr="00472578">
        <w:rPr>
          <w:i/>
          <w:iCs/>
          <w:strike/>
        </w:rPr>
        <w:t>effects</w:t>
      </w:r>
      <w:r w:rsidRPr="00472578">
        <w:rPr>
          <w:strike/>
        </w:rPr>
        <w:t xml:space="preserve"> of activities on </w:t>
      </w:r>
      <w:r w:rsidRPr="00472578">
        <w:rPr>
          <w:i/>
          <w:iCs/>
          <w:strike/>
        </w:rPr>
        <w:t>natural and physical resources</w:t>
      </w:r>
      <w:r w:rsidRPr="00472578">
        <w:rPr>
          <w:strike/>
        </w:rPr>
        <w:t xml:space="preserve"> in plans and explicitly accounting for </w:t>
      </w:r>
      <w:r w:rsidRPr="00472578">
        <w:rPr>
          <w:strike/>
          <w:color w:val="2E3436"/>
          <w:shd w:val="clear" w:color="auto" w:fill="FFFFFF"/>
        </w:rPr>
        <w:t xml:space="preserve">these </w:t>
      </w:r>
      <w:r w:rsidRPr="00472578">
        <w:rPr>
          <w:i/>
          <w:iCs/>
          <w:strike/>
          <w:color w:val="2E3436"/>
          <w:shd w:val="clear" w:color="auto" w:fill="FFFFFF"/>
        </w:rPr>
        <w:t>effects</w:t>
      </w:r>
      <w:r w:rsidRPr="00472578">
        <w:rPr>
          <w:strike/>
          <w:color w:val="2E3436"/>
          <w:shd w:val="clear" w:color="auto" w:fill="FFFFFF"/>
        </w:rPr>
        <w:t xml:space="preserve"> in </w:t>
      </w:r>
      <w:r w:rsidRPr="00472578">
        <w:rPr>
          <w:strike/>
        </w:rPr>
        <w:t>other resource management decisions.</w:t>
      </w:r>
      <w:r w:rsidRPr="00472578">
        <w:t xml:space="preserve"> </w:t>
      </w:r>
      <w:r w:rsidRPr="00472578">
        <w:rPr>
          <w:rStyle w:val="FootnoteReference"/>
        </w:rPr>
        <w:footnoteReference w:id="562"/>
      </w:r>
    </w:p>
    <w:p w14:paraId="06B07C20" w14:textId="77777777" w:rsidR="00F458B9" w:rsidRPr="00472578" w:rsidRDefault="00F458B9" w:rsidP="00E92686">
      <w:pPr>
        <w:pStyle w:val="Heading4"/>
        <w:jc w:val="both"/>
      </w:pPr>
      <w:r w:rsidRPr="00472578">
        <w:t>IM-P14 – Human impact</w:t>
      </w:r>
    </w:p>
    <w:p w14:paraId="3B96828F" w14:textId="03066206" w:rsidR="00F458B9" w:rsidRPr="00472578" w:rsidRDefault="00F458B9" w:rsidP="00E92686">
      <w:pPr>
        <w:pStyle w:val="JustifiedSpacing"/>
      </w:pPr>
      <w:r w:rsidRPr="00472578">
        <w:rPr>
          <w:u w:val="single"/>
        </w:rPr>
        <w:t xml:space="preserve">When preparing </w:t>
      </w:r>
      <w:r w:rsidRPr="00472578">
        <w:rPr>
          <w:i/>
          <w:u w:val="single"/>
        </w:rPr>
        <w:t>regional</w:t>
      </w:r>
      <w:r w:rsidRPr="00472578">
        <w:rPr>
          <w:u w:val="single"/>
        </w:rPr>
        <w:t xml:space="preserve"> </w:t>
      </w:r>
      <w:r w:rsidR="00D842DF" w:rsidRPr="00472578">
        <w:rPr>
          <w:i/>
          <w:iCs/>
          <w:u w:val="single"/>
        </w:rPr>
        <w:t xml:space="preserve">plans </w:t>
      </w:r>
      <w:r w:rsidRPr="00472578">
        <w:rPr>
          <w:u w:val="single"/>
        </w:rPr>
        <w:t xml:space="preserve">and </w:t>
      </w:r>
      <w:r w:rsidRPr="00472578">
        <w:rPr>
          <w:i/>
          <w:u w:val="single"/>
        </w:rPr>
        <w:t>district plans</w:t>
      </w:r>
      <w:r w:rsidRPr="00472578">
        <w:rPr>
          <w:u w:val="single"/>
        </w:rPr>
        <w:t xml:space="preserve">, </w:t>
      </w:r>
      <w:r w:rsidRPr="00472578">
        <w:rPr>
          <w:strike/>
        </w:rPr>
        <w:t>P</w:t>
      </w:r>
      <w:r w:rsidR="00CE125E" w:rsidRPr="00472578">
        <w:rPr>
          <w:u w:val="single"/>
        </w:rPr>
        <w:t>p</w:t>
      </w:r>
      <w:r w:rsidRPr="00472578">
        <w:t>reserve</w:t>
      </w:r>
      <w:r w:rsidRPr="00472578">
        <w:rPr>
          <w:rStyle w:val="FootnoteReference"/>
        </w:rPr>
        <w:footnoteReference w:id="563"/>
      </w:r>
      <w:r w:rsidR="00CE125E" w:rsidRPr="00472578">
        <w:t xml:space="preserve"> </w:t>
      </w:r>
      <w:r w:rsidRPr="00472578">
        <w:t>opportunities for future generations by:</w:t>
      </w:r>
    </w:p>
    <w:p w14:paraId="181B84DD" w14:textId="77777777" w:rsidR="00F458B9" w:rsidRPr="00472578" w:rsidRDefault="00F458B9" w:rsidP="00E92686">
      <w:pPr>
        <w:pStyle w:val="JustifiedSpacing"/>
        <w:ind w:left="567" w:hanging="567"/>
      </w:pPr>
      <w:r w:rsidRPr="00472578">
        <w:lastRenderedPageBreak/>
        <w:t>(1)</w:t>
      </w:r>
      <w:r w:rsidRPr="00472578">
        <w:tab/>
        <w:t xml:space="preserve">identifying </w:t>
      </w:r>
      <w:r w:rsidRPr="00472578">
        <w:rPr>
          <w:i/>
          <w:iCs/>
          <w:u w:val="single"/>
        </w:rPr>
        <w:t>environmental</w:t>
      </w:r>
      <w:r w:rsidRPr="00472578">
        <w:rPr>
          <w:rStyle w:val="FootnoteReference"/>
        </w:rPr>
        <w:footnoteReference w:id="564"/>
      </w:r>
      <w:r w:rsidRPr="00472578">
        <w:t xml:space="preserve"> </w:t>
      </w:r>
      <w:r w:rsidRPr="00472578">
        <w:rPr>
          <w:i/>
          <w:iCs/>
        </w:rPr>
        <w:t>limits</w:t>
      </w:r>
      <w:r w:rsidRPr="00472578">
        <w:t xml:space="preserve"> </w:t>
      </w:r>
      <w:r w:rsidRPr="00472578">
        <w:rPr>
          <w:u w:val="single"/>
        </w:rPr>
        <w:t>wherever practicable,</w:t>
      </w:r>
      <w:r w:rsidRPr="00472578">
        <w:rPr>
          <w:rStyle w:val="FootnoteReference"/>
        </w:rPr>
        <w:footnoteReference w:id="565"/>
      </w:r>
      <w:r w:rsidRPr="00472578">
        <w:t xml:space="preserve"> </w:t>
      </w:r>
      <w:r w:rsidRPr="00472578">
        <w:rPr>
          <w:strike/>
        </w:rPr>
        <w:t xml:space="preserve">to both growth and adverse </w:t>
      </w:r>
      <w:r w:rsidRPr="00472578">
        <w:rPr>
          <w:i/>
          <w:iCs/>
          <w:strike/>
        </w:rPr>
        <w:t>effects</w:t>
      </w:r>
      <w:r w:rsidRPr="00472578">
        <w:rPr>
          <w:strike/>
        </w:rPr>
        <w:t xml:space="preserve"> of human activities beyond which the </w:t>
      </w:r>
      <w:r w:rsidRPr="00472578">
        <w:rPr>
          <w:i/>
          <w:iCs/>
          <w:strike/>
        </w:rPr>
        <w:t>environment</w:t>
      </w:r>
      <w:r w:rsidRPr="00472578">
        <w:rPr>
          <w:strike/>
        </w:rPr>
        <w:t xml:space="preserve"> will be degraded</w:t>
      </w:r>
      <w:r w:rsidRPr="00472578">
        <w:t>,</w:t>
      </w:r>
    </w:p>
    <w:p w14:paraId="72C4CEC0" w14:textId="77777777" w:rsidR="00F458B9" w:rsidRPr="00472578" w:rsidRDefault="00F458B9" w:rsidP="00E92686">
      <w:pPr>
        <w:pStyle w:val="JustifiedSpacing"/>
        <w:ind w:left="567" w:hanging="567"/>
      </w:pPr>
      <w:r w:rsidRPr="00472578">
        <w:t>(2)</w:t>
      </w:r>
      <w:r w:rsidRPr="00472578">
        <w:tab/>
        <w:t xml:space="preserve">requiring that activities are established in places, and carried out in ways, that are within those </w:t>
      </w:r>
      <w:r w:rsidRPr="00472578">
        <w:rPr>
          <w:i/>
          <w:iCs/>
          <w:u w:val="single"/>
        </w:rPr>
        <w:t>environmental</w:t>
      </w:r>
      <w:r w:rsidRPr="00472578">
        <w:rPr>
          <w:rStyle w:val="FootnoteReference"/>
        </w:rPr>
        <w:footnoteReference w:id="566"/>
      </w:r>
      <w:r w:rsidRPr="00472578">
        <w:t xml:space="preserve"> </w:t>
      </w:r>
      <w:r w:rsidRPr="00472578">
        <w:rPr>
          <w:i/>
          <w:iCs/>
        </w:rPr>
        <w:t>limits</w:t>
      </w:r>
      <w:r w:rsidRPr="00472578">
        <w:t xml:space="preserve"> and are compatible with the natural capabilities and capacities of the resources they rely on, </w:t>
      </w:r>
      <w:r w:rsidRPr="00472578">
        <w:rPr>
          <w:strike/>
        </w:rPr>
        <w:t>and</w:t>
      </w:r>
    </w:p>
    <w:p w14:paraId="033C8BFF" w14:textId="77777777" w:rsidR="00F458B9" w:rsidRPr="00472578" w:rsidRDefault="00F458B9" w:rsidP="00E92686">
      <w:pPr>
        <w:pStyle w:val="JustifiedSpacing"/>
        <w:ind w:left="567" w:hanging="567"/>
      </w:pPr>
      <w:r w:rsidRPr="00472578">
        <w:t>(3)</w:t>
      </w:r>
      <w:r w:rsidRPr="00472578">
        <w:tab/>
        <w:t xml:space="preserve">regularly assessing and adjusting </w:t>
      </w:r>
      <w:r w:rsidRPr="00472578">
        <w:rPr>
          <w:i/>
          <w:iCs/>
          <w:u w:val="single"/>
        </w:rPr>
        <w:t>environmental</w:t>
      </w:r>
      <w:r w:rsidRPr="00472578">
        <w:rPr>
          <w:i/>
          <w:iCs/>
        </w:rPr>
        <w:t xml:space="preserve"> limits</w:t>
      </w:r>
      <w:r w:rsidRPr="00472578">
        <w:t xml:space="preserve"> </w:t>
      </w:r>
      <w:r w:rsidRPr="00472578">
        <w:rPr>
          <w:strike/>
        </w:rPr>
        <w:t>and thresholds</w:t>
      </w:r>
      <w:r w:rsidRPr="00472578">
        <w:rPr>
          <w:rStyle w:val="FootnoteReference"/>
        </w:rPr>
        <w:footnoteReference w:id="567"/>
      </w:r>
      <w:r w:rsidRPr="00472578">
        <w:t xml:space="preserve"> for activities over time </w:t>
      </w:r>
      <w:proofErr w:type="gramStart"/>
      <w:r w:rsidRPr="00472578">
        <w:t>in light of</w:t>
      </w:r>
      <w:proofErr w:type="gramEnd"/>
      <w:r w:rsidRPr="00472578">
        <w:t xml:space="preserve"> the actual and potential environmental impacts</w:t>
      </w:r>
      <w:r w:rsidRPr="00472578">
        <w:rPr>
          <w:strike/>
        </w:rPr>
        <w:t>.</w:t>
      </w:r>
      <w:r w:rsidRPr="00472578">
        <w:rPr>
          <w:u w:val="single"/>
        </w:rPr>
        <w:t xml:space="preserve">, including those related to </w:t>
      </w:r>
      <w:r w:rsidRPr="00F81987">
        <w:rPr>
          <w:i/>
          <w:iCs/>
          <w:u w:val="single"/>
        </w:rPr>
        <w:t>climate change</w:t>
      </w:r>
      <w:r w:rsidRPr="00472578">
        <w:rPr>
          <w:u w:val="single"/>
        </w:rPr>
        <w:t>, and</w:t>
      </w:r>
      <w:r w:rsidRPr="00472578">
        <w:rPr>
          <w:rStyle w:val="FootnoteReference"/>
        </w:rPr>
        <w:footnoteReference w:id="568"/>
      </w:r>
    </w:p>
    <w:p w14:paraId="44D36D02" w14:textId="77777777" w:rsidR="00F458B9" w:rsidRPr="00472578" w:rsidRDefault="00F458B9" w:rsidP="00E92686">
      <w:pPr>
        <w:pStyle w:val="JustifiedSpacing"/>
        <w:ind w:left="567" w:hanging="567"/>
        <w:rPr>
          <w:u w:val="single"/>
        </w:rPr>
      </w:pPr>
      <w:r w:rsidRPr="00472578">
        <w:rPr>
          <w:u w:val="single"/>
        </w:rPr>
        <w:t>(4)</w:t>
      </w:r>
      <w:r w:rsidRPr="00472578">
        <w:rPr>
          <w:u w:val="single"/>
        </w:rPr>
        <w:tab/>
        <w:t xml:space="preserve">promoting activities that reduce, mitigate, or avoid adverse </w:t>
      </w:r>
      <w:r w:rsidRPr="00F81987">
        <w:rPr>
          <w:i/>
          <w:iCs/>
          <w:u w:val="single"/>
        </w:rPr>
        <w:t>effects</w:t>
      </w:r>
      <w:r w:rsidRPr="00472578">
        <w:rPr>
          <w:u w:val="single"/>
        </w:rPr>
        <w:t xml:space="preserve"> on the environment.</w:t>
      </w:r>
      <w:r w:rsidRPr="00472578">
        <w:rPr>
          <w:rStyle w:val="FootnoteReference"/>
        </w:rPr>
        <w:footnoteReference w:id="569"/>
      </w:r>
    </w:p>
    <w:p w14:paraId="7E09C87B" w14:textId="77777777" w:rsidR="00F458B9" w:rsidRPr="00472578" w:rsidRDefault="00F458B9" w:rsidP="00E92686">
      <w:pPr>
        <w:pStyle w:val="Heading4"/>
        <w:jc w:val="both"/>
        <w:rPr>
          <w:strike/>
        </w:rPr>
      </w:pPr>
      <w:r w:rsidRPr="00472578">
        <w:rPr>
          <w:strike/>
        </w:rPr>
        <w:t>IM-P15 – Precautionary approach</w:t>
      </w:r>
    </w:p>
    <w:p w14:paraId="585D16F6" w14:textId="77777777" w:rsidR="00F458B9" w:rsidRPr="00472578" w:rsidRDefault="00F458B9" w:rsidP="00E92686">
      <w:pPr>
        <w:jc w:val="both"/>
      </w:pPr>
      <w:r w:rsidRPr="00472578">
        <w:rPr>
          <w:strike/>
        </w:rPr>
        <w:t xml:space="preserve">Adopt a precautionary approach towards proposed activities whose </w:t>
      </w:r>
      <w:r w:rsidRPr="00472578">
        <w:rPr>
          <w:i/>
          <w:iCs/>
          <w:strike/>
        </w:rPr>
        <w:t>effects</w:t>
      </w:r>
      <w:r w:rsidRPr="00472578">
        <w:rPr>
          <w:strike/>
        </w:rPr>
        <w:t xml:space="preserve"> are uncertain, </w:t>
      </w:r>
      <w:proofErr w:type="gramStart"/>
      <w:r w:rsidRPr="00472578">
        <w:rPr>
          <w:strike/>
        </w:rPr>
        <w:t>unknown</w:t>
      </w:r>
      <w:proofErr w:type="gramEnd"/>
      <w:r w:rsidRPr="00472578">
        <w:rPr>
          <w:strike/>
        </w:rPr>
        <w:t xml:space="preserve"> or little understood, but could be significantly adverse, particularly where the areas and values within Otago have not been identified in plans as required by this RPS.</w:t>
      </w:r>
      <w:r w:rsidRPr="00472578">
        <w:rPr>
          <w:rStyle w:val="FootnoteReference"/>
        </w:rPr>
        <w:footnoteReference w:id="570"/>
      </w:r>
    </w:p>
    <w:p w14:paraId="0646B403" w14:textId="77777777" w:rsidR="00F458B9" w:rsidRPr="00472578" w:rsidRDefault="00F458B9" w:rsidP="00E92686">
      <w:pPr>
        <w:pStyle w:val="Heading3"/>
        <w:jc w:val="both"/>
      </w:pPr>
      <w:bookmarkStart w:id="97" w:name="_Toc49763486"/>
      <w:bookmarkStart w:id="98" w:name="_Toc56620195"/>
      <w:r w:rsidRPr="00472578">
        <w:t>Methods</w:t>
      </w:r>
      <w:bookmarkEnd w:id="97"/>
      <w:bookmarkEnd w:id="98"/>
    </w:p>
    <w:p w14:paraId="617485FE" w14:textId="1169119B" w:rsidR="00F458B9" w:rsidRPr="00472578" w:rsidRDefault="00F458B9" w:rsidP="00E92686">
      <w:pPr>
        <w:pStyle w:val="Heading4"/>
        <w:jc w:val="both"/>
      </w:pPr>
      <w:r w:rsidRPr="00472578">
        <w:t xml:space="preserve">IM-M1 – </w:t>
      </w:r>
      <w:r w:rsidRPr="00472578">
        <w:rPr>
          <w:i/>
          <w:iCs w:val="0"/>
        </w:rPr>
        <w:t>Regional</w:t>
      </w:r>
      <w:r w:rsidRPr="00472578">
        <w:t xml:space="preserve"> </w:t>
      </w:r>
      <w:r w:rsidR="00C90D8E" w:rsidRPr="00472578">
        <w:rPr>
          <w:i/>
          <w:iCs w:val="0"/>
          <w:u w:val="single"/>
        </w:rPr>
        <w:t>plans</w:t>
      </w:r>
      <w:r w:rsidR="00C90D8E" w:rsidRPr="00472578">
        <w:rPr>
          <w:rStyle w:val="FootnoteReference"/>
          <w:i/>
          <w:iCs w:val="0"/>
        </w:rPr>
        <w:footnoteReference w:id="571"/>
      </w:r>
      <w:r w:rsidR="00E779A4" w:rsidRPr="00472578">
        <w:t xml:space="preserve"> a</w:t>
      </w:r>
      <w:r w:rsidRPr="00472578">
        <w:t xml:space="preserve">nd </w:t>
      </w:r>
      <w:r w:rsidRPr="00472578">
        <w:rPr>
          <w:i/>
          <w:iCs w:val="0"/>
        </w:rPr>
        <w:t>district plans</w:t>
      </w:r>
    </w:p>
    <w:p w14:paraId="4E45563C" w14:textId="017FD26F" w:rsidR="00F458B9" w:rsidRPr="00472578" w:rsidRDefault="00F458B9" w:rsidP="00E92686">
      <w:pPr>
        <w:pStyle w:val="JustifiedSpacing"/>
      </w:pPr>
      <w:r w:rsidRPr="00472578">
        <w:rPr>
          <w:i/>
          <w:iCs/>
        </w:rPr>
        <w:t>Local authorities</w:t>
      </w:r>
      <w:r w:rsidRPr="00472578">
        <w:t xml:space="preserve"> must prepare or amend and maintain their </w:t>
      </w:r>
      <w:r w:rsidRPr="00472578">
        <w:rPr>
          <w:i/>
          <w:iCs/>
        </w:rPr>
        <w:t xml:space="preserve">regional </w:t>
      </w:r>
      <w:r w:rsidR="00D122F1" w:rsidRPr="00472578">
        <w:rPr>
          <w:i/>
          <w:iCs/>
          <w:u w:val="single"/>
        </w:rPr>
        <w:t>plans</w:t>
      </w:r>
      <w:r w:rsidR="00D122F1" w:rsidRPr="00472578">
        <w:rPr>
          <w:rStyle w:val="FootnoteReference"/>
        </w:rPr>
        <w:footnoteReference w:id="572"/>
      </w:r>
      <w:r w:rsidR="00E779A4" w:rsidRPr="00472578">
        <w:t xml:space="preserve"> a</w:t>
      </w:r>
      <w:r w:rsidRPr="00472578">
        <w:t xml:space="preserve">nd </w:t>
      </w:r>
      <w:r w:rsidRPr="00472578">
        <w:rPr>
          <w:i/>
          <w:iCs/>
        </w:rPr>
        <w:t>district plans</w:t>
      </w:r>
      <w:r w:rsidRPr="00472578">
        <w:t xml:space="preserve"> to:</w:t>
      </w:r>
    </w:p>
    <w:p w14:paraId="550A2A64" w14:textId="0B652FE6" w:rsidR="00F458B9" w:rsidRPr="00472578" w:rsidRDefault="00F458B9" w:rsidP="00E92686">
      <w:pPr>
        <w:pStyle w:val="JustifiedSpacing"/>
        <w:ind w:left="567" w:hanging="567"/>
      </w:pPr>
      <w:r w:rsidRPr="00472578">
        <w:t>(1)</w:t>
      </w:r>
      <w:r w:rsidRPr="00472578">
        <w:tab/>
      </w:r>
      <w:bookmarkStart w:id="99" w:name="_Hlk49258658"/>
      <w:r w:rsidRPr="00472578">
        <w:rPr>
          <w:strike/>
        </w:rPr>
        <w:t>establish, by December 2030, policy frameworks designed to achieve</w:t>
      </w:r>
      <w:r w:rsidRPr="00472578">
        <w:t xml:space="preserve"> </w:t>
      </w:r>
      <w:r w:rsidRPr="00472578">
        <w:rPr>
          <w:u w:val="single"/>
        </w:rPr>
        <w:t xml:space="preserve">ensure that </w:t>
      </w:r>
      <w:r w:rsidRPr="00472578">
        <w:rPr>
          <w:i/>
          <w:iCs/>
          <w:u w:val="single"/>
        </w:rPr>
        <w:t xml:space="preserve">regional </w:t>
      </w:r>
      <w:r w:rsidR="00A221FD" w:rsidRPr="00472578">
        <w:rPr>
          <w:i/>
          <w:iCs/>
          <w:u w:val="single"/>
        </w:rPr>
        <w:t xml:space="preserve">plans </w:t>
      </w:r>
      <w:r w:rsidRPr="00472578">
        <w:rPr>
          <w:u w:val="single"/>
        </w:rPr>
        <w:t xml:space="preserve">and </w:t>
      </w:r>
      <w:r w:rsidRPr="00472578">
        <w:rPr>
          <w:i/>
          <w:iCs/>
          <w:u w:val="single"/>
        </w:rPr>
        <w:t>district plans</w:t>
      </w:r>
      <w:r w:rsidRPr="00472578">
        <w:rPr>
          <w:u w:val="single"/>
        </w:rPr>
        <w:t xml:space="preserve"> contribute to achieving</w:t>
      </w:r>
      <w:r w:rsidRPr="00472578">
        <w:t xml:space="preserve"> the objectives for Otago</w:t>
      </w:r>
      <w:bookmarkEnd w:id="99"/>
      <w:r w:rsidRPr="00472578">
        <w:t xml:space="preserve"> set out in IM-O1 to IM-O4,</w:t>
      </w:r>
      <w:r w:rsidRPr="00472578">
        <w:rPr>
          <w:rStyle w:val="FootnoteReference"/>
        </w:rPr>
        <w:footnoteReference w:id="573"/>
      </w:r>
    </w:p>
    <w:p w14:paraId="02091C11" w14:textId="7F5C8714" w:rsidR="00F458B9" w:rsidRPr="00472578" w:rsidRDefault="00F458B9" w:rsidP="00E92686">
      <w:pPr>
        <w:pStyle w:val="JustifiedSpacing"/>
        <w:ind w:left="567" w:hanging="567"/>
      </w:pPr>
      <w:r w:rsidRPr="00472578">
        <w:t>(2)</w:t>
      </w:r>
      <w:r w:rsidRPr="00472578">
        <w:tab/>
      </w:r>
      <w:r w:rsidRPr="00472578">
        <w:rPr>
          <w:strike/>
        </w:rPr>
        <w:t xml:space="preserve">give effect to any response to </w:t>
      </w:r>
      <w:r w:rsidRPr="00472578">
        <w:rPr>
          <w:i/>
          <w:iCs/>
          <w:strike/>
        </w:rPr>
        <w:t>climate change</w:t>
      </w:r>
      <w:r w:rsidRPr="00472578">
        <w:rPr>
          <w:strike/>
        </w:rPr>
        <w:t xml:space="preserve"> developed under this RPS, if applicable,</w:t>
      </w:r>
      <w:r w:rsidRPr="00472578">
        <w:t xml:space="preserve"> </w:t>
      </w:r>
      <w:r w:rsidRPr="00472578">
        <w:rPr>
          <w:u w:val="single"/>
        </w:rPr>
        <w:t xml:space="preserve">include provisions to manage the effects, resources, and communities identified in </w:t>
      </w:r>
      <w:r w:rsidR="005F761D" w:rsidRPr="00472578">
        <w:rPr>
          <w:u w:val="single"/>
        </w:rPr>
        <w:t xml:space="preserve">accordance with </w:t>
      </w:r>
      <w:r w:rsidRPr="00472578">
        <w:rPr>
          <w:u w:val="single"/>
        </w:rPr>
        <w:t>IM-M3,</w:t>
      </w:r>
      <w:r w:rsidRPr="00472578">
        <w:rPr>
          <w:rStyle w:val="FootnoteReference"/>
        </w:rPr>
        <w:footnoteReference w:id="574"/>
      </w:r>
    </w:p>
    <w:p w14:paraId="32867492" w14:textId="77777777" w:rsidR="00F458B9" w:rsidRPr="00472578" w:rsidRDefault="00F458B9" w:rsidP="00E92686">
      <w:pPr>
        <w:pStyle w:val="JustifiedSpacing"/>
        <w:ind w:left="567" w:hanging="567"/>
      </w:pPr>
      <w:r w:rsidRPr="00472578">
        <w:t>(3)</w:t>
      </w:r>
      <w:r w:rsidRPr="00472578">
        <w:tab/>
        <w:t xml:space="preserve">provide for activities that </w:t>
      </w:r>
      <w:r w:rsidRPr="00472578">
        <w:rPr>
          <w:u w:val="single"/>
        </w:rPr>
        <w:t xml:space="preserve">support </w:t>
      </w:r>
      <w:r w:rsidRPr="00472578">
        <w:rPr>
          <w:i/>
          <w:iCs/>
          <w:u w:val="single"/>
        </w:rPr>
        <w:t xml:space="preserve">climate change adaptation </w:t>
      </w:r>
      <w:r w:rsidRPr="00472578">
        <w:rPr>
          <w:u w:val="single"/>
        </w:rPr>
        <w:t xml:space="preserve">and </w:t>
      </w:r>
      <w:r w:rsidRPr="00472578">
        <w:rPr>
          <w:i/>
          <w:iCs/>
          <w:u w:val="single"/>
        </w:rPr>
        <w:t xml:space="preserve">climate change mitigation </w:t>
      </w:r>
      <w:r w:rsidRPr="00472578">
        <w:rPr>
          <w:u w:val="single"/>
        </w:rPr>
        <w:t>in accordance with IM-P10</w:t>
      </w:r>
      <w:r w:rsidRPr="00472578">
        <w:t xml:space="preserve"> </w:t>
      </w:r>
      <w:r w:rsidRPr="00472578">
        <w:rPr>
          <w:strike/>
        </w:rPr>
        <w:t xml:space="preserve">seek to mitigate or adapt to the effects of </w:t>
      </w:r>
      <w:r w:rsidRPr="00472578">
        <w:rPr>
          <w:i/>
          <w:iCs/>
          <w:strike/>
        </w:rPr>
        <w:t>climate change</w:t>
      </w:r>
      <w:r w:rsidRPr="00472578">
        <w:rPr>
          <w:strike/>
        </w:rPr>
        <w:t xml:space="preserve"> or reduce greenhouse gas emissions</w:t>
      </w:r>
      <w:r w:rsidRPr="00472578">
        <w:t>,</w:t>
      </w:r>
      <w:r w:rsidRPr="00472578">
        <w:rPr>
          <w:rStyle w:val="FootnoteReference"/>
        </w:rPr>
        <w:footnoteReference w:id="575"/>
      </w:r>
    </w:p>
    <w:p w14:paraId="6B32C7F3" w14:textId="77777777" w:rsidR="00F458B9" w:rsidRPr="00472578" w:rsidRDefault="00F458B9" w:rsidP="00E92686">
      <w:pPr>
        <w:pStyle w:val="JustifiedSpacing"/>
        <w:ind w:left="567" w:hanging="567"/>
        <w:rPr>
          <w:shd w:val="clear" w:color="auto" w:fill="FFFFFF"/>
        </w:rPr>
      </w:pPr>
      <w:r w:rsidRPr="00472578">
        <w:lastRenderedPageBreak/>
        <w:t>(4)</w:t>
      </w:r>
      <w:r w:rsidRPr="00472578">
        <w:tab/>
        <w:t xml:space="preserve">ensure cumulative </w:t>
      </w:r>
      <w:r w:rsidRPr="00472578">
        <w:rPr>
          <w:i/>
          <w:iCs/>
        </w:rPr>
        <w:t>effects</w:t>
      </w:r>
      <w:r w:rsidRPr="00472578">
        <w:t xml:space="preserve"> of activities on </w:t>
      </w:r>
      <w:r w:rsidRPr="00472578">
        <w:rPr>
          <w:i/>
          <w:iCs/>
          <w:strike/>
        </w:rPr>
        <w:t>natural and physical resources</w:t>
      </w:r>
      <w:r w:rsidRPr="00472578">
        <w:t xml:space="preserve"> </w:t>
      </w:r>
      <w:r w:rsidRPr="00472578">
        <w:rPr>
          <w:u w:val="single"/>
        </w:rPr>
        <w:t xml:space="preserve">the </w:t>
      </w:r>
      <w:r w:rsidRPr="00472578">
        <w:rPr>
          <w:i/>
          <w:iCs/>
          <w:u w:val="single"/>
        </w:rPr>
        <w:t>environment</w:t>
      </w:r>
      <w:r w:rsidRPr="00472578">
        <w:rPr>
          <w:rStyle w:val="FootnoteReference"/>
        </w:rPr>
        <w:footnoteReference w:id="576"/>
      </w:r>
      <w:r w:rsidRPr="00472578">
        <w:t xml:space="preserve"> are </w:t>
      </w:r>
      <w:r w:rsidRPr="00472578">
        <w:rPr>
          <w:strike/>
        </w:rPr>
        <w:t xml:space="preserve">accounted for </w:t>
      </w:r>
      <w:r w:rsidRPr="00472578">
        <w:rPr>
          <w:strike/>
          <w:color w:val="2E3436"/>
          <w:shd w:val="clear" w:color="auto" w:fill="FFFFFF"/>
        </w:rPr>
        <w:t xml:space="preserve">in </w:t>
      </w:r>
      <w:r w:rsidRPr="00472578">
        <w:rPr>
          <w:strike/>
        </w:rPr>
        <w:t>resource management decisions by recognising and managing</w:t>
      </w:r>
      <w:r w:rsidRPr="00472578">
        <w:t xml:space="preserve"> </w:t>
      </w:r>
      <w:r w:rsidRPr="00472578">
        <w:rPr>
          <w:strike/>
        </w:rPr>
        <w:t xml:space="preserve">such </w:t>
      </w:r>
      <w:r w:rsidRPr="00472578">
        <w:rPr>
          <w:i/>
          <w:iCs/>
          <w:strike/>
        </w:rPr>
        <w:t xml:space="preserve">effects </w:t>
      </w:r>
      <w:r w:rsidRPr="00472578">
        <w:rPr>
          <w:u w:val="single"/>
        </w:rPr>
        <w:t>recognised and managed</w:t>
      </w:r>
      <w:r w:rsidRPr="00472578">
        <w:t xml:space="preserve">, including: </w:t>
      </w:r>
      <w:r w:rsidRPr="00472578">
        <w:rPr>
          <w:rStyle w:val="FootnoteReference"/>
        </w:rPr>
        <w:footnoteReference w:id="577"/>
      </w:r>
    </w:p>
    <w:p w14:paraId="162DADFD" w14:textId="77777777" w:rsidR="00F458B9" w:rsidRPr="00472578" w:rsidRDefault="00F458B9" w:rsidP="00E92686">
      <w:pPr>
        <w:pStyle w:val="JustifiedSpacing"/>
        <w:ind w:left="1134" w:hanging="567"/>
        <w:rPr>
          <w:shd w:val="clear" w:color="auto" w:fill="FFFFFF"/>
        </w:rPr>
      </w:pPr>
      <w:r w:rsidRPr="00472578">
        <w:rPr>
          <w:shd w:val="clear" w:color="auto" w:fill="FFFFFF"/>
        </w:rPr>
        <w:t>(a)</w:t>
      </w:r>
      <w:r w:rsidRPr="00472578">
        <w:rPr>
          <w:shd w:val="clear" w:color="auto" w:fill="FFFFFF"/>
        </w:rPr>
        <w:tab/>
        <w:t xml:space="preserve">the same </w:t>
      </w:r>
      <w:r w:rsidRPr="00472578">
        <w:rPr>
          <w:i/>
          <w:iCs/>
          <w:shd w:val="clear" w:color="auto" w:fill="FFFFFF"/>
        </w:rPr>
        <w:t>effect</w:t>
      </w:r>
      <w:r w:rsidRPr="00472578">
        <w:rPr>
          <w:shd w:val="clear" w:color="auto" w:fill="FFFFFF"/>
        </w:rPr>
        <w:t xml:space="preserve"> occurring multiple times,</w:t>
      </w:r>
    </w:p>
    <w:p w14:paraId="71788E5C" w14:textId="77777777" w:rsidR="00F458B9" w:rsidRPr="00472578" w:rsidRDefault="00F458B9" w:rsidP="00E92686">
      <w:pPr>
        <w:pStyle w:val="JustifiedSpacing"/>
        <w:ind w:left="1134" w:hanging="567"/>
        <w:rPr>
          <w:shd w:val="clear" w:color="auto" w:fill="FFFFFF"/>
        </w:rPr>
      </w:pPr>
      <w:r w:rsidRPr="00472578">
        <w:rPr>
          <w:shd w:val="clear" w:color="auto" w:fill="FFFFFF"/>
        </w:rPr>
        <w:t>(b)</w:t>
      </w:r>
      <w:r w:rsidRPr="00472578">
        <w:rPr>
          <w:shd w:val="clear" w:color="auto" w:fill="FFFFFF"/>
        </w:rPr>
        <w:tab/>
        <w:t xml:space="preserve">different </w:t>
      </w:r>
      <w:r w:rsidRPr="00472578">
        <w:rPr>
          <w:i/>
          <w:iCs/>
          <w:shd w:val="clear" w:color="auto" w:fill="FFFFFF"/>
        </w:rPr>
        <w:t>effects</w:t>
      </w:r>
      <w:r w:rsidRPr="00472578">
        <w:rPr>
          <w:shd w:val="clear" w:color="auto" w:fill="FFFFFF"/>
        </w:rPr>
        <w:t xml:space="preserve"> occurring at the same time,</w:t>
      </w:r>
    </w:p>
    <w:p w14:paraId="38FA5C41" w14:textId="77777777" w:rsidR="00F458B9" w:rsidRPr="00472578" w:rsidRDefault="00F458B9" w:rsidP="00E92686">
      <w:pPr>
        <w:pStyle w:val="JustifiedSpacing"/>
        <w:ind w:left="1134" w:hanging="567"/>
        <w:rPr>
          <w:shd w:val="clear" w:color="auto" w:fill="FFFFFF"/>
        </w:rPr>
      </w:pPr>
      <w:r w:rsidRPr="00472578">
        <w:rPr>
          <w:shd w:val="clear" w:color="auto" w:fill="FFFFFF"/>
        </w:rPr>
        <w:t>(c)</w:t>
      </w:r>
      <w:r w:rsidRPr="00472578">
        <w:rPr>
          <w:shd w:val="clear" w:color="auto" w:fill="FFFFFF"/>
        </w:rPr>
        <w:tab/>
        <w:t xml:space="preserve">different </w:t>
      </w:r>
      <w:r w:rsidRPr="00472578">
        <w:rPr>
          <w:i/>
          <w:iCs/>
          <w:shd w:val="clear" w:color="auto" w:fill="FFFFFF"/>
        </w:rPr>
        <w:t>effects</w:t>
      </w:r>
      <w:r w:rsidRPr="00472578">
        <w:rPr>
          <w:shd w:val="clear" w:color="auto" w:fill="FFFFFF"/>
        </w:rPr>
        <w:t xml:space="preserve"> occurring multiple times,</w:t>
      </w:r>
    </w:p>
    <w:p w14:paraId="77B1F4C3" w14:textId="77777777" w:rsidR="00F458B9" w:rsidRPr="00472578" w:rsidRDefault="00F458B9" w:rsidP="00E92686">
      <w:pPr>
        <w:pStyle w:val="JustifiedSpacing"/>
        <w:ind w:left="1134" w:hanging="567"/>
        <w:rPr>
          <w:shd w:val="clear" w:color="auto" w:fill="FFFFFF"/>
        </w:rPr>
      </w:pPr>
      <w:r w:rsidRPr="00472578">
        <w:rPr>
          <w:shd w:val="clear" w:color="auto" w:fill="FFFFFF"/>
        </w:rPr>
        <w:t>(d)</w:t>
      </w:r>
      <w:r w:rsidRPr="00472578">
        <w:rPr>
          <w:shd w:val="clear" w:color="auto" w:fill="FFFFFF"/>
        </w:rPr>
        <w:tab/>
        <w:t xml:space="preserve">one </w:t>
      </w:r>
      <w:r w:rsidRPr="00472578">
        <w:rPr>
          <w:i/>
          <w:iCs/>
          <w:shd w:val="clear" w:color="auto" w:fill="FFFFFF"/>
        </w:rPr>
        <w:t>effect</w:t>
      </w:r>
      <w:r w:rsidRPr="00472578">
        <w:rPr>
          <w:shd w:val="clear" w:color="auto" w:fill="FFFFFF"/>
        </w:rPr>
        <w:t xml:space="preserve"> leading to different </w:t>
      </w:r>
      <w:r w:rsidRPr="00472578">
        <w:rPr>
          <w:i/>
          <w:iCs/>
          <w:shd w:val="clear" w:color="auto" w:fill="FFFFFF"/>
        </w:rPr>
        <w:t>effects</w:t>
      </w:r>
      <w:r w:rsidRPr="00472578">
        <w:rPr>
          <w:shd w:val="clear" w:color="auto" w:fill="FFFFFF"/>
        </w:rPr>
        <w:t xml:space="preserve"> occurring over time,</w:t>
      </w:r>
    </w:p>
    <w:p w14:paraId="0107E42A" w14:textId="77777777" w:rsidR="00F458B9" w:rsidRPr="00472578" w:rsidRDefault="00F458B9" w:rsidP="00E92686">
      <w:pPr>
        <w:pStyle w:val="JustifiedSpacing"/>
        <w:ind w:left="1134" w:hanging="567"/>
        <w:rPr>
          <w:shd w:val="clear" w:color="auto" w:fill="FFFFFF"/>
        </w:rPr>
      </w:pPr>
      <w:r w:rsidRPr="00472578">
        <w:rPr>
          <w:shd w:val="clear" w:color="auto" w:fill="FFFFFF"/>
        </w:rPr>
        <w:t>(e)</w:t>
      </w:r>
      <w:r w:rsidRPr="00472578">
        <w:rPr>
          <w:shd w:val="clear" w:color="auto" w:fill="FFFFFF"/>
        </w:rPr>
        <w:tab/>
        <w:t xml:space="preserve">different </w:t>
      </w:r>
      <w:r w:rsidRPr="00472578">
        <w:rPr>
          <w:i/>
          <w:iCs/>
          <w:shd w:val="clear" w:color="auto" w:fill="FFFFFF"/>
        </w:rPr>
        <w:t>effects</w:t>
      </w:r>
      <w:r w:rsidRPr="00472578">
        <w:rPr>
          <w:shd w:val="clear" w:color="auto" w:fill="FFFFFF"/>
        </w:rPr>
        <w:t xml:space="preserve"> occurring sequentially over time,</w:t>
      </w:r>
    </w:p>
    <w:p w14:paraId="26C8D489" w14:textId="77777777" w:rsidR="00F458B9" w:rsidRPr="00472578" w:rsidRDefault="00F458B9" w:rsidP="00E92686">
      <w:pPr>
        <w:pStyle w:val="JustifiedSpacing"/>
        <w:ind w:left="1134" w:hanging="567"/>
        <w:rPr>
          <w:shd w:val="clear" w:color="auto" w:fill="FFFFFF"/>
        </w:rPr>
      </w:pPr>
      <w:r w:rsidRPr="00472578">
        <w:rPr>
          <w:shd w:val="clear" w:color="auto" w:fill="FFFFFF"/>
        </w:rPr>
        <w:t>(f)</w:t>
      </w:r>
      <w:r w:rsidRPr="00472578">
        <w:rPr>
          <w:shd w:val="clear" w:color="auto" w:fill="FFFFFF"/>
        </w:rPr>
        <w:tab/>
      </w:r>
      <w:r w:rsidRPr="00472578">
        <w:rPr>
          <w:i/>
          <w:iCs/>
          <w:shd w:val="clear" w:color="auto" w:fill="FFFFFF"/>
        </w:rPr>
        <w:t>effects</w:t>
      </w:r>
      <w:r w:rsidRPr="00472578">
        <w:rPr>
          <w:shd w:val="clear" w:color="auto" w:fill="FFFFFF"/>
        </w:rPr>
        <w:t xml:space="preserve"> occurring in the same place,</w:t>
      </w:r>
    </w:p>
    <w:p w14:paraId="018E44DF" w14:textId="77777777" w:rsidR="00F458B9" w:rsidRPr="00472578" w:rsidRDefault="00F458B9" w:rsidP="00E92686">
      <w:pPr>
        <w:pStyle w:val="JustifiedSpacing"/>
        <w:ind w:left="1134" w:hanging="567"/>
        <w:rPr>
          <w:shd w:val="clear" w:color="auto" w:fill="FFFFFF"/>
        </w:rPr>
      </w:pPr>
      <w:r w:rsidRPr="00472578">
        <w:rPr>
          <w:shd w:val="clear" w:color="auto" w:fill="FFFFFF"/>
        </w:rPr>
        <w:t>(g)</w:t>
      </w:r>
      <w:r w:rsidRPr="00472578">
        <w:rPr>
          <w:shd w:val="clear" w:color="auto" w:fill="FFFFFF"/>
        </w:rPr>
        <w:tab/>
      </w:r>
      <w:r w:rsidRPr="00472578">
        <w:rPr>
          <w:i/>
          <w:iCs/>
          <w:shd w:val="clear" w:color="auto" w:fill="FFFFFF"/>
        </w:rPr>
        <w:t>effects</w:t>
      </w:r>
      <w:r w:rsidRPr="00472578">
        <w:rPr>
          <w:shd w:val="clear" w:color="auto" w:fill="FFFFFF"/>
        </w:rPr>
        <w:t xml:space="preserve"> occurring in different places,</w:t>
      </w:r>
    </w:p>
    <w:p w14:paraId="49F4C75C" w14:textId="77777777" w:rsidR="00F458B9" w:rsidRPr="00472578" w:rsidRDefault="00F458B9" w:rsidP="00E92686">
      <w:pPr>
        <w:pStyle w:val="JustifiedSpacing"/>
        <w:ind w:left="1134" w:hanging="567"/>
        <w:rPr>
          <w:u w:val="single"/>
          <w:shd w:val="clear" w:color="auto" w:fill="FFFFFF"/>
        </w:rPr>
      </w:pPr>
      <w:r w:rsidRPr="00472578">
        <w:rPr>
          <w:u w:val="single"/>
          <w:shd w:val="clear" w:color="auto" w:fill="FFFFFF"/>
        </w:rPr>
        <w:t>(ga)</w:t>
      </w:r>
      <w:r w:rsidRPr="00472578">
        <w:rPr>
          <w:u w:val="single"/>
          <w:shd w:val="clear" w:color="auto" w:fill="FFFFFF"/>
        </w:rPr>
        <w:tab/>
      </w:r>
      <w:r w:rsidRPr="00472578">
        <w:rPr>
          <w:i/>
          <w:iCs/>
          <w:u w:val="single"/>
          <w:shd w:val="clear" w:color="auto" w:fill="FFFFFF"/>
        </w:rPr>
        <w:t xml:space="preserve">effects </w:t>
      </w:r>
      <w:r w:rsidRPr="00472578">
        <w:rPr>
          <w:u w:val="single"/>
          <w:shd w:val="clear" w:color="auto" w:fill="FFFFFF"/>
        </w:rPr>
        <w:t>occurring across regional boundaries,</w:t>
      </w:r>
      <w:r w:rsidRPr="00472578">
        <w:rPr>
          <w:rStyle w:val="FootnoteReference"/>
        </w:rPr>
        <w:footnoteReference w:id="578"/>
      </w:r>
    </w:p>
    <w:p w14:paraId="4E90FA4A" w14:textId="77777777" w:rsidR="00F458B9" w:rsidRPr="00472578" w:rsidRDefault="00F458B9" w:rsidP="00E92686">
      <w:pPr>
        <w:pStyle w:val="JustifiedSpacing"/>
        <w:ind w:left="1134" w:hanging="567"/>
        <w:rPr>
          <w:shd w:val="clear" w:color="auto" w:fill="FFFFFF"/>
        </w:rPr>
      </w:pPr>
      <w:r w:rsidRPr="00472578">
        <w:rPr>
          <w:shd w:val="clear" w:color="auto" w:fill="FFFFFF"/>
        </w:rPr>
        <w:t>(h)</w:t>
      </w:r>
      <w:r w:rsidRPr="00472578">
        <w:rPr>
          <w:shd w:val="clear" w:color="auto" w:fill="FFFFFF"/>
        </w:rPr>
        <w:tab/>
      </w:r>
      <w:r w:rsidRPr="00472578">
        <w:rPr>
          <w:i/>
          <w:iCs/>
          <w:shd w:val="clear" w:color="auto" w:fill="FFFFFF"/>
        </w:rPr>
        <w:t>effects</w:t>
      </w:r>
      <w:r w:rsidRPr="00472578">
        <w:rPr>
          <w:shd w:val="clear" w:color="auto" w:fill="FFFFFF"/>
        </w:rPr>
        <w:t xml:space="preserve"> that are spatially or temporally distant from their cause or causes, and,</w:t>
      </w:r>
    </w:p>
    <w:p w14:paraId="2ADEB8C2" w14:textId="77777777" w:rsidR="00F458B9" w:rsidRPr="00472578" w:rsidRDefault="00F458B9" w:rsidP="00E92686">
      <w:pPr>
        <w:pStyle w:val="JustifiedSpacing"/>
        <w:ind w:left="1134" w:hanging="567"/>
        <w:rPr>
          <w:strike/>
        </w:rPr>
      </w:pPr>
      <w:r w:rsidRPr="00472578">
        <w:t>(i)</w:t>
      </w:r>
      <w:r w:rsidRPr="00472578">
        <w:tab/>
        <w:t xml:space="preserve">more than minor cumulative </w:t>
      </w:r>
      <w:r w:rsidRPr="00472578">
        <w:rPr>
          <w:i/>
          <w:iCs/>
        </w:rPr>
        <w:t>effects</w:t>
      </w:r>
      <w:r w:rsidRPr="00472578">
        <w:t xml:space="preserve"> resulting from minor or transitory </w:t>
      </w:r>
      <w:r w:rsidRPr="00472578">
        <w:rPr>
          <w:i/>
          <w:iCs/>
        </w:rPr>
        <w:t>effects</w:t>
      </w:r>
      <w:r w:rsidRPr="00472578">
        <w:t>,</w:t>
      </w:r>
      <w:r w:rsidRPr="00472578">
        <w:rPr>
          <w:strike/>
        </w:rPr>
        <w:t xml:space="preserve"> </w:t>
      </w:r>
    </w:p>
    <w:p w14:paraId="3D62B614" w14:textId="77777777" w:rsidR="00F458B9" w:rsidRPr="00472578" w:rsidRDefault="00F458B9" w:rsidP="00E92686">
      <w:pPr>
        <w:ind w:left="567" w:hanging="567"/>
        <w:jc w:val="both"/>
      </w:pPr>
      <w:r w:rsidRPr="00472578">
        <w:t>(5)</w:t>
      </w:r>
      <w:r w:rsidRPr="00472578">
        <w:tab/>
        <w:t xml:space="preserve">adopt a ki uta ki tai approach to resource management by establishing policy and implementation frameworks that treat Otago’s </w:t>
      </w:r>
      <w:r w:rsidRPr="00472578">
        <w:rPr>
          <w:i/>
          <w:iCs/>
        </w:rPr>
        <w:t>environments</w:t>
      </w:r>
      <w:r w:rsidRPr="00472578">
        <w:t xml:space="preserve"> as an integrated system, including collaboration between local authorities to achieve consistent management of resources or </w:t>
      </w:r>
      <w:r w:rsidRPr="00472578">
        <w:rPr>
          <w:i/>
          <w:iCs/>
        </w:rPr>
        <w:t>effects</w:t>
      </w:r>
      <w:r w:rsidRPr="00472578">
        <w:t xml:space="preserve"> that cross jurisdictional boundaries, and</w:t>
      </w:r>
    </w:p>
    <w:p w14:paraId="0EF001AC" w14:textId="77777777" w:rsidR="00F458B9" w:rsidRPr="00472578" w:rsidRDefault="00F458B9" w:rsidP="00E92686">
      <w:pPr>
        <w:ind w:left="567" w:hanging="567"/>
        <w:jc w:val="both"/>
      </w:pPr>
      <w:r w:rsidRPr="00472578">
        <w:t>(6)</w:t>
      </w:r>
      <w:r w:rsidRPr="00472578">
        <w:tab/>
        <w:t xml:space="preserve">establish </w:t>
      </w:r>
      <w:r w:rsidRPr="00472578">
        <w:rPr>
          <w:i/>
          <w:iCs/>
          <w:u w:val="single"/>
        </w:rPr>
        <w:t>environmental limits</w:t>
      </w:r>
      <w:r w:rsidRPr="00472578">
        <w:rPr>
          <w:u w:val="single"/>
        </w:rPr>
        <w:t xml:space="preserve"> wherever practicable to support</w:t>
      </w:r>
      <w:r w:rsidRPr="00472578">
        <w:rPr>
          <w:rStyle w:val="FootnoteReference"/>
        </w:rPr>
        <w:footnoteReference w:id="579"/>
      </w:r>
      <w:r w:rsidRPr="00472578">
        <w:t xml:space="preserve"> </w:t>
      </w:r>
      <w:r w:rsidRPr="00472578">
        <w:rPr>
          <w:strike/>
        </w:rPr>
        <w:t>clear thresholds for, and limits on, activities that have the potential to adversely affect</w:t>
      </w:r>
      <w:r w:rsidRPr="00472578">
        <w:t xml:space="preserve"> healthy ecosystem services and </w:t>
      </w:r>
      <w:r w:rsidRPr="00472578">
        <w:rPr>
          <w:i/>
          <w:iCs/>
        </w:rPr>
        <w:t>intrinsic values</w:t>
      </w:r>
      <w:r w:rsidRPr="00472578">
        <w:t>.</w:t>
      </w:r>
    </w:p>
    <w:p w14:paraId="287CE63F" w14:textId="77777777" w:rsidR="00F458B9" w:rsidRPr="00472578" w:rsidRDefault="00F458B9" w:rsidP="00E92686">
      <w:pPr>
        <w:pStyle w:val="Heading4"/>
        <w:jc w:val="both"/>
      </w:pPr>
      <w:r w:rsidRPr="00472578">
        <w:t>IM-M2 – Relationships</w:t>
      </w:r>
    </w:p>
    <w:p w14:paraId="5A99D2A8" w14:textId="4CA80560" w:rsidR="00F458B9" w:rsidRPr="00472578" w:rsidRDefault="00F458B9" w:rsidP="00E92686">
      <w:pPr>
        <w:ind w:left="567" w:hanging="567"/>
        <w:jc w:val="both"/>
      </w:pPr>
      <w:r w:rsidRPr="00472578">
        <w:rPr>
          <w:strike/>
        </w:rPr>
        <w:t>Starting immediately</w:t>
      </w:r>
      <w:r w:rsidRPr="00472578">
        <w:rPr>
          <w:i/>
          <w:iCs/>
          <w:strike/>
        </w:rPr>
        <w:t>,</w:t>
      </w:r>
      <w:r w:rsidRPr="00472578">
        <w:rPr>
          <w:i/>
          <w:iCs/>
        </w:rPr>
        <w:t xml:space="preserve"> </w:t>
      </w:r>
      <w:r w:rsidRPr="00472578">
        <w:rPr>
          <w:i/>
          <w:iCs/>
          <w:u w:val="single"/>
        </w:rPr>
        <w:t>L</w:t>
      </w:r>
      <w:r w:rsidR="005F761D" w:rsidRPr="00472578">
        <w:rPr>
          <w:i/>
          <w:iCs/>
          <w:strike/>
        </w:rPr>
        <w:t>l</w:t>
      </w:r>
      <w:r w:rsidRPr="00472578">
        <w:rPr>
          <w:i/>
          <w:iCs/>
        </w:rPr>
        <w:t>ocal authorities</w:t>
      </w:r>
      <w:r w:rsidRPr="00472578">
        <w:t xml:space="preserve"> must:</w:t>
      </w:r>
      <w:r w:rsidRPr="00472578">
        <w:rPr>
          <w:rStyle w:val="FootnoteReference"/>
        </w:rPr>
        <w:footnoteReference w:id="580"/>
      </w:r>
    </w:p>
    <w:p w14:paraId="5A3353B7" w14:textId="77777777" w:rsidR="00F458B9" w:rsidRPr="00472578" w:rsidRDefault="00F458B9" w:rsidP="00E92686">
      <w:pPr>
        <w:ind w:left="567" w:hanging="567"/>
        <w:jc w:val="both"/>
      </w:pPr>
      <w:r w:rsidRPr="00472578">
        <w:t>(1)</w:t>
      </w:r>
      <w:r w:rsidRPr="00472578">
        <w:tab/>
        <w:t xml:space="preserve">partner with Kāi Tahu to ensure </w:t>
      </w:r>
      <w:r w:rsidRPr="00472578">
        <w:rPr>
          <w:i/>
        </w:rPr>
        <w:t>mana whenua</w:t>
      </w:r>
      <w:r w:rsidRPr="00472578">
        <w:t xml:space="preserve"> involvement in resource management </w:t>
      </w:r>
      <w:r w:rsidRPr="00472578">
        <w:rPr>
          <w:u w:val="single"/>
        </w:rPr>
        <w:t>processes and decision-making</w:t>
      </w:r>
      <w:r w:rsidRPr="00472578">
        <w:t>,</w:t>
      </w:r>
      <w:r w:rsidRPr="00472578">
        <w:rPr>
          <w:rStyle w:val="FootnoteReference"/>
        </w:rPr>
        <w:footnoteReference w:id="581"/>
      </w:r>
      <w:r w:rsidRPr="00472578">
        <w:t xml:space="preserve"> </w:t>
      </w:r>
    </w:p>
    <w:p w14:paraId="7E1F87C4" w14:textId="77777777" w:rsidR="00F458B9" w:rsidRPr="00472578" w:rsidRDefault="00F458B9" w:rsidP="00E92686">
      <w:pPr>
        <w:ind w:left="567" w:hanging="567"/>
        <w:jc w:val="both"/>
      </w:pPr>
      <w:r w:rsidRPr="00472578">
        <w:t>(2)</w:t>
      </w:r>
      <w:r w:rsidRPr="00472578">
        <w:tab/>
        <w:t xml:space="preserve">work together and with other agencies </w:t>
      </w:r>
      <w:r w:rsidRPr="00472578">
        <w:rPr>
          <w:u w:val="single"/>
        </w:rPr>
        <w:t>(</w:t>
      </w:r>
      <w:r w:rsidRPr="00472578">
        <w:rPr>
          <w:rFonts w:cs="Calibri"/>
          <w:u w:val="single" w:color="000000" w:themeColor="text1"/>
        </w:rPr>
        <w:t>including local authorities in neighbouring regions)</w:t>
      </w:r>
      <w:r w:rsidRPr="00472578">
        <w:rPr>
          <w:rStyle w:val="FootnoteReference"/>
        </w:rPr>
        <w:footnoteReference w:id="582"/>
      </w:r>
      <w:r w:rsidRPr="00472578">
        <w:t xml:space="preserve"> to </w:t>
      </w:r>
      <w:r w:rsidRPr="00472578">
        <w:rPr>
          <w:strike/>
        </w:rPr>
        <w:t>ensure</w:t>
      </w:r>
      <w:r w:rsidRPr="00472578">
        <w:t xml:space="preserve"> </w:t>
      </w:r>
      <w:r w:rsidRPr="00472578">
        <w:rPr>
          <w:u w:val="single"/>
        </w:rPr>
        <w:t>enable</w:t>
      </w:r>
      <w:r w:rsidRPr="00472578">
        <w:rPr>
          <w:rStyle w:val="FootnoteReference"/>
        </w:rPr>
        <w:footnoteReference w:id="583"/>
      </w:r>
      <w:r w:rsidRPr="00472578">
        <w:t xml:space="preserve"> consistent implementation of the objectives, </w:t>
      </w:r>
      <w:proofErr w:type="gramStart"/>
      <w:r w:rsidRPr="00472578">
        <w:t>policies</w:t>
      </w:r>
      <w:proofErr w:type="gramEnd"/>
      <w:r w:rsidRPr="00472578">
        <w:t xml:space="preserve"> and methods of this RPS </w:t>
      </w:r>
      <w:r w:rsidRPr="00472578">
        <w:rPr>
          <w:u w:val="single"/>
        </w:rPr>
        <w:t>where appropriate</w:t>
      </w:r>
      <w:r w:rsidRPr="00472578">
        <w:t>,</w:t>
      </w:r>
      <w:r w:rsidRPr="00472578">
        <w:rPr>
          <w:rStyle w:val="FootnoteReference"/>
        </w:rPr>
        <w:footnoteReference w:id="584"/>
      </w:r>
      <w:r w:rsidRPr="00472578">
        <w:t xml:space="preserve"> and</w:t>
      </w:r>
    </w:p>
    <w:p w14:paraId="1AA866D0" w14:textId="77777777" w:rsidR="00F458B9" w:rsidRPr="00472578" w:rsidRDefault="00F458B9" w:rsidP="00E92686">
      <w:pPr>
        <w:ind w:left="567" w:hanging="567"/>
        <w:jc w:val="both"/>
      </w:pPr>
      <w:r w:rsidRPr="00472578">
        <w:t>(3)</w:t>
      </w:r>
      <w:r w:rsidRPr="00472578">
        <w:tab/>
        <w:t>consult with Otago’s communities to ensure policy frameworks adequately respond to the diverse facets of environmental, social, cultural, and economic well-being.</w:t>
      </w:r>
    </w:p>
    <w:p w14:paraId="497CEFBC" w14:textId="77777777" w:rsidR="00F458B9" w:rsidRPr="00472578" w:rsidRDefault="00F458B9" w:rsidP="00E92686">
      <w:pPr>
        <w:pStyle w:val="Heading4"/>
        <w:jc w:val="both"/>
      </w:pPr>
      <w:r w:rsidRPr="00472578">
        <w:lastRenderedPageBreak/>
        <w:t xml:space="preserve">IM-M3 – Identification </w:t>
      </w:r>
      <w:r w:rsidRPr="00472578">
        <w:rPr>
          <w:strike/>
        </w:rPr>
        <w:t xml:space="preserve">of </w:t>
      </w:r>
      <w:r w:rsidRPr="00472578">
        <w:rPr>
          <w:i/>
          <w:iCs w:val="0"/>
          <w:strike/>
        </w:rPr>
        <w:t>climate change</w:t>
      </w:r>
      <w:r w:rsidRPr="00472578">
        <w:rPr>
          <w:strike/>
        </w:rPr>
        <w:t xml:space="preserve"> impacts</w:t>
      </w:r>
      <w:r w:rsidRPr="00472578">
        <w:rPr>
          <w:rStyle w:val="FootnoteReference"/>
          <w:b w:val="0"/>
          <w:bCs/>
          <w:color w:val="auto"/>
        </w:rPr>
        <w:footnoteReference w:id="585"/>
      </w:r>
      <w:r w:rsidRPr="00472578">
        <w:rPr>
          <w:b w:val="0"/>
          <w:bCs/>
          <w:color w:val="auto"/>
        </w:rPr>
        <w:t xml:space="preserve"> </w:t>
      </w:r>
      <w:r w:rsidRPr="00472578">
        <w:t>and community guidance</w:t>
      </w:r>
    </w:p>
    <w:p w14:paraId="5905E5A6" w14:textId="77777777" w:rsidR="00F458B9" w:rsidRPr="00472578" w:rsidRDefault="00F458B9" w:rsidP="00E92686">
      <w:pPr>
        <w:ind w:left="567" w:hanging="567"/>
        <w:jc w:val="both"/>
      </w:pPr>
      <w:r w:rsidRPr="00472578">
        <w:t xml:space="preserve">By December 2025, </w:t>
      </w:r>
      <w:r w:rsidRPr="00472578">
        <w:rPr>
          <w:strike/>
        </w:rPr>
        <w:t>Otago Regional Council</w:t>
      </w:r>
      <w:r w:rsidRPr="00472578">
        <w:t xml:space="preserve"> </w:t>
      </w:r>
      <w:r w:rsidRPr="00472578">
        <w:rPr>
          <w:u w:val="single"/>
        </w:rPr>
        <w:t>local authorities</w:t>
      </w:r>
      <w:r w:rsidRPr="00472578">
        <w:rPr>
          <w:rStyle w:val="FootnoteReference"/>
        </w:rPr>
        <w:footnoteReference w:id="586"/>
      </w:r>
      <w:r w:rsidRPr="00472578">
        <w:t xml:space="preserve"> must:</w:t>
      </w:r>
    </w:p>
    <w:p w14:paraId="5247EFCA" w14:textId="77777777" w:rsidR="00F458B9" w:rsidRPr="00472578" w:rsidRDefault="00F458B9" w:rsidP="00E92686">
      <w:pPr>
        <w:ind w:left="567" w:hanging="567"/>
        <w:jc w:val="both"/>
        <w:rPr>
          <w:strike/>
        </w:rPr>
      </w:pPr>
      <w:r w:rsidRPr="00472578">
        <w:t>(1)</w:t>
      </w:r>
      <w:r w:rsidRPr="00472578">
        <w:tab/>
        <w:t xml:space="preserve">identify the specific types and locations of </w:t>
      </w:r>
      <w:r w:rsidRPr="00472578">
        <w:rPr>
          <w:u w:val="single"/>
        </w:rPr>
        <w:t xml:space="preserve">the </w:t>
      </w:r>
      <w:r w:rsidRPr="00472578">
        <w:rPr>
          <w:i/>
          <w:iCs/>
          <w:u w:val="single"/>
        </w:rPr>
        <w:t xml:space="preserve">effects </w:t>
      </w:r>
      <w:r w:rsidRPr="00472578">
        <w:rPr>
          <w:u w:val="single"/>
        </w:rPr>
        <w:t>of</w:t>
      </w:r>
      <w:r w:rsidRPr="00472578">
        <w:t xml:space="preserve"> </w:t>
      </w:r>
      <w:r w:rsidRPr="00472578">
        <w:rPr>
          <w:i/>
          <w:iCs/>
        </w:rPr>
        <w:t>climate change</w:t>
      </w:r>
      <w:r w:rsidRPr="00472578">
        <w:t xml:space="preserve"> </w:t>
      </w:r>
      <w:r w:rsidRPr="00472578">
        <w:rPr>
          <w:strike/>
        </w:rPr>
        <w:t>impacts</w:t>
      </w:r>
      <w:r w:rsidRPr="00472578">
        <w:rPr>
          <w:rStyle w:val="FootnoteReference"/>
        </w:rPr>
        <w:footnoteReference w:id="587"/>
      </w:r>
      <w:r w:rsidRPr="00472578">
        <w:t xml:space="preserve"> in Otago by undertaking a </w:t>
      </w:r>
      <w:r w:rsidRPr="00472578">
        <w:rPr>
          <w:i/>
          <w:iCs/>
        </w:rPr>
        <w:t>climate change risk</w:t>
      </w:r>
      <w:r w:rsidRPr="00472578">
        <w:t xml:space="preserve"> assessment, including an assessment that incorporates a Kāi Tahu approach to </w:t>
      </w:r>
      <w:r w:rsidRPr="00472578">
        <w:rPr>
          <w:i/>
        </w:rPr>
        <w:t>climate change risk</w:t>
      </w:r>
      <w:r w:rsidRPr="00472578">
        <w:t xml:space="preserve"> identification and evaluation, </w:t>
      </w:r>
      <w:r w:rsidRPr="00472578">
        <w:rPr>
          <w:strike/>
        </w:rPr>
        <w:t>and</w:t>
      </w:r>
    </w:p>
    <w:p w14:paraId="2CC6F419" w14:textId="68579311" w:rsidR="00F458B9" w:rsidRPr="00472578" w:rsidRDefault="00F458B9" w:rsidP="00E92686">
      <w:pPr>
        <w:ind w:left="567" w:hanging="567"/>
        <w:jc w:val="both"/>
        <w:rPr>
          <w:u w:val="single"/>
        </w:rPr>
      </w:pPr>
      <w:r w:rsidRPr="00472578">
        <w:rPr>
          <w:u w:val="single"/>
        </w:rPr>
        <w:t>(1</w:t>
      </w:r>
      <w:r w:rsidR="00C40350" w:rsidRPr="00472578">
        <w:rPr>
          <w:u w:val="single"/>
        </w:rPr>
        <w:t>A</w:t>
      </w:r>
      <w:r w:rsidRPr="00472578">
        <w:rPr>
          <w:u w:val="single"/>
        </w:rPr>
        <w:t>)</w:t>
      </w:r>
      <w:r w:rsidRPr="00472578">
        <w:rPr>
          <w:u w:val="single"/>
        </w:rPr>
        <w:tab/>
        <w:t>identify natural and built resources vital to environmental (including indigenous biodiversity and ecosystems)</w:t>
      </w:r>
      <w:r w:rsidRPr="00472578">
        <w:rPr>
          <w:rStyle w:val="FootnoteReference"/>
        </w:rPr>
        <w:footnoteReference w:id="588"/>
      </w:r>
      <w:r w:rsidRPr="00472578">
        <w:rPr>
          <w:u w:val="single"/>
        </w:rPr>
        <w:t xml:space="preserve"> and community </w:t>
      </w:r>
      <w:r w:rsidRPr="00472578">
        <w:rPr>
          <w:i/>
          <w:iCs/>
          <w:u w:val="single"/>
        </w:rPr>
        <w:t>resilience</w:t>
      </w:r>
      <w:r w:rsidRPr="00472578">
        <w:rPr>
          <w:u w:val="single"/>
        </w:rPr>
        <w:t xml:space="preserve"> and well-being,</w:t>
      </w:r>
      <w:r w:rsidR="00223898" w:rsidRPr="00472578">
        <w:rPr>
          <w:rStyle w:val="FootnoteReference"/>
        </w:rPr>
        <w:t xml:space="preserve"> </w:t>
      </w:r>
      <w:r w:rsidR="00223898" w:rsidRPr="00472578">
        <w:rPr>
          <w:rStyle w:val="FootnoteReference"/>
        </w:rPr>
        <w:footnoteReference w:id="589"/>
      </w:r>
    </w:p>
    <w:p w14:paraId="678F2325" w14:textId="5FA3E4D2" w:rsidR="00F458B9" w:rsidRPr="00472578" w:rsidRDefault="00F458B9" w:rsidP="00E92686">
      <w:pPr>
        <w:ind w:left="567" w:hanging="567"/>
        <w:jc w:val="both"/>
        <w:rPr>
          <w:u w:val="single"/>
        </w:rPr>
      </w:pPr>
      <w:r w:rsidRPr="00472578">
        <w:rPr>
          <w:u w:val="single"/>
        </w:rPr>
        <w:t>(1</w:t>
      </w:r>
      <w:r w:rsidR="00C40350" w:rsidRPr="00472578">
        <w:rPr>
          <w:u w:val="single"/>
        </w:rPr>
        <w:t>B</w:t>
      </w:r>
      <w:r w:rsidRPr="00472578">
        <w:rPr>
          <w:u w:val="single"/>
        </w:rPr>
        <w:t>)</w:t>
      </w:r>
      <w:r w:rsidRPr="00472578">
        <w:rPr>
          <w:u w:val="single"/>
        </w:rPr>
        <w:tab/>
        <w:t>identify vulnerable resources and communities and develop adaptation pathways for them where possible, and</w:t>
      </w:r>
      <w:r w:rsidRPr="00472578">
        <w:rPr>
          <w:rStyle w:val="FootnoteReference"/>
        </w:rPr>
        <w:footnoteReference w:id="590"/>
      </w:r>
    </w:p>
    <w:p w14:paraId="794427E4" w14:textId="77777777" w:rsidR="00F458B9" w:rsidRPr="00472578" w:rsidRDefault="00F458B9" w:rsidP="00E92686">
      <w:pPr>
        <w:ind w:left="567" w:hanging="567"/>
        <w:jc w:val="both"/>
      </w:pPr>
      <w:r w:rsidRPr="00472578">
        <w:t>(2)</w:t>
      </w:r>
      <w:r w:rsidRPr="00472578">
        <w:tab/>
        <w:t xml:space="preserve">develop guidance to support communities to be prepared and </w:t>
      </w:r>
      <w:r w:rsidRPr="00472578">
        <w:rPr>
          <w:i/>
          <w:iCs/>
        </w:rPr>
        <w:t>resilient</w:t>
      </w:r>
      <w:r w:rsidRPr="00472578">
        <w:t>.</w:t>
      </w:r>
    </w:p>
    <w:p w14:paraId="46BB53C8" w14:textId="77777777" w:rsidR="00F458B9" w:rsidRPr="00472578" w:rsidRDefault="00F458B9" w:rsidP="00E92686">
      <w:pPr>
        <w:pStyle w:val="Heading4"/>
        <w:jc w:val="both"/>
        <w:rPr>
          <w:strike/>
        </w:rPr>
      </w:pPr>
      <w:r w:rsidRPr="00472578">
        <w:rPr>
          <w:strike/>
        </w:rPr>
        <w:t xml:space="preserve">IM-M4 – </w:t>
      </w:r>
      <w:r w:rsidRPr="00472578">
        <w:rPr>
          <w:i/>
          <w:iCs w:val="0"/>
          <w:strike/>
        </w:rPr>
        <w:t>Climate change</w:t>
      </w:r>
      <w:r w:rsidRPr="00472578">
        <w:rPr>
          <w:strike/>
        </w:rPr>
        <w:t xml:space="preserve"> response</w:t>
      </w:r>
    </w:p>
    <w:p w14:paraId="1B8A0689" w14:textId="77777777" w:rsidR="00F458B9" w:rsidRPr="00472578" w:rsidRDefault="00F458B9" w:rsidP="00E92686">
      <w:pPr>
        <w:jc w:val="both"/>
        <w:rPr>
          <w:strike/>
        </w:rPr>
      </w:pPr>
      <w:r w:rsidRPr="00472578">
        <w:rPr>
          <w:strike/>
        </w:rPr>
        <w:t>By January 2027,</w:t>
      </w:r>
      <w:r w:rsidRPr="00472578">
        <w:rPr>
          <w:i/>
          <w:iCs/>
          <w:strike/>
        </w:rPr>
        <w:t xml:space="preserve"> local authorities</w:t>
      </w:r>
      <w:r w:rsidRPr="00472578">
        <w:rPr>
          <w:strike/>
        </w:rPr>
        <w:t xml:space="preserve"> (led by Otago Regional Council) must together, in partnership with Kāi Tahu and in consultation with Otago’s communities, develop </w:t>
      </w:r>
      <w:r w:rsidRPr="00472578">
        <w:rPr>
          <w:i/>
          <w:iCs/>
          <w:strike/>
        </w:rPr>
        <w:t>climate change</w:t>
      </w:r>
      <w:r w:rsidRPr="00472578">
        <w:rPr>
          <w:strike/>
        </w:rPr>
        <w:t xml:space="preserve"> responses for the region that achieve </w:t>
      </w:r>
      <w:r w:rsidRPr="00472578">
        <w:rPr>
          <w:i/>
          <w:iCs/>
          <w:strike/>
        </w:rPr>
        <w:t>climate change</w:t>
      </w:r>
      <w:r w:rsidRPr="00472578">
        <w:rPr>
          <w:strike/>
        </w:rPr>
        <w:t xml:space="preserve"> adaptation and mitigation, and that include:</w:t>
      </w:r>
    </w:p>
    <w:p w14:paraId="1929784F" w14:textId="77777777" w:rsidR="00F458B9" w:rsidRPr="00472578" w:rsidRDefault="00F458B9" w:rsidP="00E92686">
      <w:pPr>
        <w:ind w:left="567" w:hanging="567"/>
        <w:jc w:val="both"/>
        <w:rPr>
          <w:strike/>
        </w:rPr>
      </w:pPr>
      <w:r w:rsidRPr="00472578">
        <w:rPr>
          <w:strike/>
        </w:rPr>
        <w:t>(1)</w:t>
      </w:r>
      <w:r w:rsidRPr="00472578">
        <w:rPr>
          <w:strike/>
        </w:rPr>
        <w:tab/>
        <w:t xml:space="preserve">identifying natural and built resources vital to environmental and community </w:t>
      </w:r>
      <w:r w:rsidRPr="00472578">
        <w:rPr>
          <w:i/>
          <w:iCs/>
          <w:strike/>
        </w:rPr>
        <w:t>resilience</w:t>
      </w:r>
      <w:r w:rsidRPr="00472578">
        <w:rPr>
          <w:strike/>
        </w:rPr>
        <w:t xml:space="preserve"> and well-being,</w:t>
      </w:r>
    </w:p>
    <w:p w14:paraId="66F92D90" w14:textId="77777777" w:rsidR="00F458B9" w:rsidRPr="00472578" w:rsidRDefault="00F458B9" w:rsidP="00E92686">
      <w:pPr>
        <w:ind w:left="567" w:hanging="567"/>
        <w:jc w:val="both"/>
        <w:rPr>
          <w:strike/>
        </w:rPr>
      </w:pPr>
      <w:r w:rsidRPr="00472578">
        <w:rPr>
          <w:strike/>
        </w:rPr>
        <w:t>(2)</w:t>
      </w:r>
      <w:r w:rsidRPr="00472578">
        <w:rPr>
          <w:strike/>
        </w:rPr>
        <w:tab/>
        <w:t>identifying vulnerable resources and communities and developing adaptation pathways for them where possible, and</w:t>
      </w:r>
    </w:p>
    <w:p w14:paraId="0055D65E" w14:textId="77777777" w:rsidR="00F458B9" w:rsidRPr="00472578" w:rsidRDefault="00F458B9" w:rsidP="00E92686">
      <w:pPr>
        <w:ind w:left="567" w:hanging="567"/>
        <w:jc w:val="both"/>
        <w:rPr>
          <w:strike/>
          <w:u w:val="single"/>
        </w:rPr>
      </w:pPr>
      <w:r w:rsidRPr="00472578">
        <w:rPr>
          <w:strike/>
        </w:rPr>
        <w:t>(3)</w:t>
      </w:r>
      <w:r w:rsidRPr="00472578">
        <w:rPr>
          <w:strike/>
        </w:rPr>
        <w:tab/>
        <w:t>developing plans and agreements for implementation.</w:t>
      </w:r>
      <w:r w:rsidRPr="00472578">
        <w:rPr>
          <w:rStyle w:val="FootnoteReference"/>
        </w:rPr>
        <w:footnoteReference w:id="591"/>
      </w:r>
    </w:p>
    <w:p w14:paraId="780D7A95" w14:textId="77777777" w:rsidR="00F458B9" w:rsidRPr="00472578" w:rsidRDefault="00F458B9" w:rsidP="00E92686">
      <w:pPr>
        <w:pStyle w:val="Heading4"/>
        <w:jc w:val="both"/>
      </w:pPr>
      <w:r w:rsidRPr="00472578">
        <w:t>IM-M5 – Other methods</w:t>
      </w:r>
    </w:p>
    <w:p w14:paraId="3824AD4D" w14:textId="77777777" w:rsidR="00F458B9" w:rsidRPr="00472578" w:rsidRDefault="00F458B9" w:rsidP="00E92686">
      <w:pPr>
        <w:pStyle w:val="JustifiedSpacing"/>
      </w:pPr>
      <w:r w:rsidRPr="00472578">
        <w:rPr>
          <w:i/>
          <w:iCs/>
        </w:rPr>
        <w:t>Local authorities</w:t>
      </w:r>
      <w:r w:rsidRPr="00472578">
        <w:t xml:space="preserve"> should: </w:t>
      </w:r>
    </w:p>
    <w:p w14:paraId="72193EE8" w14:textId="77777777" w:rsidR="00F458B9" w:rsidRPr="00472578" w:rsidRDefault="00F458B9" w:rsidP="00E92686">
      <w:pPr>
        <w:ind w:left="567" w:hanging="567"/>
        <w:jc w:val="both"/>
      </w:pPr>
      <w:r w:rsidRPr="00472578">
        <w:t>(1)</w:t>
      </w:r>
      <w:r w:rsidRPr="00472578">
        <w:tab/>
        <w:t xml:space="preserve">at their next plan review or by December 2030, whichever is sooner, align (to the extent </w:t>
      </w:r>
      <w:r w:rsidRPr="00472578">
        <w:rPr>
          <w:strike/>
        </w:rPr>
        <w:t>possible</w:t>
      </w:r>
      <w:r w:rsidRPr="00472578">
        <w:t xml:space="preserve"> </w:t>
      </w:r>
      <w:r w:rsidRPr="00472578">
        <w:rPr>
          <w:u w:val="single"/>
        </w:rPr>
        <w:t>practicable</w:t>
      </w:r>
      <w:r w:rsidRPr="00472578">
        <w:rPr>
          <w:rStyle w:val="FootnoteReference"/>
        </w:rPr>
        <w:footnoteReference w:id="592"/>
      </w:r>
      <w:r w:rsidRPr="00472578">
        <w:t>) all strategies and management plans prepared under other legislation to contribute to the attainment of the long-term vision for Otago, and</w:t>
      </w:r>
    </w:p>
    <w:p w14:paraId="4D8F459D" w14:textId="77777777" w:rsidR="00F458B9" w:rsidRPr="00472578" w:rsidRDefault="00F458B9" w:rsidP="00E92686">
      <w:pPr>
        <w:ind w:left="567" w:hanging="567"/>
        <w:jc w:val="both"/>
      </w:pPr>
      <w:r w:rsidRPr="00472578">
        <w:t>(2)</w:t>
      </w:r>
      <w:r w:rsidRPr="00472578">
        <w:tab/>
        <w:t xml:space="preserve">facilitate community involvement in </w:t>
      </w:r>
      <w:r w:rsidRPr="00472578">
        <w:rPr>
          <w:strike/>
        </w:rPr>
        <w:t>realising</w:t>
      </w:r>
      <w:r w:rsidRPr="00472578">
        <w:t xml:space="preserve"> </w:t>
      </w:r>
      <w:r w:rsidRPr="00472578">
        <w:rPr>
          <w:u w:val="single"/>
        </w:rPr>
        <w:t>achieving</w:t>
      </w:r>
      <w:r w:rsidRPr="00472578">
        <w:t xml:space="preserve"> </w:t>
      </w:r>
      <w:r w:rsidRPr="00472578">
        <w:rPr>
          <w:strike/>
        </w:rPr>
        <w:t>the long-term vision for Otago stated in</w:t>
      </w:r>
      <w:r w:rsidRPr="00472578">
        <w:rPr>
          <w:rStyle w:val="FootnoteReference"/>
        </w:rPr>
        <w:footnoteReference w:id="593"/>
      </w:r>
      <w:r w:rsidRPr="00472578">
        <w:t xml:space="preserve"> IM-O1 through non-regulatory means,</w:t>
      </w:r>
    </w:p>
    <w:p w14:paraId="0C6E7147" w14:textId="77777777" w:rsidR="00F458B9" w:rsidRPr="00472578" w:rsidRDefault="00F458B9" w:rsidP="00E92686">
      <w:pPr>
        <w:ind w:left="567" w:hanging="567"/>
        <w:jc w:val="both"/>
      </w:pPr>
      <w:r w:rsidRPr="00472578">
        <w:t xml:space="preserve">(3) </w:t>
      </w:r>
      <w:r w:rsidRPr="00472578">
        <w:tab/>
        <w:t xml:space="preserve">encourage changes to business practice that will enable businesses </w:t>
      </w:r>
      <w:r w:rsidRPr="00472578">
        <w:rPr>
          <w:u w:val="single"/>
        </w:rPr>
        <w:t>and communities</w:t>
      </w:r>
      <w:r w:rsidRPr="00472578">
        <w:rPr>
          <w:rStyle w:val="FootnoteReference"/>
        </w:rPr>
        <w:footnoteReference w:id="594"/>
      </w:r>
      <w:r w:rsidRPr="00472578">
        <w:t xml:space="preserve"> to function in a net-zero carbon economy, and</w:t>
      </w:r>
    </w:p>
    <w:p w14:paraId="03FC7116" w14:textId="77777777" w:rsidR="00F458B9" w:rsidRPr="00472578" w:rsidRDefault="00F458B9" w:rsidP="00E92686">
      <w:pPr>
        <w:ind w:left="567" w:hanging="567"/>
        <w:jc w:val="both"/>
      </w:pPr>
      <w:r w:rsidRPr="00472578">
        <w:lastRenderedPageBreak/>
        <w:t>(4)</w:t>
      </w:r>
      <w:r w:rsidRPr="00472578">
        <w:tab/>
        <w:t>advocate for and incentivise activities that reduce, mitigate, or eliminate risk of environmental degradation.</w:t>
      </w:r>
    </w:p>
    <w:p w14:paraId="068B06A1" w14:textId="77777777" w:rsidR="00F458B9" w:rsidRPr="00472578" w:rsidRDefault="00F458B9" w:rsidP="00E92686">
      <w:pPr>
        <w:pStyle w:val="Heading3"/>
        <w:jc w:val="both"/>
        <w:rPr>
          <w:rFonts w:eastAsia="National-Book"/>
        </w:rPr>
      </w:pPr>
      <w:bookmarkStart w:id="100" w:name="_Toc56620196"/>
      <w:r w:rsidRPr="00472578">
        <w:rPr>
          <w:rFonts w:eastAsia="National-Book"/>
        </w:rPr>
        <w:t>Explanation</w:t>
      </w:r>
      <w:bookmarkStart w:id="101" w:name="_Toc49763487"/>
      <w:bookmarkEnd w:id="100"/>
      <w:r w:rsidRPr="00472578">
        <w:rPr>
          <w:rFonts w:eastAsia="National-Book"/>
        </w:rPr>
        <w:t xml:space="preserve"> </w:t>
      </w:r>
    </w:p>
    <w:p w14:paraId="1E89F35B" w14:textId="77777777" w:rsidR="00F458B9" w:rsidRPr="00472578" w:rsidRDefault="00F458B9" w:rsidP="00E92686">
      <w:pPr>
        <w:pStyle w:val="Heading4"/>
        <w:jc w:val="both"/>
        <w:rPr>
          <w:rFonts w:eastAsia="National-Book"/>
        </w:rPr>
      </w:pPr>
      <w:r w:rsidRPr="00472578">
        <w:rPr>
          <w:rFonts w:eastAsia="National-Book"/>
        </w:rPr>
        <w:t xml:space="preserve">IM-E1 – Explanation </w:t>
      </w:r>
    </w:p>
    <w:p w14:paraId="2D49AB9F" w14:textId="77777777" w:rsidR="00F458B9" w:rsidRPr="00472578" w:rsidRDefault="00F458B9" w:rsidP="00E92686">
      <w:pPr>
        <w:jc w:val="both"/>
      </w:pPr>
      <w:r w:rsidRPr="00472578">
        <w:t xml:space="preserve">The policies in this chapter provide direction on integrated management across the region, to achieve the revitalisation, </w:t>
      </w:r>
      <w:r w:rsidRPr="00472578">
        <w:rPr>
          <w:i/>
        </w:rPr>
        <w:t>resilience</w:t>
      </w:r>
      <w:r w:rsidRPr="00472578">
        <w:t xml:space="preserve"> and safeguarding of Otago’s environment and ensure that it supports </w:t>
      </w:r>
      <w:r w:rsidRPr="00472578">
        <w:rPr>
          <w:strike/>
        </w:rPr>
        <w:t>ka takata</w:t>
      </w:r>
      <w:r w:rsidRPr="00472578">
        <w:t xml:space="preserve"> </w:t>
      </w:r>
      <w:r w:rsidRPr="00472578">
        <w:rPr>
          <w:u w:val="single"/>
        </w:rPr>
        <w:t>people</w:t>
      </w:r>
      <w:r w:rsidRPr="00472578">
        <w:rPr>
          <w:rStyle w:val="FootnoteReference"/>
        </w:rPr>
        <w:footnoteReference w:id="595"/>
      </w:r>
      <w:r w:rsidRPr="00472578">
        <w:t xml:space="preserve"> and the community’s cultural, social, and economic well-being. The policies seek to apply a ki uta ki tai approach and ensure that the </w:t>
      </w:r>
      <w:r w:rsidRPr="00472578">
        <w:rPr>
          <w:i/>
          <w:iCs/>
        </w:rPr>
        <w:t>effects</w:t>
      </w:r>
      <w:r w:rsidRPr="00472578">
        <w:t xml:space="preserve"> of </w:t>
      </w:r>
      <w:r w:rsidRPr="00472578">
        <w:rPr>
          <w:i/>
          <w:iCs/>
        </w:rPr>
        <w:t>climate change</w:t>
      </w:r>
      <w:r w:rsidRPr="00472578">
        <w:t xml:space="preserve"> are understood and responded to across the region. Further, they are designed to ensure that environmental integrity, form, function, and </w:t>
      </w:r>
      <w:r w:rsidRPr="00472578">
        <w:rPr>
          <w:i/>
          <w:iCs/>
        </w:rPr>
        <w:t>resilience</w:t>
      </w:r>
      <w:r w:rsidRPr="00472578">
        <w:rPr>
          <w:u w:val="single"/>
        </w:rPr>
        <w:t xml:space="preserve">, including </w:t>
      </w:r>
      <w:r w:rsidRPr="00472578">
        <w:rPr>
          <w:i/>
          <w:iCs/>
          <w:u w:val="single"/>
        </w:rPr>
        <w:t>resilience</w:t>
      </w:r>
      <w:r w:rsidRPr="00472578">
        <w:rPr>
          <w:u w:val="single"/>
        </w:rPr>
        <w:t xml:space="preserve"> to climate change,</w:t>
      </w:r>
      <w:r w:rsidRPr="00472578">
        <w:rPr>
          <w:rStyle w:val="FootnoteReference"/>
        </w:rPr>
        <w:footnoteReference w:id="596"/>
      </w:r>
      <w:r w:rsidRPr="00472578">
        <w:t xml:space="preserve"> are at the centre of all resource management decision making and that changes are made where necessary to ensure the environment’s life-supporting capacity continues to support people’s health and well-being both now and into the future.</w:t>
      </w:r>
    </w:p>
    <w:p w14:paraId="7E49CA20" w14:textId="4DABBEF3" w:rsidR="00F458B9" w:rsidRPr="00472578" w:rsidRDefault="00F458B9" w:rsidP="00E92686">
      <w:pPr>
        <w:jc w:val="both"/>
      </w:pPr>
      <w:r w:rsidRPr="00472578">
        <w:t xml:space="preserve">The policies in this chapter include direction for resolving issues when multiple Regional Policy Statement provisions need to be applied simultaneously. This direction reinforces the primacy of national legislation and regulation, as some provisions of National Policy Statements and National Environmental Standards are prescriptive enough that they do not need a regional interpretation and are only referred to in the RPS when necessary. Further, some direction in the </w:t>
      </w:r>
      <w:r w:rsidRPr="00E4009F">
        <w:rPr>
          <w:strike/>
        </w:rPr>
        <w:t>New Zealand Coastal Policy Statement 2010</w:t>
      </w:r>
      <w:r w:rsidR="00E4009F" w:rsidRPr="001A012C">
        <w:t xml:space="preserve"> </w:t>
      </w:r>
      <w:r w:rsidR="001A012C" w:rsidRPr="00F46BBA">
        <w:rPr>
          <w:u w:val="single"/>
        </w:rPr>
        <w:t>NZCPS</w:t>
      </w:r>
      <w:r w:rsidR="00E95F5D">
        <w:rPr>
          <w:rStyle w:val="FootnoteReference"/>
        </w:rPr>
        <w:footnoteReference w:id="597"/>
      </w:r>
      <w:r w:rsidRPr="00472578">
        <w:t xml:space="preserve">, such as in Policy 3, is considered appropriate to apply to the management of resources throughout Otago, rather than solely within the coastal environment. </w:t>
      </w:r>
    </w:p>
    <w:p w14:paraId="6FDC25E2" w14:textId="77777777" w:rsidR="00F458B9" w:rsidRPr="00472578" w:rsidRDefault="00F458B9" w:rsidP="00E92686">
      <w:pPr>
        <w:pStyle w:val="Heading3"/>
        <w:jc w:val="both"/>
      </w:pPr>
      <w:bookmarkStart w:id="102" w:name="_Toc56620197"/>
      <w:r w:rsidRPr="00472578">
        <w:t>Principal reasons</w:t>
      </w:r>
      <w:bookmarkEnd w:id="101"/>
      <w:bookmarkEnd w:id="102"/>
    </w:p>
    <w:p w14:paraId="6BA63D78" w14:textId="77777777" w:rsidR="00F458B9" w:rsidRPr="00472578" w:rsidRDefault="00F458B9" w:rsidP="00E92686">
      <w:pPr>
        <w:pStyle w:val="Heading4"/>
        <w:jc w:val="both"/>
      </w:pPr>
      <w:r w:rsidRPr="00472578">
        <w:t>IM-PR1 – Principal reasons</w:t>
      </w:r>
    </w:p>
    <w:p w14:paraId="639113DC" w14:textId="5AB936EA" w:rsidR="00F458B9" w:rsidRPr="00472578" w:rsidRDefault="00F458B9" w:rsidP="00E92686">
      <w:pPr>
        <w:pStyle w:val="JustifiedSpacing"/>
      </w:pPr>
      <w:r w:rsidRPr="00472578">
        <w:t>Integrated management is at the core of the RMA</w:t>
      </w:r>
      <w:r w:rsidRPr="0068219A">
        <w:rPr>
          <w:strike/>
        </w:rPr>
        <w:t xml:space="preserve"> 1991</w:t>
      </w:r>
      <w:r w:rsidRPr="00472578">
        <w:t>.</w:t>
      </w:r>
      <w:r w:rsidR="0068219A">
        <w:rPr>
          <w:rStyle w:val="FootnoteReference"/>
        </w:rPr>
        <w:footnoteReference w:id="598"/>
      </w:r>
      <w:r w:rsidRPr="00472578">
        <w:t xml:space="preserve"> The provisions in this chapter set out core facets of integration - the interconnections and interdependencies within the environment, involvement of </w:t>
      </w:r>
      <w:r w:rsidRPr="00472578">
        <w:rPr>
          <w:i/>
        </w:rPr>
        <w:t>mana whenua</w:t>
      </w:r>
      <w:r w:rsidRPr="00472578">
        <w:t xml:space="preserve"> in resource management, the fundamental importance of environmental health to human well-being, and holistic assessment of human </w:t>
      </w:r>
      <w:r w:rsidRPr="00472578">
        <w:rPr>
          <w:i/>
          <w:iCs/>
        </w:rPr>
        <w:t>effects</w:t>
      </w:r>
      <w:r w:rsidRPr="00472578">
        <w:t xml:space="preserve"> on the </w:t>
      </w:r>
      <w:r w:rsidRPr="00472578">
        <w:rPr>
          <w:i/>
          <w:iCs/>
        </w:rPr>
        <w:t>environment</w:t>
      </w:r>
      <w:r w:rsidRPr="00472578">
        <w:t xml:space="preserve">. They also address the </w:t>
      </w:r>
      <w:r w:rsidRPr="00472578">
        <w:rPr>
          <w:i/>
          <w:iCs/>
        </w:rPr>
        <w:t>effects</w:t>
      </w:r>
      <w:r w:rsidRPr="00472578">
        <w:t xml:space="preserve"> of </w:t>
      </w:r>
      <w:r w:rsidRPr="00472578">
        <w:rPr>
          <w:i/>
          <w:iCs/>
        </w:rPr>
        <w:t>climate change</w:t>
      </w:r>
      <w:r w:rsidRPr="00472578">
        <w:t xml:space="preserve"> as the key threat to environmental stability.</w:t>
      </w:r>
    </w:p>
    <w:p w14:paraId="4FB3D515" w14:textId="77777777" w:rsidR="00F458B9" w:rsidRPr="00472578" w:rsidRDefault="00F458B9" w:rsidP="00E92686">
      <w:pPr>
        <w:pStyle w:val="JustifiedSpacing"/>
      </w:pPr>
      <w:r w:rsidRPr="00472578">
        <w:t xml:space="preserve">The provisions </w:t>
      </w:r>
      <w:r w:rsidRPr="00472578">
        <w:rPr>
          <w:strike/>
        </w:rPr>
        <w:t>seek to enshrine an explicit recognition and implementation of these facets into plan making and resource consenting processes. They</w:t>
      </w:r>
      <w:r w:rsidRPr="00472578">
        <w:rPr>
          <w:rStyle w:val="FootnoteReference"/>
        </w:rPr>
        <w:footnoteReference w:id="599"/>
      </w:r>
      <w:r w:rsidRPr="00472578">
        <w:t xml:space="preserve"> set an expectation of integrated resource management that flows through to all other provisions of the </w:t>
      </w:r>
      <w:proofErr w:type="gramStart"/>
      <w:r w:rsidRPr="00472578">
        <w:t>RPS, and</w:t>
      </w:r>
      <w:proofErr w:type="gramEnd"/>
      <w:r w:rsidRPr="00472578">
        <w:t xml:space="preserve"> informs the limits and thresholds we set on human activities for protecting environmental health. It sets explicit expectations that local authorities will work with each other and with other agencies to ensure management approaches are </w:t>
      </w:r>
      <w:r w:rsidRPr="00472578">
        <w:lastRenderedPageBreak/>
        <w:t xml:space="preserve">clear, coordinated, and able to support Otago’s communities into the future. </w:t>
      </w:r>
      <w:r w:rsidRPr="00472578">
        <w:rPr>
          <w:u w:val="single"/>
        </w:rPr>
        <w:t>This applies to plan making and resource consenting processes.</w:t>
      </w:r>
      <w:r w:rsidRPr="00472578">
        <w:rPr>
          <w:rStyle w:val="FootnoteReference"/>
        </w:rPr>
        <w:footnoteReference w:id="600"/>
      </w:r>
    </w:p>
    <w:p w14:paraId="410271A0" w14:textId="77777777" w:rsidR="00F458B9" w:rsidRPr="00472578" w:rsidRDefault="00F458B9" w:rsidP="00E92686">
      <w:pPr>
        <w:pStyle w:val="Heading3"/>
        <w:jc w:val="both"/>
      </w:pPr>
      <w:bookmarkStart w:id="103" w:name="_Toc49763489"/>
      <w:bookmarkStart w:id="104" w:name="_Toc56620198"/>
      <w:r w:rsidRPr="00472578">
        <w:t>Anticipated environmental results</w:t>
      </w:r>
      <w:bookmarkEnd w:id="103"/>
      <w:bookmarkEnd w:id="104"/>
    </w:p>
    <w:p w14:paraId="15CDEFA7" w14:textId="77777777" w:rsidR="00F458B9" w:rsidRPr="00472578" w:rsidRDefault="00F458B9" w:rsidP="00E92686">
      <w:pPr>
        <w:tabs>
          <w:tab w:val="left" w:pos="1134"/>
        </w:tabs>
        <w:ind w:left="2160" w:hanging="2160"/>
        <w:jc w:val="both"/>
      </w:pPr>
      <w:bookmarkStart w:id="105" w:name="_Hlk49259756"/>
      <w:r w:rsidRPr="00472578">
        <w:rPr>
          <w:b/>
          <w:bCs/>
          <w:color w:val="1F3864" w:themeColor="accent1" w:themeShade="80"/>
        </w:rPr>
        <w:t xml:space="preserve">IM-AER1 </w:t>
      </w:r>
      <w:bookmarkEnd w:id="105"/>
      <w:r w:rsidRPr="00472578">
        <w:rPr>
          <w:b/>
          <w:bCs/>
        </w:rPr>
        <w:tab/>
      </w:r>
      <w:r w:rsidRPr="00472578">
        <w:rPr>
          <w:b/>
          <w:bCs/>
        </w:rPr>
        <w:tab/>
      </w:r>
      <w:r w:rsidRPr="00472578">
        <w:t xml:space="preserve">Monitoring shows the </w:t>
      </w:r>
      <w:r w:rsidRPr="00472578">
        <w:rPr>
          <w:i/>
          <w:iCs/>
          <w:u w:val="single"/>
        </w:rPr>
        <w:t>environmental</w:t>
      </w:r>
      <w:r w:rsidRPr="00472578">
        <w:rPr>
          <w:i/>
          <w:iCs/>
        </w:rPr>
        <w:t xml:space="preserve"> limits</w:t>
      </w:r>
      <w:r w:rsidRPr="00472578">
        <w:t xml:space="preserve"> </w:t>
      </w:r>
      <w:r w:rsidRPr="00472578">
        <w:rPr>
          <w:strike/>
        </w:rPr>
        <w:t>and thresholds</w:t>
      </w:r>
      <w:r w:rsidRPr="00472578">
        <w:rPr>
          <w:rStyle w:val="FootnoteReference"/>
        </w:rPr>
        <w:footnoteReference w:id="601"/>
      </w:r>
      <w:r w:rsidRPr="00472578">
        <w:t xml:space="preserve"> set for human activities are adhered to and are resulting in </w:t>
      </w:r>
      <w:r w:rsidRPr="00472578">
        <w:rPr>
          <w:strike/>
        </w:rPr>
        <w:t>environmental well-being and</w:t>
      </w:r>
      <w:r w:rsidRPr="00472578">
        <w:t xml:space="preserve"> resilience </w:t>
      </w:r>
      <w:r w:rsidRPr="00472578">
        <w:rPr>
          <w:u w:val="single"/>
        </w:rPr>
        <w:t>in the natural environment</w:t>
      </w:r>
      <w:r w:rsidRPr="00472578">
        <w:t>.</w:t>
      </w:r>
      <w:r w:rsidRPr="00472578">
        <w:rPr>
          <w:rStyle w:val="FootnoteReference"/>
        </w:rPr>
        <w:footnoteReference w:id="602"/>
      </w:r>
    </w:p>
    <w:p w14:paraId="186F9C0F" w14:textId="77777777" w:rsidR="00F458B9" w:rsidRPr="00472578" w:rsidRDefault="00F458B9" w:rsidP="00E92686">
      <w:pPr>
        <w:tabs>
          <w:tab w:val="left" w:pos="1134"/>
        </w:tabs>
        <w:ind w:left="2160" w:hanging="2160"/>
        <w:jc w:val="both"/>
      </w:pPr>
      <w:r w:rsidRPr="00472578">
        <w:rPr>
          <w:b/>
          <w:color w:val="1F3864" w:themeColor="accent1" w:themeShade="80"/>
        </w:rPr>
        <w:t>IM-AER2</w:t>
      </w:r>
      <w:r w:rsidRPr="00472578">
        <w:tab/>
      </w:r>
      <w:r w:rsidRPr="00472578">
        <w:tab/>
      </w:r>
      <w:r w:rsidRPr="00472578">
        <w:rPr>
          <w:strike/>
        </w:rPr>
        <w:t>Environmental well-being and r</w:t>
      </w:r>
      <w:r w:rsidRPr="00472578">
        <w:rPr>
          <w:u w:val="single"/>
        </w:rPr>
        <w:t>R</w:t>
      </w:r>
      <w:r w:rsidRPr="00472578">
        <w:t xml:space="preserve">esilience </w:t>
      </w:r>
      <w:r w:rsidRPr="00472578">
        <w:rPr>
          <w:u w:val="single"/>
        </w:rPr>
        <w:t>in the natural environment</w:t>
      </w:r>
      <w:r w:rsidRPr="00472578">
        <w:rPr>
          <w:rStyle w:val="FootnoteReference"/>
        </w:rPr>
        <w:footnoteReference w:id="603"/>
      </w:r>
      <w:r w:rsidRPr="00472578">
        <w:t xml:space="preserve"> is resulting in sustainable social, cultural, and economic well-being </w:t>
      </w:r>
      <w:r w:rsidRPr="00472578">
        <w:rPr>
          <w:u w:val="single"/>
        </w:rPr>
        <w:t>for all communities including Kāi Tahu</w:t>
      </w:r>
      <w:r w:rsidRPr="00472578">
        <w:t>.</w:t>
      </w:r>
      <w:r w:rsidRPr="00472578">
        <w:rPr>
          <w:rStyle w:val="FootnoteReference"/>
        </w:rPr>
        <w:footnoteReference w:id="604"/>
      </w:r>
    </w:p>
    <w:p w14:paraId="0CC29C61" w14:textId="26F9041F" w:rsidR="00F458B9" w:rsidRPr="00472578" w:rsidRDefault="00F458B9" w:rsidP="00E92686">
      <w:pPr>
        <w:ind w:left="2160" w:hanging="2160"/>
        <w:jc w:val="both"/>
      </w:pPr>
      <w:r w:rsidRPr="00472578">
        <w:rPr>
          <w:b/>
          <w:bCs/>
          <w:color w:val="1F3864" w:themeColor="accent1" w:themeShade="80"/>
        </w:rPr>
        <w:t xml:space="preserve">IM-AER3 </w:t>
      </w:r>
      <w:r w:rsidRPr="00472578">
        <w:rPr>
          <w:b/>
          <w:bCs/>
        </w:rPr>
        <w:tab/>
      </w:r>
      <w:r w:rsidRPr="00472578">
        <w:t>Communities</w:t>
      </w:r>
      <w:r w:rsidRPr="00472578">
        <w:rPr>
          <w:u w:val="single"/>
        </w:rPr>
        <w:t>, including Kāi Tahu,</w:t>
      </w:r>
      <w:r w:rsidR="0068786D" w:rsidRPr="00472578">
        <w:rPr>
          <w:rStyle w:val="FootnoteReference"/>
        </w:rPr>
        <w:t xml:space="preserve"> </w:t>
      </w:r>
      <w:r w:rsidR="0068786D" w:rsidRPr="00472578">
        <w:rPr>
          <w:rStyle w:val="FootnoteReference"/>
        </w:rPr>
        <w:footnoteReference w:id="605"/>
      </w:r>
      <w:r w:rsidRPr="00472578">
        <w:t xml:space="preserve"> are aware of the potential impacts of </w:t>
      </w:r>
      <w:r w:rsidRPr="00472578">
        <w:rPr>
          <w:i/>
          <w:iCs/>
        </w:rPr>
        <w:t>climate change</w:t>
      </w:r>
      <w:r w:rsidRPr="00472578">
        <w:t xml:space="preserve"> and there are observable changes in community behaviour towards more sustainable lifestyles.</w:t>
      </w:r>
    </w:p>
    <w:p w14:paraId="20F6002B" w14:textId="77777777" w:rsidR="00F458B9" w:rsidRPr="00472578" w:rsidRDefault="00F458B9" w:rsidP="00E92686">
      <w:pPr>
        <w:tabs>
          <w:tab w:val="left" w:pos="1134"/>
        </w:tabs>
        <w:ind w:left="2160" w:hanging="2160"/>
        <w:jc w:val="both"/>
      </w:pPr>
      <w:r w:rsidRPr="00472578">
        <w:rPr>
          <w:b/>
          <w:bCs/>
          <w:color w:val="1F3864" w:themeColor="accent1" w:themeShade="80"/>
        </w:rPr>
        <w:t xml:space="preserve">IM-AER4 </w:t>
      </w:r>
      <w:r w:rsidRPr="00472578">
        <w:rPr>
          <w:b/>
          <w:bCs/>
        </w:rPr>
        <w:tab/>
      </w:r>
      <w:r w:rsidRPr="00472578">
        <w:rPr>
          <w:b/>
          <w:bCs/>
        </w:rPr>
        <w:tab/>
      </w:r>
      <w:r w:rsidRPr="00472578">
        <w:t xml:space="preserve">Plan development and decision-making processes demonstrate improved awareness of the interdependencies and interconnectedness of </w:t>
      </w:r>
      <w:r w:rsidRPr="00472578">
        <w:rPr>
          <w:i/>
          <w:iCs/>
        </w:rPr>
        <w:t xml:space="preserve">natural and physical resources </w:t>
      </w:r>
      <w:r w:rsidRPr="00472578">
        <w:t>within the region</w:t>
      </w:r>
      <w:r w:rsidRPr="00472578">
        <w:rPr>
          <w:u w:val="single"/>
        </w:rPr>
        <w:t>, and across regional and jurisdictional boundaries</w:t>
      </w:r>
      <w:r w:rsidRPr="00472578">
        <w:t>.</w:t>
      </w:r>
      <w:r w:rsidRPr="00472578">
        <w:rPr>
          <w:rStyle w:val="FootnoteReference"/>
        </w:rPr>
        <w:footnoteReference w:id="606"/>
      </w:r>
    </w:p>
    <w:bookmarkEnd w:id="88"/>
    <w:p w14:paraId="61EC10E2" w14:textId="77777777" w:rsidR="007F757E" w:rsidRPr="00472578" w:rsidRDefault="007F757E" w:rsidP="00E92686">
      <w:pPr>
        <w:jc w:val="both"/>
        <w:rPr>
          <w:rFonts w:eastAsiaTheme="majorEastAsia" w:cstheme="majorBidi"/>
          <w:b/>
          <w:caps/>
          <w:color w:val="002060"/>
          <w:sz w:val="44"/>
          <w:szCs w:val="32"/>
        </w:rPr>
      </w:pPr>
      <w:r w:rsidRPr="00472578">
        <w:br w:type="page"/>
      </w:r>
    </w:p>
    <w:p w14:paraId="721D8D8D" w14:textId="06B8283B" w:rsidR="007F757E" w:rsidRPr="00472578" w:rsidRDefault="007F757E" w:rsidP="00CD28EB">
      <w:pPr>
        <w:pStyle w:val="Heading1"/>
      </w:pPr>
      <w:bookmarkStart w:id="106" w:name="_Toc102551278"/>
      <w:r w:rsidRPr="00472578">
        <w:lastRenderedPageBreak/>
        <w:t>PART 3 – DOMAINS AND TOPICS</w:t>
      </w:r>
      <w:bookmarkEnd w:id="106"/>
    </w:p>
    <w:p w14:paraId="72CC4930" w14:textId="77777777" w:rsidR="007F757E" w:rsidRPr="00472578" w:rsidRDefault="007F757E" w:rsidP="00CD28EB">
      <w:pPr>
        <w:pStyle w:val="Heading1"/>
      </w:pPr>
      <w:bookmarkStart w:id="107" w:name="_Toc102551279"/>
      <w:r w:rsidRPr="00472578">
        <w:t>DOMAINS</w:t>
      </w:r>
      <w:bookmarkEnd w:id="107"/>
    </w:p>
    <w:p w14:paraId="5C1CC28C" w14:textId="77777777" w:rsidR="007F757E" w:rsidRPr="00472578" w:rsidRDefault="007F757E" w:rsidP="00E92686">
      <w:pPr>
        <w:pStyle w:val="Heading2"/>
        <w:jc w:val="both"/>
      </w:pPr>
      <w:bookmarkStart w:id="108" w:name="_Toc102551280"/>
      <w:r w:rsidRPr="00472578">
        <w:t>AIR – Air</w:t>
      </w:r>
      <w:bookmarkEnd w:id="108"/>
    </w:p>
    <w:p w14:paraId="4ABD37E9" w14:textId="77777777" w:rsidR="007F757E" w:rsidRPr="00472578" w:rsidRDefault="007F757E" w:rsidP="00E92686">
      <w:pPr>
        <w:pStyle w:val="Heading3"/>
        <w:jc w:val="both"/>
      </w:pPr>
      <w:r w:rsidRPr="00472578">
        <w:t>Objectives</w:t>
      </w:r>
    </w:p>
    <w:p w14:paraId="7C43E3A3" w14:textId="77777777" w:rsidR="007F757E" w:rsidRPr="00472578" w:rsidRDefault="007F757E" w:rsidP="00E92686">
      <w:pPr>
        <w:pStyle w:val="Heading4"/>
        <w:jc w:val="both"/>
      </w:pPr>
      <w:r w:rsidRPr="00472578">
        <w:t>AIR-O1 – Ambient air quality</w:t>
      </w:r>
    </w:p>
    <w:p w14:paraId="5380E218" w14:textId="65A89A45" w:rsidR="007F757E" w:rsidRPr="00472578" w:rsidRDefault="007F757E" w:rsidP="00E92686">
      <w:pPr>
        <w:pStyle w:val="BodyText"/>
      </w:pPr>
      <w:r w:rsidRPr="00472578">
        <w:t xml:space="preserve">Ambient air quality provides for the health and well-being of the people of Otago, </w:t>
      </w:r>
      <w:r w:rsidRPr="00472578">
        <w:rPr>
          <w:i/>
          <w:iCs/>
        </w:rPr>
        <w:t xml:space="preserve">amenity </w:t>
      </w:r>
      <w:r w:rsidR="00FD58C4">
        <w:rPr>
          <w:i/>
          <w:iCs/>
          <w:u w:val="single"/>
        </w:rPr>
        <w:t>values</w:t>
      </w:r>
      <w:r w:rsidR="008D3765" w:rsidRPr="008D3765">
        <w:rPr>
          <w:rStyle w:val="FootnoteReference"/>
          <w:i/>
          <w:iCs/>
        </w:rPr>
        <w:footnoteReference w:id="607"/>
      </w:r>
      <w:r w:rsidRPr="008D3765">
        <w:rPr>
          <w:i/>
          <w:iCs/>
        </w:rPr>
        <w:t xml:space="preserve"> </w:t>
      </w:r>
      <w:r w:rsidRPr="00472578">
        <w:t xml:space="preserve">and </w:t>
      </w:r>
      <w:r w:rsidRPr="00472578">
        <w:rPr>
          <w:i/>
          <w:iCs/>
        </w:rPr>
        <w:t>mana whenua values</w:t>
      </w:r>
      <w:r w:rsidRPr="00472578">
        <w:t>, and the life-supporting capacity of ecosystems</w:t>
      </w:r>
      <w:r w:rsidRPr="00472578" w:rsidDel="03EA7A26">
        <w:t>.</w:t>
      </w:r>
    </w:p>
    <w:p w14:paraId="36F91147" w14:textId="4361843D" w:rsidR="007F757E" w:rsidRPr="00472578" w:rsidRDefault="007F757E" w:rsidP="00B07A81">
      <w:pPr>
        <w:pStyle w:val="Heading4"/>
      </w:pPr>
      <w:r w:rsidRPr="00472578">
        <w:t>AIR-O2 – Discharges to air</w:t>
      </w:r>
    </w:p>
    <w:p w14:paraId="6FF155A1" w14:textId="7BC33013" w:rsidR="00FA3B93" w:rsidRDefault="00FA3B93" w:rsidP="00FA3B93">
      <w:pPr>
        <w:pStyle w:val="Paragraphs"/>
        <w:numPr>
          <w:ilvl w:val="0"/>
          <w:numId w:val="0"/>
        </w:numPr>
      </w:pPr>
      <w:r w:rsidRPr="002F707E">
        <w:t xml:space="preserve">Human health, </w:t>
      </w:r>
      <w:r w:rsidRPr="002F707E">
        <w:rPr>
          <w:i/>
          <w:iCs/>
        </w:rPr>
        <w:t xml:space="preserve">amenity </w:t>
      </w:r>
      <w:r w:rsidRPr="002F707E">
        <w:rPr>
          <w:i/>
          <w:iCs/>
          <w:u w:val="single"/>
        </w:rPr>
        <w:t>values</w:t>
      </w:r>
      <w:r w:rsidR="00D6196B" w:rsidRPr="00641248">
        <w:rPr>
          <w:rStyle w:val="FootnoteReference"/>
        </w:rPr>
        <w:footnoteReference w:id="608"/>
      </w:r>
      <w:r w:rsidRPr="00641248">
        <w:t xml:space="preserve"> </w:t>
      </w:r>
      <w:r w:rsidRPr="002F707E">
        <w:t xml:space="preserve">and </w:t>
      </w:r>
      <w:r w:rsidRPr="000C2EE0">
        <w:rPr>
          <w:i/>
          <w:iCs/>
        </w:rPr>
        <w:t>mana whenua</w:t>
      </w:r>
      <w:r w:rsidRPr="002F707E">
        <w:t xml:space="preserve"> values and the life-supporting capacity of ecosystems are protected from the adverse effects of discharges to air. </w:t>
      </w:r>
    </w:p>
    <w:p w14:paraId="151401E9" w14:textId="77777777" w:rsidR="007F757E" w:rsidRPr="00472578" w:rsidRDefault="007F757E" w:rsidP="00E92686">
      <w:pPr>
        <w:pStyle w:val="Heading3"/>
        <w:jc w:val="both"/>
      </w:pPr>
      <w:r w:rsidRPr="00472578">
        <w:t>Policies</w:t>
      </w:r>
    </w:p>
    <w:p w14:paraId="1DCD9FBA" w14:textId="77777777" w:rsidR="007F757E" w:rsidRPr="00472578" w:rsidRDefault="007F757E" w:rsidP="00E92686">
      <w:pPr>
        <w:pStyle w:val="Heading4"/>
        <w:jc w:val="both"/>
      </w:pPr>
      <w:r w:rsidRPr="00472578">
        <w:t>AIR-P1 – Maintain good ambient air quality</w:t>
      </w:r>
    </w:p>
    <w:p w14:paraId="747575F6" w14:textId="77777777" w:rsidR="007F757E" w:rsidRPr="00472578" w:rsidRDefault="007F757E" w:rsidP="00E92686">
      <w:pPr>
        <w:pStyle w:val="BodyText"/>
      </w:pPr>
      <w:r w:rsidRPr="00472578">
        <w:t>Good ambient air quality is maintained across Otago by:</w:t>
      </w:r>
    </w:p>
    <w:p w14:paraId="593B64F0" w14:textId="6C0D3F31" w:rsidR="007F757E" w:rsidRPr="00472578" w:rsidRDefault="0001184B" w:rsidP="00E92686">
      <w:pPr>
        <w:widowControl w:val="0"/>
        <w:autoSpaceDE w:val="0"/>
        <w:autoSpaceDN w:val="0"/>
        <w:spacing w:before="178"/>
        <w:ind w:left="567" w:right="115" w:hanging="567"/>
        <w:jc w:val="both"/>
      </w:pPr>
      <w:r w:rsidRPr="00472578">
        <w:t>(1)</w:t>
      </w:r>
      <w:r w:rsidRPr="00472578">
        <w:tab/>
      </w:r>
      <w:r w:rsidR="007F757E" w:rsidRPr="00472578">
        <w:t xml:space="preserve">ensuring </w:t>
      </w:r>
      <w:r w:rsidR="007F757E" w:rsidRPr="00472578">
        <w:rPr>
          <w:i/>
        </w:rPr>
        <w:t xml:space="preserve">discharges </w:t>
      </w:r>
      <w:r w:rsidR="007F757E" w:rsidRPr="00472578">
        <w:t>to air comply with ambient air quality limits where those limits have been set, and</w:t>
      </w:r>
    </w:p>
    <w:p w14:paraId="569C2DB8" w14:textId="63D39DB9" w:rsidR="007F757E" w:rsidRPr="00472578" w:rsidRDefault="0001184B" w:rsidP="00E92686">
      <w:pPr>
        <w:widowControl w:val="0"/>
        <w:autoSpaceDE w:val="0"/>
        <w:autoSpaceDN w:val="0"/>
        <w:spacing w:before="159"/>
        <w:ind w:left="567" w:right="116" w:hanging="567"/>
        <w:jc w:val="both"/>
      </w:pPr>
      <w:r w:rsidRPr="00472578">
        <w:t>(2)</w:t>
      </w:r>
      <w:r w:rsidRPr="00472578">
        <w:tab/>
      </w:r>
      <w:r w:rsidR="007F757E" w:rsidRPr="00472578">
        <w:t xml:space="preserve">where limits have not been set, only allowing </w:t>
      </w:r>
      <w:r w:rsidR="007F757E" w:rsidRPr="00472578">
        <w:rPr>
          <w:i/>
        </w:rPr>
        <w:t xml:space="preserve">discharges </w:t>
      </w:r>
      <w:r w:rsidR="007F757E" w:rsidRPr="00472578">
        <w:t xml:space="preserve">to air if the adverse </w:t>
      </w:r>
      <w:r w:rsidR="007F757E" w:rsidRPr="00472578">
        <w:rPr>
          <w:i/>
        </w:rPr>
        <w:t xml:space="preserve">effects </w:t>
      </w:r>
      <w:r w:rsidR="007F757E" w:rsidRPr="00472578">
        <w:t>on ambient air quality are no more than minor.</w:t>
      </w:r>
    </w:p>
    <w:p w14:paraId="58E4C5B0" w14:textId="6DCE0C00" w:rsidR="007F757E" w:rsidRPr="00472578" w:rsidRDefault="007F757E" w:rsidP="00E92686">
      <w:pPr>
        <w:pStyle w:val="Heading4"/>
        <w:jc w:val="both"/>
      </w:pPr>
      <w:r w:rsidRPr="00472578">
        <w:t xml:space="preserve">AIR-P2 – Improve </w:t>
      </w:r>
      <w:r w:rsidRPr="00472578" w:rsidDel="000B0CBA">
        <w:rPr>
          <w:strike/>
        </w:rPr>
        <w:t>poor</w:t>
      </w:r>
      <w:r w:rsidR="500AAC64" w:rsidRPr="00472578" w:rsidDel="000B0CBA">
        <w:rPr>
          <w:strike/>
        </w:rPr>
        <w:t xml:space="preserve"> </w:t>
      </w:r>
      <w:r w:rsidR="500AAC64" w:rsidRPr="09F14A5B" w:rsidDel="000B0CBA">
        <w:rPr>
          <w:u w:val="single"/>
        </w:rPr>
        <w:t>degraded</w:t>
      </w:r>
      <w:r w:rsidRPr="00472578">
        <w:rPr>
          <w:rStyle w:val="FootnoteReference"/>
          <w:b w:val="0"/>
          <w:bCs/>
          <w:color w:val="auto"/>
        </w:rPr>
        <w:footnoteReference w:id="609"/>
      </w:r>
      <w:r w:rsidRPr="00472578">
        <w:t xml:space="preserve"> ambient air quality</w:t>
      </w:r>
    </w:p>
    <w:p w14:paraId="5B80C442" w14:textId="3140DA0B" w:rsidR="007F757E" w:rsidRPr="00472578" w:rsidRDefault="007F757E" w:rsidP="00E92686">
      <w:pPr>
        <w:pStyle w:val="BodyText"/>
      </w:pPr>
      <w:r w:rsidRPr="00472578" w:rsidDel="000B0CBA">
        <w:rPr>
          <w:strike/>
        </w:rPr>
        <w:t>Poor</w:t>
      </w:r>
      <w:r w:rsidRPr="00472578">
        <w:t xml:space="preserve"> </w:t>
      </w:r>
      <w:r w:rsidR="500AAC64" w:rsidRPr="09F14A5B">
        <w:rPr>
          <w:u w:val="single"/>
        </w:rPr>
        <w:t>Degraded</w:t>
      </w:r>
      <w:r w:rsidR="005007AB" w:rsidRPr="00472578">
        <w:rPr>
          <w:rStyle w:val="FootnoteReference"/>
        </w:rPr>
        <w:footnoteReference w:id="610"/>
      </w:r>
      <w:r w:rsidR="005007AB" w:rsidRPr="00472578">
        <w:rPr>
          <w:rStyle w:val="FootnoteReference"/>
        </w:rPr>
        <w:t xml:space="preserve"> </w:t>
      </w:r>
      <w:r w:rsidR="500AAC64" w:rsidRPr="00472578">
        <w:t xml:space="preserve"> </w:t>
      </w:r>
      <w:r w:rsidRPr="00472578">
        <w:t>a</w:t>
      </w:r>
      <w:r w:rsidRPr="09F14A5B">
        <w:t>mbient</w:t>
      </w:r>
      <w:r>
        <w:t xml:space="preserve"> </w:t>
      </w:r>
      <w:r w:rsidRPr="00472578">
        <w:t>air quality is improved across Otago by:</w:t>
      </w:r>
    </w:p>
    <w:p w14:paraId="75F5F137" w14:textId="18D2955B" w:rsidR="007F757E" w:rsidRPr="00472578" w:rsidRDefault="0001184B" w:rsidP="00E92686">
      <w:pPr>
        <w:widowControl w:val="0"/>
        <w:tabs>
          <w:tab w:val="left" w:pos="667"/>
        </w:tabs>
        <w:autoSpaceDE w:val="0"/>
        <w:autoSpaceDN w:val="0"/>
        <w:spacing w:before="178"/>
        <w:ind w:left="567" w:right="112" w:hanging="567"/>
        <w:jc w:val="both"/>
      </w:pPr>
      <w:r w:rsidRPr="00472578">
        <w:t>(1)</w:t>
      </w:r>
      <w:r w:rsidRPr="00472578">
        <w:tab/>
      </w:r>
      <w:r w:rsidR="007F757E" w:rsidRPr="00472578">
        <w:t xml:space="preserve">establishing, </w:t>
      </w:r>
      <w:proofErr w:type="gramStart"/>
      <w:r w:rsidR="007F757E" w:rsidRPr="00472578">
        <w:t>maintaining</w:t>
      </w:r>
      <w:proofErr w:type="gramEnd"/>
      <w:r w:rsidR="007F757E" w:rsidRPr="00472578">
        <w:t xml:space="preserve"> and enforcing plan provisions that set limits and timeframes for improving ambient air quality, including by managing the spatial distribution of activities and transport, and</w:t>
      </w:r>
    </w:p>
    <w:p w14:paraId="7733B1A1" w14:textId="515069C5" w:rsidR="007F757E" w:rsidRPr="00472578" w:rsidRDefault="0001184B" w:rsidP="00E92686">
      <w:pPr>
        <w:widowControl w:val="0"/>
        <w:tabs>
          <w:tab w:val="left" w:pos="667"/>
        </w:tabs>
        <w:autoSpaceDE w:val="0"/>
        <w:autoSpaceDN w:val="0"/>
        <w:spacing w:before="158"/>
        <w:ind w:left="567" w:right="114" w:hanging="567"/>
        <w:jc w:val="both"/>
      </w:pPr>
      <w:r w:rsidRPr="00472578">
        <w:t>(2)</w:t>
      </w:r>
      <w:r w:rsidRPr="00472578">
        <w:tab/>
      </w:r>
      <w:r w:rsidR="007F757E" w:rsidRPr="00472578">
        <w:t xml:space="preserve">prioritising actions to reduce </w:t>
      </w:r>
      <w:r w:rsidR="007F757E" w:rsidRPr="00472578">
        <w:rPr>
          <w:i/>
        </w:rPr>
        <w:t>PM</w:t>
      </w:r>
      <w:r w:rsidR="005F0FE3" w:rsidRPr="00472578">
        <w:rPr>
          <w:i/>
          <w:sz w:val="14"/>
        </w:rPr>
        <w:t xml:space="preserve">10 </w:t>
      </w:r>
      <w:r w:rsidR="005F0FE3" w:rsidRPr="005F0FE3">
        <w:rPr>
          <w:iCs/>
        </w:rPr>
        <w:t>and</w:t>
      </w:r>
      <w:r w:rsidR="007F757E" w:rsidRPr="005F0FE3">
        <w:rPr>
          <w:iCs/>
        </w:rPr>
        <w:t xml:space="preserve"> </w:t>
      </w:r>
      <w:r w:rsidR="007F757E" w:rsidRPr="00472578">
        <w:rPr>
          <w:i/>
        </w:rPr>
        <w:t>PM</w:t>
      </w:r>
      <w:r w:rsidR="007F757E" w:rsidRPr="00472578">
        <w:rPr>
          <w:i/>
          <w:sz w:val="14"/>
        </w:rPr>
        <w:t xml:space="preserve">2.5 </w:t>
      </w:r>
      <w:r w:rsidR="007F757E" w:rsidRPr="00472578">
        <w:t xml:space="preserve">concentrations in </w:t>
      </w:r>
      <w:r w:rsidR="007F757E" w:rsidRPr="00472578">
        <w:rPr>
          <w:i/>
        </w:rPr>
        <w:t>polluted airsheds</w:t>
      </w:r>
      <w:r w:rsidR="007F757E" w:rsidRPr="00472578">
        <w:t xml:space="preserve">, including phasing out existing domestic </w:t>
      </w:r>
      <w:r w:rsidR="007F757E" w:rsidRPr="00472578">
        <w:rPr>
          <w:i/>
        </w:rPr>
        <w:t xml:space="preserve">solid fuel </w:t>
      </w:r>
      <w:r w:rsidR="007F757E" w:rsidRPr="00472578">
        <w:t xml:space="preserve">burning appliances and preventing any </w:t>
      </w:r>
      <w:r w:rsidR="007F757E" w:rsidRPr="00472578">
        <w:rPr>
          <w:i/>
        </w:rPr>
        <w:t xml:space="preserve">discharges </w:t>
      </w:r>
      <w:r w:rsidR="007F757E" w:rsidRPr="00472578">
        <w:t xml:space="preserve">from new </w:t>
      </w:r>
      <w:r w:rsidR="007F757E" w:rsidRPr="00472578">
        <w:lastRenderedPageBreak/>
        <w:t xml:space="preserve">domestic </w:t>
      </w:r>
      <w:r w:rsidR="007F757E" w:rsidRPr="00472578">
        <w:rPr>
          <w:i/>
        </w:rPr>
        <w:t xml:space="preserve">solid fuel </w:t>
      </w:r>
      <w:r w:rsidR="007F757E" w:rsidRPr="00472578">
        <w:t>burning appliances that do not comply with the standards set in the NESAQ.</w:t>
      </w:r>
    </w:p>
    <w:p w14:paraId="49CC7AE0" w14:textId="77777777" w:rsidR="007F757E" w:rsidRPr="00472578" w:rsidRDefault="007F757E" w:rsidP="00E92686">
      <w:pPr>
        <w:pStyle w:val="Heading4"/>
        <w:jc w:val="both"/>
      </w:pPr>
      <w:r w:rsidRPr="00472578">
        <w:t>AIR-P3 – Providing for discharges to air</w:t>
      </w:r>
    </w:p>
    <w:p w14:paraId="40AEE758" w14:textId="34946F09" w:rsidR="00326AF5" w:rsidRPr="00326AF5" w:rsidRDefault="00326AF5" w:rsidP="00084517">
      <w:pPr>
        <w:pStyle w:val="Paragraphs"/>
        <w:numPr>
          <w:ilvl w:val="0"/>
          <w:numId w:val="0"/>
        </w:numPr>
      </w:pPr>
      <w:r w:rsidRPr="00FD0886">
        <w:t xml:space="preserve">Allow discharges to air provided they do not adversely affect human health, </w:t>
      </w:r>
      <w:r w:rsidRPr="0060740F">
        <w:rPr>
          <w:i/>
          <w:iCs/>
        </w:rPr>
        <w:t xml:space="preserve">amenity </w:t>
      </w:r>
      <w:r w:rsidRPr="0060740F">
        <w:rPr>
          <w:i/>
          <w:iCs/>
          <w:u w:val="single"/>
        </w:rPr>
        <w:t>values</w:t>
      </w:r>
      <w:r>
        <w:rPr>
          <w:i/>
          <w:iCs/>
          <w:u w:val="single"/>
        </w:rPr>
        <w:t>,</w:t>
      </w:r>
      <w:r w:rsidRPr="00A85AF3">
        <w:rPr>
          <w:strike/>
        </w:rPr>
        <w:t xml:space="preserve"> and</w:t>
      </w:r>
      <w:r>
        <w:rPr>
          <w:rStyle w:val="FootnoteReference"/>
          <w:strike/>
        </w:rPr>
        <w:footnoteReference w:id="611"/>
      </w:r>
      <w:r w:rsidRPr="00FD0886">
        <w:t xml:space="preserve"> </w:t>
      </w:r>
      <w:r w:rsidRPr="00CD2135">
        <w:rPr>
          <w:i/>
        </w:rPr>
        <w:t>mana whenua</w:t>
      </w:r>
      <w:r w:rsidRPr="00FD0886">
        <w:t xml:space="preserve"> values and the life supporting capacity of ecosystems.</w:t>
      </w:r>
    </w:p>
    <w:p w14:paraId="6ACE735C" w14:textId="77777777" w:rsidR="007F757E" w:rsidRPr="00472578" w:rsidRDefault="007F757E" w:rsidP="00E92686">
      <w:pPr>
        <w:pStyle w:val="Heading4"/>
        <w:jc w:val="both"/>
      </w:pPr>
      <w:r w:rsidRPr="00472578">
        <w:t>AIR-P4 – Avoiding certain discharges</w:t>
      </w:r>
    </w:p>
    <w:p w14:paraId="0D2C785A" w14:textId="37272EBE" w:rsidR="007F757E" w:rsidRPr="00472578" w:rsidRDefault="00084517" w:rsidP="00E92686">
      <w:pPr>
        <w:pStyle w:val="BodyText"/>
      </w:pPr>
      <w:proofErr w:type="gramStart"/>
      <w:r>
        <w:rPr>
          <w:u w:val="single"/>
        </w:rPr>
        <w:t>Generally</w:t>
      </w:r>
      <w:proofErr w:type="gramEnd"/>
      <w:r>
        <w:rPr>
          <w:u w:val="single"/>
        </w:rPr>
        <w:t xml:space="preserve"> </w:t>
      </w:r>
      <w:r w:rsidR="007F757E" w:rsidRPr="00084517">
        <w:rPr>
          <w:strike/>
        </w:rPr>
        <w:t>A</w:t>
      </w:r>
      <w:r w:rsidR="006E460E" w:rsidRPr="006E460E">
        <w:rPr>
          <w:u w:val="single"/>
        </w:rPr>
        <w:t>a</w:t>
      </w:r>
      <w:r w:rsidR="007F757E" w:rsidRPr="00472578">
        <w:t>void</w:t>
      </w:r>
      <w:r w:rsidRPr="002A77CB">
        <w:rPr>
          <w:rStyle w:val="FootnoteReference"/>
        </w:rPr>
        <w:footnoteReference w:id="612"/>
      </w:r>
      <w:r w:rsidR="007F757E" w:rsidRPr="00472578">
        <w:t xml:space="preserve"> discharges to air that cause offensive, objectionable, noxious or dangerous effects.</w:t>
      </w:r>
    </w:p>
    <w:p w14:paraId="0ADD15CC" w14:textId="77777777" w:rsidR="007F757E" w:rsidRPr="00472578" w:rsidRDefault="007F757E" w:rsidP="00E92686">
      <w:pPr>
        <w:pStyle w:val="Heading4"/>
        <w:jc w:val="both"/>
      </w:pPr>
      <w:r w:rsidRPr="00472578">
        <w:t>AIR-P5 – Managing certain discharges</w:t>
      </w:r>
    </w:p>
    <w:p w14:paraId="5E99F711" w14:textId="47B723AE" w:rsidR="007F757E" w:rsidRPr="00472578" w:rsidRDefault="007F757E" w:rsidP="00E92686">
      <w:pPr>
        <w:pStyle w:val="BodyText"/>
      </w:pPr>
      <w:r w:rsidRPr="00472578">
        <w:t xml:space="preserve">Manage the </w:t>
      </w:r>
      <w:r w:rsidR="000B5561">
        <w:rPr>
          <w:u w:val="single"/>
        </w:rPr>
        <w:t>adverse</w:t>
      </w:r>
      <w:r w:rsidR="000B5561" w:rsidRPr="00B718DF">
        <w:rPr>
          <w:rStyle w:val="FootnoteReference"/>
        </w:rPr>
        <w:footnoteReference w:id="613"/>
      </w:r>
      <w:r w:rsidRPr="00472578">
        <w:t xml:space="preserve"> </w:t>
      </w:r>
      <w:r w:rsidRPr="00472578">
        <w:rPr>
          <w:i/>
        </w:rPr>
        <w:t xml:space="preserve">effects </w:t>
      </w:r>
      <w:r w:rsidRPr="00472578">
        <w:t xml:space="preserve">of </w:t>
      </w:r>
      <w:r w:rsidRPr="00472578">
        <w:rPr>
          <w:i/>
        </w:rPr>
        <w:t xml:space="preserve">discharges </w:t>
      </w:r>
      <w:r w:rsidRPr="00472578">
        <w:t>to air beyond the boundary of the property of origin from activities that include but are not limited to:</w:t>
      </w:r>
    </w:p>
    <w:p w14:paraId="53A83DB6" w14:textId="686F15B7" w:rsidR="007F757E" w:rsidRPr="00472578" w:rsidRDefault="0001184B" w:rsidP="00E92686">
      <w:pPr>
        <w:widowControl w:val="0"/>
        <w:autoSpaceDE w:val="0"/>
        <w:autoSpaceDN w:val="0"/>
        <w:spacing w:before="159"/>
        <w:ind w:left="567" w:hanging="567"/>
        <w:jc w:val="both"/>
      </w:pPr>
      <w:r w:rsidRPr="00472578">
        <w:t>(1)</w:t>
      </w:r>
      <w:r w:rsidRPr="00472578">
        <w:tab/>
      </w:r>
      <w:r w:rsidR="007F757E" w:rsidRPr="00472578">
        <w:t>outdoor burning of organic material,</w:t>
      </w:r>
    </w:p>
    <w:p w14:paraId="78545697" w14:textId="2454415E" w:rsidR="007F757E" w:rsidRPr="00472578" w:rsidRDefault="0001184B" w:rsidP="00E92686">
      <w:pPr>
        <w:widowControl w:val="0"/>
        <w:autoSpaceDE w:val="0"/>
        <w:autoSpaceDN w:val="0"/>
        <w:spacing w:before="160"/>
        <w:ind w:left="567" w:hanging="567"/>
        <w:jc w:val="both"/>
      </w:pPr>
      <w:r w:rsidRPr="00472578">
        <w:t>(2)</w:t>
      </w:r>
      <w:r w:rsidRPr="00472578">
        <w:tab/>
      </w:r>
      <w:r w:rsidR="007F757E" w:rsidRPr="00472578">
        <w:t xml:space="preserve">agrichemical and </w:t>
      </w:r>
      <w:r w:rsidR="00F5634D" w:rsidRPr="00472578">
        <w:t xml:space="preserve">fertiliser </w:t>
      </w:r>
      <w:r w:rsidR="00F5634D" w:rsidRPr="00472578" w:rsidDel="000B0CBA">
        <w:rPr>
          <w:strike/>
        </w:rPr>
        <w:t>spraying</w:t>
      </w:r>
      <w:r w:rsidR="007F757E" w:rsidRPr="00F5634D" w:rsidDel="000B0CBA">
        <w:t xml:space="preserve"> </w:t>
      </w:r>
      <w:r w:rsidR="007F757E" w:rsidRPr="00472578">
        <w:rPr>
          <w:u w:val="single"/>
        </w:rPr>
        <w:t>applications</w:t>
      </w:r>
      <w:r w:rsidR="007F757E" w:rsidRPr="00472578">
        <w:t>,</w:t>
      </w:r>
      <w:r w:rsidR="007F757E" w:rsidRPr="00472578">
        <w:rPr>
          <w:rStyle w:val="FootnoteReference"/>
        </w:rPr>
        <w:footnoteReference w:id="614"/>
      </w:r>
    </w:p>
    <w:p w14:paraId="568AD923" w14:textId="1818F841" w:rsidR="007F757E" w:rsidRPr="00472578" w:rsidRDefault="0001184B" w:rsidP="00E92686">
      <w:pPr>
        <w:widowControl w:val="0"/>
        <w:autoSpaceDE w:val="0"/>
        <w:autoSpaceDN w:val="0"/>
        <w:spacing w:before="161"/>
        <w:ind w:left="567" w:hanging="567"/>
        <w:jc w:val="both"/>
      </w:pPr>
      <w:r w:rsidRPr="00472578">
        <w:t>(3)</w:t>
      </w:r>
      <w:r w:rsidRPr="00472578">
        <w:tab/>
      </w:r>
      <w:r w:rsidR="007F757E" w:rsidRPr="00472578" w:rsidDel="000B0CBA">
        <w:rPr>
          <w:strike/>
        </w:rPr>
        <w:t>farming</w:t>
      </w:r>
      <w:r w:rsidR="007F757E" w:rsidRPr="00472578" w:rsidDel="000B0CBA">
        <w:t xml:space="preserve"> </w:t>
      </w:r>
      <w:r w:rsidR="007F757E" w:rsidRPr="00472578">
        <w:rPr>
          <w:i/>
          <w:iCs/>
          <w:u w:val="single"/>
        </w:rPr>
        <w:t>primary production</w:t>
      </w:r>
      <w:r w:rsidR="007F757E" w:rsidRPr="00472578">
        <w:rPr>
          <w:rStyle w:val="FootnoteReference"/>
        </w:rPr>
        <w:footnoteReference w:id="615"/>
      </w:r>
      <w:r w:rsidR="0097212E" w:rsidRPr="0097212E">
        <w:rPr>
          <w:i/>
          <w:iCs/>
        </w:rPr>
        <w:t xml:space="preserve"> </w:t>
      </w:r>
      <w:r w:rsidR="00D651FE">
        <w:t>activities</w:t>
      </w:r>
      <w:r w:rsidR="0097212E">
        <w:t>,</w:t>
      </w:r>
    </w:p>
    <w:p w14:paraId="27B8FE57" w14:textId="1D71CD37" w:rsidR="007F757E" w:rsidRPr="00472578" w:rsidRDefault="0001184B" w:rsidP="00E92686">
      <w:pPr>
        <w:widowControl w:val="0"/>
        <w:autoSpaceDE w:val="0"/>
        <w:autoSpaceDN w:val="0"/>
        <w:spacing w:before="158"/>
        <w:ind w:left="567" w:hanging="567"/>
        <w:jc w:val="both"/>
      </w:pPr>
      <w:r w:rsidRPr="00472578">
        <w:t>(4)</w:t>
      </w:r>
      <w:r w:rsidRPr="00472578">
        <w:tab/>
      </w:r>
      <w:r w:rsidR="007F757E" w:rsidRPr="00472578">
        <w:t>activities that produce dust, and</w:t>
      </w:r>
    </w:p>
    <w:p w14:paraId="7F021549" w14:textId="1CD7ED75" w:rsidR="007F757E" w:rsidRPr="00472578" w:rsidRDefault="0001184B" w:rsidP="00E92686">
      <w:pPr>
        <w:widowControl w:val="0"/>
        <w:autoSpaceDE w:val="0"/>
        <w:autoSpaceDN w:val="0"/>
        <w:spacing w:before="161"/>
        <w:ind w:left="567" w:hanging="567"/>
        <w:jc w:val="both"/>
      </w:pPr>
      <w:r w:rsidRPr="00472578">
        <w:t>(5)</w:t>
      </w:r>
      <w:r w:rsidRPr="00472578">
        <w:tab/>
      </w:r>
      <w:r w:rsidR="007F757E" w:rsidRPr="00472578">
        <w:t>industrial and trade activities.</w:t>
      </w:r>
    </w:p>
    <w:p w14:paraId="6D30FCDE" w14:textId="77777777" w:rsidR="007F757E" w:rsidRPr="00472578" w:rsidRDefault="007F757E" w:rsidP="00E92686">
      <w:pPr>
        <w:pStyle w:val="Heading4"/>
        <w:jc w:val="both"/>
      </w:pPr>
      <w:r w:rsidRPr="00472578">
        <w:t xml:space="preserve">AIR-P6 – Impacts on </w:t>
      </w:r>
      <w:r w:rsidRPr="00472578">
        <w:rPr>
          <w:i/>
        </w:rPr>
        <w:t xml:space="preserve">mana whenua </w:t>
      </w:r>
      <w:r w:rsidRPr="00472578">
        <w:t>values</w:t>
      </w:r>
    </w:p>
    <w:p w14:paraId="0B61B428" w14:textId="569BC834" w:rsidR="007F757E" w:rsidRPr="00472578" w:rsidRDefault="007F757E" w:rsidP="00E92686">
      <w:pPr>
        <w:spacing w:before="161"/>
        <w:jc w:val="both"/>
      </w:pPr>
      <w:r w:rsidRPr="00472578">
        <w:t xml:space="preserve">Avoid </w:t>
      </w:r>
      <w:r w:rsidRPr="00472578">
        <w:rPr>
          <w:i/>
          <w:iCs/>
        </w:rPr>
        <w:t xml:space="preserve">discharges </w:t>
      </w:r>
      <w:r w:rsidRPr="00472578">
        <w:t xml:space="preserve">to air that adversely affect </w:t>
      </w:r>
      <w:r w:rsidRPr="00472578">
        <w:rPr>
          <w:i/>
          <w:iCs/>
        </w:rPr>
        <w:t xml:space="preserve">mana whenua </w:t>
      </w:r>
      <w:r w:rsidRPr="00472578">
        <w:t xml:space="preserve">values by having </w:t>
      </w:r>
      <w:proofErr w:type="gramStart"/>
      <w:r w:rsidRPr="00472578">
        <w:t>particular regard</w:t>
      </w:r>
      <w:proofErr w:type="gramEnd"/>
      <w:r w:rsidRPr="00472578">
        <w:t xml:space="preserve"> to values and areas of significance to </w:t>
      </w:r>
      <w:r w:rsidRPr="00472578">
        <w:rPr>
          <w:i/>
          <w:iCs/>
        </w:rPr>
        <w:t>mana whenua</w:t>
      </w:r>
      <w:r w:rsidRPr="00472578">
        <w:rPr>
          <w:u w:val="single"/>
        </w:rPr>
        <w:t>, including w</w:t>
      </w:r>
      <w:r w:rsidR="00F23F90" w:rsidRPr="00472578">
        <w:rPr>
          <w:u w:val="single"/>
        </w:rPr>
        <w:t>ā</w:t>
      </w:r>
      <w:r w:rsidRPr="00472578">
        <w:rPr>
          <w:u w:val="single"/>
        </w:rPr>
        <w:t>hi t</w:t>
      </w:r>
      <w:r w:rsidR="00F23F90" w:rsidRPr="00472578">
        <w:rPr>
          <w:u w:val="single"/>
        </w:rPr>
        <w:t>ū</w:t>
      </w:r>
      <w:r w:rsidRPr="00472578">
        <w:rPr>
          <w:u w:val="single"/>
        </w:rPr>
        <w:t>puna, w</w:t>
      </w:r>
      <w:r w:rsidR="00F23F90" w:rsidRPr="00472578">
        <w:rPr>
          <w:u w:val="single"/>
        </w:rPr>
        <w:t>ā</w:t>
      </w:r>
      <w:r w:rsidRPr="00472578">
        <w:rPr>
          <w:u w:val="single"/>
        </w:rPr>
        <w:t>hi tapu, and w</w:t>
      </w:r>
      <w:r w:rsidR="00F23F90" w:rsidRPr="00472578">
        <w:rPr>
          <w:u w:val="single"/>
        </w:rPr>
        <w:t>ā</w:t>
      </w:r>
      <w:r w:rsidRPr="00472578">
        <w:rPr>
          <w:u w:val="single"/>
        </w:rPr>
        <w:t>hi taoka.</w:t>
      </w:r>
      <w:r w:rsidRPr="00472578">
        <w:rPr>
          <w:rStyle w:val="FootnoteReference"/>
        </w:rPr>
        <w:footnoteReference w:id="616"/>
      </w:r>
    </w:p>
    <w:p w14:paraId="66C2A232" w14:textId="77777777" w:rsidR="007F757E" w:rsidRPr="00472578" w:rsidRDefault="007F757E" w:rsidP="00E92686">
      <w:pPr>
        <w:pStyle w:val="Heading3"/>
        <w:jc w:val="both"/>
      </w:pPr>
      <w:r w:rsidRPr="00472578">
        <w:t>Methods</w:t>
      </w:r>
    </w:p>
    <w:p w14:paraId="39784DA9" w14:textId="77777777" w:rsidR="007F757E" w:rsidRPr="00472578" w:rsidRDefault="007F757E" w:rsidP="00E92686">
      <w:pPr>
        <w:pStyle w:val="Heading4"/>
        <w:jc w:val="both"/>
      </w:pPr>
      <w:r w:rsidRPr="00472578">
        <w:t xml:space="preserve">AIR-M1 – Review </w:t>
      </w:r>
      <w:r w:rsidRPr="00472578">
        <w:rPr>
          <w:i/>
        </w:rPr>
        <w:t xml:space="preserve">airshed </w:t>
      </w:r>
      <w:r w:rsidRPr="00472578">
        <w:t>boundaries</w:t>
      </w:r>
    </w:p>
    <w:p w14:paraId="57481260" w14:textId="77777777" w:rsidR="007F757E" w:rsidRPr="00472578" w:rsidRDefault="007F757E" w:rsidP="00E92686">
      <w:pPr>
        <w:pStyle w:val="BodyText"/>
      </w:pPr>
      <w:r w:rsidRPr="00472578">
        <w:t xml:space="preserve">Prior to implementing AIR-M2, and no later than 31 December 2022, the Otago Regional Council must review existing </w:t>
      </w:r>
      <w:r w:rsidRPr="00472578">
        <w:rPr>
          <w:i/>
        </w:rPr>
        <w:t xml:space="preserve">airshed </w:t>
      </w:r>
      <w:r w:rsidRPr="00472578">
        <w:t xml:space="preserve">boundaries and apply to the Ministry for the Environment to gazette amended boundaries where </w:t>
      </w:r>
      <w:r w:rsidRPr="00472578">
        <w:rPr>
          <w:i/>
        </w:rPr>
        <w:t xml:space="preserve">airsheds </w:t>
      </w:r>
      <w:r w:rsidRPr="00472578">
        <w:t>do not account for:</w:t>
      </w:r>
    </w:p>
    <w:p w14:paraId="02F5DFBE" w14:textId="5FF2FD87" w:rsidR="007F757E" w:rsidRPr="00472578" w:rsidRDefault="0001184B" w:rsidP="00E92686">
      <w:pPr>
        <w:widowControl w:val="0"/>
        <w:tabs>
          <w:tab w:val="left" w:pos="666"/>
          <w:tab w:val="left" w:pos="667"/>
        </w:tabs>
        <w:autoSpaceDE w:val="0"/>
        <w:autoSpaceDN w:val="0"/>
        <w:spacing w:before="163"/>
        <w:ind w:left="567" w:hanging="567"/>
        <w:jc w:val="both"/>
      </w:pPr>
      <w:r w:rsidRPr="00472578">
        <w:t>(1)</w:t>
      </w:r>
      <w:r w:rsidRPr="00472578">
        <w:tab/>
      </w:r>
      <w:r w:rsidR="007F757E" w:rsidRPr="00472578">
        <w:t>current or anticipated areas of development,</w:t>
      </w:r>
    </w:p>
    <w:p w14:paraId="2D9540F5" w14:textId="412AD7CC" w:rsidR="007F757E" w:rsidRPr="00472578" w:rsidRDefault="0001184B" w:rsidP="00E92686">
      <w:pPr>
        <w:widowControl w:val="0"/>
        <w:tabs>
          <w:tab w:val="left" w:pos="666"/>
          <w:tab w:val="left" w:pos="667"/>
        </w:tabs>
        <w:autoSpaceDE w:val="0"/>
        <w:autoSpaceDN w:val="0"/>
        <w:spacing w:before="161"/>
        <w:ind w:left="567" w:hanging="567"/>
        <w:jc w:val="both"/>
      </w:pPr>
      <w:r w:rsidRPr="00472578">
        <w:t>(2)</w:t>
      </w:r>
      <w:r w:rsidRPr="00472578">
        <w:tab/>
      </w:r>
      <w:r w:rsidR="007F757E" w:rsidRPr="00472578">
        <w:t>weather patterns and geography, or</w:t>
      </w:r>
    </w:p>
    <w:p w14:paraId="51E9D50A" w14:textId="4F5FBE0E" w:rsidR="007F757E" w:rsidRPr="00472578" w:rsidRDefault="0001184B" w:rsidP="00E92686">
      <w:pPr>
        <w:widowControl w:val="0"/>
        <w:tabs>
          <w:tab w:val="left" w:pos="666"/>
          <w:tab w:val="left" w:pos="667"/>
        </w:tabs>
        <w:autoSpaceDE w:val="0"/>
        <w:autoSpaceDN w:val="0"/>
        <w:spacing w:before="159"/>
        <w:ind w:left="567" w:hanging="567"/>
        <w:jc w:val="both"/>
      </w:pPr>
      <w:r w:rsidRPr="00472578">
        <w:t>(3)</w:t>
      </w:r>
      <w:r w:rsidRPr="00472578">
        <w:tab/>
      </w:r>
      <w:r w:rsidR="007F757E" w:rsidRPr="00472578">
        <w:t>existing areas</w:t>
      </w:r>
      <w:r w:rsidR="00833492">
        <w:t xml:space="preserve"> </w:t>
      </w:r>
      <w:r w:rsidR="007F757E" w:rsidRPr="00833492" w:rsidDel="000B0CBA">
        <w:t xml:space="preserve">of </w:t>
      </w:r>
      <w:r w:rsidR="00833492" w:rsidRPr="00833492">
        <w:rPr>
          <w:u w:val="single"/>
        </w:rPr>
        <w:t>degraded</w:t>
      </w:r>
      <w:r w:rsidR="00833492">
        <w:rPr>
          <w:u w:val="single"/>
        </w:rPr>
        <w:t xml:space="preserve"> </w:t>
      </w:r>
      <w:r w:rsidR="007F757E" w:rsidRPr="00472578" w:rsidDel="000B0CBA">
        <w:rPr>
          <w:strike/>
        </w:rPr>
        <w:t xml:space="preserve">poor </w:t>
      </w:r>
      <w:r w:rsidR="00833492" w:rsidRPr="00472578">
        <w:rPr>
          <w:rStyle w:val="FootnoteReference"/>
        </w:rPr>
        <w:footnoteReference w:id="617"/>
      </w:r>
      <w:r w:rsidR="007F757E" w:rsidRPr="00833492" w:rsidDel="000B0CBA">
        <w:t>air quality</w:t>
      </w:r>
      <w:r w:rsidR="007F757E" w:rsidRPr="00833492">
        <w:t>.</w:t>
      </w:r>
    </w:p>
    <w:p w14:paraId="719AA0A4" w14:textId="77777777" w:rsidR="007F757E" w:rsidRPr="00472578" w:rsidRDefault="007F757E" w:rsidP="00461789">
      <w:pPr>
        <w:jc w:val="both"/>
        <w:rPr>
          <w:b/>
          <w:i/>
          <w:sz w:val="24"/>
        </w:rPr>
      </w:pPr>
      <w:r w:rsidRPr="001730D4">
        <w:rPr>
          <w:rFonts w:eastAsiaTheme="majorEastAsia" w:cstheme="majorBidi"/>
          <w:b/>
          <w:color w:val="1F3864" w:themeColor="accent1" w:themeShade="80"/>
          <w:sz w:val="24"/>
        </w:rPr>
        <w:lastRenderedPageBreak/>
        <w:t>AIR-M2 –</w:t>
      </w:r>
      <w:r w:rsidRPr="00472578">
        <w:rPr>
          <w:b/>
          <w:color w:val="1F3863"/>
          <w:sz w:val="24"/>
        </w:rPr>
        <w:t xml:space="preserve"> </w:t>
      </w:r>
      <w:r w:rsidRPr="00472578">
        <w:rPr>
          <w:b/>
          <w:i/>
          <w:color w:val="1F3863"/>
          <w:sz w:val="24"/>
        </w:rPr>
        <w:t>Regional plans</w:t>
      </w:r>
    </w:p>
    <w:p w14:paraId="41F20208" w14:textId="0F694AA7" w:rsidR="007F757E" w:rsidRPr="00472578" w:rsidRDefault="007F757E" w:rsidP="00461789">
      <w:pPr>
        <w:pStyle w:val="BodyText"/>
      </w:pPr>
      <w:r w:rsidRPr="00472578">
        <w:t>No later than 31 December 2024, Otago Regional Council must prepare or amend and maintain its</w:t>
      </w:r>
      <w:r w:rsidR="00461789" w:rsidRPr="00472578">
        <w:t xml:space="preserve"> </w:t>
      </w:r>
      <w:r w:rsidRPr="00472578">
        <w:rPr>
          <w:i/>
        </w:rPr>
        <w:t xml:space="preserve">regional plans </w:t>
      </w:r>
      <w:r w:rsidRPr="00472578">
        <w:t>to:</w:t>
      </w:r>
    </w:p>
    <w:p w14:paraId="7C44B5E2" w14:textId="7810F744" w:rsidR="007F757E" w:rsidRPr="00472578" w:rsidRDefault="0001184B" w:rsidP="00E92686">
      <w:pPr>
        <w:widowControl w:val="0"/>
        <w:tabs>
          <w:tab w:val="left" w:pos="666"/>
          <w:tab w:val="left" w:pos="667"/>
        </w:tabs>
        <w:autoSpaceDE w:val="0"/>
        <w:autoSpaceDN w:val="0"/>
        <w:spacing w:before="178"/>
        <w:ind w:left="567" w:hanging="567"/>
        <w:jc w:val="both"/>
      </w:pPr>
      <w:r w:rsidRPr="00472578">
        <w:t>(1)</w:t>
      </w:r>
      <w:r w:rsidRPr="00472578">
        <w:tab/>
      </w:r>
      <w:r w:rsidR="007F757E" w:rsidRPr="00472578">
        <w:t xml:space="preserve">avoid offensive, objectionable, </w:t>
      </w:r>
      <w:proofErr w:type="gramStart"/>
      <w:r w:rsidR="007F757E" w:rsidRPr="00472578">
        <w:t>noxious</w:t>
      </w:r>
      <w:proofErr w:type="gramEnd"/>
      <w:r w:rsidR="007F757E" w:rsidRPr="00472578">
        <w:t xml:space="preserve"> or dangerous </w:t>
      </w:r>
      <w:r w:rsidR="007F757E" w:rsidRPr="00472578">
        <w:rPr>
          <w:i/>
        </w:rPr>
        <w:t xml:space="preserve">discharges </w:t>
      </w:r>
      <w:r w:rsidR="007F757E" w:rsidRPr="00472578">
        <w:t>to air,</w:t>
      </w:r>
    </w:p>
    <w:p w14:paraId="73029C27" w14:textId="00E71CAE" w:rsidR="007F757E" w:rsidRPr="00472578" w:rsidRDefault="0001184B" w:rsidP="00E92686">
      <w:pPr>
        <w:widowControl w:val="0"/>
        <w:tabs>
          <w:tab w:val="left" w:pos="666"/>
          <w:tab w:val="left" w:pos="667"/>
        </w:tabs>
        <w:autoSpaceDE w:val="0"/>
        <w:autoSpaceDN w:val="0"/>
        <w:spacing w:before="161"/>
        <w:ind w:left="567" w:right="115" w:hanging="567"/>
        <w:jc w:val="both"/>
      </w:pPr>
      <w:r w:rsidRPr="00472578">
        <w:t>(2)</w:t>
      </w:r>
      <w:r w:rsidRPr="00472578">
        <w:tab/>
      </w:r>
      <w:r w:rsidR="007F757E" w:rsidRPr="00472578">
        <w:t xml:space="preserve">include provisions to mitigate the adverse </w:t>
      </w:r>
      <w:r w:rsidR="007F757E" w:rsidRPr="00472578">
        <w:rPr>
          <w:i/>
        </w:rPr>
        <w:t xml:space="preserve">effects </w:t>
      </w:r>
      <w:r w:rsidR="007F757E" w:rsidRPr="00472578">
        <w:t xml:space="preserve">from </w:t>
      </w:r>
      <w:r w:rsidR="007F757E" w:rsidRPr="00472578">
        <w:rPr>
          <w:i/>
        </w:rPr>
        <w:t xml:space="preserve">discharges </w:t>
      </w:r>
      <w:r w:rsidR="007F757E" w:rsidRPr="00472578">
        <w:t>to air beyond the boundary of the property of origin,</w:t>
      </w:r>
    </w:p>
    <w:p w14:paraId="462D8A84" w14:textId="4C0AC475" w:rsidR="007F757E" w:rsidRPr="00472578" w:rsidRDefault="0001184B" w:rsidP="00E92686">
      <w:pPr>
        <w:widowControl w:val="0"/>
        <w:tabs>
          <w:tab w:val="left" w:pos="666"/>
          <w:tab w:val="left" w:pos="667"/>
        </w:tabs>
        <w:autoSpaceDE w:val="0"/>
        <w:autoSpaceDN w:val="0"/>
        <w:spacing w:before="159"/>
        <w:ind w:left="567" w:hanging="567"/>
        <w:jc w:val="both"/>
      </w:pPr>
      <w:r w:rsidRPr="00472578">
        <w:t>(3)</w:t>
      </w:r>
      <w:r w:rsidRPr="00472578">
        <w:tab/>
      </w:r>
      <w:r w:rsidR="007F757E" w:rsidRPr="00472578">
        <w:t>implement the prioritisation of actions set out in AIR-P2,</w:t>
      </w:r>
    </w:p>
    <w:p w14:paraId="7ABD695E" w14:textId="02646F6F" w:rsidR="007F757E" w:rsidRPr="00472578" w:rsidRDefault="0001184B" w:rsidP="00E92686">
      <w:pPr>
        <w:widowControl w:val="0"/>
        <w:tabs>
          <w:tab w:val="left" w:pos="667"/>
        </w:tabs>
        <w:autoSpaceDE w:val="0"/>
        <w:autoSpaceDN w:val="0"/>
        <w:spacing w:before="41"/>
        <w:ind w:left="567" w:right="114" w:hanging="567"/>
        <w:jc w:val="both"/>
      </w:pPr>
      <w:r w:rsidRPr="00472578">
        <w:t>(4)</w:t>
      </w:r>
      <w:r w:rsidRPr="00472578">
        <w:tab/>
      </w:r>
      <w:r w:rsidR="007F757E" w:rsidRPr="00472578">
        <w:t xml:space="preserve">mitigate the adverse </w:t>
      </w:r>
      <w:r w:rsidR="007F757E" w:rsidRPr="00472578">
        <w:rPr>
          <w:i/>
          <w:iCs/>
        </w:rPr>
        <w:t xml:space="preserve">effects </w:t>
      </w:r>
      <w:r w:rsidR="007F757E" w:rsidRPr="00472578">
        <w:t xml:space="preserve">of </w:t>
      </w:r>
      <w:r w:rsidR="007F757E" w:rsidRPr="00472578">
        <w:rPr>
          <w:i/>
          <w:iCs/>
        </w:rPr>
        <w:t xml:space="preserve">discharges </w:t>
      </w:r>
      <w:r w:rsidR="007F757E" w:rsidRPr="00472578">
        <w:t xml:space="preserve">to air in areas adjacent to </w:t>
      </w:r>
      <w:r w:rsidR="007F757E" w:rsidRPr="00472578">
        <w:rPr>
          <w:i/>
          <w:iCs/>
        </w:rPr>
        <w:t xml:space="preserve">polluted airsheds </w:t>
      </w:r>
      <w:r w:rsidR="007F757E" w:rsidRPr="00472578">
        <w:t xml:space="preserve">where the </w:t>
      </w:r>
      <w:r w:rsidR="007F757E" w:rsidRPr="00472578">
        <w:rPr>
          <w:i/>
          <w:iCs/>
        </w:rPr>
        <w:t>discharge</w:t>
      </w:r>
      <w:r w:rsidR="007F757E" w:rsidRPr="00472578">
        <w:rPr>
          <w:i/>
        </w:rPr>
        <w:t xml:space="preserve"> </w:t>
      </w:r>
      <w:r w:rsidR="007F757E" w:rsidRPr="00472578">
        <w:t xml:space="preserve">will adversely affect air quality in the </w:t>
      </w:r>
      <w:r w:rsidR="007F757E" w:rsidRPr="00472578">
        <w:rPr>
          <w:i/>
          <w:iCs/>
        </w:rPr>
        <w:t>polluted airshed</w:t>
      </w:r>
      <w:r w:rsidR="007F757E" w:rsidRPr="00472578">
        <w:t xml:space="preserve">, </w:t>
      </w:r>
      <w:r w:rsidR="007F757E" w:rsidRPr="00472578" w:rsidDel="000B0CBA">
        <w:rPr>
          <w:strike/>
        </w:rPr>
        <w:t>and</w:t>
      </w:r>
    </w:p>
    <w:p w14:paraId="4F8023F9" w14:textId="6F4FBA6D" w:rsidR="007F757E" w:rsidRPr="00472578" w:rsidRDefault="0001184B" w:rsidP="00E92686">
      <w:pPr>
        <w:widowControl w:val="0"/>
        <w:tabs>
          <w:tab w:val="left" w:pos="666"/>
          <w:tab w:val="left" w:pos="667"/>
        </w:tabs>
        <w:autoSpaceDE w:val="0"/>
        <w:autoSpaceDN w:val="0"/>
        <w:spacing w:before="159"/>
        <w:ind w:left="567" w:hanging="567"/>
        <w:jc w:val="both"/>
        <w:rPr>
          <w:u w:val="single"/>
        </w:rPr>
      </w:pPr>
      <w:r w:rsidRPr="00472578">
        <w:t>(5)</w:t>
      </w:r>
      <w:r w:rsidRPr="00472578">
        <w:tab/>
      </w:r>
      <w:r w:rsidR="007F757E" w:rsidRPr="00472578">
        <w:t>give effect to the Air Quality Strategy for Otago and any subsequent amendments or updates</w:t>
      </w:r>
      <w:r w:rsidR="00303542" w:rsidRPr="00472578">
        <w:rPr>
          <w:strike/>
        </w:rPr>
        <w:t>.</w:t>
      </w:r>
      <w:r w:rsidR="007F757E" w:rsidRPr="00472578">
        <w:rPr>
          <w:u w:val="single"/>
        </w:rPr>
        <w:t>,</w:t>
      </w:r>
      <w:r w:rsidR="007F757E" w:rsidRPr="00472578">
        <w:t xml:space="preserve"> </w:t>
      </w:r>
      <w:r w:rsidR="007F757E" w:rsidRPr="00472578">
        <w:rPr>
          <w:u w:val="single"/>
        </w:rPr>
        <w:t>and</w:t>
      </w:r>
    </w:p>
    <w:p w14:paraId="11AC6A86" w14:textId="06B59592" w:rsidR="007F757E" w:rsidRPr="00472578" w:rsidRDefault="0001184B" w:rsidP="00E92686">
      <w:pPr>
        <w:widowControl w:val="0"/>
        <w:tabs>
          <w:tab w:val="left" w:pos="666"/>
          <w:tab w:val="left" w:pos="667"/>
        </w:tabs>
        <w:autoSpaceDE w:val="0"/>
        <w:autoSpaceDN w:val="0"/>
        <w:spacing w:before="159"/>
        <w:ind w:left="567" w:hanging="567"/>
        <w:jc w:val="both"/>
        <w:rPr>
          <w:u w:val="single"/>
        </w:rPr>
      </w:pPr>
      <w:r w:rsidRPr="00472578">
        <w:rPr>
          <w:u w:val="single"/>
        </w:rPr>
        <w:t>(6)</w:t>
      </w:r>
      <w:r w:rsidRPr="00472578">
        <w:rPr>
          <w:u w:val="single"/>
        </w:rPr>
        <w:tab/>
      </w:r>
      <w:r w:rsidR="007F757E" w:rsidRPr="00472578">
        <w:rPr>
          <w:u w:val="single"/>
        </w:rPr>
        <w:t xml:space="preserve">include measures to avoid adverse effects of discharges to air on </w:t>
      </w:r>
      <w:r w:rsidR="007F757E" w:rsidRPr="00096B04">
        <w:rPr>
          <w:i/>
          <w:u w:val="single"/>
        </w:rPr>
        <w:t>mana whenua</w:t>
      </w:r>
      <w:r w:rsidR="007F757E" w:rsidRPr="00472578">
        <w:rPr>
          <w:u w:val="single"/>
        </w:rPr>
        <w:t xml:space="preserve"> values and </w:t>
      </w:r>
      <w:r w:rsidRPr="00472578">
        <w:rPr>
          <w:u w:val="single"/>
        </w:rPr>
        <w:t>wāhi</w:t>
      </w:r>
      <w:r w:rsidR="007F757E" w:rsidRPr="00472578">
        <w:rPr>
          <w:u w:val="single"/>
        </w:rPr>
        <w:t xml:space="preserve"> </w:t>
      </w:r>
      <w:r w:rsidRPr="00472578">
        <w:rPr>
          <w:u w:val="single"/>
        </w:rPr>
        <w:t>tūpuna</w:t>
      </w:r>
      <w:r w:rsidR="007F757E" w:rsidRPr="00472578">
        <w:rPr>
          <w:u w:val="single"/>
        </w:rPr>
        <w:t>.</w:t>
      </w:r>
      <w:r w:rsidR="007F757E" w:rsidRPr="00472578">
        <w:rPr>
          <w:rStyle w:val="FootnoteReference"/>
        </w:rPr>
        <w:footnoteReference w:id="618"/>
      </w:r>
    </w:p>
    <w:p w14:paraId="1E7F5EFD" w14:textId="77777777" w:rsidR="007F757E" w:rsidRPr="00472578" w:rsidRDefault="007F757E" w:rsidP="00E92686">
      <w:pPr>
        <w:pStyle w:val="Heading4"/>
        <w:jc w:val="both"/>
      </w:pPr>
      <w:r w:rsidRPr="00472578">
        <w:t>AIR-M3 – Territorial authorities</w:t>
      </w:r>
    </w:p>
    <w:p w14:paraId="176BE542" w14:textId="77777777" w:rsidR="007F757E" w:rsidRPr="00472578" w:rsidRDefault="007F757E" w:rsidP="00E92686">
      <w:pPr>
        <w:pStyle w:val="BodyText"/>
      </w:pPr>
      <w:r w:rsidRPr="00472578">
        <w:t xml:space="preserve">No later than 31 December 2029, </w:t>
      </w:r>
      <w:r w:rsidRPr="00472578">
        <w:rPr>
          <w:i/>
        </w:rPr>
        <w:t xml:space="preserve">territorial authorities </w:t>
      </w:r>
      <w:r w:rsidRPr="00472578">
        <w:t xml:space="preserve">must prepare or amend and maintain their </w:t>
      </w:r>
      <w:r w:rsidRPr="00472578">
        <w:rPr>
          <w:i/>
        </w:rPr>
        <w:t xml:space="preserve">district plans </w:t>
      </w:r>
      <w:r w:rsidRPr="00472578">
        <w:t>to include provisions that direct an urban form that assists in achieving good air quality by:</w:t>
      </w:r>
    </w:p>
    <w:p w14:paraId="2146C42F" w14:textId="5C1A34A2" w:rsidR="007F757E" w:rsidRPr="00472578" w:rsidRDefault="0001184B" w:rsidP="00E92686">
      <w:pPr>
        <w:widowControl w:val="0"/>
        <w:tabs>
          <w:tab w:val="left" w:pos="667"/>
        </w:tabs>
        <w:autoSpaceDE w:val="0"/>
        <w:autoSpaceDN w:val="0"/>
        <w:spacing w:before="159"/>
        <w:ind w:left="567" w:right="113" w:hanging="567"/>
        <w:jc w:val="both"/>
      </w:pPr>
      <w:r w:rsidRPr="00472578">
        <w:t>(1)</w:t>
      </w:r>
      <w:r w:rsidRPr="00472578">
        <w:tab/>
      </w:r>
      <w:r w:rsidR="007F757E" w:rsidRPr="00472578">
        <w:rPr>
          <w:strike/>
        </w:rPr>
        <w:t>reducing</w:t>
      </w:r>
      <w:r w:rsidR="007F757E" w:rsidRPr="00472578" w:rsidDel="00E97E64">
        <w:t xml:space="preserve"> </w:t>
      </w:r>
      <w:r w:rsidR="007F757E" w:rsidRPr="00472578">
        <w:rPr>
          <w:u w:val="single"/>
        </w:rPr>
        <w:t>encourag</w:t>
      </w:r>
      <w:r w:rsidR="006E158F" w:rsidRPr="00472578">
        <w:rPr>
          <w:u w:val="single"/>
        </w:rPr>
        <w:t>ing</w:t>
      </w:r>
      <w:r w:rsidR="007F757E" w:rsidRPr="00472578">
        <w:rPr>
          <w:u w:val="single"/>
        </w:rPr>
        <w:t xml:space="preserve"> or facilitat</w:t>
      </w:r>
      <w:r w:rsidR="006E158F" w:rsidRPr="00472578">
        <w:rPr>
          <w:u w:val="single"/>
        </w:rPr>
        <w:t>ing</w:t>
      </w:r>
      <w:r w:rsidR="007F757E" w:rsidRPr="00472578">
        <w:rPr>
          <w:u w:val="single"/>
        </w:rPr>
        <w:t xml:space="preserve"> a reduced</w:t>
      </w:r>
      <w:r w:rsidR="007F757E" w:rsidRPr="00472578">
        <w:rPr>
          <w:rStyle w:val="FootnoteReference"/>
        </w:rPr>
        <w:footnoteReference w:id="619"/>
      </w:r>
      <w:r w:rsidR="007F757E" w:rsidRPr="00472578">
        <w:t xml:space="preserve"> reliance on private </w:t>
      </w:r>
      <w:r w:rsidR="007F757E" w:rsidRPr="00472578">
        <w:rPr>
          <w:u w:val="single"/>
        </w:rPr>
        <w:t>non-electric</w:t>
      </w:r>
      <w:r w:rsidR="009A2298" w:rsidRPr="00472578">
        <w:rPr>
          <w:rStyle w:val="FootnoteReference"/>
        </w:rPr>
        <w:footnoteReference w:id="620"/>
      </w:r>
      <w:r w:rsidR="007F757E" w:rsidRPr="00472578">
        <w:t xml:space="preserve"> motor vehicles and enabling the adoption of </w:t>
      </w:r>
      <w:r w:rsidR="007F757E" w:rsidRPr="00472578">
        <w:rPr>
          <w:i/>
          <w:iCs/>
        </w:rPr>
        <w:t>active transport</w:t>
      </w:r>
      <w:r w:rsidR="007F757E" w:rsidRPr="00472578">
        <w:t xml:space="preserve">, shared </w:t>
      </w:r>
      <w:proofErr w:type="gramStart"/>
      <w:r w:rsidR="007F757E" w:rsidRPr="00472578">
        <w:t>transport</w:t>
      </w:r>
      <w:proofErr w:type="gramEnd"/>
      <w:r w:rsidR="007F757E" w:rsidRPr="00472578">
        <w:t xml:space="preserve"> and </w:t>
      </w:r>
      <w:r w:rsidR="007F757E" w:rsidRPr="00472578">
        <w:rPr>
          <w:i/>
          <w:iCs/>
        </w:rPr>
        <w:t xml:space="preserve">public transport </w:t>
      </w:r>
      <w:r w:rsidR="007F757E" w:rsidRPr="00472578">
        <w:t>options to assist in achieving good air quality, and</w:t>
      </w:r>
    </w:p>
    <w:p w14:paraId="32E1032F" w14:textId="096538C7" w:rsidR="007F757E" w:rsidRPr="00472578" w:rsidRDefault="0001184B" w:rsidP="00E92686">
      <w:pPr>
        <w:widowControl w:val="0"/>
        <w:tabs>
          <w:tab w:val="left" w:pos="666"/>
          <w:tab w:val="left" w:pos="667"/>
        </w:tabs>
        <w:autoSpaceDE w:val="0"/>
        <w:autoSpaceDN w:val="0"/>
        <w:spacing w:before="161"/>
        <w:ind w:left="567" w:hanging="567"/>
        <w:jc w:val="both"/>
      </w:pPr>
      <w:r w:rsidRPr="00472578">
        <w:t>(2)</w:t>
      </w:r>
      <w:r w:rsidRPr="00472578">
        <w:tab/>
      </w:r>
      <w:r w:rsidR="007F757E" w:rsidRPr="00472578">
        <w:t>managing the spatial distribution of activities.</w:t>
      </w:r>
    </w:p>
    <w:p w14:paraId="34C7EA4F" w14:textId="77777777" w:rsidR="007F757E" w:rsidRPr="00472578" w:rsidRDefault="007F757E" w:rsidP="00E92686">
      <w:pPr>
        <w:pStyle w:val="Heading4"/>
        <w:jc w:val="both"/>
      </w:pPr>
      <w:r w:rsidRPr="00472578">
        <w:t>AIR-M4 – Monitoring and reporting</w:t>
      </w:r>
    </w:p>
    <w:p w14:paraId="7474AD71" w14:textId="77777777" w:rsidR="007F757E" w:rsidRPr="00472578" w:rsidRDefault="007F757E" w:rsidP="00E92686">
      <w:pPr>
        <w:pStyle w:val="BodyText"/>
      </w:pPr>
      <w:r w:rsidRPr="00472578">
        <w:t>Otago Regional Council must monitor and report no less frequently than annually on:</w:t>
      </w:r>
    </w:p>
    <w:p w14:paraId="09867CD0" w14:textId="3C44D210" w:rsidR="007F757E" w:rsidRPr="00472578" w:rsidRDefault="0001184B" w:rsidP="00E92686">
      <w:pPr>
        <w:widowControl w:val="0"/>
        <w:tabs>
          <w:tab w:val="left" w:pos="666"/>
          <w:tab w:val="left" w:pos="667"/>
        </w:tabs>
        <w:autoSpaceDE w:val="0"/>
        <w:autoSpaceDN w:val="0"/>
        <w:spacing w:before="175"/>
        <w:ind w:left="567" w:hanging="567"/>
        <w:jc w:val="both"/>
      </w:pPr>
      <w:r w:rsidRPr="00472578">
        <w:t>(1)</w:t>
      </w:r>
      <w:r w:rsidRPr="00472578">
        <w:tab/>
      </w:r>
      <w:r w:rsidR="007F757E" w:rsidRPr="00472578">
        <w:t>air quality in accordance with the NESAQ to identify changes in ambient air quality within</w:t>
      </w:r>
      <w:r w:rsidRPr="00472578">
        <w:t xml:space="preserve"> </w:t>
      </w:r>
      <w:r w:rsidR="007F757E" w:rsidRPr="00472578">
        <w:rPr>
          <w:i/>
        </w:rPr>
        <w:t>airsheds</w:t>
      </w:r>
      <w:r w:rsidR="007F757E" w:rsidRPr="00472578">
        <w:t>, and</w:t>
      </w:r>
    </w:p>
    <w:p w14:paraId="076EFA41" w14:textId="1F9B6B1C" w:rsidR="007F757E" w:rsidRPr="00472578" w:rsidRDefault="0001184B" w:rsidP="00E92686">
      <w:pPr>
        <w:widowControl w:val="0"/>
        <w:tabs>
          <w:tab w:val="left" w:pos="666"/>
          <w:tab w:val="left" w:pos="667"/>
        </w:tabs>
        <w:autoSpaceDE w:val="0"/>
        <w:autoSpaceDN w:val="0"/>
        <w:spacing w:before="161"/>
        <w:ind w:left="567" w:hanging="567"/>
        <w:jc w:val="both"/>
      </w:pPr>
      <w:r w:rsidRPr="00472578">
        <w:t>(2)</w:t>
      </w:r>
      <w:r w:rsidRPr="00472578">
        <w:tab/>
      </w:r>
      <w:r w:rsidR="007F757E" w:rsidRPr="00472578">
        <w:t xml:space="preserve">progress towards attainment of the </w:t>
      </w:r>
      <w:r w:rsidR="007F757E" w:rsidRPr="00472578">
        <w:rPr>
          <w:i/>
        </w:rPr>
        <w:t>ambient air quality standards</w:t>
      </w:r>
      <w:r w:rsidR="007F757E" w:rsidRPr="00472578">
        <w:t>.</w:t>
      </w:r>
    </w:p>
    <w:p w14:paraId="0FBD7189" w14:textId="77777777" w:rsidR="007F757E" w:rsidRPr="00472578" w:rsidRDefault="007F757E" w:rsidP="00E92686">
      <w:pPr>
        <w:pStyle w:val="Heading4"/>
        <w:jc w:val="both"/>
      </w:pPr>
      <w:r w:rsidRPr="00472578">
        <w:t>AIR-M5 – Incentives and other mechanisms</w:t>
      </w:r>
    </w:p>
    <w:p w14:paraId="71B93BF4" w14:textId="738C4A67" w:rsidR="007F757E" w:rsidRPr="00472578" w:rsidRDefault="0004766E" w:rsidP="00E92686">
      <w:pPr>
        <w:pStyle w:val="BodyText"/>
      </w:pPr>
      <w:r>
        <w:rPr>
          <w:u w:val="single"/>
        </w:rPr>
        <w:t>In partnership with K</w:t>
      </w:r>
      <w:r w:rsidRPr="639E38F9">
        <w:rPr>
          <w:u w:val="single"/>
        </w:rPr>
        <w:t>ā</w:t>
      </w:r>
      <w:r>
        <w:rPr>
          <w:u w:val="single"/>
        </w:rPr>
        <w:t>i Tahu ki Otago and i</w:t>
      </w:r>
      <w:r w:rsidR="007F757E" w:rsidRPr="0004766E">
        <w:rPr>
          <w:strike/>
        </w:rPr>
        <w:t>I</w:t>
      </w:r>
      <w:r w:rsidR="007F757E" w:rsidRPr="00472578">
        <w:t>n</w:t>
      </w:r>
      <w:r w:rsidR="00562B3D">
        <w:rPr>
          <w:rStyle w:val="FootnoteReference"/>
        </w:rPr>
        <w:footnoteReference w:id="621"/>
      </w:r>
      <w:r w:rsidR="007F757E" w:rsidRPr="00472578">
        <w:t xml:space="preserve"> </w:t>
      </w:r>
      <w:r w:rsidR="007F757E" w:rsidRPr="00593215" w:rsidDel="00F46B57">
        <w:t xml:space="preserve">collaboration with </w:t>
      </w:r>
      <w:r w:rsidR="007F757E" w:rsidRPr="00593215" w:rsidDel="00F46B57">
        <w:rPr>
          <w:i/>
        </w:rPr>
        <w:t>territorial authorities</w:t>
      </w:r>
      <w:r w:rsidR="007F757E" w:rsidRPr="00593215">
        <w:t xml:space="preserve">, </w:t>
      </w:r>
      <w:r w:rsidR="007F757E" w:rsidRPr="00472578">
        <w:rPr>
          <w:strike/>
        </w:rPr>
        <w:t>iwi authorities</w:t>
      </w:r>
      <w:r w:rsidR="0001184B" w:rsidRPr="00593215">
        <w:rPr>
          <w:strike/>
        </w:rPr>
        <w:t>,</w:t>
      </w:r>
      <w:r w:rsidR="007F757E" w:rsidRPr="00472578">
        <w:rPr>
          <w:rStyle w:val="FootnoteReference"/>
        </w:rPr>
        <w:footnoteReference w:id="622"/>
      </w:r>
      <w:r w:rsidR="007F757E" w:rsidRPr="00472578">
        <w:t xml:space="preserve"> key stakeholders and industry, Otago Regional Council must, on an on-going basis, use other mechanisms or incentives to assist with achieving the air quality objectives, including:</w:t>
      </w:r>
    </w:p>
    <w:p w14:paraId="6A3DFFC4" w14:textId="3D51331E" w:rsidR="007F757E" w:rsidRPr="00472578" w:rsidRDefault="0001184B" w:rsidP="00E92686">
      <w:pPr>
        <w:widowControl w:val="0"/>
        <w:tabs>
          <w:tab w:val="left" w:pos="666"/>
          <w:tab w:val="left" w:pos="667"/>
        </w:tabs>
        <w:autoSpaceDE w:val="0"/>
        <w:autoSpaceDN w:val="0"/>
        <w:spacing w:before="164"/>
        <w:ind w:left="567" w:hanging="567"/>
        <w:jc w:val="both"/>
      </w:pPr>
      <w:r w:rsidRPr="00472578">
        <w:t>(1)</w:t>
      </w:r>
      <w:r w:rsidRPr="00472578">
        <w:tab/>
      </w:r>
      <w:r w:rsidR="007F757E" w:rsidRPr="00472578">
        <w:t>improving community awareness of air quality issues in Otago associated with home heating,</w:t>
      </w:r>
    </w:p>
    <w:p w14:paraId="6789F36B" w14:textId="17859452" w:rsidR="007F757E" w:rsidRPr="00472578" w:rsidRDefault="0001184B" w:rsidP="00E92686">
      <w:pPr>
        <w:widowControl w:val="0"/>
        <w:tabs>
          <w:tab w:val="left" w:pos="667"/>
        </w:tabs>
        <w:autoSpaceDE w:val="0"/>
        <w:autoSpaceDN w:val="0"/>
        <w:spacing w:before="161"/>
        <w:ind w:left="567" w:right="116" w:hanging="567"/>
        <w:jc w:val="both"/>
      </w:pPr>
      <w:r w:rsidRPr="00472578">
        <w:lastRenderedPageBreak/>
        <w:t>(2)</w:t>
      </w:r>
      <w:r w:rsidRPr="00472578">
        <w:tab/>
      </w:r>
      <w:r w:rsidR="007F757E" w:rsidRPr="00472578">
        <w:t>educating communities and promoting the use of alternative methods for home heating including the use of new technology (including low emission or ultra-low emission home heating appliances) and cleaner fuels or energy sources,</w:t>
      </w:r>
    </w:p>
    <w:p w14:paraId="324C3B52" w14:textId="3916D803" w:rsidR="007F757E" w:rsidRPr="00472578" w:rsidRDefault="0001184B" w:rsidP="00E92686">
      <w:pPr>
        <w:widowControl w:val="0"/>
        <w:tabs>
          <w:tab w:val="left" w:pos="667"/>
        </w:tabs>
        <w:autoSpaceDE w:val="0"/>
        <w:autoSpaceDN w:val="0"/>
        <w:spacing w:before="159"/>
        <w:ind w:left="567" w:right="114" w:hanging="567"/>
        <w:jc w:val="both"/>
      </w:pPr>
      <w:r w:rsidRPr="00472578">
        <w:t>(3)</w:t>
      </w:r>
      <w:r w:rsidRPr="00472578">
        <w:tab/>
      </w:r>
      <w:r w:rsidR="007F757E" w:rsidRPr="00472578">
        <w:t xml:space="preserve">advocating, </w:t>
      </w:r>
      <w:proofErr w:type="gramStart"/>
      <w:r w:rsidR="007F757E" w:rsidRPr="00472578">
        <w:t>promoting</w:t>
      </w:r>
      <w:proofErr w:type="gramEnd"/>
      <w:r w:rsidR="007F757E" w:rsidRPr="00472578">
        <w:t xml:space="preserve"> and supporting upgrading Otago’s housing stock and changes to the Building Act 2004 and Building Code to require houses to create and maintain warmth more efficiently and reduce reliance on non-compliant domestic </w:t>
      </w:r>
      <w:r w:rsidR="007F757E" w:rsidRPr="00472578">
        <w:rPr>
          <w:i/>
        </w:rPr>
        <w:t xml:space="preserve">solid fuel </w:t>
      </w:r>
      <w:r w:rsidR="007F757E" w:rsidRPr="00472578">
        <w:t>burning appliances as described in AIR-P2,</w:t>
      </w:r>
    </w:p>
    <w:p w14:paraId="318C7E66" w14:textId="3A136107" w:rsidR="007F757E" w:rsidRPr="00472578" w:rsidRDefault="0001184B" w:rsidP="00E92686">
      <w:pPr>
        <w:widowControl w:val="0"/>
        <w:tabs>
          <w:tab w:val="left" w:pos="667"/>
        </w:tabs>
        <w:autoSpaceDE w:val="0"/>
        <w:autoSpaceDN w:val="0"/>
        <w:spacing w:before="160"/>
        <w:ind w:left="567" w:right="114" w:hanging="567"/>
        <w:jc w:val="both"/>
      </w:pPr>
      <w:r w:rsidRPr="00472578">
        <w:t>(4)</w:t>
      </w:r>
      <w:r w:rsidRPr="00472578">
        <w:tab/>
      </w:r>
      <w:r w:rsidR="007F757E" w:rsidRPr="00472578">
        <w:t xml:space="preserve">advocating to energy providers to improve the </w:t>
      </w:r>
      <w:r w:rsidR="007F757E" w:rsidRPr="00472578">
        <w:rPr>
          <w:i/>
        </w:rPr>
        <w:t xml:space="preserve">resilience </w:t>
      </w:r>
      <w:r w:rsidR="00FB33D0" w:rsidRPr="00BF7742">
        <w:rPr>
          <w:iCs/>
          <w:u w:val="single"/>
        </w:rPr>
        <w:t xml:space="preserve">and </w:t>
      </w:r>
      <w:r w:rsidR="00BF7742" w:rsidRPr="00BF7742">
        <w:rPr>
          <w:iCs/>
          <w:u w:val="single"/>
        </w:rPr>
        <w:t>reliability</w:t>
      </w:r>
      <w:r w:rsidR="00BF7742" w:rsidRPr="00BF7742">
        <w:rPr>
          <w:rStyle w:val="FootnoteReference"/>
          <w:iCs/>
        </w:rPr>
        <w:footnoteReference w:id="623"/>
      </w:r>
      <w:r w:rsidR="00BF7742">
        <w:rPr>
          <w:i/>
        </w:rPr>
        <w:t xml:space="preserve"> </w:t>
      </w:r>
      <w:r w:rsidR="007F757E" w:rsidRPr="00472578">
        <w:t>of electricity infrastructure so alternative sources of heating are available and reliable,</w:t>
      </w:r>
    </w:p>
    <w:p w14:paraId="75D9DF13" w14:textId="7E3FA84D" w:rsidR="007F757E" w:rsidRPr="00472578" w:rsidRDefault="0001184B" w:rsidP="00E92686">
      <w:pPr>
        <w:widowControl w:val="0"/>
        <w:tabs>
          <w:tab w:val="left" w:pos="667"/>
        </w:tabs>
        <w:autoSpaceDE w:val="0"/>
        <w:autoSpaceDN w:val="0"/>
        <w:spacing w:before="161"/>
        <w:ind w:left="567" w:right="113" w:hanging="567"/>
        <w:jc w:val="both"/>
      </w:pPr>
      <w:r w:rsidRPr="00472578">
        <w:t>(5)</w:t>
      </w:r>
      <w:r w:rsidRPr="00472578">
        <w:tab/>
      </w:r>
      <w:r w:rsidR="007F757E" w:rsidRPr="00472578">
        <w:t xml:space="preserve">measures to encourage the use of </w:t>
      </w:r>
      <w:r w:rsidR="007F757E" w:rsidRPr="00472578">
        <w:rPr>
          <w:i/>
        </w:rPr>
        <w:t xml:space="preserve">active transport, </w:t>
      </w:r>
      <w:r w:rsidR="007F757E" w:rsidRPr="00472578">
        <w:t xml:space="preserve">shared </w:t>
      </w:r>
      <w:proofErr w:type="gramStart"/>
      <w:r w:rsidR="007F757E" w:rsidRPr="00472578">
        <w:t>transport</w:t>
      </w:r>
      <w:proofErr w:type="gramEnd"/>
      <w:r w:rsidR="007F757E" w:rsidRPr="00472578">
        <w:t xml:space="preserve"> and </w:t>
      </w:r>
      <w:r w:rsidR="007F757E" w:rsidRPr="00472578">
        <w:rPr>
          <w:i/>
        </w:rPr>
        <w:t xml:space="preserve">public transport </w:t>
      </w:r>
      <w:r w:rsidR="007F757E" w:rsidRPr="00472578">
        <w:t>over the use of private motor vehicles, and</w:t>
      </w:r>
    </w:p>
    <w:p w14:paraId="424FDBCE" w14:textId="3568E159" w:rsidR="007F757E" w:rsidRPr="00472578" w:rsidRDefault="0001184B" w:rsidP="00E92686">
      <w:pPr>
        <w:widowControl w:val="0"/>
        <w:tabs>
          <w:tab w:val="left" w:pos="667"/>
        </w:tabs>
        <w:autoSpaceDE w:val="0"/>
        <w:autoSpaceDN w:val="0"/>
        <w:spacing w:before="160"/>
        <w:ind w:left="567" w:right="113" w:hanging="567"/>
        <w:jc w:val="both"/>
      </w:pPr>
      <w:r w:rsidRPr="00472578">
        <w:t>(6)</w:t>
      </w:r>
      <w:r w:rsidRPr="00472578">
        <w:tab/>
      </w:r>
      <w:r w:rsidR="007F757E" w:rsidRPr="00472578">
        <w:t xml:space="preserve">providing financial incentives (such as funding schemes, </w:t>
      </w:r>
      <w:proofErr w:type="gramStart"/>
      <w:r w:rsidR="007F757E" w:rsidRPr="00472578">
        <w:t>subsidies</w:t>
      </w:r>
      <w:proofErr w:type="gramEnd"/>
      <w:r w:rsidR="007F757E" w:rsidRPr="00472578">
        <w:t xml:space="preserve"> or rates relief) and support to improve home heating efficiency and assist with the transition towards cleaner heating, improved energy efficiency and home insulation, including the replacement of </w:t>
      </w:r>
      <w:r w:rsidR="007F757E" w:rsidRPr="00472578">
        <w:rPr>
          <w:i/>
        </w:rPr>
        <w:t xml:space="preserve">solid fuel </w:t>
      </w:r>
      <w:r w:rsidR="007F757E" w:rsidRPr="00472578">
        <w:t>burners that do not comply with the NESAQ standards.</w:t>
      </w:r>
    </w:p>
    <w:p w14:paraId="62168561" w14:textId="77777777" w:rsidR="007F757E" w:rsidRPr="00472578" w:rsidRDefault="007F757E" w:rsidP="00E92686">
      <w:pPr>
        <w:pStyle w:val="Heading3"/>
        <w:jc w:val="both"/>
      </w:pPr>
      <w:r w:rsidRPr="00472578">
        <w:t>Explanation</w:t>
      </w:r>
    </w:p>
    <w:p w14:paraId="66BED077" w14:textId="77777777" w:rsidR="007F757E" w:rsidRPr="00472578" w:rsidRDefault="007F757E" w:rsidP="00E92686">
      <w:pPr>
        <w:pStyle w:val="Heading4"/>
        <w:jc w:val="both"/>
      </w:pPr>
      <w:r w:rsidRPr="00472578">
        <w:t>AIR-E1 – Explanation</w:t>
      </w:r>
    </w:p>
    <w:p w14:paraId="415059BF" w14:textId="77777777" w:rsidR="007F757E" w:rsidRPr="00472578" w:rsidRDefault="007F757E" w:rsidP="00E92686">
      <w:pPr>
        <w:pStyle w:val="BodyText"/>
      </w:pPr>
      <w:r w:rsidRPr="00472578">
        <w:t xml:space="preserve">The policies in this chapter are designed to achieve and maintain good air quality for Otago by requiring improvements where air quality is poor, maintaining it where it is good. Managing air quality does not include emissions from ships which are managed under separate national regulation. The policies in this chapter focus on preventing further decline in air quality by preventing use of new domestic </w:t>
      </w:r>
      <w:r w:rsidRPr="00472578">
        <w:rPr>
          <w:i/>
        </w:rPr>
        <w:t xml:space="preserve">solid fuel </w:t>
      </w:r>
      <w:r w:rsidRPr="00472578">
        <w:t xml:space="preserve">burning appliances that do not comply with the </w:t>
      </w:r>
      <w:proofErr w:type="gramStart"/>
      <w:r w:rsidRPr="00472578">
        <w:t>NESAQ, and</w:t>
      </w:r>
      <w:proofErr w:type="gramEnd"/>
      <w:r w:rsidRPr="00472578">
        <w:t xml:space="preserve"> phasing out the use of existing domestic </w:t>
      </w:r>
      <w:r w:rsidRPr="00472578">
        <w:rPr>
          <w:i/>
        </w:rPr>
        <w:t xml:space="preserve">solid fuel </w:t>
      </w:r>
      <w:r w:rsidRPr="00472578">
        <w:t xml:space="preserve">burning appliances that are non-compliant. The policies also require the boundaries of </w:t>
      </w:r>
      <w:r w:rsidRPr="00472578">
        <w:rPr>
          <w:i/>
        </w:rPr>
        <w:t xml:space="preserve">airsheds </w:t>
      </w:r>
      <w:r w:rsidRPr="00472578">
        <w:t xml:space="preserve">be amended to accurately reflect current and anticipated areas of urban growth. This is required to ensure monitoring of ambient air quality is accurate and that all activities that contribute to poor ambient air quality within an </w:t>
      </w:r>
      <w:r w:rsidRPr="00472578">
        <w:rPr>
          <w:i/>
        </w:rPr>
        <w:t xml:space="preserve">airshed </w:t>
      </w:r>
      <w:r w:rsidRPr="00472578">
        <w:t>are subject to the same measures to improve ambient air quality. This policy framework also directs future reviews of the Regional Plan: Air to manage the adverse effects of discharges to air.</w:t>
      </w:r>
    </w:p>
    <w:p w14:paraId="428FB92C" w14:textId="77777777" w:rsidR="007F757E" w:rsidRPr="00472578" w:rsidRDefault="007F757E" w:rsidP="00E92686">
      <w:pPr>
        <w:pStyle w:val="BodyText"/>
      </w:pPr>
      <w:r w:rsidRPr="00472578">
        <w:t xml:space="preserve">In addition to the objectives and policies in this chapter, the air quality outcomes are also provided for in the objectives and policies listed within the following chapters of the RPS where they provide direction on the management of </w:t>
      </w:r>
      <w:r w:rsidRPr="00472578">
        <w:rPr>
          <w:i/>
        </w:rPr>
        <w:t xml:space="preserve">environments </w:t>
      </w:r>
      <w:r w:rsidRPr="00472578">
        <w:t>and activities that may affect air quality:</w:t>
      </w:r>
    </w:p>
    <w:p w14:paraId="1EBF9D16" w14:textId="77777777" w:rsidR="007F757E" w:rsidRPr="00472578" w:rsidRDefault="007F757E" w:rsidP="00E92686">
      <w:pPr>
        <w:pStyle w:val="ListParagraph"/>
        <w:widowControl w:val="0"/>
        <w:numPr>
          <w:ilvl w:val="0"/>
          <w:numId w:val="36"/>
        </w:numPr>
        <w:autoSpaceDE w:val="0"/>
        <w:autoSpaceDN w:val="0"/>
        <w:spacing w:before="160"/>
        <w:ind w:left="567"/>
        <w:contextualSpacing w:val="0"/>
        <w:jc w:val="both"/>
      </w:pPr>
      <w:r w:rsidRPr="00472578">
        <w:t>IM – Integrated management</w:t>
      </w:r>
    </w:p>
    <w:p w14:paraId="37FA0F23" w14:textId="77777777" w:rsidR="007F757E" w:rsidRPr="00472578" w:rsidRDefault="007F757E" w:rsidP="00E92686">
      <w:pPr>
        <w:pStyle w:val="ListParagraph"/>
        <w:widowControl w:val="0"/>
        <w:numPr>
          <w:ilvl w:val="0"/>
          <w:numId w:val="36"/>
        </w:numPr>
        <w:autoSpaceDE w:val="0"/>
        <w:autoSpaceDN w:val="0"/>
        <w:ind w:left="567"/>
        <w:contextualSpacing w:val="0"/>
        <w:jc w:val="both"/>
      </w:pPr>
      <w:r w:rsidRPr="00472578">
        <w:t xml:space="preserve">EIT – Energy, </w:t>
      </w:r>
      <w:proofErr w:type="gramStart"/>
      <w:r w:rsidRPr="00472578">
        <w:rPr>
          <w:i/>
        </w:rPr>
        <w:t>infrastructure</w:t>
      </w:r>
      <w:proofErr w:type="gramEnd"/>
      <w:r w:rsidRPr="00472578">
        <w:rPr>
          <w:i/>
        </w:rPr>
        <w:t xml:space="preserve"> </w:t>
      </w:r>
      <w:r w:rsidRPr="00472578">
        <w:t>and transport</w:t>
      </w:r>
    </w:p>
    <w:p w14:paraId="0F2389C2" w14:textId="77777777" w:rsidR="007F757E" w:rsidRPr="00472578" w:rsidRDefault="007F757E" w:rsidP="00E92686">
      <w:pPr>
        <w:pStyle w:val="ListParagraph"/>
        <w:widowControl w:val="0"/>
        <w:numPr>
          <w:ilvl w:val="0"/>
          <w:numId w:val="36"/>
        </w:numPr>
        <w:autoSpaceDE w:val="0"/>
        <w:autoSpaceDN w:val="0"/>
        <w:spacing w:before="1"/>
        <w:ind w:left="567"/>
        <w:contextualSpacing w:val="0"/>
        <w:jc w:val="both"/>
      </w:pPr>
      <w:r w:rsidRPr="00472578">
        <w:t>UFD – Urban form and development</w:t>
      </w:r>
    </w:p>
    <w:p w14:paraId="051D07FE" w14:textId="77777777" w:rsidR="007F757E" w:rsidRPr="00472578" w:rsidRDefault="007F757E" w:rsidP="00E92686">
      <w:pPr>
        <w:pStyle w:val="Heading3"/>
        <w:jc w:val="both"/>
      </w:pPr>
      <w:r w:rsidRPr="00472578">
        <w:lastRenderedPageBreak/>
        <w:t>Principal reasons</w:t>
      </w:r>
    </w:p>
    <w:p w14:paraId="332B2EC6" w14:textId="77777777" w:rsidR="007F757E" w:rsidRPr="00472578" w:rsidRDefault="007F757E" w:rsidP="00E92686">
      <w:pPr>
        <w:pStyle w:val="Heading4"/>
        <w:jc w:val="both"/>
      </w:pPr>
      <w:r w:rsidRPr="00472578">
        <w:t>AIR-PR1</w:t>
      </w:r>
    </w:p>
    <w:p w14:paraId="1AAE29B7" w14:textId="77777777" w:rsidR="007F757E" w:rsidRPr="00472578" w:rsidRDefault="007F757E" w:rsidP="00E92686">
      <w:pPr>
        <w:pStyle w:val="BodyText"/>
      </w:pPr>
      <w:r w:rsidRPr="00472578">
        <w:t xml:space="preserve">Clean air is vital for supporting a healthy population and </w:t>
      </w:r>
      <w:r w:rsidRPr="00472578">
        <w:rPr>
          <w:i/>
        </w:rPr>
        <w:t>environment</w:t>
      </w:r>
      <w:r w:rsidRPr="00472578">
        <w:t>. Air quality monitoring shows that for most of the year air quality in the Otago Region is very good. During winter months however, temperatures drop and emissions from home heating increase. This, coupled with the topography of some areas and cold, calm conditions, leads to poor winter air quality in many towns and cities across the region. At times, parts of Otago have some of the poorest air quality in New Zealand. This is intensifying through urban growth.</w:t>
      </w:r>
    </w:p>
    <w:p w14:paraId="26830568" w14:textId="65379085" w:rsidR="007F757E" w:rsidRPr="00472578" w:rsidRDefault="007F757E" w:rsidP="00E92686">
      <w:pPr>
        <w:pStyle w:val="BodyText"/>
      </w:pPr>
      <w:r w:rsidRPr="00472578">
        <w:t xml:space="preserve">The provisions in this chapter set out the framework for a review of the Air Plan and supports ORC’s obligation to both observe and enforce the NESAQ. Implementation of the provisions in this </w:t>
      </w:r>
      <w:r w:rsidR="00AD7CF7" w:rsidRPr="00472578">
        <w:t>chapter will</w:t>
      </w:r>
      <w:r w:rsidRPr="00472578">
        <w:t xml:space="preserve"> occur primarily through </w:t>
      </w:r>
      <w:r w:rsidRPr="00472578">
        <w:rPr>
          <w:i/>
        </w:rPr>
        <w:t>regional</w:t>
      </w:r>
      <w:r w:rsidRPr="00472578">
        <w:t xml:space="preserve"> </w:t>
      </w:r>
      <w:r w:rsidR="00962F12" w:rsidRPr="00472578">
        <w:rPr>
          <w:i/>
          <w:iCs/>
          <w:u w:val="single"/>
        </w:rPr>
        <w:t>plans</w:t>
      </w:r>
      <w:r w:rsidR="007059D4" w:rsidRPr="00472578">
        <w:rPr>
          <w:rStyle w:val="FootnoteReference"/>
        </w:rPr>
        <w:footnoteReference w:id="624"/>
      </w:r>
      <w:r w:rsidR="00AD7CF7" w:rsidRPr="00472578">
        <w:t xml:space="preserve"> a</w:t>
      </w:r>
      <w:r w:rsidRPr="00472578">
        <w:t xml:space="preserve">nd </w:t>
      </w:r>
      <w:r w:rsidRPr="00472578">
        <w:rPr>
          <w:i/>
          <w:iCs/>
        </w:rPr>
        <w:t xml:space="preserve">district plan </w:t>
      </w:r>
      <w:r w:rsidRPr="00472578">
        <w:t xml:space="preserve">provisions, however a collaborative approach with central government, other </w:t>
      </w:r>
      <w:r w:rsidRPr="00472578">
        <w:rPr>
          <w:i/>
          <w:iCs/>
        </w:rPr>
        <w:t>local authorities</w:t>
      </w:r>
      <w:r w:rsidRPr="00472578">
        <w:t>, stakeholders</w:t>
      </w:r>
      <w:r w:rsidRPr="00472578">
        <w:rPr>
          <w:u w:val="single"/>
        </w:rPr>
        <w:t>, communities</w:t>
      </w:r>
      <w:r w:rsidR="000E6F0E">
        <w:rPr>
          <w:rStyle w:val="FootnoteReference"/>
          <w:u w:val="single"/>
        </w:rPr>
        <w:footnoteReference w:id="625"/>
      </w:r>
      <w:r w:rsidRPr="00472578">
        <w:t xml:space="preserve"> and industry, </w:t>
      </w:r>
      <w:r w:rsidRPr="00472578">
        <w:rPr>
          <w:u w:val="single"/>
        </w:rPr>
        <w:t xml:space="preserve">and in partnership with </w:t>
      </w:r>
      <w:r w:rsidR="0001184B" w:rsidRPr="00472578">
        <w:rPr>
          <w:u w:val="single"/>
        </w:rPr>
        <w:t>Kāi</w:t>
      </w:r>
      <w:r w:rsidRPr="00472578">
        <w:rPr>
          <w:u w:val="single"/>
        </w:rPr>
        <w:t xml:space="preserve"> Tahu as mana whenua,</w:t>
      </w:r>
      <w:r w:rsidRPr="00472578">
        <w:rPr>
          <w:rStyle w:val="FootnoteReference"/>
        </w:rPr>
        <w:footnoteReference w:id="626"/>
      </w:r>
      <w:r w:rsidRPr="00472578">
        <w:t xml:space="preserve"> will support the achievement of the objectives over time.</w:t>
      </w:r>
    </w:p>
    <w:p w14:paraId="18549D9B" w14:textId="77777777" w:rsidR="007F757E" w:rsidRPr="00472578" w:rsidRDefault="007F757E" w:rsidP="00E92686">
      <w:pPr>
        <w:pStyle w:val="Heading3"/>
        <w:jc w:val="both"/>
      </w:pPr>
      <w:r w:rsidRPr="00472578">
        <w:t>Anticipated environmental results</w:t>
      </w:r>
    </w:p>
    <w:p w14:paraId="02370944" w14:textId="230B6140" w:rsidR="007F757E" w:rsidRPr="00472578" w:rsidRDefault="007F757E" w:rsidP="00AD7CF7">
      <w:pPr>
        <w:pStyle w:val="BodyText"/>
        <w:ind w:left="2268" w:hanging="2268"/>
      </w:pPr>
      <w:r w:rsidRPr="00472578">
        <w:rPr>
          <w:b/>
          <w:color w:val="1F3863"/>
        </w:rPr>
        <w:t>AIR-AER1</w:t>
      </w:r>
      <w:r w:rsidRPr="00472578">
        <w:rPr>
          <w:b/>
          <w:color w:val="1F3863"/>
        </w:rPr>
        <w:tab/>
      </w:r>
      <w:r w:rsidRPr="00472578">
        <w:t>Where air quality is poor, there is a decreasing trend in concentrations of</w:t>
      </w:r>
      <w:r w:rsidR="00AD7CF7" w:rsidRPr="00472578">
        <w:t xml:space="preserve"> </w:t>
      </w:r>
      <w:r w:rsidRPr="00472578">
        <w:rPr>
          <w:i/>
        </w:rPr>
        <w:t>PM</w:t>
      </w:r>
      <w:r w:rsidRPr="00472578">
        <w:rPr>
          <w:i/>
          <w:sz w:val="14"/>
        </w:rPr>
        <w:t xml:space="preserve">10 </w:t>
      </w:r>
      <w:r w:rsidRPr="00472578">
        <w:t xml:space="preserve">and </w:t>
      </w:r>
      <w:r w:rsidRPr="00472578">
        <w:rPr>
          <w:i/>
        </w:rPr>
        <w:t>PM</w:t>
      </w:r>
      <w:r w:rsidRPr="00472578">
        <w:rPr>
          <w:i/>
          <w:sz w:val="14"/>
        </w:rPr>
        <w:t>2.5</w:t>
      </w:r>
      <w:r w:rsidRPr="00472578">
        <w:t>.</w:t>
      </w:r>
    </w:p>
    <w:p w14:paraId="146B151A" w14:textId="77777777" w:rsidR="007F757E" w:rsidRPr="00472578" w:rsidRDefault="007F757E" w:rsidP="00AD7CF7">
      <w:pPr>
        <w:pStyle w:val="BodyText"/>
        <w:ind w:left="2268" w:hanging="2268"/>
      </w:pPr>
      <w:r w:rsidRPr="00472578">
        <w:rPr>
          <w:b/>
          <w:color w:val="1F3863"/>
        </w:rPr>
        <w:t>AIR-AER2</w:t>
      </w:r>
      <w:r w:rsidRPr="00472578">
        <w:rPr>
          <w:b/>
          <w:color w:val="1F3863"/>
        </w:rPr>
        <w:tab/>
      </w:r>
      <w:r w:rsidRPr="00472578">
        <w:t xml:space="preserve">Otago has an urban form that </w:t>
      </w:r>
      <w:proofErr w:type="gramStart"/>
      <w:r w:rsidRPr="00472578">
        <w:t>takes into account</w:t>
      </w:r>
      <w:proofErr w:type="gramEnd"/>
      <w:r w:rsidRPr="00472578">
        <w:t xml:space="preserve"> the </w:t>
      </w:r>
      <w:r w:rsidRPr="00472578">
        <w:rPr>
          <w:i/>
        </w:rPr>
        <w:t xml:space="preserve">effects </w:t>
      </w:r>
      <w:r w:rsidRPr="00472578">
        <w:t xml:space="preserve">of activities, and any </w:t>
      </w:r>
      <w:r w:rsidRPr="00472578">
        <w:rPr>
          <w:i/>
        </w:rPr>
        <w:t xml:space="preserve">discharges </w:t>
      </w:r>
      <w:r w:rsidRPr="00472578">
        <w:t>to air they create, on Otago’s air quality.</w:t>
      </w:r>
    </w:p>
    <w:p w14:paraId="2AB32271" w14:textId="77777777" w:rsidR="007F757E" w:rsidRPr="00472578" w:rsidRDefault="007F757E" w:rsidP="00AD7CF7">
      <w:pPr>
        <w:pStyle w:val="BodyText"/>
        <w:ind w:left="2268" w:hanging="2268"/>
      </w:pPr>
      <w:r w:rsidRPr="00472578">
        <w:rPr>
          <w:b/>
          <w:color w:val="1F3863"/>
        </w:rPr>
        <w:t>AIR-AER3</w:t>
      </w:r>
      <w:r w:rsidRPr="00472578">
        <w:rPr>
          <w:b/>
          <w:color w:val="1F3863"/>
        </w:rPr>
        <w:tab/>
      </w:r>
      <w:r w:rsidRPr="00472578">
        <w:t>Homes have cleaner forms of heating and non-compliant burners are no longer in use.</w:t>
      </w:r>
    </w:p>
    <w:p w14:paraId="353D091E" w14:textId="77777777" w:rsidR="007F757E" w:rsidRPr="00472578" w:rsidRDefault="007F757E" w:rsidP="00AD7CF7">
      <w:pPr>
        <w:pStyle w:val="BodyText"/>
        <w:ind w:left="2268" w:hanging="2268"/>
      </w:pPr>
      <w:r w:rsidRPr="00472578">
        <w:rPr>
          <w:b/>
          <w:color w:val="1F3863"/>
        </w:rPr>
        <w:t>AIR-AER4</w:t>
      </w:r>
      <w:r w:rsidRPr="00472578">
        <w:rPr>
          <w:b/>
          <w:color w:val="1F3863"/>
        </w:rPr>
        <w:tab/>
      </w:r>
      <w:r w:rsidRPr="00472578">
        <w:t xml:space="preserve">There is a decrease in the number of complaints regarding offensive, objectionable, </w:t>
      </w:r>
      <w:proofErr w:type="gramStart"/>
      <w:r w:rsidRPr="00472578">
        <w:t>noxious</w:t>
      </w:r>
      <w:proofErr w:type="gramEnd"/>
      <w:r w:rsidRPr="00472578">
        <w:t xml:space="preserve"> or dangerous </w:t>
      </w:r>
      <w:r w:rsidRPr="00472578">
        <w:rPr>
          <w:i/>
        </w:rPr>
        <w:t xml:space="preserve">discharges </w:t>
      </w:r>
      <w:r w:rsidRPr="00472578">
        <w:t>into air.</w:t>
      </w:r>
    </w:p>
    <w:p w14:paraId="019382FE" w14:textId="77777777" w:rsidR="007F757E" w:rsidRPr="00472578" w:rsidRDefault="007F757E" w:rsidP="00AD7CF7">
      <w:pPr>
        <w:pStyle w:val="BodyText"/>
        <w:ind w:left="2268" w:hanging="2268"/>
      </w:pPr>
      <w:r w:rsidRPr="00472578">
        <w:rPr>
          <w:b/>
          <w:color w:val="1F3863"/>
        </w:rPr>
        <w:t>AIR-AER5</w:t>
      </w:r>
      <w:r w:rsidRPr="00472578">
        <w:rPr>
          <w:b/>
          <w:color w:val="1F3863"/>
        </w:rPr>
        <w:tab/>
      </w:r>
      <w:r w:rsidRPr="00472578">
        <w:t>Where air quality is good it is maintained.</w:t>
      </w:r>
    </w:p>
    <w:p w14:paraId="1314FB81" w14:textId="77777777" w:rsidR="007F757E" w:rsidRPr="00472578" w:rsidRDefault="007F757E" w:rsidP="00AD7CF7">
      <w:pPr>
        <w:pStyle w:val="BodyText"/>
        <w:ind w:left="2268" w:hanging="2268"/>
      </w:pPr>
      <w:r w:rsidRPr="00472578">
        <w:rPr>
          <w:b/>
          <w:color w:val="1F3863"/>
        </w:rPr>
        <w:t>AIR-AER6</w:t>
      </w:r>
      <w:r w:rsidRPr="00472578">
        <w:rPr>
          <w:b/>
          <w:color w:val="1F3863"/>
        </w:rPr>
        <w:tab/>
      </w:r>
      <w:r w:rsidRPr="00472578">
        <w:t>Otago is compliant with NESAQ requirements.</w:t>
      </w:r>
    </w:p>
    <w:p w14:paraId="18713DAD" w14:textId="77777777" w:rsidR="00F458B9" w:rsidRPr="00472578" w:rsidRDefault="00F458B9" w:rsidP="00E92686">
      <w:pPr>
        <w:jc w:val="both"/>
      </w:pPr>
    </w:p>
    <w:p w14:paraId="4B57D756" w14:textId="77777777" w:rsidR="00F458B9" w:rsidRPr="00472578" w:rsidRDefault="00F458B9" w:rsidP="00E92686">
      <w:pPr>
        <w:jc w:val="both"/>
        <w:rPr>
          <w:rFonts w:asciiTheme="majorHAnsi" w:eastAsiaTheme="majorEastAsia" w:hAnsiTheme="majorHAnsi" w:cstheme="majorBidi"/>
          <w:color w:val="2F5496" w:themeColor="accent1" w:themeShade="BF"/>
          <w:sz w:val="32"/>
          <w:szCs w:val="26"/>
        </w:rPr>
      </w:pPr>
    </w:p>
    <w:p w14:paraId="264D625D" w14:textId="77777777" w:rsidR="00B02DBF" w:rsidRPr="00472578" w:rsidRDefault="00B02DBF" w:rsidP="00E92686">
      <w:pPr>
        <w:pStyle w:val="BodyText"/>
      </w:pPr>
    </w:p>
    <w:p w14:paraId="6E85F6E1" w14:textId="3A4E7FDB" w:rsidR="000E04F9" w:rsidRPr="00472578" w:rsidRDefault="000E04F9" w:rsidP="00E92686">
      <w:pPr>
        <w:jc w:val="both"/>
      </w:pPr>
      <w:r w:rsidRPr="00472578">
        <w:br w:type="page"/>
      </w:r>
    </w:p>
    <w:p w14:paraId="59D7B063" w14:textId="15E1B955" w:rsidR="000E04F9" w:rsidRPr="00472578" w:rsidRDefault="000E04F9" w:rsidP="00E92686">
      <w:pPr>
        <w:pStyle w:val="Heading2"/>
        <w:jc w:val="both"/>
      </w:pPr>
      <w:bookmarkStart w:id="109" w:name="_Toc102551281"/>
      <w:r w:rsidRPr="00472578">
        <w:lastRenderedPageBreak/>
        <w:t>CE – Coastal environment</w:t>
      </w:r>
      <w:bookmarkEnd w:id="109"/>
    </w:p>
    <w:p w14:paraId="4296B336" w14:textId="77777777" w:rsidR="000E04F9" w:rsidRPr="00472578" w:rsidRDefault="000E04F9" w:rsidP="00E92686">
      <w:pPr>
        <w:pStyle w:val="Heading3"/>
        <w:jc w:val="both"/>
      </w:pPr>
      <w:r w:rsidRPr="00472578">
        <w:t>Objectives</w:t>
      </w:r>
    </w:p>
    <w:p w14:paraId="2A65F204" w14:textId="21BBB1E0" w:rsidR="000E04F9" w:rsidRPr="00472578" w:rsidRDefault="007113CF" w:rsidP="00E92686">
      <w:pPr>
        <w:pStyle w:val="Heading4"/>
        <w:jc w:val="both"/>
      </w:pPr>
      <w:r w:rsidRPr="00472578">
        <w:t>CE-O</w:t>
      </w:r>
      <w:r w:rsidR="000E04F9" w:rsidRPr="00472578">
        <w:t>1 – Safeguarding the coastal environment (</w:t>
      </w:r>
      <w:r w:rsidR="003E5FD4" w:rsidRPr="00472578">
        <w:rPr>
          <w:u w:val="single"/>
        </w:rPr>
        <w:t>T</w:t>
      </w:r>
      <w:r w:rsidR="000E04F9" w:rsidRPr="00472578">
        <w:rPr>
          <w:u w:val="single"/>
        </w:rPr>
        <w:t xml:space="preserve">e </w:t>
      </w:r>
      <w:r w:rsidR="003E5FD4" w:rsidRPr="00472578">
        <w:rPr>
          <w:u w:val="single"/>
        </w:rPr>
        <w:t>H</w:t>
      </w:r>
      <w:r w:rsidR="000E04F9" w:rsidRPr="00472578">
        <w:rPr>
          <w:u w:val="single"/>
        </w:rPr>
        <w:t xml:space="preserve">auora o </w:t>
      </w:r>
      <w:r w:rsidR="003E5FD4" w:rsidRPr="00472578">
        <w:rPr>
          <w:u w:val="single"/>
        </w:rPr>
        <w:t>T</w:t>
      </w:r>
      <w:r w:rsidR="000E04F9" w:rsidRPr="00472578">
        <w:rPr>
          <w:u w:val="single"/>
        </w:rPr>
        <w:t>e Tai o Arai-te-uru</w:t>
      </w:r>
      <w:bookmarkStart w:id="110" w:name="_Ref93318032"/>
      <w:r w:rsidR="000E04F9" w:rsidRPr="00472578">
        <w:rPr>
          <w:u w:val="single"/>
        </w:rPr>
        <w:t>)</w:t>
      </w:r>
      <w:r w:rsidR="000E04F9" w:rsidRPr="00472578">
        <w:rPr>
          <w:rStyle w:val="FootnoteReference"/>
          <w:b w:val="0"/>
          <w:bCs/>
          <w:color w:val="auto"/>
        </w:rPr>
        <w:footnoteReference w:id="627"/>
      </w:r>
      <w:bookmarkEnd w:id="110"/>
    </w:p>
    <w:p w14:paraId="24023D4D" w14:textId="6CEEB8C3" w:rsidR="000E04F9" w:rsidRPr="00472578" w:rsidRDefault="000E04F9" w:rsidP="00E92686">
      <w:pPr>
        <w:pStyle w:val="BodyText"/>
      </w:pPr>
      <w:bookmarkStart w:id="111" w:name="_Hlk97130642"/>
      <w:r w:rsidRPr="00472578">
        <w:t xml:space="preserve">The </w:t>
      </w:r>
      <w:bookmarkStart w:id="112" w:name="_Hlk94118842"/>
      <w:r w:rsidRPr="00472578">
        <w:rPr>
          <w:u w:val="single"/>
        </w:rPr>
        <w:t>health</w:t>
      </w:r>
      <w:r w:rsidRPr="00472578">
        <w:t>,</w:t>
      </w:r>
      <w:r w:rsidRPr="00472578">
        <w:rPr>
          <w:rStyle w:val="FootnoteReference"/>
        </w:rPr>
        <w:footnoteReference w:id="628"/>
      </w:r>
      <w:r w:rsidRPr="00472578">
        <w:t xml:space="preserve"> integrity, form, functioning and resilience of Otago's coastal environment is safeguarded</w:t>
      </w:r>
      <w:bookmarkEnd w:id="112"/>
      <w:r w:rsidRPr="00472578">
        <w:t xml:space="preserve"> so that</w:t>
      </w:r>
      <w:bookmarkEnd w:id="111"/>
      <w:r w:rsidRPr="00472578">
        <w:t>:</w:t>
      </w:r>
    </w:p>
    <w:p w14:paraId="04F66F25" w14:textId="78EB01E8" w:rsidR="000E04F9" w:rsidRPr="00472578" w:rsidRDefault="000E04F9" w:rsidP="00E92686">
      <w:pPr>
        <w:widowControl w:val="0"/>
        <w:tabs>
          <w:tab w:val="left" w:pos="840"/>
          <w:tab w:val="left" w:pos="841"/>
        </w:tabs>
        <w:autoSpaceDE w:val="0"/>
        <w:autoSpaceDN w:val="0"/>
        <w:spacing w:before="142"/>
        <w:ind w:left="567" w:hanging="567"/>
        <w:jc w:val="both"/>
        <w:rPr>
          <w:strike/>
        </w:rPr>
      </w:pPr>
      <w:r w:rsidRPr="00472578">
        <w:t>(1)</w:t>
      </w:r>
      <w:r w:rsidRPr="00472578">
        <w:tab/>
        <w:t xml:space="preserve">the </w:t>
      </w:r>
      <w:bookmarkStart w:id="113" w:name="_Hlk94536378"/>
      <w:r w:rsidRPr="00472578">
        <w:t xml:space="preserve">mauri </w:t>
      </w:r>
      <w:bookmarkEnd w:id="113"/>
      <w:r w:rsidRPr="00472578">
        <w:t xml:space="preserve">of </w:t>
      </w:r>
      <w:r w:rsidRPr="00472578">
        <w:rPr>
          <w:i/>
        </w:rPr>
        <w:t xml:space="preserve">coastal water </w:t>
      </w:r>
      <w:r w:rsidRPr="00472578">
        <w:rPr>
          <w:iCs/>
          <w:u w:val="single"/>
        </w:rPr>
        <w:t>and its health and well-being</w:t>
      </w:r>
      <w:r w:rsidRPr="00472578">
        <w:rPr>
          <w:rStyle w:val="FootnoteReference"/>
          <w:iCs/>
        </w:rPr>
        <w:footnoteReference w:id="629"/>
      </w:r>
      <w:r w:rsidRPr="00472578">
        <w:rPr>
          <w:i/>
        </w:rPr>
        <w:t xml:space="preserve"> </w:t>
      </w:r>
      <w:r w:rsidRPr="00472578">
        <w:t xml:space="preserve">is protected, and restored where it has </w:t>
      </w:r>
      <w:r w:rsidRPr="00472578">
        <w:rPr>
          <w:i/>
        </w:rPr>
        <w:t>degraded</w:t>
      </w:r>
      <w:r w:rsidRPr="00472578">
        <w:t>,</w:t>
      </w:r>
      <w:r w:rsidRPr="00472578">
        <w:rPr>
          <w:strike/>
        </w:rPr>
        <w:t xml:space="preserve"> </w:t>
      </w:r>
    </w:p>
    <w:p w14:paraId="7D128C72" w14:textId="20642927" w:rsidR="000E04F9" w:rsidRPr="00472578" w:rsidRDefault="000E04F9" w:rsidP="00E92686">
      <w:pPr>
        <w:widowControl w:val="0"/>
        <w:tabs>
          <w:tab w:val="left" w:pos="840"/>
          <w:tab w:val="left" w:pos="841"/>
        </w:tabs>
        <w:autoSpaceDE w:val="0"/>
        <w:autoSpaceDN w:val="0"/>
        <w:spacing w:before="142"/>
        <w:ind w:left="567" w:right="286" w:hanging="567"/>
        <w:jc w:val="both"/>
      </w:pPr>
      <w:r w:rsidRPr="00472578">
        <w:rPr>
          <w:iCs/>
        </w:rPr>
        <w:t>(2)</w:t>
      </w:r>
      <w:r w:rsidRPr="00472578">
        <w:rPr>
          <w:iCs/>
        </w:rPr>
        <w:tab/>
      </w:r>
      <w:r w:rsidRPr="00472578">
        <w:rPr>
          <w:i/>
        </w:rPr>
        <w:t xml:space="preserve">coastal water </w:t>
      </w:r>
      <w:r w:rsidRPr="00472578">
        <w:t xml:space="preserve">quality supports healthy ecosystems, natural habitats, water-based recreational activities, existing activities, and customary uses, including practices associated with </w:t>
      </w:r>
      <w:r w:rsidR="00212778" w:rsidRPr="009C237D">
        <w:rPr>
          <w:strike/>
        </w:rPr>
        <w:t>mahika kai</w:t>
      </w:r>
      <w:r w:rsidR="00212778" w:rsidRPr="00472578">
        <w:t xml:space="preserve"> </w:t>
      </w:r>
      <w:r w:rsidR="00212778" w:rsidRPr="004B700D">
        <w:rPr>
          <w:i/>
          <w:iCs/>
          <w:u w:val="single"/>
        </w:rPr>
        <w:t>mahika kai</w:t>
      </w:r>
      <w:r w:rsidR="00212778">
        <w:rPr>
          <w:rStyle w:val="FootnoteReference"/>
        </w:rPr>
        <w:footnoteReference w:id="630"/>
      </w:r>
      <w:r w:rsidR="00212778" w:rsidRPr="00472578">
        <w:rPr>
          <w:iCs/>
        </w:rPr>
        <w:t xml:space="preserve"> </w:t>
      </w:r>
      <w:r w:rsidRPr="00472578">
        <w:t>and kaimoana,</w:t>
      </w:r>
      <w:r w:rsidRPr="00472578">
        <w:rPr>
          <w:vertAlign w:val="superscript"/>
        </w:rPr>
        <w:t xml:space="preserve"> </w:t>
      </w:r>
    </w:p>
    <w:p w14:paraId="4BA2DF7C" w14:textId="319E9332" w:rsidR="000E04F9" w:rsidRPr="00472578" w:rsidRDefault="000E04F9" w:rsidP="00E92686">
      <w:pPr>
        <w:widowControl w:val="0"/>
        <w:tabs>
          <w:tab w:val="left" w:pos="840"/>
          <w:tab w:val="left" w:pos="841"/>
        </w:tabs>
        <w:autoSpaceDE w:val="0"/>
        <w:autoSpaceDN w:val="0"/>
        <w:spacing w:before="118"/>
        <w:ind w:left="567" w:right="615" w:hanging="567"/>
        <w:jc w:val="both"/>
      </w:pPr>
      <w:r w:rsidRPr="00472578">
        <w:t>(3)</w:t>
      </w:r>
      <w:r w:rsidRPr="00472578">
        <w:tab/>
        <w:t>the dynamic and interdependent natural biological and physical processes in the coastal environment are maintained or enhanced,</w:t>
      </w:r>
    </w:p>
    <w:p w14:paraId="42646B71" w14:textId="59470ECA" w:rsidR="000E04F9" w:rsidRPr="00472578" w:rsidRDefault="000E04F9" w:rsidP="00E92686">
      <w:pPr>
        <w:widowControl w:val="0"/>
        <w:tabs>
          <w:tab w:val="left" w:pos="840"/>
          <w:tab w:val="left" w:pos="841"/>
        </w:tabs>
        <w:autoSpaceDE w:val="0"/>
        <w:autoSpaceDN w:val="0"/>
        <w:spacing w:before="119"/>
        <w:ind w:left="567" w:hanging="567"/>
        <w:jc w:val="both"/>
      </w:pPr>
      <w:r w:rsidRPr="00472578">
        <w:t>(4)</w:t>
      </w:r>
      <w:r w:rsidRPr="00472578">
        <w:tab/>
      </w:r>
      <w:r w:rsidR="00BD5E9D" w:rsidRPr="00472578">
        <w:rPr>
          <w:u w:val="single"/>
        </w:rPr>
        <w:t>the diversity of indigenous coastal flora and fauna is maintained</w:t>
      </w:r>
      <w:r w:rsidR="00EE01CF" w:rsidRPr="00472578">
        <w:rPr>
          <w:u w:val="single"/>
        </w:rPr>
        <w:t>,</w:t>
      </w:r>
      <w:r w:rsidR="00BD5E9D" w:rsidRPr="00472578">
        <w:rPr>
          <w:u w:val="single"/>
        </w:rPr>
        <w:t xml:space="preserve"> and </w:t>
      </w:r>
      <w:r w:rsidRPr="00472578">
        <w:rPr>
          <w:u w:val="single"/>
        </w:rPr>
        <w:t>areas of</w:t>
      </w:r>
      <w:r w:rsidRPr="00472578">
        <w:t xml:space="preserve"> </w:t>
      </w:r>
      <w:r w:rsidRPr="00472578">
        <w:rPr>
          <w:strike/>
        </w:rPr>
        <w:t>representative or</w:t>
      </w:r>
      <w:r w:rsidRPr="00472578">
        <w:t xml:space="preserve"> significant </w:t>
      </w:r>
      <w:r w:rsidRPr="00472578">
        <w:rPr>
          <w:u w:val="single"/>
        </w:rPr>
        <w:t>indigenous biodiversity are protected</w:t>
      </w:r>
      <w:r w:rsidRPr="00472578">
        <w:t xml:space="preserve">, </w:t>
      </w:r>
      <w:r w:rsidRPr="00472578">
        <w:rPr>
          <w:strike/>
        </w:rPr>
        <w:t>areas of</w:t>
      </w:r>
      <w:r w:rsidRPr="00472578">
        <w:t xml:space="preserve"> </w:t>
      </w:r>
      <w:r w:rsidRPr="00472578">
        <w:rPr>
          <w:strike/>
        </w:rPr>
        <w:t>biodiversity are protected</w:t>
      </w:r>
      <w:r w:rsidRPr="00472578">
        <w:t>,</w:t>
      </w:r>
      <w:r w:rsidRPr="00472578">
        <w:rPr>
          <w:rStyle w:val="FootnoteReference"/>
        </w:rPr>
        <w:footnoteReference w:id="631"/>
      </w:r>
      <w:r w:rsidRPr="00472578">
        <w:t xml:space="preserve"> </w:t>
      </w:r>
      <w:r w:rsidRPr="00472578">
        <w:rPr>
          <w:strike/>
        </w:rPr>
        <w:t>and</w:t>
      </w:r>
      <w:r w:rsidRPr="00472578">
        <w:t xml:space="preserve"> </w:t>
      </w:r>
    </w:p>
    <w:p w14:paraId="217AAE43" w14:textId="7A01F1ED" w:rsidR="000E04F9" w:rsidRPr="00472578" w:rsidRDefault="000E04F9" w:rsidP="00E92686">
      <w:pPr>
        <w:widowControl w:val="0"/>
        <w:tabs>
          <w:tab w:val="left" w:pos="840"/>
          <w:tab w:val="left" w:pos="841"/>
        </w:tabs>
        <w:autoSpaceDE w:val="0"/>
        <w:autoSpaceDN w:val="0"/>
        <w:spacing w:before="142"/>
        <w:ind w:left="567" w:hanging="567"/>
        <w:jc w:val="both"/>
      </w:pPr>
      <w:r w:rsidRPr="00472578">
        <w:rPr>
          <w:iCs/>
        </w:rPr>
        <w:t>(5)</w:t>
      </w:r>
      <w:r w:rsidRPr="00472578">
        <w:rPr>
          <w:iCs/>
        </w:rPr>
        <w:tab/>
      </w:r>
      <w:r w:rsidRPr="00472578">
        <w:rPr>
          <w:i/>
        </w:rPr>
        <w:t xml:space="preserve">surf breaks </w:t>
      </w:r>
      <w:r w:rsidRPr="00472578">
        <w:t>of national significance are protected</w:t>
      </w:r>
      <w:r w:rsidRPr="00472578">
        <w:rPr>
          <w:strike/>
        </w:rPr>
        <w:t>.</w:t>
      </w:r>
      <w:r w:rsidRPr="00472578">
        <w:rPr>
          <w:u w:val="single"/>
        </w:rPr>
        <w:t>,</w:t>
      </w:r>
      <w:r w:rsidRPr="00472578">
        <w:rPr>
          <w:strike/>
        </w:rPr>
        <w:t xml:space="preserve"> </w:t>
      </w:r>
    </w:p>
    <w:p w14:paraId="7A7BFC81" w14:textId="698EFBFD" w:rsidR="000E04F9" w:rsidRPr="00472578" w:rsidRDefault="000E04F9" w:rsidP="00E92686">
      <w:pPr>
        <w:widowControl w:val="0"/>
        <w:tabs>
          <w:tab w:val="left" w:pos="840"/>
          <w:tab w:val="left" w:pos="841"/>
        </w:tabs>
        <w:autoSpaceDE w:val="0"/>
        <w:autoSpaceDN w:val="0"/>
        <w:spacing w:before="118"/>
        <w:ind w:left="567" w:right="615" w:hanging="567"/>
        <w:jc w:val="both"/>
        <w:rPr>
          <w:u w:val="single"/>
        </w:rPr>
      </w:pPr>
      <w:r w:rsidRPr="00472578">
        <w:rPr>
          <w:u w:val="single"/>
        </w:rPr>
        <w:t>(6)</w:t>
      </w:r>
      <w:r w:rsidRPr="00472578">
        <w:rPr>
          <w:u w:val="single"/>
        </w:rPr>
        <w:tab/>
        <w:t xml:space="preserve">the </w:t>
      </w:r>
      <w:bookmarkStart w:id="114" w:name="_Hlk94536723"/>
      <w:r w:rsidRPr="00472578">
        <w:rPr>
          <w:u w:val="single"/>
        </w:rPr>
        <w:t>interconnectedness of wai Māori and wai tai</w:t>
      </w:r>
      <w:bookmarkEnd w:id="114"/>
      <w:r w:rsidRPr="00472578">
        <w:rPr>
          <w:u w:val="single"/>
        </w:rPr>
        <w:t>, and the effects of terrestrial and freshwater uses and activities on coastal waters and ecosystems, are recognised and understood, and</w:t>
      </w:r>
      <w:r w:rsidRPr="00472578">
        <w:rPr>
          <w:rStyle w:val="FootnoteReference"/>
        </w:rPr>
        <w:footnoteReference w:id="632"/>
      </w:r>
    </w:p>
    <w:p w14:paraId="0192DB9A" w14:textId="66BD296C" w:rsidR="000E04F9" w:rsidRPr="00472578" w:rsidRDefault="000E04F9" w:rsidP="00E92686">
      <w:pPr>
        <w:widowControl w:val="0"/>
        <w:tabs>
          <w:tab w:val="left" w:pos="840"/>
          <w:tab w:val="left" w:pos="841"/>
        </w:tabs>
        <w:autoSpaceDE w:val="0"/>
        <w:autoSpaceDN w:val="0"/>
        <w:spacing w:before="142"/>
        <w:ind w:left="567" w:hanging="567"/>
        <w:jc w:val="both"/>
        <w:rPr>
          <w:u w:val="single"/>
        </w:rPr>
      </w:pPr>
      <w:bookmarkStart w:id="115" w:name="_Hlk94549897"/>
      <w:bookmarkStart w:id="116" w:name="_Hlk97130658"/>
      <w:r w:rsidRPr="00472578">
        <w:rPr>
          <w:u w:val="single"/>
        </w:rPr>
        <w:t>(7)</w:t>
      </w:r>
      <w:r w:rsidRPr="00472578">
        <w:rPr>
          <w:u w:val="single"/>
        </w:rPr>
        <w:tab/>
        <w:t xml:space="preserve">the ongoing effects of climate change within the coastal environment are </w:t>
      </w:r>
      <w:bookmarkEnd w:id="115"/>
      <w:r w:rsidR="00E377F8" w:rsidRPr="00C72218">
        <w:rPr>
          <w:u w:val="single"/>
        </w:rPr>
        <w:t xml:space="preserve">identified and </w:t>
      </w:r>
      <w:r w:rsidR="00127FAE" w:rsidRPr="00C72218">
        <w:rPr>
          <w:u w:val="single"/>
        </w:rPr>
        <w:t>planned for</w:t>
      </w:r>
      <w:r w:rsidRPr="00472578">
        <w:rPr>
          <w:u w:val="single"/>
        </w:rPr>
        <w:t>.</w:t>
      </w:r>
      <w:r w:rsidRPr="00472578">
        <w:rPr>
          <w:rStyle w:val="FootnoteReference"/>
        </w:rPr>
        <w:footnoteReference w:id="633"/>
      </w:r>
      <w:r w:rsidRPr="00472578">
        <w:t xml:space="preserve"> </w:t>
      </w:r>
    </w:p>
    <w:bookmarkEnd w:id="116"/>
    <w:p w14:paraId="50F15DF2" w14:textId="7ED79D46" w:rsidR="000E04F9" w:rsidRPr="00472578" w:rsidRDefault="007113CF" w:rsidP="00E92686">
      <w:pPr>
        <w:pStyle w:val="Heading4"/>
        <w:jc w:val="both"/>
      </w:pPr>
      <w:r w:rsidRPr="00472578">
        <w:t>CE-O</w:t>
      </w:r>
      <w:r w:rsidR="000E04F9" w:rsidRPr="00472578">
        <w:t xml:space="preserve">2 – </w:t>
      </w:r>
      <w:r w:rsidR="00127FAE" w:rsidRPr="00C72218">
        <w:rPr>
          <w:u w:val="single"/>
        </w:rPr>
        <w:t>Public access and recreation</w:t>
      </w:r>
      <w:r w:rsidR="00127FAE" w:rsidRPr="00472578">
        <w:t xml:space="preserve"> </w:t>
      </w:r>
      <w:r w:rsidR="000E04F9" w:rsidRPr="00472578">
        <w:rPr>
          <w:strike/>
        </w:rPr>
        <w:t>Maintaining or enhancing highly valued areas of the coastal environment</w:t>
      </w:r>
    </w:p>
    <w:p w14:paraId="56ADE973" w14:textId="77777777" w:rsidR="000E04F9" w:rsidRPr="00472578" w:rsidRDefault="000E04F9" w:rsidP="00E92686">
      <w:pPr>
        <w:spacing w:before="160" w:line="256" w:lineRule="auto"/>
        <w:ind w:right="173"/>
        <w:jc w:val="both"/>
      </w:pPr>
      <w:r w:rsidRPr="00472578">
        <w:t>Public access</w:t>
      </w:r>
      <w:r w:rsidRPr="00472578">
        <w:rPr>
          <w:strike/>
        </w:rPr>
        <w:t>,</w:t>
      </w:r>
      <w:r w:rsidRPr="00472578">
        <w:t xml:space="preserve"> </w:t>
      </w:r>
      <w:r w:rsidRPr="00472578">
        <w:rPr>
          <w:u w:val="single"/>
        </w:rPr>
        <w:t>and</w:t>
      </w:r>
      <w:r w:rsidRPr="00472578">
        <w:t xml:space="preserve"> recreation opportunities</w:t>
      </w:r>
      <w:r w:rsidRPr="00472578">
        <w:rPr>
          <w:strike/>
        </w:rPr>
        <w:t xml:space="preserve">, and </w:t>
      </w:r>
      <w:r w:rsidRPr="00472578">
        <w:rPr>
          <w:i/>
          <w:strike/>
        </w:rPr>
        <w:t>highly valued natural features and landscapes</w:t>
      </w:r>
      <w:r w:rsidRPr="00472578">
        <w:rPr>
          <w:rStyle w:val="FootnoteReference"/>
          <w:iCs/>
        </w:rPr>
        <w:footnoteReference w:id="634"/>
      </w:r>
      <w:r w:rsidRPr="00472578">
        <w:rPr>
          <w:i/>
        </w:rPr>
        <w:t xml:space="preserve"> </w:t>
      </w:r>
      <w:r w:rsidRPr="00472578">
        <w:t>in the coastal environment are maintained or enhanced.</w:t>
      </w:r>
    </w:p>
    <w:p w14:paraId="38A11B79" w14:textId="26A37D9C" w:rsidR="000E04F9" w:rsidRPr="00472578" w:rsidRDefault="007113CF" w:rsidP="00E92686">
      <w:pPr>
        <w:pStyle w:val="Heading4"/>
        <w:jc w:val="both"/>
      </w:pPr>
      <w:r w:rsidRPr="00472578">
        <w:lastRenderedPageBreak/>
        <w:t>CE-O</w:t>
      </w:r>
      <w:r w:rsidR="000E04F9" w:rsidRPr="00472578">
        <w:t>3 – Natural character, features and landscapes</w:t>
      </w:r>
    </w:p>
    <w:p w14:paraId="17A7CCAC" w14:textId="27D9AE4A" w:rsidR="000E04F9" w:rsidRPr="00472578" w:rsidRDefault="000E04F9" w:rsidP="00E92686">
      <w:pPr>
        <w:pStyle w:val="BodyText"/>
      </w:pPr>
      <w:proofErr w:type="gramStart"/>
      <w:r w:rsidRPr="00472578">
        <w:t>Areas of natural character</w:t>
      </w:r>
      <w:r w:rsidR="00A77147" w:rsidRPr="00472578">
        <w:rPr>
          <w:strike/>
        </w:rPr>
        <w:t>,</w:t>
      </w:r>
      <w:proofErr w:type="gramEnd"/>
      <w:r w:rsidRPr="00472578">
        <w:t xml:space="preserve"> </w:t>
      </w:r>
      <w:r w:rsidRPr="00472578">
        <w:rPr>
          <w:u w:val="single"/>
        </w:rPr>
        <w:t>are preserved and</w:t>
      </w:r>
      <w:r w:rsidRPr="00472578">
        <w:rPr>
          <w:rStyle w:val="FootnoteReference"/>
        </w:rPr>
        <w:footnoteReference w:id="635"/>
      </w:r>
      <w:r w:rsidRPr="00472578">
        <w:t xml:space="preserve"> natural features, landscapes and seascapes within the coastal environment</w:t>
      </w:r>
      <w:r w:rsidR="004D0A43" w:rsidRPr="00472578">
        <w:t xml:space="preserve"> </w:t>
      </w:r>
      <w:r w:rsidRPr="00472578">
        <w:t>are protected from inappropriate activities, and restoration is encouraged where the values of these areas have been compromised.</w:t>
      </w:r>
    </w:p>
    <w:p w14:paraId="585FBA50" w14:textId="2258439D" w:rsidR="000E04F9" w:rsidRPr="00472578" w:rsidRDefault="007113CF" w:rsidP="00E92686">
      <w:pPr>
        <w:pStyle w:val="Heading4"/>
        <w:spacing w:before="1"/>
        <w:jc w:val="both"/>
        <w:rPr>
          <w:strike/>
        </w:rPr>
      </w:pPr>
      <w:r w:rsidRPr="00472578">
        <w:rPr>
          <w:color w:val="1F3863"/>
        </w:rPr>
        <w:t>CE-O</w:t>
      </w:r>
      <w:r w:rsidR="000E04F9" w:rsidRPr="00472578">
        <w:rPr>
          <w:color w:val="1F3863"/>
        </w:rPr>
        <w:t xml:space="preserve">4 – </w:t>
      </w:r>
      <w:bookmarkStart w:id="117" w:name="_Hlk94537422"/>
      <w:r w:rsidR="000E04F9" w:rsidRPr="00472578">
        <w:rPr>
          <w:strike/>
          <w:color w:val="1F3863"/>
        </w:rPr>
        <w:t xml:space="preserve">Kāi Tahu associations with Otago’s coastal environment </w:t>
      </w:r>
      <w:bookmarkEnd w:id="117"/>
      <w:r w:rsidR="000E04F9" w:rsidRPr="00472578">
        <w:rPr>
          <w:color w:val="1F3863"/>
          <w:u w:val="single"/>
        </w:rPr>
        <w:t>Mana moana</w:t>
      </w:r>
      <w:r w:rsidR="000E04F9" w:rsidRPr="00472578">
        <w:rPr>
          <w:rStyle w:val="FootnoteReference"/>
          <w:b w:val="0"/>
          <w:bCs/>
          <w:color w:val="auto"/>
        </w:rPr>
        <w:footnoteReference w:id="636"/>
      </w:r>
      <w:r w:rsidR="000E04F9" w:rsidRPr="00472578">
        <w:rPr>
          <w:b w:val="0"/>
          <w:strike/>
          <w:color w:val="1F3863"/>
        </w:rPr>
        <w:t xml:space="preserve"> </w:t>
      </w:r>
    </w:p>
    <w:p w14:paraId="6B7B66A7" w14:textId="67231FF1" w:rsidR="000E04F9" w:rsidRPr="00472578" w:rsidRDefault="000E04F9" w:rsidP="00E92686">
      <w:pPr>
        <w:pStyle w:val="BodyText"/>
      </w:pPr>
      <w:r w:rsidRPr="00472578">
        <w:t xml:space="preserve">The enduring cultural association of </w:t>
      </w:r>
      <w:bookmarkStart w:id="118" w:name="_Hlk94099813"/>
      <w:r w:rsidRPr="00472578">
        <w:t xml:space="preserve">Kāi Tahu </w:t>
      </w:r>
      <w:bookmarkEnd w:id="118"/>
      <w:r w:rsidRPr="00472578">
        <w:t xml:space="preserve">with Otago’s coastal environment is recognised and provided for, </w:t>
      </w:r>
      <w:bookmarkStart w:id="119" w:name="_Hlk94100013"/>
      <w:r w:rsidRPr="00472578">
        <w:t xml:space="preserve">and </w:t>
      </w:r>
      <w:r w:rsidRPr="00472578">
        <w:rPr>
          <w:i/>
        </w:rPr>
        <w:t xml:space="preserve">mana whenua </w:t>
      </w:r>
      <w:proofErr w:type="gramStart"/>
      <w:r w:rsidRPr="00472578">
        <w:t>are able to</w:t>
      </w:r>
      <w:proofErr w:type="gramEnd"/>
      <w:r w:rsidRPr="00472578">
        <w:t xml:space="preserve"> exercise their </w:t>
      </w:r>
      <w:bookmarkStart w:id="120" w:name="_Hlk89253772"/>
      <w:r w:rsidR="00F361D6" w:rsidRPr="00472578">
        <w:rPr>
          <w:strike/>
        </w:rPr>
        <w:t>kaitiaki</w:t>
      </w:r>
      <w:r w:rsidR="00F361D6" w:rsidRPr="00472578">
        <w:t xml:space="preserve"> </w:t>
      </w:r>
      <w:r w:rsidRPr="639E38F9">
        <w:rPr>
          <w:u w:val="single"/>
        </w:rPr>
        <w:t xml:space="preserve">rakatirataka </w:t>
      </w:r>
      <w:bookmarkEnd w:id="120"/>
      <w:r w:rsidRPr="639E38F9">
        <w:t>role</w:t>
      </w:r>
      <w:r w:rsidRPr="639E38F9">
        <w:rPr>
          <w:u w:val="single"/>
        </w:rPr>
        <w:t>, manaakitaka and their</w:t>
      </w:r>
      <w:r w:rsidRPr="639E38F9">
        <w:t xml:space="preserve"> </w:t>
      </w:r>
      <w:r w:rsidRPr="639E38F9">
        <w:rPr>
          <w:u w:val="single"/>
        </w:rPr>
        <w:t>kaitiaki duty of care</w:t>
      </w:r>
      <w:r w:rsidRPr="639E38F9">
        <w:rPr>
          <w:rStyle w:val="FootnoteReference"/>
          <w:color w:val="000000"/>
          <w:shd w:val="clear" w:color="auto" w:fill="FFFFFF"/>
        </w:rPr>
        <w:footnoteReference w:id="637"/>
      </w:r>
      <w:r w:rsidRPr="00472578">
        <w:t xml:space="preserve"> within the coastal environment</w:t>
      </w:r>
      <w:bookmarkEnd w:id="119"/>
      <w:r w:rsidRPr="00472578">
        <w:t>.</w:t>
      </w:r>
    </w:p>
    <w:p w14:paraId="31450C87" w14:textId="75E85D6A" w:rsidR="000E04F9" w:rsidRPr="00472578" w:rsidRDefault="007113CF" w:rsidP="00E92686">
      <w:pPr>
        <w:pStyle w:val="Heading4"/>
        <w:jc w:val="both"/>
      </w:pPr>
      <w:r w:rsidRPr="00472578">
        <w:t>CE-O</w:t>
      </w:r>
      <w:r w:rsidR="000E04F9" w:rsidRPr="00472578">
        <w:t>5 – Activities in the coastal environment</w:t>
      </w:r>
    </w:p>
    <w:p w14:paraId="40FE5A1B" w14:textId="77777777" w:rsidR="000E04F9" w:rsidRPr="00472578" w:rsidRDefault="000E04F9" w:rsidP="00E92686">
      <w:pPr>
        <w:pStyle w:val="BodyText"/>
      </w:pPr>
      <w:r w:rsidRPr="00472578">
        <w:t>Activities in the coastal environment:</w:t>
      </w:r>
    </w:p>
    <w:p w14:paraId="78D38716" w14:textId="430BF59B" w:rsidR="000E04F9" w:rsidRPr="00472578" w:rsidRDefault="000E04F9" w:rsidP="00E92686">
      <w:pPr>
        <w:widowControl w:val="0"/>
        <w:tabs>
          <w:tab w:val="left" w:pos="686"/>
          <w:tab w:val="left" w:pos="687"/>
        </w:tabs>
        <w:autoSpaceDE w:val="0"/>
        <w:autoSpaceDN w:val="0"/>
        <w:spacing w:before="142"/>
        <w:ind w:left="567" w:hanging="567"/>
        <w:jc w:val="both"/>
      </w:pPr>
      <w:r w:rsidRPr="00472578">
        <w:t>(1)</w:t>
      </w:r>
      <w:r w:rsidRPr="00472578">
        <w:tab/>
        <w:t xml:space="preserve">make efficient use of space occupied in the </w:t>
      </w:r>
      <w:r w:rsidRPr="00472578">
        <w:rPr>
          <w:i/>
        </w:rPr>
        <w:t>coastal marine area</w:t>
      </w:r>
      <w:r w:rsidRPr="00472578">
        <w:t>,</w:t>
      </w:r>
    </w:p>
    <w:p w14:paraId="65F2498E" w14:textId="785FAB33" w:rsidR="000E04F9" w:rsidRPr="00472578" w:rsidRDefault="000E04F9" w:rsidP="00E92686">
      <w:pPr>
        <w:widowControl w:val="0"/>
        <w:tabs>
          <w:tab w:val="left" w:pos="686"/>
          <w:tab w:val="left" w:pos="687"/>
        </w:tabs>
        <w:autoSpaceDE w:val="0"/>
        <w:autoSpaceDN w:val="0"/>
        <w:spacing w:before="161"/>
        <w:ind w:left="567" w:hanging="567"/>
        <w:jc w:val="both"/>
      </w:pPr>
      <w:r w:rsidRPr="00472578">
        <w:t>(2)</w:t>
      </w:r>
      <w:r w:rsidRPr="00472578">
        <w:tab/>
        <w:t xml:space="preserve">are of a scale, </w:t>
      </w:r>
      <w:proofErr w:type="gramStart"/>
      <w:r w:rsidRPr="00472578">
        <w:t>density</w:t>
      </w:r>
      <w:proofErr w:type="gramEnd"/>
      <w:r w:rsidRPr="00472578">
        <w:t xml:space="preserve"> and design compatible with their location,</w:t>
      </w:r>
    </w:p>
    <w:p w14:paraId="1AFCC273" w14:textId="12914743" w:rsidR="000E04F9" w:rsidRPr="00472578" w:rsidRDefault="000E04F9" w:rsidP="00E92686">
      <w:pPr>
        <w:widowControl w:val="0"/>
        <w:tabs>
          <w:tab w:val="left" w:pos="686"/>
          <w:tab w:val="left" w:pos="687"/>
        </w:tabs>
        <w:autoSpaceDE w:val="0"/>
        <w:autoSpaceDN w:val="0"/>
        <w:spacing w:before="159"/>
        <w:ind w:left="567" w:hanging="567"/>
        <w:jc w:val="both"/>
      </w:pPr>
      <w:r w:rsidRPr="00472578">
        <w:t>(3)</w:t>
      </w:r>
      <w:r w:rsidRPr="00472578">
        <w:tab/>
        <w:t>are only provided for within appropriate locations and limits, and</w:t>
      </w:r>
    </w:p>
    <w:p w14:paraId="6DBC84E6" w14:textId="5ED75B78" w:rsidR="000E04F9" w:rsidRPr="00472578" w:rsidRDefault="000E04F9" w:rsidP="00E92686">
      <w:pPr>
        <w:widowControl w:val="0"/>
        <w:tabs>
          <w:tab w:val="left" w:pos="686"/>
          <w:tab w:val="left" w:pos="687"/>
        </w:tabs>
        <w:autoSpaceDE w:val="0"/>
        <w:autoSpaceDN w:val="0"/>
        <w:spacing w:before="161"/>
        <w:ind w:left="567" w:right="174" w:hanging="567"/>
        <w:jc w:val="both"/>
      </w:pPr>
      <w:r w:rsidRPr="00472578">
        <w:t>(4)</w:t>
      </w:r>
      <w:r w:rsidRPr="00472578">
        <w:tab/>
        <w:t xml:space="preserve">maintain or enhance public access to and along the </w:t>
      </w:r>
      <w:r w:rsidRPr="00472578">
        <w:rPr>
          <w:i/>
        </w:rPr>
        <w:t xml:space="preserve">coastal marine area, </w:t>
      </w:r>
      <w:r w:rsidRPr="00472578">
        <w:t>including for customary uses</w:t>
      </w:r>
      <w:r w:rsidRPr="00472578">
        <w:rPr>
          <w:u w:val="single"/>
        </w:rPr>
        <w:t>, except where public access needs to be restricted for reasons of health and safety or ecological or cultural sensitivity</w:t>
      </w:r>
      <w:r w:rsidRPr="00472578">
        <w:t>.</w:t>
      </w:r>
      <w:r w:rsidRPr="00472578">
        <w:rPr>
          <w:rStyle w:val="FootnoteReference"/>
        </w:rPr>
        <w:footnoteReference w:id="638"/>
      </w:r>
    </w:p>
    <w:p w14:paraId="3AAB8CA3" w14:textId="77777777" w:rsidR="000E04F9" w:rsidRPr="00472578" w:rsidRDefault="000E04F9" w:rsidP="00E92686">
      <w:pPr>
        <w:pStyle w:val="Heading3"/>
        <w:jc w:val="both"/>
      </w:pPr>
      <w:r w:rsidRPr="00472578">
        <w:t>Policies</w:t>
      </w:r>
    </w:p>
    <w:p w14:paraId="2A3C4CC1" w14:textId="230BB219" w:rsidR="000E04F9" w:rsidRPr="00472578" w:rsidRDefault="007113CF" w:rsidP="00E92686">
      <w:pPr>
        <w:pStyle w:val="Heading4"/>
        <w:jc w:val="both"/>
      </w:pPr>
      <w:bookmarkStart w:id="121" w:name="_Hlk94100240"/>
      <w:r w:rsidRPr="00472578">
        <w:t>CE-P</w:t>
      </w:r>
      <w:r w:rsidR="000E04F9" w:rsidRPr="00472578">
        <w:t>1 – Links with other chapters</w:t>
      </w:r>
    </w:p>
    <w:p w14:paraId="66594028" w14:textId="77777777" w:rsidR="000E04F9" w:rsidRPr="00472578" w:rsidRDefault="000E04F9" w:rsidP="00E92686">
      <w:pPr>
        <w:pStyle w:val="BodyText"/>
      </w:pPr>
      <w:r w:rsidRPr="00472578">
        <w:rPr>
          <w:u w:val="single"/>
        </w:rPr>
        <w:t>Implement an integrated approach to managing Otago’s coastal environment which</w:t>
      </w:r>
      <w:r w:rsidRPr="00472578">
        <w:t xml:space="preserve"> </w:t>
      </w:r>
      <w:r w:rsidRPr="00472578">
        <w:rPr>
          <w:strike/>
        </w:rPr>
        <w:t>R</w:t>
      </w:r>
      <w:r w:rsidRPr="00472578">
        <w:rPr>
          <w:u w:val="single"/>
        </w:rPr>
        <w:t>r</w:t>
      </w:r>
      <w:r w:rsidRPr="00472578">
        <w:t>ecognise</w:t>
      </w:r>
      <w:r w:rsidRPr="00472578">
        <w:rPr>
          <w:u w:val="single"/>
        </w:rPr>
        <w:t>s</w:t>
      </w:r>
      <w:r w:rsidRPr="00472578">
        <w:rPr>
          <w:rStyle w:val="FootnoteReference"/>
        </w:rPr>
        <w:footnoteReference w:id="639"/>
      </w:r>
      <w:r w:rsidRPr="00472578">
        <w:t xml:space="preserve"> that:</w:t>
      </w:r>
    </w:p>
    <w:p w14:paraId="08FF39A4" w14:textId="564A03FD" w:rsidR="000E04F9" w:rsidRPr="00472578" w:rsidRDefault="000E04F9" w:rsidP="00E92686">
      <w:pPr>
        <w:widowControl w:val="0"/>
        <w:tabs>
          <w:tab w:val="left" w:pos="687"/>
        </w:tabs>
        <w:autoSpaceDE w:val="0"/>
        <w:autoSpaceDN w:val="0"/>
        <w:spacing w:before="182" w:line="256" w:lineRule="auto"/>
        <w:ind w:left="567" w:right="174" w:hanging="567"/>
        <w:jc w:val="both"/>
      </w:pPr>
      <w:r w:rsidRPr="00472578">
        <w:t>(1)</w:t>
      </w:r>
      <w:r w:rsidRPr="00472578">
        <w:tab/>
        <w:t xml:space="preserve">coastal hazards must be identified in accordance with </w:t>
      </w:r>
      <w:r w:rsidR="007113CF" w:rsidRPr="00472578">
        <w:t>CE-P</w:t>
      </w:r>
      <w:r w:rsidRPr="00472578">
        <w:t xml:space="preserve">2(4) and managed in accordance with the HAZ–NH – Natural hazards section of this </w:t>
      </w:r>
      <w:proofErr w:type="gramStart"/>
      <w:r w:rsidRPr="00472578">
        <w:t>RPS;</w:t>
      </w:r>
      <w:proofErr w:type="gramEnd"/>
    </w:p>
    <w:p w14:paraId="42530CC3" w14:textId="6FDA6C26" w:rsidR="000E04F9" w:rsidRPr="00472578" w:rsidRDefault="000E04F9" w:rsidP="00E92686">
      <w:pPr>
        <w:widowControl w:val="0"/>
        <w:tabs>
          <w:tab w:val="left" w:pos="687"/>
        </w:tabs>
        <w:autoSpaceDE w:val="0"/>
        <w:autoSpaceDN w:val="0"/>
        <w:spacing w:before="165"/>
        <w:ind w:left="567" w:right="174" w:hanging="567"/>
        <w:jc w:val="both"/>
      </w:pPr>
      <w:r w:rsidRPr="00472578">
        <w:t>(2)</w:t>
      </w:r>
      <w:r w:rsidRPr="00472578">
        <w:tab/>
      </w:r>
      <w:r w:rsidRPr="00472578">
        <w:rPr>
          <w:i/>
          <w:iCs/>
          <w:u w:val="single"/>
        </w:rPr>
        <w:t>commercial</w:t>
      </w:r>
      <w:r w:rsidRPr="00472578">
        <w:rPr>
          <w:rStyle w:val="FootnoteReference"/>
        </w:rPr>
        <w:footnoteReference w:id="640"/>
      </w:r>
      <w:r w:rsidRPr="00472578">
        <w:rPr>
          <w:i/>
          <w:iCs/>
        </w:rPr>
        <w:t xml:space="preserve"> port activities</w:t>
      </w:r>
      <w:r w:rsidRPr="00472578">
        <w:t xml:space="preserve"> must be managed in accordance with </w:t>
      </w:r>
      <w:bookmarkStart w:id="122" w:name="_Hlk94176558"/>
      <w:r w:rsidRPr="00472578">
        <w:rPr>
          <w:u w:val="single"/>
        </w:rPr>
        <w:t>EIT-TRAN-P23</w:t>
      </w:r>
      <w:bookmarkEnd w:id="122"/>
      <w:r w:rsidRPr="00472578">
        <w:t xml:space="preserve"> </w:t>
      </w:r>
      <w:r w:rsidRPr="00472578">
        <w:rPr>
          <w:strike/>
        </w:rPr>
        <w:t>the TRAN – Transport section of this RPS</w:t>
      </w:r>
      <w:r w:rsidRPr="00472578">
        <w:rPr>
          <w:rStyle w:val="FootnoteReference"/>
        </w:rPr>
        <w:footnoteReference w:id="641"/>
      </w:r>
      <w:r w:rsidRPr="00472578">
        <w:t>; and</w:t>
      </w:r>
    </w:p>
    <w:p w14:paraId="071D79EC" w14:textId="3F657221" w:rsidR="000E04F9" w:rsidRPr="00472578" w:rsidRDefault="000E04F9" w:rsidP="00E92686">
      <w:pPr>
        <w:widowControl w:val="0"/>
        <w:tabs>
          <w:tab w:val="left" w:pos="687"/>
        </w:tabs>
        <w:autoSpaceDE w:val="0"/>
        <w:autoSpaceDN w:val="0"/>
        <w:spacing w:before="159"/>
        <w:ind w:left="567" w:right="172" w:hanging="567"/>
        <w:jc w:val="both"/>
        <w:rPr>
          <w:strike/>
        </w:rPr>
      </w:pPr>
      <w:r w:rsidRPr="00472578">
        <w:rPr>
          <w:iCs/>
          <w:strike/>
        </w:rPr>
        <w:t>(3)</w:t>
      </w:r>
      <w:r w:rsidRPr="00472578">
        <w:rPr>
          <w:iCs/>
          <w:strike/>
        </w:rPr>
        <w:tab/>
      </w:r>
      <w:r w:rsidRPr="00472578">
        <w:rPr>
          <w:i/>
          <w:strike/>
        </w:rPr>
        <w:t xml:space="preserve">historic heritage </w:t>
      </w:r>
      <w:r w:rsidRPr="00472578">
        <w:rPr>
          <w:strike/>
        </w:rPr>
        <w:t>must be managed in accordance with the HCV – Historical and cultural values section of this RPS.</w:t>
      </w:r>
    </w:p>
    <w:p w14:paraId="10DB077D" w14:textId="30CF8B90" w:rsidR="000E04F9" w:rsidRPr="00472578" w:rsidRDefault="000E04F9" w:rsidP="00E92686">
      <w:pPr>
        <w:widowControl w:val="0"/>
        <w:tabs>
          <w:tab w:val="left" w:pos="687"/>
        </w:tabs>
        <w:autoSpaceDE w:val="0"/>
        <w:autoSpaceDN w:val="0"/>
        <w:spacing w:before="159"/>
        <w:ind w:left="567" w:right="172" w:hanging="567"/>
        <w:jc w:val="both"/>
        <w:rPr>
          <w:rFonts w:cstheme="minorHAnsi"/>
          <w:u w:val="single"/>
        </w:rPr>
      </w:pPr>
      <w:r w:rsidRPr="00472578">
        <w:rPr>
          <w:rFonts w:cstheme="minorHAnsi"/>
          <w:u w:val="single"/>
        </w:rPr>
        <w:t>(4)</w:t>
      </w:r>
      <w:r w:rsidRPr="00472578">
        <w:rPr>
          <w:rFonts w:cstheme="minorHAnsi"/>
          <w:u w:val="single"/>
        </w:rPr>
        <w:tab/>
        <w:t xml:space="preserve">where relevant, the provisions within the following chapters of this RPS also apply within the coastal environment, unless expressly excluded: </w:t>
      </w:r>
    </w:p>
    <w:p w14:paraId="3DBAF517" w14:textId="417BBDAA"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(a)</w:t>
      </w:r>
      <w:r w:rsidRPr="00472578">
        <w:rPr>
          <w:u w:val="single"/>
        </w:rPr>
        <w:tab/>
        <w:t>IM – Integrated management,</w:t>
      </w:r>
    </w:p>
    <w:p w14:paraId="4859536A" w14:textId="6FB36F85"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lastRenderedPageBreak/>
        <w:t>(b)</w:t>
      </w:r>
      <w:r w:rsidRPr="00472578">
        <w:rPr>
          <w:u w:val="single"/>
        </w:rPr>
        <w:tab/>
        <w:t>AIR – Air,</w:t>
      </w:r>
    </w:p>
    <w:p w14:paraId="25E1DE1B" w14:textId="759D3EB2"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(c)</w:t>
      </w:r>
      <w:r w:rsidRPr="00472578">
        <w:rPr>
          <w:u w:val="single"/>
        </w:rPr>
        <w:tab/>
        <w:t>LF – Land and freshwater,</w:t>
      </w:r>
    </w:p>
    <w:p w14:paraId="6512680E" w14:textId="6B42DFEB"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(d)</w:t>
      </w:r>
      <w:r w:rsidRPr="00472578">
        <w:rPr>
          <w:u w:val="single"/>
        </w:rPr>
        <w:tab/>
        <w:t>ECO – Ecosystems and indigenous biodiversity,</w:t>
      </w:r>
    </w:p>
    <w:p w14:paraId="0E2ECE69" w14:textId="6D288F53"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(e)</w:t>
      </w:r>
      <w:r w:rsidRPr="00472578">
        <w:rPr>
          <w:u w:val="single"/>
        </w:rPr>
        <w:tab/>
        <w:t xml:space="preserve">EIT – Energy, </w:t>
      </w:r>
      <w:proofErr w:type="gramStart"/>
      <w:r w:rsidRPr="00472578">
        <w:rPr>
          <w:u w:val="single"/>
        </w:rPr>
        <w:t>infrastructure</w:t>
      </w:r>
      <w:proofErr w:type="gramEnd"/>
      <w:r w:rsidRPr="00472578">
        <w:rPr>
          <w:u w:val="single"/>
        </w:rPr>
        <w:t xml:space="preserve"> and transport,</w:t>
      </w:r>
    </w:p>
    <w:p w14:paraId="34B14625" w14:textId="318C7C05"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(f)</w:t>
      </w:r>
      <w:r w:rsidRPr="00472578">
        <w:rPr>
          <w:u w:val="single"/>
        </w:rPr>
        <w:tab/>
        <w:t>HAZ – Hazards and risks,</w:t>
      </w:r>
    </w:p>
    <w:p w14:paraId="0FDCD588" w14:textId="5AF13DD1"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(g)</w:t>
      </w:r>
      <w:r w:rsidRPr="00472578">
        <w:rPr>
          <w:u w:val="single"/>
        </w:rPr>
        <w:tab/>
        <w:t>HCV – Heritage and historical values,</w:t>
      </w:r>
    </w:p>
    <w:p w14:paraId="25F87EF3" w14:textId="38DE859B"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(h)</w:t>
      </w:r>
      <w:r w:rsidRPr="00472578">
        <w:rPr>
          <w:u w:val="single"/>
        </w:rPr>
        <w:tab/>
        <w:t>NFL – Natural features and landscapes, and</w:t>
      </w:r>
    </w:p>
    <w:p w14:paraId="492B0120" w14:textId="0A61DEDC" w:rsidR="000E04F9" w:rsidRPr="00472578" w:rsidRDefault="000E04F9" w:rsidP="00E92686">
      <w:pPr>
        <w:widowControl w:val="0"/>
        <w:tabs>
          <w:tab w:val="left" w:pos="1212"/>
          <w:tab w:val="left" w:pos="1213"/>
        </w:tabs>
        <w:autoSpaceDE w:val="0"/>
        <w:autoSpaceDN w:val="0"/>
        <w:spacing w:before="158"/>
        <w:ind w:left="1134" w:hanging="567"/>
        <w:jc w:val="both"/>
        <w:rPr>
          <w:u w:val="single"/>
        </w:rPr>
      </w:pPr>
      <w:r w:rsidRPr="00472578">
        <w:rPr>
          <w:u w:val="single"/>
        </w:rPr>
        <w:t>(i)</w:t>
      </w:r>
      <w:r w:rsidRPr="00472578">
        <w:rPr>
          <w:u w:val="single"/>
        </w:rPr>
        <w:tab/>
        <w:t>UFD – Urban form and development</w:t>
      </w:r>
      <w:bookmarkEnd w:id="121"/>
      <w:r w:rsidRPr="00472578">
        <w:rPr>
          <w:u w:val="single"/>
        </w:rPr>
        <w:t xml:space="preserve">. </w:t>
      </w:r>
      <w:r w:rsidRPr="00472578">
        <w:rPr>
          <w:rStyle w:val="FootnoteReference"/>
        </w:rPr>
        <w:footnoteReference w:id="642"/>
      </w:r>
    </w:p>
    <w:p w14:paraId="0078018E" w14:textId="34FF4F27" w:rsidR="000E04F9" w:rsidRPr="00472578" w:rsidRDefault="007113CF" w:rsidP="00E92686">
      <w:pPr>
        <w:pStyle w:val="Heading4"/>
        <w:jc w:val="both"/>
      </w:pPr>
      <w:r w:rsidRPr="00472578">
        <w:rPr>
          <w:color w:val="1F3863"/>
        </w:rPr>
        <w:t>CE-P</w:t>
      </w:r>
      <w:r w:rsidR="000E04F9" w:rsidRPr="00472578">
        <w:rPr>
          <w:color w:val="1F3863"/>
        </w:rPr>
        <w:t>2 – Identification</w:t>
      </w:r>
    </w:p>
    <w:p w14:paraId="16E045DB" w14:textId="77777777" w:rsidR="000E04F9" w:rsidRPr="00472578" w:rsidRDefault="000E04F9" w:rsidP="00E92686">
      <w:pPr>
        <w:pStyle w:val="BodyText"/>
      </w:pPr>
      <w:r w:rsidRPr="00472578">
        <w:t>Identify the following in the coastal environment:</w:t>
      </w:r>
    </w:p>
    <w:p w14:paraId="34E4AEEA" w14:textId="4E618DC3" w:rsidR="000E04F9" w:rsidRPr="00472578" w:rsidRDefault="00081DE2" w:rsidP="00E92686">
      <w:pPr>
        <w:widowControl w:val="0"/>
        <w:tabs>
          <w:tab w:val="left" w:pos="687"/>
        </w:tabs>
        <w:autoSpaceDE w:val="0"/>
        <w:autoSpaceDN w:val="0"/>
        <w:spacing w:before="162"/>
        <w:ind w:left="567" w:right="174" w:hanging="567"/>
        <w:jc w:val="both"/>
      </w:pPr>
      <w:r w:rsidRPr="00472578">
        <w:t>(1)</w:t>
      </w:r>
      <w:r w:rsidRPr="00472578">
        <w:tab/>
      </w:r>
      <w:r w:rsidR="000E04F9" w:rsidRPr="00472578">
        <w:t>the landward extent of the coastal environment, recognising that the coastal environment includes:</w:t>
      </w:r>
    </w:p>
    <w:p w14:paraId="44170982" w14:textId="1C030B96" w:rsidR="000E04F9" w:rsidRPr="00472578" w:rsidRDefault="00081DE2" w:rsidP="00E92686">
      <w:pPr>
        <w:widowControl w:val="0"/>
        <w:tabs>
          <w:tab w:val="left" w:pos="1212"/>
          <w:tab w:val="left" w:pos="1213"/>
        </w:tabs>
        <w:autoSpaceDE w:val="0"/>
        <w:autoSpaceDN w:val="0"/>
        <w:spacing w:before="158"/>
        <w:ind w:left="1134" w:hanging="567"/>
        <w:jc w:val="both"/>
      </w:pPr>
      <w:r w:rsidRPr="00472578">
        <w:t>(a)</w:t>
      </w:r>
      <w:r w:rsidRPr="00472578">
        <w:tab/>
      </w:r>
      <w:r w:rsidR="000E04F9" w:rsidRPr="00472578">
        <w:t xml:space="preserve">the </w:t>
      </w:r>
      <w:r w:rsidR="000E04F9" w:rsidRPr="00472578">
        <w:rPr>
          <w:i/>
        </w:rPr>
        <w:t>coastal marine area</w:t>
      </w:r>
      <w:r w:rsidR="000E04F9" w:rsidRPr="00472578">
        <w:t>,</w:t>
      </w:r>
    </w:p>
    <w:p w14:paraId="42D48ECA" w14:textId="692B843D" w:rsidR="000E04F9" w:rsidRPr="00472578" w:rsidRDefault="00081DE2" w:rsidP="00E92686">
      <w:pPr>
        <w:widowControl w:val="0"/>
        <w:tabs>
          <w:tab w:val="left" w:pos="1212"/>
          <w:tab w:val="left" w:pos="1213"/>
        </w:tabs>
        <w:autoSpaceDE w:val="0"/>
        <w:autoSpaceDN w:val="0"/>
        <w:spacing w:before="161"/>
        <w:ind w:left="1134" w:hanging="567"/>
        <w:jc w:val="both"/>
      </w:pPr>
      <w:r w:rsidRPr="00472578">
        <w:t>(b)</w:t>
      </w:r>
      <w:r w:rsidRPr="00472578">
        <w:tab/>
      </w:r>
      <w:r w:rsidR="000E04F9" w:rsidRPr="00472578">
        <w:t xml:space="preserve">islands within the </w:t>
      </w:r>
      <w:r w:rsidR="000E04F9" w:rsidRPr="00472578">
        <w:rPr>
          <w:i/>
        </w:rPr>
        <w:t>coastal marine area</w:t>
      </w:r>
      <w:r w:rsidR="000E04F9" w:rsidRPr="00472578">
        <w:t>,</w:t>
      </w:r>
    </w:p>
    <w:p w14:paraId="6F76B359" w14:textId="1AB7E175" w:rsidR="000E04F9" w:rsidRPr="00472578" w:rsidRDefault="00081DE2" w:rsidP="00E92686">
      <w:pPr>
        <w:widowControl w:val="0"/>
        <w:tabs>
          <w:tab w:val="left" w:pos="1212"/>
          <w:tab w:val="left" w:pos="1213"/>
        </w:tabs>
        <w:autoSpaceDE w:val="0"/>
        <w:autoSpaceDN w:val="0"/>
        <w:spacing w:before="159"/>
        <w:ind w:left="1134" w:right="179" w:hanging="567"/>
        <w:jc w:val="both"/>
      </w:pPr>
      <w:r w:rsidRPr="00472578">
        <w:t>(c)</w:t>
      </w:r>
      <w:r w:rsidRPr="00472578">
        <w:tab/>
      </w:r>
      <w:r w:rsidR="000E04F9" w:rsidRPr="00472578">
        <w:t>areas where coastal processes, influences or qualities are significant, including coastal lakes, lagoons, tidal estuaries, saltmarshes, coastal wetlands, and the margins of these,</w:t>
      </w:r>
    </w:p>
    <w:p w14:paraId="37CB409D" w14:textId="3E1DBCAA" w:rsidR="000E04F9" w:rsidRPr="00472578" w:rsidRDefault="00081DE2" w:rsidP="00E92686">
      <w:pPr>
        <w:widowControl w:val="0"/>
        <w:tabs>
          <w:tab w:val="left" w:pos="1212"/>
          <w:tab w:val="left" w:pos="1213"/>
        </w:tabs>
        <w:autoSpaceDE w:val="0"/>
        <w:autoSpaceDN w:val="0"/>
        <w:spacing w:before="161"/>
        <w:ind w:left="1134" w:hanging="567"/>
        <w:jc w:val="both"/>
      </w:pPr>
      <w:r w:rsidRPr="00472578">
        <w:t>(d)</w:t>
      </w:r>
      <w:r w:rsidRPr="00472578">
        <w:tab/>
      </w:r>
      <w:r w:rsidR="000E04F9" w:rsidRPr="00472578">
        <w:t xml:space="preserve">areas at risk from coastal hazards as identified in </w:t>
      </w:r>
      <w:r w:rsidR="007113CF" w:rsidRPr="00472578">
        <w:t>CE-P</w:t>
      </w:r>
      <w:r w:rsidR="000E04F9" w:rsidRPr="00472578">
        <w:t>2(4),</w:t>
      </w:r>
    </w:p>
    <w:p w14:paraId="0B7A9471" w14:textId="0B04AC2C" w:rsidR="000E04F9" w:rsidRPr="00472578" w:rsidRDefault="00081DE2" w:rsidP="00E92686">
      <w:pPr>
        <w:widowControl w:val="0"/>
        <w:tabs>
          <w:tab w:val="left" w:pos="1212"/>
          <w:tab w:val="left" w:pos="1213"/>
        </w:tabs>
        <w:autoSpaceDE w:val="0"/>
        <w:autoSpaceDN w:val="0"/>
        <w:spacing w:before="159"/>
        <w:ind w:left="1134" w:hanging="567"/>
        <w:jc w:val="both"/>
      </w:pPr>
      <w:r w:rsidRPr="00472578">
        <w:t>(e)</w:t>
      </w:r>
      <w:r w:rsidRPr="00472578">
        <w:tab/>
      </w:r>
      <w:r w:rsidR="000E04F9" w:rsidRPr="00472578">
        <w:t>coastal vegetation and the habitat of indigenous coastal species including migratory birds,</w:t>
      </w:r>
    </w:p>
    <w:p w14:paraId="789D5883" w14:textId="60B3AED7" w:rsidR="000E04F9" w:rsidRPr="00472578" w:rsidRDefault="00081DE2" w:rsidP="00E92686">
      <w:pPr>
        <w:widowControl w:val="0"/>
        <w:tabs>
          <w:tab w:val="left" w:pos="1212"/>
          <w:tab w:val="left" w:pos="1213"/>
        </w:tabs>
        <w:autoSpaceDE w:val="0"/>
        <w:autoSpaceDN w:val="0"/>
        <w:spacing w:before="161"/>
        <w:ind w:left="1134" w:right="175" w:hanging="567"/>
        <w:jc w:val="both"/>
      </w:pPr>
      <w:r w:rsidRPr="00472578">
        <w:t>(f)</w:t>
      </w:r>
      <w:r w:rsidRPr="00472578">
        <w:tab/>
      </w:r>
      <w:r w:rsidR="000E04F9" w:rsidRPr="00472578">
        <w:t xml:space="preserve">elements and features that contribute to the natural character, landscape, visual </w:t>
      </w:r>
      <w:proofErr w:type="gramStart"/>
      <w:r w:rsidR="000E04F9" w:rsidRPr="00472578">
        <w:t>qualities</w:t>
      </w:r>
      <w:proofErr w:type="gramEnd"/>
      <w:r w:rsidR="000E04F9" w:rsidRPr="00472578">
        <w:t xml:space="preserve"> or </w:t>
      </w:r>
      <w:r w:rsidR="000E04F9" w:rsidRPr="00472578">
        <w:rPr>
          <w:i/>
        </w:rPr>
        <w:t>amenity values</w:t>
      </w:r>
      <w:r w:rsidR="000E04F9" w:rsidRPr="00472578">
        <w:t>,</w:t>
      </w:r>
    </w:p>
    <w:p w14:paraId="475992E6" w14:textId="10957902" w:rsidR="000E04F9" w:rsidRPr="00472578" w:rsidRDefault="00081DE2" w:rsidP="00E92686">
      <w:pPr>
        <w:widowControl w:val="0"/>
        <w:tabs>
          <w:tab w:val="left" w:pos="1212"/>
          <w:tab w:val="left" w:pos="1213"/>
        </w:tabs>
        <w:autoSpaceDE w:val="0"/>
        <w:autoSpaceDN w:val="0"/>
        <w:spacing w:before="159"/>
        <w:ind w:left="1134" w:hanging="567"/>
        <w:jc w:val="both"/>
      </w:pPr>
      <w:r w:rsidRPr="00472578">
        <w:t>(g)</w:t>
      </w:r>
      <w:r w:rsidRPr="00472578">
        <w:tab/>
      </w:r>
      <w:r w:rsidR="000E04F9" w:rsidRPr="00472578">
        <w:t xml:space="preserve">items of </w:t>
      </w:r>
      <w:bookmarkStart w:id="123" w:name="_Hlk94099890"/>
      <w:r w:rsidR="000E04F9" w:rsidRPr="00472578">
        <w:rPr>
          <w:u w:val="single"/>
        </w:rPr>
        <w:t>Kāi Tahu</w:t>
      </w:r>
      <w:r w:rsidR="000E04F9" w:rsidRPr="00472578">
        <w:rPr>
          <w:rStyle w:val="FootnoteReference"/>
        </w:rPr>
        <w:footnoteReference w:id="643"/>
      </w:r>
      <w:r w:rsidR="000E04F9" w:rsidRPr="00472578">
        <w:t xml:space="preserve"> cultural </w:t>
      </w:r>
      <w:r w:rsidR="000E04F9" w:rsidRPr="00472578">
        <w:rPr>
          <w:u w:val="single"/>
        </w:rPr>
        <w:t>association</w:t>
      </w:r>
      <w:r w:rsidR="000E04F9" w:rsidRPr="00472578">
        <w:rPr>
          <w:rStyle w:val="FootnoteReference"/>
        </w:rPr>
        <w:footnoteReference w:id="644"/>
      </w:r>
      <w:r w:rsidR="000E04F9" w:rsidRPr="00472578">
        <w:t xml:space="preserve"> </w:t>
      </w:r>
      <w:bookmarkEnd w:id="123"/>
      <w:r w:rsidR="000E04F9" w:rsidRPr="00472578">
        <w:t xml:space="preserve">and </w:t>
      </w:r>
      <w:r w:rsidR="000E04F9" w:rsidRPr="00472578">
        <w:rPr>
          <w:i/>
        </w:rPr>
        <w:t xml:space="preserve">historic heritage </w:t>
      </w:r>
      <w:r w:rsidR="000E04F9" w:rsidRPr="00472578">
        <w:t xml:space="preserve">in the </w:t>
      </w:r>
      <w:r w:rsidR="000E04F9" w:rsidRPr="00472578">
        <w:rPr>
          <w:i/>
        </w:rPr>
        <w:t xml:space="preserve">coastal marine area </w:t>
      </w:r>
      <w:r w:rsidR="000E04F9" w:rsidRPr="00472578">
        <w:t>or on the coast,</w:t>
      </w:r>
    </w:p>
    <w:p w14:paraId="52655E64" w14:textId="57B3AC1A" w:rsidR="000E04F9" w:rsidRPr="00472578" w:rsidRDefault="00081DE2" w:rsidP="00E92686">
      <w:pPr>
        <w:widowControl w:val="0"/>
        <w:tabs>
          <w:tab w:val="left" w:pos="1212"/>
          <w:tab w:val="left" w:pos="1213"/>
        </w:tabs>
        <w:autoSpaceDE w:val="0"/>
        <w:autoSpaceDN w:val="0"/>
        <w:spacing w:before="161"/>
        <w:ind w:left="1134" w:hanging="567"/>
        <w:jc w:val="both"/>
      </w:pPr>
      <w:r w:rsidRPr="00472578">
        <w:t>(h)</w:t>
      </w:r>
      <w:r w:rsidRPr="00472578">
        <w:tab/>
      </w:r>
      <w:r w:rsidR="000E04F9" w:rsidRPr="00472578">
        <w:t>inter-related coastal marine and terrestrial systems, including the intertidal zone, and</w:t>
      </w:r>
    </w:p>
    <w:p w14:paraId="15E2FE31" w14:textId="021FF437" w:rsidR="000E04F9" w:rsidRPr="00472578" w:rsidRDefault="00081DE2" w:rsidP="00E92686">
      <w:pPr>
        <w:widowControl w:val="0"/>
        <w:tabs>
          <w:tab w:val="left" w:pos="1212"/>
          <w:tab w:val="left" w:pos="1213"/>
        </w:tabs>
        <w:autoSpaceDE w:val="0"/>
        <w:autoSpaceDN w:val="0"/>
        <w:spacing w:before="159"/>
        <w:ind w:left="1134" w:right="174" w:hanging="567"/>
        <w:jc w:val="both"/>
      </w:pPr>
      <w:r w:rsidRPr="00472578">
        <w:t>(i)</w:t>
      </w:r>
      <w:r w:rsidRPr="00472578">
        <w:tab/>
      </w:r>
      <w:r w:rsidR="000E04F9" w:rsidRPr="00472578">
        <w:t xml:space="preserve">physical resources and built facilities, including </w:t>
      </w:r>
      <w:r w:rsidR="000E04F9" w:rsidRPr="00472578">
        <w:rPr>
          <w:i/>
        </w:rPr>
        <w:t>infrastructure</w:t>
      </w:r>
      <w:r w:rsidR="000E04F9" w:rsidRPr="00472578">
        <w:t xml:space="preserve">, that have modified the coastal environment. </w:t>
      </w:r>
    </w:p>
    <w:p w14:paraId="403E6BCD" w14:textId="07977D01" w:rsidR="000E04F9" w:rsidRPr="00472578" w:rsidRDefault="00081DE2" w:rsidP="00E92686">
      <w:pPr>
        <w:widowControl w:val="0"/>
        <w:tabs>
          <w:tab w:val="left" w:pos="687"/>
        </w:tabs>
        <w:autoSpaceDE w:val="0"/>
        <w:autoSpaceDN w:val="0"/>
        <w:spacing w:before="161"/>
        <w:ind w:left="567" w:right="175" w:hanging="567"/>
        <w:jc w:val="both"/>
      </w:pPr>
      <w:r w:rsidRPr="00472578">
        <w:t>(2)</w:t>
      </w:r>
      <w:r w:rsidRPr="00472578">
        <w:tab/>
      </w:r>
      <w:r w:rsidR="000E04F9" w:rsidRPr="00472578">
        <w:t xml:space="preserve">areas of </w:t>
      </w:r>
      <w:r w:rsidR="000E04F9" w:rsidRPr="00472578">
        <w:rPr>
          <w:i/>
        </w:rPr>
        <w:t xml:space="preserve">water </w:t>
      </w:r>
      <w:r w:rsidR="000E04F9" w:rsidRPr="00472578">
        <w:t xml:space="preserve">quality in the </w:t>
      </w:r>
      <w:r w:rsidR="000E04F9" w:rsidRPr="00472578">
        <w:rPr>
          <w:i/>
        </w:rPr>
        <w:t xml:space="preserve">coastal marine area </w:t>
      </w:r>
      <w:r w:rsidR="000E04F9" w:rsidRPr="00472578">
        <w:t xml:space="preserve">that are considered to have deteriorated so that it is having a significant adverse </w:t>
      </w:r>
      <w:r w:rsidR="000E04F9" w:rsidRPr="00472578">
        <w:rPr>
          <w:i/>
        </w:rPr>
        <w:t xml:space="preserve">effect </w:t>
      </w:r>
      <w:r w:rsidR="000E04F9" w:rsidRPr="00472578">
        <w:t xml:space="preserve">on ecosystems, natural habitats, or water-based recreational activities, or is restricting existing uses, such as aquaculture, shellfish gathering, and cultural activities such as </w:t>
      </w:r>
      <w:r w:rsidR="00212778" w:rsidRPr="009C237D">
        <w:rPr>
          <w:strike/>
        </w:rPr>
        <w:t>mahika kai</w:t>
      </w:r>
      <w:r w:rsidR="00212778" w:rsidRPr="00472578">
        <w:t xml:space="preserve"> </w:t>
      </w:r>
      <w:r w:rsidR="00212778" w:rsidRPr="004B700D">
        <w:rPr>
          <w:i/>
          <w:iCs/>
          <w:u w:val="single"/>
        </w:rPr>
        <w:t>mahika kai</w:t>
      </w:r>
      <w:r w:rsidR="00212778">
        <w:rPr>
          <w:rStyle w:val="FootnoteReference"/>
        </w:rPr>
        <w:footnoteReference w:id="645"/>
      </w:r>
      <w:r w:rsidR="00212778" w:rsidRPr="00472578">
        <w:rPr>
          <w:iCs/>
        </w:rPr>
        <w:t xml:space="preserve"> </w:t>
      </w:r>
      <w:r w:rsidR="000E04F9" w:rsidRPr="00472578">
        <w:t>and harvesting of kaimoana,</w:t>
      </w:r>
    </w:p>
    <w:p w14:paraId="35BA74AF" w14:textId="688AADE8" w:rsidR="000E04F9" w:rsidRPr="00472578" w:rsidRDefault="00081DE2" w:rsidP="00E92686">
      <w:pPr>
        <w:widowControl w:val="0"/>
        <w:tabs>
          <w:tab w:val="left" w:pos="686"/>
          <w:tab w:val="left" w:pos="687"/>
        </w:tabs>
        <w:autoSpaceDE w:val="0"/>
        <w:autoSpaceDN w:val="0"/>
        <w:spacing w:before="161"/>
        <w:ind w:left="567" w:hanging="567"/>
        <w:jc w:val="both"/>
      </w:pPr>
      <w:r w:rsidRPr="00472578">
        <w:lastRenderedPageBreak/>
        <w:t>(3)</w:t>
      </w:r>
      <w:r w:rsidRPr="00472578">
        <w:tab/>
      </w:r>
      <w:r w:rsidR="000E04F9" w:rsidRPr="00472578">
        <w:t xml:space="preserve">areas of </w:t>
      </w:r>
      <w:r w:rsidR="000E04F9" w:rsidRPr="00472578">
        <w:rPr>
          <w:i/>
        </w:rPr>
        <w:t xml:space="preserve">coastal water </w:t>
      </w:r>
      <w:r w:rsidR="000E04F9" w:rsidRPr="00472578">
        <w:t xml:space="preserve">where </w:t>
      </w:r>
      <w:r w:rsidR="000E04F9" w:rsidRPr="00472578">
        <w:rPr>
          <w:i/>
        </w:rPr>
        <w:t xml:space="preserve">takata whenua </w:t>
      </w:r>
      <w:r w:rsidR="000E04F9" w:rsidRPr="00472578">
        <w:t xml:space="preserve">have a particular interest, </w:t>
      </w:r>
      <w:bookmarkStart w:id="124" w:name="_Hlk94802179"/>
      <w:r w:rsidR="000E04F9" w:rsidRPr="00472578">
        <w:rPr>
          <w:u w:val="single"/>
        </w:rPr>
        <w:t>including Mātaitai and</w:t>
      </w:r>
      <w:r w:rsidR="000E04F9" w:rsidRPr="00472578">
        <w:rPr>
          <w:i/>
          <w:iCs/>
          <w:u w:val="single"/>
        </w:rPr>
        <w:t xml:space="preserve"> </w:t>
      </w:r>
      <w:r w:rsidR="000E04F9" w:rsidRPr="00472578">
        <w:rPr>
          <w:u w:val="single"/>
        </w:rPr>
        <w:t>Taiapure</w:t>
      </w:r>
      <w:bookmarkEnd w:id="124"/>
      <w:r w:rsidR="000E04F9" w:rsidRPr="00472578">
        <w:t>,</w:t>
      </w:r>
      <w:r w:rsidR="000E04F9" w:rsidRPr="00472578">
        <w:rPr>
          <w:rStyle w:val="FootnoteReference"/>
        </w:rPr>
        <w:footnoteReference w:id="646"/>
      </w:r>
    </w:p>
    <w:p w14:paraId="4D1B35EA" w14:textId="36F9A059" w:rsidR="000E04F9" w:rsidRPr="00472578" w:rsidRDefault="00081DE2" w:rsidP="00E92686">
      <w:pPr>
        <w:widowControl w:val="0"/>
        <w:tabs>
          <w:tab w:val="left" w:pos="687"/>
        </w:tabs>
        <w:autoSpaceDE w:val="0"/>
        <w:autoSpaceDN w:val="0"/>
        <w:spacing w:before="180"/>
        <w:ind w:left="567" w:right="178" w:hanging="567"/>
        <w:jc w:val="both"/>
      </w:pPr>
      <w:r w:rsidRPr="00472578">
        <w:t>(4)</w:t>
      </w:r>
      <w:r w:rsidRPr="00472578">
        <w:tab/>
      </w:r>
      <w:r w:rsidR="000E04F9" w:rsidRPr="00472578">
        <w:t xml:space="preserve">areas that are potentially affected by coastal hazards (including tsunami), giving priority to the identification of areas at high </w:t>
      </w:r>
      <w:r w:rsidR="000E04F9" w:rsidRPr="00472578">
        <w:rPr>
          <w:i/>
        </w:rPr>
        <w:t xml:space="preserve">risk </w:t>
      </w:r>
      <w:r w:rsidR="000E04F9" w:rsidRPr="00472578">
        <w:t>of being affected, and</w:t>
      </w:r>
    </w:p>
    <w:p w14:paraId="27F031C5" w14:textId="0EEA466B" w:rsidR="000E04F9" w:rsidRPr="00472578" w:rsidRDefault="00081DE2" w:rsidP="00E92686">
      <w:pPr>
        <w:widowControl w:val="0"/>
        <w:tabs>
          <w:tab w:val="left" w:pos="687"/>
        </w:tabs>
        <w:autoSpaceDE w:val="0"/>
        <w:autoSpaceDN w:val="0"/>
        <w:spacing w:before="159"/>
        <w:ind w:left="567" w:right="173" w:hanging="567"/>
        <w:jc w:val="both"/>
        <w:rPr>
          <w:i/>
        </w:rPr>
      </w:pPr>
      <w:r w:rsidRPr="00472578">
        <w:t>(5)</w:t>
      </w:r>
      <w:r w:rsidRPr="00472578">
        <w:tab/>
      </w:r>
      <w:r w:rsidR="000E04F9" w:rsidRPr="00472578">
        <w:t xml:space="preserve">the nationally significant </w:t>
      </w:r>
      <w:r w:rsidR="000E04F9" w:rsidRPr="00472578">
        <w:rPr>
          <w:i/>
        </w:rPr>
        <w:t xml:space="preserve">surf breaks </w:t>
      </w:r>
      <w:r w:rsidR="000E04F9" w:rsidRPr="00472578">
        <w:t xml:space="preserve">at Karitane, Papatowai, The Spit, and Whareakeake and any regionally significant </w:t>
      </w:r>
      <w:r w:rsidR="000E04F9" w:rsidRPr="00472578">
        <w:rPr>
          <w:i/>
        </w:rPr>
        <w:t>surf breaks</w:t>
      </w:r>
      <w:r w:rsidR="000E04F9" w:rsidRPr="00472578">
        <w:rPr>
          <w:iCs/>
        </w:rPr>
        <w:t>.</w:t>
      </w:r>
    </w:p>
    <w:p w14:paraId="7D67DC9D" w14:textId="23251DAC" w:rsidR="000E04F9" w:rsidRPr="00472578" w:rsidRDefault="007113CF" w:rsidP="00E92686">
      <w:pPr>
        <w:pStyle w:val="Heading4"/>
        <w:jc w:val="both"/>
      </w:pPr>
      <w:r w:rsidRPr="00472578">
        <w:t>CE-P</w:t>
      </w:r>
      <w:r w:rsidR="000E04F9" w:rsidRPr="00472578">
        <w:t xml:space="preserve">3 – </w:t>
      </w:r>
      <w:r w:rsidR="000E04F9" w:rsidRPr="00472578">
        <w:rPr>
          <w:i/>
        </w:rPr>
        <w:t xml:space="preserve">Coastal water </w:t>
      </w:r>
      <w:r w:rsidR="000E04F9" w:rsidRPr="00472578">
        <w:t>quality</w:t>
      </w:r>
    </w:p>
    <w:p w14:paraId="14875EDC" w14:textId="1A91DB9F" w:rsidR="000E04F9" w:rsidRPr="00472578" w:rsidRDefault="000E04F9" w:rsidP="00E92686">
      <w:pPr>
        <w:pStyle w:val="BodyText"/>
        <w:rPr>
          <w:strike/>
        </w:rPr>
      </w:pPr>
      <w:r w:rsidRPr="00472578">
        <w:rPr>
          <w:u w:val="single"/>
        </w:rPr>
        <w:t>Improve c</w:t>
      </w:r>
      <w:r w:rsidRPr="00472578">
        <w:rPr>
          <w:i/>
          <w:u w:val="single"/>
        </w:rPr>
        <w:t xml:space="preserve">oastal water </w:t>
      </w:r>
      <w:r w:rsidRPr="00472578">
        <w:rPr>
          <w:iCs/>
          <w:u w:val="single"/>
        </w:rPr>
        <w:t>quality</w:t>
      </w:r>
      <w:r w:rsidRPr="00472578">
        <w:rPr>
          <w:i/>
          <w:strike/>
        </w:rPr>
        <w:t xml:space="preserve"> Coastal water </w:t>
      </w:r>
      <w:r w:rsidRPr="00472578">
        <w:rPr>
          <w:strike/>
        </w:rPr>
        <w:t>quality is improved</w:t>
      </w:r>
      <w:r w:rsidR="00081DE2" w:rsidRPr="00472578">
        <w:t>,</w:t>
      </w:r>
      <w:r w:rsidRPr="00472578">
        <w:rPr>
          <w:rStyle w:val="FootnoteReference"/>
        </w:rPr>
        <w:footnoteReference w:id="647"/>
      </w:r>
      <w:r w:rsidRPr="00472578">
        <w:t xml:space="preserve"> where it is considered to have deteriorated to the extent </w:t>
      </w:r>
      <w:r w:rsidR="00F5634D" w:rsidRPr="00472578">
        <w:t>described within</w:t>
      </w:r>
      <w:r w:rsidRPr="00472578">
        <w:t xml:space="preserve"> CE-P</w:t>
      </w:r>
      <w:r w:rsidRPr="00472578">
        <w:rPr>
          <w:strike/>
        </w:rPr>
        <w:t>1</w:t>
      </w:r>
      <w:r w:rsidRPr="00472578">
        <w:rPr>
          <w:u w:val="single"/>
        </w:rPr>
        <w:t>2</w:t>
      </w:r>
      <w:r w:rsidRPr="00472578">
        <w:t>(2)</w:t>
      </w:r>
      <w:r w:rsidR="00081DE2" w:rsidRPr="00472578">
        <w:t>,</w:t>
      </w:r>
      <w:r w:rsidRPr="00472578">
        <w:rPr>
          <w:rStyle w:val="FootnoteReference"/>
        </w:rPr>
        <w:footnoteReference w:id="648"/>
      </w:r>
      <w:r w:rsidRPr="00472578">
        <w:t xml:space="preserve"> and otherwise manage</w:t>
      </w:r>
      <w:r w:rsidRPr="00472578">
        <w:rPr>
          <w:strike/>
        </w:rPr>
        <w:t>d</w:t>
      </w:r>
      <w:r w:rsidRPr="00472578">
        <w:t xml:space="preserve"> </w:t>
      </w:r>
      <w:r w:rsidRPr="00472578">
        <w:rPr>
          <w:u w:val="single"/>
        </w:rPr>
        <w:t>water quality</w:t>
      </w:r>
      <w:r w:rsidRPr="00472578">
        <w:rPr>
          <w:rStyle w:val="FootnoteReference"/>
        </w:rPr>
        <w:footnoteReference w:id="649"/>
      </w:r>
      <w:r w:rsidRPr="00472578">
        <w:t xml:space="preserve"> </w:t>
      </w:r>
      <w:r w:rsidRPr="00472578">
        <w:rPr>
          <w:u w:val="single"/>
        </w:rPr>
        <w:t>by</w:t>
      </w:r>
      <w:r w:rsidR="00295A9B" w:rsidRPr="00472578">
        <w:t xml:space="preserve"> </w:t>
      </w:r>
      <w:r w:rsidR="00295A9B" w:rsidRPr="00472578">
        <w:rPr>
          <w:strike/>
        </w:rPr>
        <w:t>so that</w:t>
      </w:r>
      <w:r w:rsidRPr="00472578">
        <w:t>:</w:t>
      </w:r>
    </w:p>
    <w:p w14:paraId="284EE016" w14:textId="212B0B35" w:rsidR="000E04F9" w:rsidRPr="00472578" w:rsidRDefault="00081DE2" w:rsidP="00E92686">
      <w:pPr>
        <w:widowControl w:val="0"/>
        <w:tabs>
          <w:tab w:val="left" w:pos="686"/>
          <w:tab w:val="left" w:pos="687"/>
        </w:tabs>
        <w:autoSpaceDE w:val="0"/>
        <w:autoSpaceDN w:val="0"/>
        <w:spacing w:before="159"/>
        <w:ind w:left="567" w:right="176" w:hanging="567"/>
        <w:jc w:val="both"/>
      </w:pPr>
      <w:r w:rsidRPr="00472578">
        <w:t>(1)</w:t>
      </w:r>
      <w:r w:rsidRPr="00472578">
        <w:tab/>
      </w:r>
      <w:r w:rsidR="000E04F9" w:rsidRPr="00472578">
        <w:rPr>
          <w:u w:val="single"/>
        </w:rPr>
        <w:t>maintaining or enhancing</w:t>
      </w:r>
      <w:r w:rsidR="000E04F9" w:rsidRPr="00472578">
        <w:rPr>
          <w:rStyle w:val="FootnoteReference"/>
        </w:rPr>
        <w:footnoteReference w:id="650"/>
      </w:r>
      <w:r w:rsidR="000E04F9" w:rsidRPr="00472578">
        <w:t xml:space="preserve"> healthy coastal ecosystems, indigenous habitats provided by the coastal environment, and the migratory patterns of indigenous </w:t>
      </w:r>
      <w:r w:rsidR="000E04F9" w:rsidRPr="00472578">
        <w:rPr>
          <w:i/>
        </w:rPr>
        <w:t xml:space="preserve">coastal water </w:t>
      </w:r>
      <w:r w:rsidR="000E04F9" w:rsidRPr="00472578">
        <w:t xml:space="preserve">species </w:t>
      </w:r>
      <w:r w:rsidR="000E04F9" w:rsidRPr="00472578">
        <w:rPr>
          <w:strike/>
        </w:rPr>
        <w:t>are</w:t>
      </w:r>
      <w:r w:rsidR="000E04F9" w:rsidRPr="00472578">
        <w:rPr>
          <w:u w:val="single"/>
        </w:rPr>
        <w:t xml:space="preserve"> </w:t>
      </w:r>
      <w:r w:rsidR="000E04F9" w:rsidRPr="00472578">
        <w:rPr>
          <w:strike/>
        </w:rPr>
        <w:t>maintained or enhanced</w:t>
      </w:r>
      <w:r w:rsidR="00F5634D" w:rsidRPr="00472578">
        <w:t>,</w:t>
      </w:r>
      <w:r w:rsidR="000E04F9" w:rsidRPr="00472578">
        <w:rPr>
          <w:rStyle w:val="FootnoteReference"/>
        </w:rPr>
        <w:footnoteReference w:id="651"/>
      </w:r>
    </w:p>
    <w:p w14:paraId="74F76E60" w14:textId="0AE6C929" w:rsidR="000E04F9" w:rsidRPr="00472578" w:rsidRDefault="00081DE2" w:rsidP="00E92686">
      <w:pPr>
        <w:widowControl w:val="0"/>
        <w:tabs>
          <w:tab w:val="left" w:pos="686"/>
          <w:tab w:val="left" w:pos="687"/>
        </w:tabs>
        <w:autoSpaceDE w:val="0"/>
        <w:autoSpaceDN w:val="0"/>
        <w:spacing w:before="161"/>
        <w:ind w:left="567" w:hanging="567"/>
        <w:jc w:val="both"/>
      </w:pPr>
      <w:r w:rsidRPr="00472578">
        <w:t>(2)</w:t>
      </w:r>
      <w:r w:rsidRPr="00472578">
        <w:tab/>
      </w:r>
      <w:r w:rsidR="000E04F9" w:rsidRPr="00472578">
        <w:rPr>
          <w:u w:val="single"/>
        </w:rPr>
        <w:t>sustaining</w:t>
      </w:r>
      <w:r w:rsidR="000E04F9" w:rsidRPr="00472578">
        <w:rPr>
          <w:rStyle w:val="FootnoteReference"/>
        </w:rPr>
        <w:footnoteReference w:id="652"/>
      </w:r>
      <w:r w:rsidR="000E04F9" w:rsidRPr="00472578">
        <w:t xml:space="preserve"> Kāi Tahu relationships with and customary uses of </w:t>
      </w:r>
      <w:r w:rsidR="000E04F9" w:rsidRPr="00472578">
        <w:rPr>
          <w:i/>
        </w:rPr>
        <w:t xml:space="preserve">coastal water </w:t>
      </w:r>
      <w:r w:rsidR="000E04F9" w:rsidRPr="00472578">
        <w:rPr>
          <w:strike/>
        </w:rPr>
        <w:t>are sustained</w:t>
      </w:r>
      <w:r w:rsidRPr="00472578">
        <w:t>,</w:t>
      </w:r>
      <w:r w:rsidR="000E04F9" w:rsidRPr="00472578">
        <w:rPr>
          <w:rStyle w:val="FootnoteReference"/>
        </w:rPr>
        <w:footnoteReference w:id="653"/>
      </w:r>
    </w:p>
    <w:p w14:paraId="53525687" w14:textId="1A4DBF61" w:rsidR="000E04F9" w:rsidRPr="00472578" w:rsidRDefault="00081DE2" w:rsidP="00E92686">
      <w:pPr>
        <w:widowControl w:val="0"/>
        <w:tabs>
          <w:tab w:val="left" w:pos="686"/>
          <w:tab w:val="left" w:pos="687"/>
        </w:tabs>
        <w:autoSpaceDE w:val="0"/>
        <w:autoSpaceDN w:val="0"/>
        <w:spacing w:before="158"/>
        <w:ind w:left="567" w:hanging="567"/>
        <w:jc w:val="both"/>
      </w:pPr>
      <w:r w:rsidRPr="00472578">
        <w:t>(3)</w:t>
      </w:r>
      <w:r w:rsidRPr="00472578">
        <w:tab/>
      </w:r>
      <w:r w:rsidR="000E04F9" w:rsidRPr="00472578">
        <w:rPr>
          <w:u w:val="single"/>
        </w:rPr>
        <w:t>maintaining or enhancing</w:t>
      </w:r>
      <w:r w:rsidR="000E04F9" w:rsidRPr="00472578">
        <w:rPr>
          <w:rStyle w:val="FootnoteReference"/>
        </w:rPr>
        <w:footnoteReference w:id="654"/>
      </w:r>
      <w:r w:rsidR="000E04F9" w:rsidRPr="00472578">
        <w:t xml:space="preserve"> recreation opportunities and existing uses of </w:t>
      </w:r>
      <w:r w:rsidR="000E04F9" w:rsidRPr="00472578">
        <w:rPr>
          <w:i/>
        </w:rPr>
        <w:t xml:space="preserve">coastal water </w:t>
      </w:r>
      <w:r w:rsidR="000E04F9" w:rsidRPr="00472578">
        <w:rPr>
          <w:strike/>
        </w:rPr>
        <w:t>are maintained or enhanced</w:t>
      </w:r>
      <w:r w:rsidR="000E04F9" w:rsidRPr="00472578">
        <w:rPr>
          <w:rStyle w:val="FootnoteReference"/>
        </w:rPr>
        <w:footnoteReference w:id="655"/>
      </w:r>
      <w:r w:rsidR="000E04F9" w:rsidRPr="00472578">
        <w:t xml:space="preserve">, </w:t>
      </w:r>
      <w:r w:rsidR="000E04F9" w:rsidRPr="00472578">
        <w:rPr>
          <w:strike/>
        </w:rPr>
        <w:t>and</w:t>
      </w:r>
    </w:p>
    <w:p w14:paraId="18CE6A6A" w14:textId="3740B6B4" w:rsidR="000E04F9" w:rsidRPr="00472578" w:rsidRDefault="00081DE2" w:rsidP="00E92686">
      <w:pPr>
        <w:widowControl w:val="0"/>
        <w:tabs>
          <w:tab w:val="left" w:pos="686"/>
          <w:tab w:val="left" w:pos="687"/>
        </w:tabs>
        <w:autoSpaceDE w:val="0"/>
        <w:autoSpaceDN w:val="0"/>
        <w:spacing w:before="162"/>
        <w:ind w:left="567" w:right="174" w:hanging="567"/>
        <w:jc w:val="both"/>
        <w:rPr>
          <w:strike/>
        </w:rPr>
      </w:pPr>
      <w:r w:rsidRPr="00472578">
        <w:rPr>
          <w:strike/>
        </w:rPr>
        <w:t>(4)</w:t>
      </w:r>
      <w:r w:rsidRPr="00472578">
        <w:rPr>
          <w:strike/>
        </w:rPr>
        <w:tab/>
      </w:r>
      <w:r w:rsidR="00051604" w:rsidRPr="00472578">
        <w:rPr>
          <w:strike/>
        </w:rPr>
        <w:t xml:space="preserve">within identified </w:t>
      </w:r>
      <w:r w:rsidR="000E04F9" w:rsidRPr="00472578">
        <w:rPr>
          <w:strike/>
        </w:rPr>
        <w:t xml:space="preserve">areas where </w:t>
      </w:r>
      <w:r w:rsidR="000E04F9" w:rsidRPr="00472578">
        <w:rPr>
          <w:i/>
          <w:strike/>
        </w:rPr>
        <w:t xml:space="preserve">takata whenua </w:t>
      </w:r>
      <w:r w:rsidR="000E04F9" w:rsidRPr="00472578">
        <w:rPr>
          <w:strike/>
        </w:rPr>
        <w:t xml:space="preserve">have a particular interest, adverse </w:t>
      </w:r>
      <w:r w:rsidR="000E04F9" w:rsidRPr="00472578">
        <w:rPr>
          <w:i/>
          <w:strike/>
        </w:rPr>
        <w:t xml:space="preserve">effects </w:t>
      </w:r>
      <w:r w:rsidR="000E04F9" w:rsidRPr="00472578">
        <w:rPr>
          <w:strike/>
        </w:rPr>
        <w:t>on these areas and values are remedied or where remediation is not practicable, are mitigated.</w:t>
      </w:r>
      <w:r w:rsidR="000E04F9" w:rsidRPr="00472578">
        <w:rPr>
          <w:rStyle w:val="FootnoteReference"/>
        </w:rPr>
        <w:footnoteReference w:id="656"/>
      </w:r>
    </w:p>
    <w:p w14:paraId="41D5112A" w14:textId="02CDC078" w:rsidR="000E04F9" w:rsidRPr="00472578" w:rsidRDefault="000E04F9" w:rsidP="00E92686">
      <w:pPr>
        <w:tabs>
          <w:tab w:val="left" w:pos="686"/>
          <w:tab w:val="left" w:pos="687"/>
        </w:tabs>
        <w:spacing w:before="161"/>
        <w:ind w:left="567" w:hanging="567"/>
        <w:jc w:val="both"/>
        <w:rPr>
          <w:u w:val="single"/>
        </w:rPr>
      </w:pPr>
      <w:r w:rsidRPr="00472578">
        <w:rPr>
          <w:iCs/>
          <w:u w:val="single"/>
        </w:rPr>
        <w:t>(</w:t>
      </w:r>
      <w:r w:rsidR="00081DE2" w:rsidRPr="00472578">
        <w:rPr>
          <w:iCs/>
          <w:u w:val="single"/>
        </w:rPr>
        <w:t>5</w:t>
      </w:r>
      <w:r w:rsidRPr="00472578">
        <w:rPr>
          <w:iCs/>
          <w:u w:val="single"/>
        </w:rPr>
        <w:t>)</w:t>
      </w:r>
      <w:r w:rsidRPr="00472578">
        <w:rPr>
          <w:iCs/>
          <w:u w:val="single"/>
        </w:rPr>
        <w:tab/>
        <w:t xml:space="preserve">managing activities outside the coastal marine area that </w:t>
      </w:r>
      <w:proofErr w:type="gramStart"/>
      <w:r w:rsidRPr="00472578">
        <w:rPr>
          <w:iCs/>
          <w:u w:val="single"/>
        </w:rPr>
        <w:t>have an effect on</w:t>
      </w:r>
      <w:proofErr w:type="gramEnd"/>
      <w:r w:rsidRPr="00472578">
        <w:rPr>
          <w:iCs/>
          <w:u w:val="single"/>
        </w:rPr>
        <w:t xml:space="preserve"> coastal </w:t>
      </w:r>
      <w:r w:rsidRPr="00472578">
        <w:rPr>
          <w:u w:val="single"/>
        </w:rPr>
        <w:t>water quality</w:t>
      </w:r>
      <w:r w:rsidRPr="00472578">
        <w:rPr>
          <w:iCs/>
          <w:u w:val="single"/>
        </w:rPr>
        <w:t>,</w:t>
      </w:r>
      <w:r w:rsidRPr="00472578">
        <w:rPr>
          <w:rStyle w:val="FootnoteReference"/>
          <w:iCs/>
        </w:rPr>
        <w:footnoteReference w:id="657"/>
      </w:r>
      <w:r w:rsidRPr="00472578">
        <w:rPr>
          <w:iCs/>
        </w:rPr>
        <w:t xml:space="preserve"> </w:t>
      </w:r>
    </w:p>
    <w:p w14:paraId="26005BFD" w14:textId="5E2D0F32" w:rsidR="000E04F9" w:rsidRPr="00472578" w:rsidRDefault="000E04F9" w:rsidP="00E92686">
      <w:pPr>
        <w:tabs>
          <w:tab w:val="left" w:pos="686"/>
          <w:tab w:val="left" w:pos="687"/>
        </w:tabs>
        <w:spacing w:before="161"/>
        <w:ind w:left="567" w:hanging="567"/>
        <w:jc w:val="both"/>
        <w:rPr>
          <w:u w:val="single"/>
        </w:rPr>
      </w:pPr>
      <w:r w:rsidRPr="00472578">
        <w:rPr>
          <w:u w:val="single"/>
        </w:rPr>
        <w:t>(</w:t>
      </w:r>
      <w:r w:rsidR="00081DE2" w:rsidRPr="00472578">
        <w:rPr>
          <w:u w:val="single"/>
        </w:rPr>
        <w:t>6</w:t>
      </w:r>
      <w:r w:rsidRPr="00472578">
        <w:rPr>
          <w:u w:val="single"/>
        </w:rPr>
        <w:t>)</w:t>
      </w:r>
      <w:r w:rsidRPr="00472578">
        <w:rPr>
          <w:u w:val="single"/>
        </w:rPr>
        <w:tab/>
        <w:t>maintaining or enhancing</w:t>
      </w:r>
      <w:r w:rsidRPr="00472578">
        <w:t xml:space="preserve"> </w:t>
      </w:r>
      <w:r w:rsidRPr="00472578">
        <w:rPr>
          <w:u w:val="single"/>
        </w:rPr>
        <w:t>water quality</w:t>
      </w:r>
      <w:bookmarkStart w:id="126" w:name="_Hlk93997882"/>
      <w:r w:rsidRPr="00472578">
        <w:rPr>
          <w:u w:val="single"/>
        </w:rPr>
        <w:t xml:space="preserve"> within areas of coastal water identified in CE-P2(3) where mana whenua </w:t>
      </w:r>
      <w:proofErr w:type="gramStart"/>
      <w:r w:rsidRPr="00472578">
        <w:rPr>
          <w:u w:val="single"/>
        </w:rPr>
        <w:t>have</w:t>
      </w:r>
      <w:proofErr w:type="gramEnd"/>
      <w:r w:rsidRPr="00472578">
        <w:rPr>
          <w:u w:val="single"/>
        </w:rPr>
        <w:t xml:space="preserve"> a particular cultural interest</w:t>
      </w:r>
      <w:bookmarkEnd w:id="126"/>
      <w:r w:rsidRPr="00472578">
        <w:rPr>
          <w:u w:val="single"/>
        </w:rPr>
        <w:t>, and</w:t>
      </w:r>
      <w:r w:rsidRPr="00472578">
        <w:rPr>
          <w:rStyle w:val="FootnoteReference"/>
        </w:rPr>
        <w:footnoteReference w:id="658"/>
      </w:r>
    </w:p>
    <w:p w14:paraId="76D5C9AE" w14:textId="627CA3DD" w:rsidR="000E04F9" w:rsidRPr="00472578" w:rsidRDefault="000E04F9" w:rsidP="00E92686">
      <w:pPr>
        <w:tabs>
          <w:tab w:val="left" w:pos="686"/>
          <w:tab w:val="left" w:pos="687"/>
        </w:tabs>
        <w:spacing w:before="161"/>
        <w:ind w:left="567" w:hanging="567"/>
        <w:jc w:val="both"/>
        <w:rPr>
          <w:u w:val="single"/>
        </w:rPr>
      </w:pPr>
      <w:r w:rsidRPr="00472578">
        <w:rPr>
          <w:u w:val="single"/>
        </w:rPr>
        <w:t>(</w:t>
      </w:r>
      <w:r w:rsidR="00081DE2" w:rsidRPr="00472578">
        <w:rPr>
          <w:u w:val="single"/>
        </w:rPr>
        <w:t>7</w:t>
      </w:r>
      <w:r w:rsidRPr="00472578">
        <w:rPr>
          <w:u w:val="single"/>
        </w:rPr>
        <w:t>)</w:t>
      </w:r>
      <w:r w:rsidRPr="00472578">
        <w:rPr>
          <w:u w:val="single"/>
        </w:rPr>
        <w:tab/>
        <w:t xml:space="preserve">setting appropriate </w:t>
      </w:r>
      <w:r w:rsidR="00FD4D40" w:rsidRPr="00472578">
        <w:rPr>
          <w:i/>
          <w:iCs/>
          <w:u w:val="single"/>
        </w:rPr>
        <w:t>environmental limits</w:t>
      </w:r>
      <w:r w:rsidRPr="00472578">
        <w:rPr>
          <w:u w:val="single"/>
        </w:rPr>
        <w:t xml:space="preserve"> for coastal water</w:t>
      </w:r>
      <w:r w:rsidR="00FD4D40" w:rsidRPr="00472578">
        <w:rPr>
          <w:u w:val="single"/>
        </w:rPr>
        <w:t xml:space="preserve"> quality</w:t>
      </w:r>
      <w:r w:rsidRPr="00472578">
        <w:rPr>
          <w:u w:val="single"/>
        </w:rPr>
        <w:t>, including ecosystem health, sediment, kaimoana gathering, contact recreation and habitats of taoka species.</w:t>
      </w:r>
      <w:r w:rsidR="008F46DD" w:rsidRPr="00472578">
        <w:rPr>
          <w:rStyle w:val="FootnoteReference"/>
          <w:u w:val="single"/>
        </w:rPr>
        <w:footnoteReference w:id="659"/>
      </w:r>
    </w:p>
    <w:p w14:paraId="5E46B8ED" w14:textId="540F769A" w:rsidR="000E04F9" w:rsidRPr="00472578" w:rsidRDefault="007113CF" w:rsidP="00E92686">
      <w:pPr>
        <w:pStyle w:val="Heading4"/>
        <w:jc w:val="both"/>
      </w:pPr>
      <w:r w:rsidRPr="00472578">
        <w:t>CE-P</w:t>
      </w:r>
      <w:r w:rsidR="000E04F9" w:rsidRPr="00472578">
        <w:t>4 – Natural character</w:t>
      </w:r>
    </w:p>
    <w:p w14:paraId="5A3150B0" w14:textId="77777777" w:rsidR="000E04F9" w:rsidRPr="00472578" w:rsidRDefault="000E04F9" w:rsidP="00E92686">
      <w:pPr>
        <w:pStyle w:val="BodyText"/>
      </w:pPr>
      <w:r w:rsidRPr="00472578">
        <w:t xml:space="preserve">Identify, </w:t>
      </w:r>
      <w:proofErr w:type="gramStart"/>
      <w:r w:rsidRPr="00472578">
        <w:t>preserve</w:t>
      </w:r>
      <w:proofErr w:type="gramEnd"/>
      <w:r w:rsidRPr="00472578">
        <w:t xml:space="preserve"> and restore the natural character of the coastal environment by:</w:t>
      </w:r>
    </w:p>
    <w:p w14:paraId="30F152B2" w14:textId="2A0BAE77" w:rsidR="000E04F9" w:rsidRPr="00472578" w:rsidRDefault="00081DE2" w:rsidP="00E92686">
      <w:pPr>
        <w:widowControl w:val="0"/>
        <w:tabs>
          <w:tab w:val="left" w:pos="687"/>
        </w:tabs>
        <w:autoSpaceDE w:val="0"/>
        <w:autoSpaceDN w:val="0"/>
        <w:spacing w:before="161"/>
        <w:ind w:left="567" w:right="177" w:hanging="567"/>
        <w:jc w:val="both"/>
      </w:pPr>
      <w:r w:rsidRPr="00472578">
        <w:lastRenderedPageBreak/>
        <w:t>(1)</w:t>
      </w:r>
      <w:r w:rsidRPr="00472578">
        <w:tab/>
      </w:r>
      <w:r w:rsidR="000E04F9" w:rsidRPr="00472578">
        <w:t>identifying areas and values of high and outstanding natural character which may include matters such as:</w:t>
      </w:r>
    </w:p>
    <w:p w14:paraId="34FE3993" w14:textId="0B791AB7" w:rsidR="000E04F9" w:rsidRPr="00472578" w:rsidRDefault="00081DE2" w:rsidP="00E92686">
      <w:pPr>
        <w:widowControl w:val="0"/>
        <w:tabs>
          <w:tab w:val="left" w:pos="1212"/>
          <w:tab w:val="left" w:pos="1213"/>
        </w:tabs>
        <w:autoSpaceDE w:val="0"/>
        <w:autoSpaceDN w:val="0"/>
        <w:spacing w:before="119"/>
        <w:ind w:left="1134" w:hanging="567"/>
        <w:jc w:val="both"/>
      </w:pPr>
      <w:r w:rsidRPr="00472578">
        <w:t>(a)</w:t>
      </w:r>
      <w:r w:rsidRPr="00472578">
        <w:tab/>
      </w:r>
      <w:r w:rsidR="000E04F9" w:rsidRPr="00472578">
        <w:t xml:space="preserve">natural elements, </w:t>
      </w:r>
      <w:proofErr w:type="gramStart"/>
      <w:r w:rsidR="000E04F9" w:rsidRPr="00472578">
        <w:t>processes</w:t>
      </w:r>
      <w:proofErr w:type="gramEnd"/>
      <w:r w:rsidR="000E04F9" w:rsidRPr="00472578">
        <w:t xml:space="preserve"> and patterns,</w:t>
      </w:r>
    </w:p>
    <w:p w14:paraId="17F39E1D" w14:textId="1F3A3955" w:rsidR="000E04F9" w:rsidRPr="00472578" w:rsidRDefault="00081DE2" w:rsidP="00E92686">
      <w:pPr>
        <w:widowControl w:val="0"/>
        <w:tabs>
          <w:tab w:val="left" w:pos="1212"/>
          <w:tab w:val="left" w:pos="1213"/>
        </w:tabs>
        <w:autoSpaceDE w:val="0"/>
        <w:autoSpaceDN w:val="0"/>
        <w:spacing w:before="161"/>
        <w:ind w:left="1134" w:hanging="567"/>
        <w:jc w:val="both"/>
      </w:pPr>
      <w:r w:rsidRPr="00472578">
        <w:t>(b)</w:t>
      </w:r>
      <w:r w:rsidRPr="00472578">
        <w:tab/>
      </w:r>
      <w:r w:rsidR="000E04F9" w:rsidRPr="00472578">
        <w:t xml:space="preserve">biophysical, ecological, </w:t>
      </w:r>
      <w:proofErr w:type="gramStart"/>
      <w:r w:rsidR="000E04F9" w:rsidRPr="00472578">
        <w:t>geological</w:t>
      </w:r>
      <w:proofErr w:type="gramEnd"/>
      <w:r w:rsidR="000E04F9" w:rsidRPr="00472578">
        <w:t xml:space="preserve"> and geomorphological aspects,</w:t>
      </w:r>
    </w:p>
    <w:p w14:paraId="0324B814" w14:textId="732417CB" w:rsidR="000E04F9" w:rsidRPr="00472578" w:rsidRDefault="00081DE2" w:rsidP="00E92686">
      <w:pPr>
        <w:widowControl w:val="0"/>
        <w:tabs>
          <w:tab w:val="left" w:pos="1212"/>
          <w:tab w:val="left" w:pos="1213"/>
        </w:tabs>
        <w:autoSpaceDE w:val="0"/>
        <w:autoSpaceDN w:val="0"/>
        <w:spacing w:before="159"/>
        <w:ind w:left="1134" w:hanging="567"/>
        <w:jc w:val="both"/>
      </w:pPr>
      <w:r w:rsidRPr="00472578">
        <w:t>(c)</w:t>
      </w:r>
      <w:r w:rsidRPr="00472578">
        <w:tab/>
      </w:r>
      <w:r w:rsidR="000E04F9" w:rsidRPr="00472578">
        <w:t xml:space="preserve">natural landforms such as headlands, peninsulas, cliffs, dunes, </w:t>
      </w:r>
      <w:r w:rsidR="000E04F9" w:rsidRPr="00472578">
        <w:rPr>
          <w:i/>
        </w:rPr>
        <w:t>wetlands</w:t>
      </w:r>
      <w:r w:rsidR="000E04F9" w:rsidRPr="00472578">
        <w:t>, estuaries, reefs,</w:t>
      </w:r>
      <w:r w:rsidRPr="00472578">
        <w:t xml:space="preserve"> </w:t>
      </w:r>
      <w:r w:rsidR="000E04F9" w:rsidRPr="00472578">
        <w:rPr>
          <w:i/>
        </w:rPr>
        <w:t xml:space="preserve">freshwater </w:t>
      </w:r>
      <w:proofErr w:type="gramStart"/>
      <w:r w:rsidR="000E04F9" w:rsidRPr="00472578">
        <w:t>springs</w:t>
      </w:r>
      <w:proofErr w:type="gramEnd"/>
      <w:r w:rsidR="000E04F9" w:rsidRPr="00472578">
        <w:t xml:space="preserve"> and </w:t>
      </w:r>
      <w:r w:rsidR="000E04F9" w:rsidRPr="00472578">
        <w:rPr>
          <w:i/>
        </w:rPr>
        <w:t>surf breaks</w:t>
      </w:r>
      <w:r w:rsidR="000E04F9" w:rsidRPr="00472578">
        <w:t>,</w:t>
      </w:r>
    </w:p>
    <w:p w14:paraId="32B68041" w14:textId="56BBB619" w:rsidR="000E04F9" w:rsidRPr="00472578" w:rsidRDefault="00081DE2" w:rsidP="00E92686">
      <w:pPr>
        <w:widowControl w:val="0"/>
        <w:tabs>
          <w:tab w:val="left" w:pos="1212"/>
          <w:tab w:val="left" w:pos="1213"/>
        </w:tabs>
        <w:autoSpaceDE w:val="0"/>
        <w:autoSpaceDN w:val="0"/>
        <w:spacing w:before="161"/>
        <w:ind w:left="1134" w:hanging="567"/>
        <w:jc w:val="both"/>
      </w:pPr>
      <w:r w:rsidRPr="00472578">
        <w:t>(d)</w:t>
      </w:r>
      <w:r w:rsidRPr="00472578">
        <w:tab/>
      </w:r>
      <w:r w:rsidR="000E04F9" w:rsidRPr="00472578">
        <w:t xml:space="preserve">the natural movement of </w:t>
      </w:r>
      <w:r w:rsidR="000E04F9" w:rsidRPr="00472578">
        <w:rPr>
          <w:i/>
        </w:rPr>
        <w:t xml:space="preserve">water </w:t>
      </w:r>
      <w:r w:rsidR="000E04F9" w:rsidRPr="00472578">
        <w:t>and sediment,</w:t>
      </w:r>
    </w:p>
    <w:p w14:paraId="1E62FECE" w14:textId="0D725636" w:rsidR="000E04F9" w:rsidRPr="00472578" w:rsidRDefault="00081DE2" w:rsidP="00E92686">
      <w:pPr>
        <w:widowControl w:val="0"/>
        <w:tabs>
          <w:tab w:val="left" w:pos="1212"/>
          <w:tab w:val="left" w:pos="1213"/>
        </w:tabs>
        <w:autoSpaceDE w:val="0"/>
        <w:autoSpaceDN w:val="0"/>
        <w:spacing w:before="161"/>
        <w:ind w:left="1134" w:hanging="567"/>
        <w:jc w:val="both"/>
      </w:pPr>
      <w:r w:rsidRPr="00472578">
        <w:t>(e)</w:t>
      </w:r>
      <w:r w:rsidRPr="00472578">
        <w:tab/>
      </w:r>
      <w:r w:rsidR="000E04F9" w:rsidRPr="00472578">
        <w:t>the natural darkness of the night sky,</w:t>
      </w:r>
    </w:p>
    <w:p w14:paraId="56D5F05D" w14:textId="53D06743" w:rsidR="000E04F9" w:rsidRPr="00472578" w:rsidRDefault="00081DE2" w:rsidP="00E92686">
      <w:pPr>
        <w:widowControl w:val="0"/>
        <w:tabs>
          <w:tab w:val="left" w:pos="1212"/>
          <w:tab w:val="left" w:pos="1213"/>
        </w:tabs>
        <w:autoSpaceDE w:val="0"/>
        <w:autoSpaceDN w:val="0"/>
        <w:spacing w:before="159"/>
        <w:ind w:left="1134" w:hanging="567"/>
        <w:jc w:val="both"/>
      </w:pPr>
      <w:r w:rsidRPr="00472578">
        <w:t>(f)</w:t>
      </w:r>
      <w:r w:rsidRPr="00472578">
        <w:tab/>
      </w:r>
      <w:r w:rsidR="000E04F9" w:rsidRPr="00472578">
        <w:t>places or areas that are wild or scenic,</w:t>
      </w:r>
    </w:p>
    <w:p w14:paraId="6872FD38" w14:textId="1471E682" w:rsidR="000E04F9" w:rsidRPr="00472578" w:rsidRDefault="00081DE2" w:rsidP="00E92686">
      <w:pPr>
        <w:widowControl w:val="0"/>
        <w:tabs>
          <w:tab w:val="left" w:pos="1212"/>
          <w:tab w:val="left" w:pos="1213"/>
        </w:tabs>
        <w:autoSpaceDE w:val="0"/>
        <w:autoSpaceDN w:val="0"/>
        <w:spacing w:before="161"/>
        <w:ind w:left="1134" w:hanging="567"/>
        <w:jc w:val="both"/>
      </w:pPr>
      <w:r w:rsidRPr="00472578">
        <w:t>(g)</w:t>
      </w:r>
      <w:r w:rsidRPr="00472578">
        <w:tab/>
      </w:r>
      <w:r w:rsidR="000E04F9" w:rsidRPr="00472578">
        <w:t>a range of natural character from pristine to modified,</w:t>
      </w:r>
    </w:p>
    <w:p w14:paraId="1E693A97" w14:textId="26BBDA91" w:rsidR="000E04F9" w:rsidRPr="00472578" w:rsidRDefault="00081DE2" w:rsidP="00E92686">
      <w:pPr>
        <w:widowControl w:val="0"/>
        <w:tabs>
          <w:tab w:val="left" w:pos="1253"/>
          <w:tab w:val="left" w:pos="1254"/>
        </w:tabs>
        <w:autoSpaceDE w:val="0"/>
        <w:autoSpaceDN w:val="0"/>
        <w:spacing w:before="159"/>
        <w:ind w:left="1134" w:right="177" w:hanging="567"/>
        <w:jc w:val="both"/>
      </w:pPr>
      <w:r w:rsidRPr="00472578">
        <w:t>(h)</w:t>
      </w:r>
      <w:r w:rsidRPr="00472578">
        <w:tab/>
      </w:r>
      <w:r w:rsidR="000E04F9" w:rsidRPr="00472578">
        <w:t>experiential attributes, including the sounds and smell of the sea, and their context or setting,</w:t>
      </w:r>
    </w:p>
    <w:p w14:paraId="45F98640" w14:textId="62F69E68" w:rsidR="000E04F9" w:rsidRPr="00472578" w:rsidRDefault="00081DE2" w:rsidP="00E92686">
      <w:pPr>
        <w:widowControl w:val="0"/>
        <w:tabs>
          <w:tab w:val="left" w:pos="686"/>
          <w:tab w:val="left" w:pos="687"/>
        </w:tabs>
        <w:autoSpaceDE w:val="0"/>
        <w:autoSpaceDN w:val="0"/>
        <w:spacing w:before="161"/>
        <w:ind w:left="567" w:right="176" w:hanging="567"/>
        <w:jc w:val="both"/>
      </w:pPr>
      <w:r w:rsidRPr="00472578">
        <w:t>(2)</w:t>
      </w:r>
      <w:r w:rsidRPr="00472578">
        <w:tab/>
      </w:r>
      <w:r w:rsidR="000E04F9" w:rsidRPr="00472578">
        <w:t xml:space="preserve">avoiding adverse </w:t>
      </w:r>
      <w:r w:rsidR="000E04F9" w:rsidRPr="00472578">
        <w:rPr>
          <w:i/>
        </w:rPr>
        <w:t xml:space="preserve">effects </w:t>
      </w:r>
      <w:r w:rsidR="000E04F9" w:rsidRPr="00472578">
        <w:t>on natural character in areas identified as having outstanding natural character,</w:t>
      </w:r>
    </w:p>
    <w:p w14:paraId="6AC9DC08" w14:textId="159B8717" w:rsidR="000E04F9" w:rsidRPr="00472578" w:rsidRDefault="00081DE2" w:rsidP="00E92686">
      <w:pPr>
        <w:widowControl w:val="0"/>
        <w:tabs>
          <w:tab w:val="left" w:pos="686"/>
          <w:tab w:val="left" w:pos="687"/>
        </w:tabs>
        <w:autoSpaceDE w:val="0"/>
        <w:autoSpaceDN w:val="0"/>
        <w:spacing w:before="159"/>
        <w:ind w:left="567" w:hanging="567"/>
        <w:jc w:val="both"/>
      </w:pPr>
      <w:r w:rsidRPr="00472578">
        <w:t>(3)</w:t>
      </w:r>
      <w:r w:rsidRPr="00472578">
        <w:tab/>
      </w:r>
      <w:r w:rsidR="000E04F9" w:rsidRPr="00472578">
        <w:t xml:space="preserve">avoiding significant adverse </w:t>
      </w:r>
      <w:r w:rsidR="000E04F9" w:rsidRPr="00472578">
        <w:rPr>
          <w:i/>
        </w:rPr>
        <w:t xml:space="preserve">effects </w:t>
      </w:r>
      <w:r w:rsidR="000E04F9" w:rsidRPr="00472578">
        <w:t xml:space="preserve">and avoiding, </w:t>
      </w:r>
      <w:proofErr w:type="gramStart"/>
      <w:r w:rsidR="000E04F9" w:rsidRPr="00472578">
        <w:t>remedying</w:t>
      </w:r>
      <w:proofErr w:type="gramEnd"/>
      <w:r w:rsidR="000E04F9" w:rsidRPr="00472578">
        <w:t xml:space="preserve"> or mitigating other adverse </w:t>
      </w:r>
      <w:r w:rsidR="000E04F9" w:rsidRPr="00472578">
        <w:rPr>
          <w:i/>
        </w:rPr>
        <w:t>effects</w:t>
      </w:r>
      <w:r w:rsidRPr="00472578">
        <w:rPr>
          <w:i/>
        </w:rPr>
        <w:t xml:space="preserve"> </w:t>
      </w:r>
      <w:r w:rsidR="000E04F9" w:rsidRPr="00472578">
        <w:t>on natural character outside the areas in (2) above,</w:t>
      </w:r>
      <w:r w:rsidR="00065284" w:rsidRPr="00472578">
        <w:t xml:space="preserve"> </w:t>
      </w:r>
    </w:p>
    <w:p w14:paraId="5D0B19A3" w14:textId="2EE50EDB" w:rsidR="000E04F9" w:rsidRPr="00472578" w:rsidRDefault="00081DE2" w:rsidP="00E92686">
      <w:pPr>
        <w:widowControl w:val="0"/>
        <w:tabs>
          <w:tab w:val="left" w:pos="687"/>
        </w:tabs>
        <w:autoSpaceDE w:val="0"/>
        <w:autoSpaceDN w:val="0"/>
        <w:spacing w:before="161"/>
        <w:ind w:left="567" w:right="174" w:hanging="567"/>
        <w:jc w:val="both"/>
        <w:rPr>
          <w:strike/>
        </w:rPr>
      </w:pPr>
      <w:r w:rsidRPr="00472578">
        <w:rPr>
          <w:strike/>
        </w:rPr>
        <w:t>(4)</w:t>
      </w:r>
      <w:r w:rsidRPr="00472578">
        <w:rPr>
          <w:strike/>
        </w:rPr>
        <w:tab/>
      </w:r>
      <w:r w:rsidR="000E04F9" w:rsidRPr="00472578">
        <w:rPr>
          <w:strike/>
        </w:rPr>
        <w:t xml:space="preserve">encouraging de-reclamation of redundant reclaimed </w:t>
      </w:r>
      <w:r w:rsidR="000E04F9" w:rsidRPr="00472578">
        <w:rPr>
          <w:i/>
          <w:strike/>
        </w:rPr>
        <w:t xml:space="preserve">land </w:t>
      </w:r>
      <w:r w:rsidR="000E04F9" w:rsidRPr="00472578">
        <w:rPr>
          <w:strike/>
        </w:rPr>
        <w:t xml:space="preserve">where it would restore the natural character and resources of the </w:t>
      </w:r>
      <w:r w:rsidR="000E04F9" w:rsidRPr="00472578">
        <w:rPr>
          <w:i/>
          <w:strike/>
        </w:rPr>
        <w:t xml:space="preserve">coastal marine area </w:t>
      </w:r>
      <w:r w:rsidR="000E04F9" w:rsidRPr="00472578">
        <w:rPr>
          <w:strike/>
        </w:rPr>
        <w:t xml:space="preserve">and provide for more public open space, </w:t>
      </w:r>
      <w:r w:rsidR="000E04F9" w:rsidRPr="00472578">
        <w:t>and</w:t>
      </w:r>
      <w:r w:rsidR="000E04F9" w:rsidRPr="00472578">
        <w:rPr>
          <w:rStyle w:val="FootnoteReference"/>
        </w:rPr>
        <w:footnoteReference w:id="660"/>
      </w:r>
    </w:p>
    <w:p w14:paraId="0DE37070" w14:textId="71510DB6" w:rsidR="000E04F9" w:rsidRPr="00472578" w:rsidRDefault="00081DE2" w:rsidP="00E92686">
      <w:pPr>
        <w:widowControl w:val="0"/>
        <w:tabs>
          <w:tab w:val="left" w:pos="686"/>
          <w:tab w:val="left" w:pos="687"/>
        </w:tabs>
        <w:autoSpaceDE w:val="0"/>
        <w:autoSpaceDN w:val="0"/>
        <w:spacing w:before="159"/>
        <w:ind w:left="567" w:right="176" w:hanging="567"/>
        <w:jc w:val="both"/>
      </w:pPr>
      <w:r w:rsidRPr="00472578">
        <w:t>(5)</w:t>
      </w:r>
      <w:r w:rsidRPr="00472578">
        <w:tab/>
      </w:r>
      <w:r w:rsidR="000E04F9" w:rsidRPr="00472578">
        <w:t xml:space="preserve">promoting </w:t>
      </w:r>
      <w:r w:rsidR="000E04F9" w:rsidRPr="00472578">
        <w:rPr>
          <w:i/>
        </w:rPr>
        <w:t xml:space="preserve">activities </w:t>
      </w:r>
      <w:r w:rsidR="000E04F9" w:rsidRPr="00472578">
        <w:t xml:space="preserve">and </w:t>
      </w:r>
      <w:r w:rsidR="000E04F9" w:rsidRPr="00472578">
        <w:rPr>
          <w:strike/>
        </w:rPr>
        <w:t>restoration</w:t>
      </w:r>
      <w:r w:rsidR="000E04F9" w:rsidRPr="00472578">
        <w:rPr>
          <w:rStyle w:val="FootnoteReference"/>
        </w:rPr>
        <w:footnoteReference w:id="661"/>
      </w:r>
      <w:r w:rsidR="000E04F9" w:rsidRPr="00472578">
        <w:t xml:space="preserve"> projects that will restore </w:t>
      </w:r>
      <w:r w:rsidR="000E04F9" w:rsidRPr="00472578">
        <w:rPr>
          <w:u w:val="single"/>
        </w:rPr>
        <w:t>or rehabilitate</w:t>
      </w:r>
      <w:r w:rsidR="000E04F9" w:rsidRPr="00472578">
        <w:rPr>
          <w:rStyle w:val="FootnoteReference"/>
        </w:rPr>
        <w:footnoteReference w:id="662"/>
      </w:r>
      <w:r w:rsidR="000E04F9" w:rsidRPr="00472578">
        <w:t xml:space="preserve"> natural character in the coastal environment where it has been reduced or lost.</w:t>
      </w:r>
    </w:p>
    <w:p w14:paraId="3790AC21" w14:textId="4131A97C" w:rsidR="000E04F9" w:rsidRPr="00472578" w:rsidRDefault="007113CF" w:rsidP="00E92686">
      <w:pPr>
        <w:pStyle w:val="Heading4"/>
        <w:jc w:val="both"/>
        <w:rPr>
          <w:b w:val="0"/>
          <w:i/>
        </w:rPr>
      </w:pPr>
      <w:bookmarkStart w:id="127" w:name="_Hlk94100290"/>
      <w:r w:rsidRPr="00472578">
        <w:rPr>
          <w:color w:val="1F3863"/>
        </w:rPr>
        <w:t>CE-P</w:t>
      </w:r>
      <w:r w:rsidR="000E04F9" w:rsidRPr="00472578">
        <w:rPr>
          <w:color w:val="1F3863"/>
        </w:rPr>
        <w:t xml:space="preserve">5 – Coastal indigenous </w:t>
      </w:r>
      <w:r w:rsidR="000E04F9" w:rsidRPr="00472578">
        <w:rPr>
          <w:i/>
          <w:color w:val="1F3863"/>
        </w:rPr>
        <w:t>biodiversity</w:t>
      </w:r>
    </w:p>
    <w:p w14:paraId="44282F07" w14:textId="77777777" w:rsidR="000E04F9" w:rsidRPr="00472578" w:rsidRDefault="000E04F9" w:rsidP="00E92686">
      <w:pPr>
        <w:spacing w:before="161"/>
        <w:jc w:val="both"/>
      </w:pPr>
      <w:r w:rsidRPr="00472578">
        <w:t xml:space="preserve">Protect </w:t>
      </w:r>
      <w:bookmarkStart w:id="128" w:name="_Hlk93989329"/>
      <w:r w:rsidRPr="00472578">
        <w:t xml:space="preserve">indigenous </w:t>
      </w:r>
      <w:r w:rsidRPr="00472578">
        <w:rPr>
          <w:i/>
        </w:rPr>
        <w:t xml:space="preserve">biodiversity </w:t>
      </w:r>
      <w:r w:rsidRPr="00472578">
        <w:t xml:space="preserve">in the coastal environment </w:t>
      </w:r>
      <w:bookmarkEnd w:id="128"/>
      <w:r w:rsidRPr="00472578">
        <w:t>by:</w:t>
      </w:r>
    </w:p>
    <w:p w14:paraId="54A0EC7E" w14:textId="3609E39D" w:rsidR="000E04F9" w:rsidRPr="00472578" w:rsidRDefault="00081DE2" w:rsidP="00E92686">
      <w:pPr>
        <w:widowControl w:val="0"/>
        <w:tabs>
          <w:tab w:val="left" w:pos="686"/>
          <w:tab w:val="left" w:pos="687"/>
        </w:tabs>
        <w:autoSpaceDE w:val="0"/>
        <w:autoSpaceDN w:val="0"/>
        <w:spacing w:before="41"/>
        <w:ind w:left="567" w:right="178" w:hanging="567"/>
        <w:jc w:val="both"/>
      </w:pPr>
      <w:r w:rsidRPr="00472578">
        <w:t>(1)</w:t>
      </w:r>
      <w:r w:rsidRPr="00472578">
        <w:tab/>
      </w:r>
      <w:r w:rsidR="000E04F9" w:rsidRPr="00472578">
        <w:t>identifying and avoiding adverse effects on the following ecosystems, vegetation types and areas:</w:t>
      </w:r>
    </w:p>
    <w:p w14:paraId="03248FA1" w14:textId="0B7FD71F" w:rsidR="000E04F9" w:rsidRPr="00472578" w:rsidRDefault="00D62AF9" w:rsidP="00E92686">
      <w:pPr>
        <w:widowControl w:val="0"/>
        <w:tabs>
          <w:tab w:val="left" w:pos="1207"/>
          <w:tab w:val="left" w:pos="1208"/>
        </w:tabs>
        <w:autoSpaceDE w:val="0"/>
        <w:autoSpaceDN w:val="0"/>
        <w:ind w:left="1134" w:right="177" w:hanging="567"/>
        <w:jc w:val="both"/>
      </w:pPr>
      <w:r w:rsidRPr="00472578">
        <w:t>(a)</w:t>
      </w:r>
      <w:r w:rsidRPr="00472578">
        <w:tab/>
      </w:r>
      <w:r w:rsidR="000E04F9" w:rsidRPr="00472578">
        <w:t>indigenous taxa that are listed as threatened or at risk in the New Zealand Threat Classification System lists,</w:t>
      </w:r>
    </w:p>
    <w:p w14:paraId="2CA6C7A4" w14:textId="5C9D1963" w:rsidR="000E04F9" w:rsidRPr="00472578" w:rsidRDefault="00D62AF9" w:rsidP="00E92686">
      <w:pPr>
        <w:widowControl w:val="0"/>
        <w:tabs>
          <w:tab w:val="left" w:pos="1207"/>
          <w:tab w:val="left" w:pos="1208"/>
        </w:tabs>
        <w:autoSpaceDE w:val="0"/>
        <w:autoSpaceDN w:val="0"/>
        <w:spacing w:before="159"/>
        <w:ind w:left="1134" w:right="174" w:hanging="567"/>
        <w:jc w:val="both"/>
      </w:pPr>
      <w:r w:rsidRPr="00472578">
        <w:t>(b)</w:t>
      </w:r>
      <w:r w:rsidRPr="00472578">
        <w:tab/>
      </w:r>
      <w:r w:rsidR="000E04F9" w:rsidRPr="00472578">
        <w:t>taxa that are listed by the International Union for Conservation of Nature and Natural Resources as threatened,</w:t>
      </w:r>
    </w:p>
    <w:p w14:paraId="1545A23E" w14:textId="4B7B379B" w:rsidR="000E04F9" w:rsidRPr="00472578" w:rsidRDefault="00D62AF9" w:rsidP="00E92686">
      <w:pPr>
        <w:widowControl w:val="0"/>
        <w:tabs>
          <w:tab w:val="left" w:pos="1207"/>
          <w:tab w:val="left" w:pos="1208"/>
        </w:tabs>
        <w:autoSpaceDE w:val="0"/>
        <w:autoSpaceDN w:val="0"/>
        <w:spacing w:before="161"/>
        <w:ind w:left="1134" w:right="174" w:hanging="567"/>
        <w:jc w:val="both"/>
      </w:pPr>
      <w:r w:rsidRPr="00472578">
        <w:t>(c)</w:t>
      </w:r>
      <w:r w:rsidRPr="00472578">
        <w:tab/>
      </w:r>
      <w:r w:rsidR="000E04F9" w:rsidRPr="00472578">
        <w:t>indigenous ecosystems and vegetation types in the coastal environment that are threatened or are naturally rare,</w:t>
      </w:r>
    </w:p>
    <w:p w14:paraId="2B6DEFD4" w14:textId="16A8A7FE" w:rsidR="000E04F9" w:rsidRPr="00472578" w:rsidRDefault="00D62AF9" w:rsidP="00E92686">
      <w:pPr>
        <w:widowControl w:val="0"/>
        <w:tabs>
          <w:tab w:val="left" w:pos="1207"/>
          <w:tab w:val="left" w:pos="1208"/>
        </w:tabs>
        <w:autoSpaceDE w:val="0"/>
        <w:autoSpaceDN w:val="0"/>
        <w:spacing w:before="159"/>
        <w:ind w:left="1134" w:right="171" w:hanging="567"/>
        <w:jc w:val="both"/>
      </w:pPr>
      <w:r w:rsidRPr="00472578">
        <w:t>(d)</w:t>
      </w:r>
      <w:r w:rsidRPr="00472578">
        <w:tab/>
      </w:r>
      <w:r w:rsidR="000E04F9" w:rsidRPr="00472578">
        <w:t xml:space="preserve">habitats of indigenous species where the species are at the limit of their natural range, or </w:t>
      </w:r>
      <w:r w:rsidR="000E04F9" w:rsidRPr="00472578">
        <w:lastRenderedPageBreak/>
        <w:t>are naturally rare,</w:t>
      </w:r>
    </w:p>
    <w:p w14:paraId="3396608C" w14:textId="252B366C" w:rsidR="000E04F9" w:rsidRPr="00472578" w:rsidRDefault="00D62AF9" w:rsidP="00E92686">
      <w:pPr>
        <w:widowControl w:val="0"/>
        <w:tabs>
          <w:tab w:val="left" w:pos="1253"/>
          <w:tab w:val="left" w:pos="1254"/>
        </w:tabs>
        <w:autoSpaceDE w:val="0"/>
        <w:autoSpaceDN w:val="0"/>
        <w:spacing w:before="161"/>
        <w:ind w:left="1134" w:hanging="567"/>
        <w:jc w:val="both"/>
      </w:pPr>
      <w:r w:rsidRPr="00472578">
        <w:t>(e)</w:t>
      </w:r>
      <w:r w:rsidRPr="00472578">
        <w:tab/>
      </w:r>
      <w:r w:rsidR="000E04F9" w:rsidRPr="00472578">
        <w:t xml:space="preserve">areas containing nationally significant examples of indigenous community types, </w:t>
      </w:r>
      <w:r w:rsidR="000E04F9" w:rsidRPr="00472578">
        <w:rPr>
          <w:strike/>
        </w:rPr>
        <w:t>and</w:t>
      </w:r>
    </w:p>
    <w:p w14:paraId="2B02AE1B" w14:textId="52E0AE6B" w:rsidR="000E04F9" w:rsidRPr="00472578" w:rsidRDefault="00D62AF9" w:rsidP="00E92686">
      <w:pPr>
        <w:widowControl w:val="0"/>
        <w:tabs>
          <w:tab w:val="left" w:pos="1253"/>
          <w:tab w:val="left" w:pos="1254"/>
        </w:tabs>
        <w:autoSpaceDE w:val="0"/>
        <w:autoSpaceDN w:val="0"/>
        <w:spacing w:before="159"/>
        <w:ind w:left="1134" w:right="174" w:hanging="567"/>
        <w:jc w:val="both"/>
      </w:pPr>
      <w:r w:rsidRPr="00472578">
        <w:t>(f)</w:t>
      </w:r>
      <w:r w:rsidRPr="00472578">
        <w:tab/>
      </w:r>
      <w:r w:rsidR="000E04F9" w:rsidRPr="00472578">
        <w:t xml:space="preserve">areas set aside for full or partial protection of indigenous </w:t>
      </w:r>
      <w:r w:rsidR="000E04F9" w:rsidRPr="00472578">
        <w:rPr>
          <w:i/>
        </w:rPr>
        <w:t xml:space="preserve">biodiversity </w:t>
      </w:r>
      <w:r w:rsidR="000E04F9" w:rsidRPr="00472578">
        <w:t>under other legislation, and</w:t>
      </w:r>
    </w:p>
    <w:p w14:paraId="20DE1415" w14:textId="151CA659" w:rsidR="000E04F9" w:rsidRPr="00472578" w:rsidRDefault="00D62AF9" w:rsidP="00E92686">
      <w:pPr>
        <w:widowControl w:val="0"/>
        <w:tabs>
          <w:tab w:val="left" w:pos="1253"/>
          <w:tab w:val="left" w:pos="1254"/>
        </w:tabs>
        <w:autoSpaceDE w:val="0"/>
        <w:autoSpaceDN w:val="0"/>
        <w:spacing w:before="159"/>
        <w:ind w:left="1134" w:right="174" w:hanging="567"/>
        <w:jc w:val="both"/>
        <w:rPr>
          <w:u w:val="single"/>
        </w:rPr>
      </w:pPr>
      <w:r w:rsidRPr="00472578">
        <w:rPr>
          <w:u w:val="single"/>
        </w:rPr>
        <w:t>(g)</w:t>
      </w:r>
      <w:r w:rsidRPr="00472578">
        <w:rPr>
          <w:u w:val="single"/>
        </w:rPr>
        <w:tab/>
      </w:r>
      <w:r w:rsidR="000E04F9" w:rsidRPr="00472578">
        <w:rPr>
          <w:u w:val="single"/>
        </w:rPr>
        <w:t>significant natural areas identified in accordance with APP2, and</w:t>
      </w:r>
      <w:r w:rsidR="000E04F9" w:rsidRPr="00472578">
        <w:rPr>
          <w:rStyle w:val="FootnoteReference"/>
        </w:rPr>
        <w:footnoteReference w:id="663"/>
      </w:r>
    </w:p>
    <w:bookmarkEnd w:id="127"/>
    <w:p w14:paraId="02B52E0B" w14:textId="30B66005" w:rsidR="000E04F9" w:rsidRPr="00472578" w:rsidRDefault="00D62AF9" w:rsidP="00E92686">
      <w:pPr>
        <w:widowControl w:val="0"/>
        <w:tabs>
          <w:tab w:val="left" w:pos="686"/>
          <w:tab w:val="left" w:pos="687"/>
        </w:tabs>
        <w:autoSpaceDE w:val="0"/>
        <w:autoSpaceDN w:val="0"/>
        <w:spacing w:before="162" w:line="256" w:lineRule="auto"/>
        <w:ind w:left="567" w:right="173" w:hanging="567"/>
        <w:jc w:val="both"/>
      </w:pPr>
      <w:r w:rsidRPr="00472578">
        <w:t>(2)</w:t>
      </w:r>
      <w:r w:rsidRPr="00472578">
        <w:tab/>
      </w:r>
      <w:r w:rsidR="000E04F9" w:rsidRPr="00472578">
        <w:t xml:space="preserve">identifying and avoiding significant adverse </w:t>
      </w:r>
      <w:r w:rsidR="000E04F9" w:rsidRPr="00472578">
        <w:rPr>
          <w:i/>
        </w:rPr>
        <w:t xml:space="preserve">effects </w:t>
      </w:r>
      <w:r w:rsidR="000E04F9" w:rsidRPr="00472578">
        <w:t xml:space="preserve">and avoiding, </w:t>
      </w:r>
      <w:proofErr w:type="gramStart"/>
      <w:r w:rsidR="000E04F9" w:rsidRPr="00472578">
        <w:t>remedying</w:t>
      </w:r>
      <w:proofErr w:type="gramEnd"/>
      <w:r w:rsidR="000E04F9" w:rsidRPr="00472578">
        <w:t xml:space="preserve"> or mitigating other adverse </w:t>
      </w:r>
      <w:r w:rsidR="000E04F9" w:rsidRPr="00472578">
        <w:rPr>
          <w:i/>
        </w:rPr>
        <w:t xml:space="preserve">effects </w:t>
      </w:r>
      <w:r w:rsidR="000E04F9" w:rsidRPr="00472578">
        <w:t>on the following ecosystems, vegetation types and areas:</w:t>
      </w:r>
    </w:p>
    <w:p w14:paraId="7BB40940" w14:textId="41EA730A" w:rsidR="000E04F9" w:rsidRPr="00472578" w:rsidRDefault="00D62AF9" w:rsidP="00E92686">
      <w:pPr>
        <w:widowControl w:val="0"/>
        <w:tabs>
          <w:tab w:val="left" w:pos="1253"/>
          <w:tab w:val="left" w:pos="1254"/>
        </w:tabs>
        <w:autoSpaceDE w:val="0"/>
        <w:autoSpaceDN w:val="0"/>
        <w:spacing w:before="164"/>
        <w:ind w:left="1134" w:hanging="567"/>
        <w:jc w:val="both"/>
      </w:pPr>
      <w:r w:rsidRPr="00472578">
        <w:t>(a)</w:t>
      </w:r>
      <w:r w:rsidRPr="00472578">
        <w:tab/>
      </w:r>
      <w:r w:rsidR="000E04F9" w:rsidRPr="00472578">
        <w:t>areas of predominantly indigenous vegetation in the coastal environment,</w:t>
      </w:r>
    </w:p>
    <w:p w14:paraId="44D3D15E" w14:textId="095C065F" w:rsidR="000E04F9" w:rsidRPr="00472578" w:rsidRDefault="00D62AF9" w:rsidP="00E92686">
      <w:pPr>
        <w:widowControl w:val="0"/>
        <w:tabs>
          <w:tab w:val="left" w:pos="1248"/>
          <w:tab w:val="left" w:pos="1249"/>
        </w:tabs>
        <w:autoSpaceDE w:val="0"/>
        <w:autoSpaceDN w:val="0"/>
        <w:spacing w:before="180"/>
        <w:ind w:left="1134" w:right="268" w:hanging="567"/>
        <w:jc w:val="both"/>
      </w:pPr>
      <w:r w:rsidRPr="00472578">
        <w:t>(b)</w:t>
      </w:r>
      <w:r w:rsidRPr="00472578">
        <w:tab/>
      </w:r>
      <w:r w:rsidR="000E04F9" w:rsidRPr="00472578">
        <w:t>habitats in the coastal environment that are important during the vulnerable life stages of indigenous species,</w:t>
      </w:r>
    </w:p>
    <w:p w14:paraId="0D13C9F6" w14:textId="73D3882D" w:rsidR="000E04F9" w:rsidRPr="00472578" w:rsidRDefault="00D62AF9" w:rsidP="00E92686">
      <w:pPr>
        <w:widowControl w:val="0"/>
        <w:tabs>
          <w:tab w:val="left" w:pos="1248"/>
          <w:tab w:val="left" w:pos="1249"/>
        </w:tabs>
        <w:autoSpaceDE w:val="0"/>
        <w:autoSpaceDN w:val="0"/>
        <w:spacing w:before="160"/>
        <w:ind w:left="1134" w:right="239" w:hanging="567"/>
        <w:jc w:val="both"/>
      </w:pPr>
      <w:r w:rsidRPr="00472578">
        <w:t>(c)</w:t>
      </w:r>
      <w:r w:rsidRPr="00472578">
        <w:tab/>
      </w:r>
      <w:r w:rsidR="000E04F9" w:rsidRPr="00472578">
        <w:t>indigenous ecosystems and habitats that are only found in the coastal environment and are particularly vulnerable,</w:t>
      </w:r>
    </w:p>
    <w:p w14:paraId="4B37886E" w14:textId="63007C5D" w:rsidR="000E04F9" w:rsidRPr="00472578" w:rsidRDefault="00D62AF9" w:rsidP="00E92686">
      <w:pPr>
        <w:widowControl w:val="0"/>
        <w:tabs>
          <w:tab w:val="left" w:pos="1248"/>
          <w:tab w:val="left" w:pos="1249"/>
        </w:tabs>
        <w:autoSpaceDE w:val="0"/>
        <w:autoSpaceDN w:val="0"/>
        <w:spacing w:before="161" w:line="256" w:lineRule="auto"/>
        <w:ind w:left="1134" w:right="1112" w:hanging="567"/>
        <w:jc w:val="both"/>
      </w:pPr>
      <w:r w:rsidRPr="00472578">
        <w:t>(d)</w:t>
      </w:r>
      <w:r w:rsidRPr="00472578">
        <w:tab/>
      </w:r>
      <w:r w:rsidR="000E04F9" w:rsidRPr="00472578">
        <w:t xml:space="preserve">areas sensitive to modification, including estuaries, lagoons, coastal </w:t>
      </w:r>
      <w:r w:rsidR="000E04F9" w:rsidRPr="00472578">
        <w:rPr>
          <w:i/>
        </w:rPr>
        <w:t>wetlands</w:t>
      </w:r>
      <w:r w:rsidR="000E04F9" w:rsidRPr="00472578">
        <w:t xml:space="preserve">, dunelands, intertidal zones, rocky reef systems, </w:t>
      </w:r>
      <w:proofErr w:type="gramStart"/>
      <w:r w:rsidR="000E04F9" w:rsidRPr="00472578">
        <w:t>eelgrass</w:t>
      </w:r>
      <w:proofErr w:type="gramEnd"/>
      <w:r w:rsidR="000E04F9" w:rsidRPr="00472578">
        <w:t xml:space="preserve"> and saltmarsh,</w:t>
      </w:r>
    </w:p>
    <w:p w14:paraId="2C79C84B" w14:textId="7AA96F0A" w:rsidR="000E04F9" w:rsidRPr="00472578" w:rsidRDefault="00D62AF9" w:rsidP="00E92686">
      <w:pPr>
        <w:widowControl w:val="0"/>
        <w:tabs>
          <w:tab w:val="left" w:pos="1248"/>
          <w:tab w:val="left" w:pos="1249"/>
        </w:tabs>
        <w:autoSpaceDE w:val="0"/>
        <w:autoSpaceDN w:val="0"/>
        <w:spacing w:before="165" w:line="256" w:lineRule="auto"/>
        <w:ind w:left="1134" w:right="910" w:hanging="567"/>
        <w:jc w:val="both"/>
      </w:pPr>
      <w:r w:rsidRPr="00472578">
        <w:t>(e)</w:t>
      </w:r>
      <w:r w:rsidRPr="00472578">
        <w:tab/>
      </w:r>
      <w:r w:rsidR="000E04F9" w:rsidRPr="00472578">
        <w:t xml:space="preserve">habitats of indigenous species in the coastal environment that are important for recreational, commercial, </w:t>
      </w:r>
      <w:proofErr w:type="gramStart"/>
      <w:r w:rsidR="000E04F9" w:rsidRPr="00472578">
        <w:t>traditional</w:t>
      </w:r>
      <w:proofErr w:type="gramEnd"/>
      <w:r w:rsidR="000E04F9" w:rsidRPr="00472578">
        <w:t xml:space="preserve"> or cultural purposes,</w:t>
      </w:r>
    </w:p>
    <w:p w14:paraId="5705A10A" w14:textId="1DAF74DA" w:rsidR="000E04F9" w:rsidRPr="00472578" w:rsidRDefault="00D62AF9" w:rsidP="00E92686">
      <w:pPr>
        <w:widowControl w:val="0"/>
        <w:tabs>
          <w:tab w:val="left" w:pos="1248"/>
          <w:tab w:val="left" w:pos="1249"/>
        </w:tabs>
        <w:autoSpaceDE w:val="0"/>
        <w:autoSpaceDN w:val="0"/>
        <w:spacing w:before="164"/>
        <w:ind w:left="1134" w:hanging="567"/>
        <w:jc w:val="both"/>
      </w:pPr>
      <w:r w:rsidRPr="00472578">
        <w:t>(f)</w:t>
      </w:r>
      <w:r w:rsidRPr="00472578">
        <w:tab/>
      </w:r>
      <w:r w:rsidR="000E04F9" w:rsidRPr="00472578">
        <w:t>habitats, including areas and routes, important to migratory species, and</w:t>
      </w:r>
    </w:p>
    <w:p w14:paraId="0DFFD487" w14:textId="67AC529E" w:rsidR="000E04F9" w:rsidRPr="00472578" w:rsidRDefault="00D62AF9" w:rsidP="00E92686">
      <w:pPr>
        <w:widowControl w:val="0"/>
        <w:tabs>
          <w:tab w:val="left" w:pos="1248"/>
          <w:tab w:val="left" w:pos="1249"/>
        </w:tabs>
        <w:autoSpaceDE w:val="0"/>
        <w:autoSpaceDN w:val="0"/>
        <w:spacing w:before="181"/>
        <w:ind w:left="1134" w:right="586" w:hanging="567"/>
        <w:jc w:val="both"/>
      </w:pPr>
      <w:r w:rsidRPr="00472578">
        <w:t>(g)</w:t>
      </w:r>
      <w:r w:rsidRPr="00472578">
        <w:tab/>
      </w:r>
      <w:r w:rsidR="000E04F9" w:rsidRPr="00472578">
        <w:t>ecological corridors, and areas important for linking or maintaining biological values identified under this policy.</w:t>
      </w:r>
    </w:p>
    <w:p w14:paraId="632B85B8" w14:textId="298A9BF9" w:rsidR="000E04F9" w:rsidRPr="00472578" w:rsidRDefault="007113CF" w:rsidP="00E92686">
      <w:pPr>
        <w:pStyle w:val="Heading4"/>
        <w:jc w:val="both"/>
      </w:pPr>
      <w:r w:rsidRPr="00472578">
        <w:t>CE-P</w:t>
      </w:r>
      <w:r w:rsidR="000E04F9" w:rsidRPr="00472578">
        <w:t xml:space="preserve">6 – Natural features, </w:t>
      </w:r>
      <w:proofErr w:type="gramStart"/>
      <w:r w:rsidR="000E04F9" w:rsidRPr="00472578">
        <w:t>landscapes</w:t>
      </w:r>
      <w:proofErr w:type="gramEnd"/>
      <w:r w:rsidR="000E04F9" w:rsidRPr="00472578">
        <w:t xml:space="preserve"> and seascapes</w:t>
      </w:r>
    </w:p>
    <w:p w14:paraId="17B5CEB2" w14:textId="77777777" w:rsidR="000E04F9" w:rsidRPr="00472578" w:rsidRDefault="000E04F9" w:rsidP="00E92686">
      <w:pPr>
        <w:pStyle w:val="BodyText"/>
      </w:pPr>
      <w:r w:rsidRPr="00472578">
        <w:t xml:space="preserve">Protect natural features, </w:t>
      </w:r>
      <w:proofErr w:type="gramStart"/>
      <w:r w:rsidRPr="00472578">
        <w:t>landscapes</w:t>
      </w:r>
      <w:proofErr w:type="gramEnd"/>
      <w:r w:rsidRPr="00472578">
        <w:t xml:space="preserve"> and seascapes in the coastal environment by:</w:t>
      </w:r>
    </w:p>
    <w:p w14:paraId="34C736E4" w14:textId="5940FECE" w:rsidR="000E04F9" w:rsidRPr="00472578" w:rsidRDefault="00D62AF9" w:rsidP="00E92686">
      <w:pPr>
        <w:widowControl w:val="0"/>
        <w:tabs>
          <w:tab w:val="left" w:pos="686"/>
          <w:tab w:val="left" w:pos="687"/>
        </w:tabs>
        <w:autoSpaceDE w:val="0"/>
        <w:autoSpaceDN w:val="0"/>
        <w:spacing w:before="159"/>
        <w:ind w:left="567" w:hanging="567"/>
        <w:jc w:val="both"/>
      </w:pPr>
      <w:r w:rsidRPr="00472578">
        <w:t>(1)</w:t>
      </w:r>
      <w:r w:rsidRPr="00472578">
        <w:tab/>
      </w:r>
      <w:r w:rsidR="000E04F9" w:rsidRPr="00472578">
        <w:t>identifying their areas and values</w:t>
      </w:r>
      <w:r w:rsidR="000E04F9" w:rsidRPr="00472578">
        <w:rPr>
          <w:u w:val="single"/>
        </w:rPr>
        <w:t>, at minimum by land typing, soil characterisation and landscape characterisation,</w:t>
      </w:r>
      <w:r w:rsidR="000E04F9" w:rsidRPr="00472578">
        <w:rPr>
          <w:rStyle w:val="FootnoteReference"/>
        </w:rPr>
        <w:footnoteReference w:id="664"/>
      </w:r>
      <w:r w:rsidR="000E04F9" w:rsidRPr="00472578">
        <w:t xml:space="preserve"> in accordance with APP9,</w:t>
      </w:r>
    </w:p>
    <w:p w14:paraId="59919375" w14:textId="7F788B27" w:rsidR="000E04F9" w:rsidRPr="00472578" w:rsidRDefault="00D62AF9" w:rsidP="00E92686">
      <w:pPr>
        <w:widowControl w:val="0"/>
        <w:tabs>
          <w:tab w:val="left" w:pos="686"/>
          <w:tab w:val="left" w:pos="687"/>
        </w:tabs>
        <w:autoSpaceDE w:val="0"/>
        <w:autoSpaceDN w:val="0"/>
        <w:spacing w:before="161"/>
        <w:ind w:left="567" w:hanging="567"/>
        <w:jc w:val="both"/>
      </w:pPr>
      <w:r w:rsidRPr="00472578">
        <w:t>(2)</w:t>
      </w:r>
      <w:r w:rsidRPr="00472578">
        <w:tab/>
      </w:r>
      <w:r w:rsidR="000E04F9" w:rsidRPr="00472578">
        <w:t xml:space="preserve">avoiding adverse </w:t>
      </w:r>
      <w:r w:rsidR="000E04F9" w:rsidRPr="00472578">
        <w:rPr>
          <w:i/>
        </w:rPr>
        <w:t xml:space="preserve">effects </w:t>
      </w:r>
      <w:r w:rsidR="000E04F9" w:rsidRPr="00472578">
        <w:t xml:space="preserve">of activities on outstanding natural features, </w:t>
      </w:r>
      <w:proofErr w:type="gramStart"/>
      <w:r w:rsidR="000E04F9" w:rsidRPr="00472578">
        <w:t>landscapes</w:t>
      </w:r>
      <w:proofErr w:type="gramEnd"/>
      <w:r w:rsidR="000E04F9" w:rsidRPr="00472578">
        <w:t xml:space="preserve"> or seascapes,</w:t>
      </w:r>
    </w:p>
    <w:p w14:paraId="71048C54" w14:textId="49095DE8" w:rsidR="000E04F9" w:rsidRPr="00472578" w:rsidRDefault="00D62AF9" w:rsidP="00E92686">
      <w:pPr>
        <w:widowControl w:val="0"/>
        <w:tabs>
          <w:tab w:val="left" w:pos="686"/>
          <w:tab w:val="left" w:pos="687"/>
        </w:tabs>
        <w:autoSpaceDE w:val="0"/>
        <w:autoSpaceDN w:val="0"/>
        <w:spacing w:before="159"/>
        <w:ind w:left="567" w:hanging="567"/>
        <w:jc w:val="both"/>
      </w:pPr>
      <w:r w:rsidRPr="00472578">
        <w:t>(3)</w:t>
      </w:r>
      <w:r w:rsidRPr="00472578">
        <w:tab/>
      </w:r>
      <w:r w:rsidR="000E04F9" w:rsidRPr="00472578">
        <w:t xml:space="preserve">avoiding significant adverse </w:t>
      </w:r>
      <w:r w:rsidR="000E04F9" w:rsidRPr="00472578">
        <w:rPr>
          <w:i/>
        </w:rPr>
        <w:t xml:space="preserve">effects </w:t>
      </w:r>
      <w:r w:rsidR="000E04F9" w:rsidRPr="00472578">
        <w:t xml:space="preserve">and avoiding, remedying, or mitigating other adverse </w:t>
      </w:r>
      <w:r w:rsidR="000E04F9" w:rsidRPr="00472578">
        <w:rPr>
          <w:i/>
        </w:rPr>
        <w:t>effects</w:t>
      </w:r>
      <w:r w:rsidRPr="00472578">
        <w:rPr>
          <w:i/>
        </w:rPr>
        <w:t xml:space="preserve"> </w:t>
      </w:r>
      <w:r w:rsidR="000E04F9" w:rsidRPr="00472578">
        <w:t>of activities on other natural features and natural landscapes or seascapes, and</w:t>
      </w:r>
    </w:p>
    <w:p w14:paraId="568867C7" w14:textId="44092E3F" w:rsidR="000E04F9" w:rsidRPr="00472578" w:rsidRDefault="00D62AF9" w:rsidP="00E92686">
      <w:pPr>
        <w:widowControl w:val="0"/>
        <w:tabs>
          <w:tab w:val="left" w:pos="686"/>
          <w:tab w:val="left" w:pos="687"/>
        </w:tabs>
        <w:autoSpaceDE w:val="0"/>
        <w:autoSpaceDN w:val="0"/>
        <w:spacing w:before="161"/>
        <w:ind w:left="567" w:right="174" w:hanging="567"/>
        <w:jc w:val="both"/>
      </w:pPr>
      <w:r w:rsidRPr="00472578">
        <w:t>(4)</w:t>
      </w:r>
      <w:r w:rsidRPr="00472578">
        <w:tab/>
      </w:r>
      <w:r w:rsidR="000E04F9" w:rsidRPr="00472578">
        <w:t xml:space="preserve">promoting restoration or enhancement of natural features, </w:t>
      </w:r>
      <w:proofErr w:type="gramStart"/>
      <w:r w:rsidR="000E04F9" w:rsidRPr="00472578">
        <w:t>landscapes</w:t>
      </w:r>
      <w:proofErr w:type="gramEnd"/>
      <w:r w:rsidR="000E04F9" w:rsidRPr="00472578">
        <w:t xml:space="preserve"> and seascapes where they have been reduced or lost.</w:t>
      </w:r>
    </w:p>
    <w:p w14:paraId="4ECAF32D" w14:textId="02CDCCF2" w:rsidR="000E04F9" w:rsidRPr="00472578" w:rsidRDefault="007113CF" w:rsidP="00E92686">
      <w:pPr>
        <w:pStyle w:val="Heading4"/>
        <w:jc w:val="both"/>
      </w:pPr>
      <w:r w:rsidRPr="00472578">
        <w:t>CE-P</w:t>
      </w:r>
      <w:r w:rsidR="000E04F9" w:rsidRPr="00472578">
        <w:t xml:space="preserve">7 – </w:t>
      </w:r>
      <w:bookmarkStart w:id="129" w:name="_Hlk94181583"/>
      <w:r w:rsidR="000E04F9" w:rsidRPr="00472578">
        <w:rPr>
          <w:i/>
          <w:iCs w:val="0"/>
        </w:rPr>
        <w:t>Surf breaks</w:t>
      </w:r>
      <w:r w:rsidR="000E04F9" w:rsidRPr="00472578">
        <w:t xml:space="preserve"> </w:t>
      </w:r>
    </w:p>
    <w:bookmarkEnd w:id="129"/>
    <w:p w14:paraId="5ADFE57B" w14:textId="77777777" w:rsidR="000E04F9" w:rsidRPr="00472578" w:rsidRDefault="000E04F9" w:rsidP="00E92686">
      <w:pPr>
        <w:pStyle w:val="BodyText"/>
      </w:pPr>
      <w:r w:rsidRPr="00472578">
        <w:t xml:space="preserve">Manage Otago’s nationally and regionally significant </w:t>
      </w:r>
      <w:r w:rsidRPr="00472578">
        <w:rPr>
          <w:i/>
        </w:rPr>
        <w:t xml:space="preserve">surf breaks </w:t>
      </w:r>
      <w:r w:rsidRPr="00472578">
        <w:t>so that:</w:t>
      </w:r>
    </w:p>
    <w:p w14:paraId="5A737B3F" w14:textId="751C61D3" w:rsidR="000E04F9" w:rsidRPr="00472578" w:rsidRDefault="00D62AF9" w:rsidP="00E92686">
      <w:pPr>
        <w:widowControl w:val="0"/>
        <w:tabs>
          <w:tab w:val="left" w:pos="687"/>
        </w:tabs>
        <w:autoSpaceDE w:val="0"/>
        <w:autoSpaceDN w:val="0"/>
        <w:spacing w:before="158"/>
        <w:ind w:left="567" w:right="173" w:hanging="567"/>
        <w:jc w:val="both"/>
      </w:pPr>
      <w:r w:rsidRPr="00472578">
        <w:t>(1)</w:t>
      </w:r>
      <w:r w:rsidRPr="00472578">
        <w:tab/>
      </w:r>
      <w:r w:rsidR="000E04F9" w:rsidRPr="00472578">
        <w:t xml:space="preserve">nationally significant </w:t>
      </w:r>
      <w:r w:rsidR="000E04F9" w:rsidRPr="00472578">
        <w:rPr>
          <w:i/>
        </w:rPr>
        <w:t xml:space="preserve">surf breaks </w:t>
      </w:r>
      <w:r w:rsidR="000E04F9" w:rsidRPr="00472578">
        <w:t xml:space="preserve">are protected by avoiding adverse </w:t>
      </w:r>
      <w:r w:rsidR="000E04F9" w:rsidRPr="00472578">
        <w:rPr>
          <w:i/>
        </w:rPr>
        <w:t xml:space="preserve">effects </w:t>
      </w:r>
      <w:r w:rsidR="000E04F9" w:rsidRPr="00472578">
        <w:t xml:space="preserve">on the </w:t>
      </w:r>
      <w:r w:rsidR="000E04F9" w:rsidRPr="00472578">
        <w:rPr>
          <w:i/>
        </w:rPr>
        <w:t>surf breaks</w:t>
      </w:r>
      <w:r w:rsidR="000E04F9" w:rsidRPr="00472578">
        <w:t xml:space="preserve">, </w:t>
      </w:r>
      <w:r w:rsidR="000E04F9" w:rsidRPr="00472578">
        <w:lastRenderedPageBreak/>
        <w:t>including on access to and use and enjoyment of them, and</w:t>
      </w:r>
    </w:p>
    <w:p w14:paraId="1B4BF861" w14:textId="653DA783" w:rsidR="000E04F9" w:rsidRPr="00472578" w:rsidRDefault="00D62AF9" w:rsidP="00E92686">
      <w:pPr>
        <w:widowControl w:val="0"/>
        <w:tabs>
          <w:tab w:val="left" w:pos="686"/>
          <w:tab w:val="left" w:pos="687"/>
        </w:tabs>
        <w:autoSpaceDE w:val="0"/>
        <w:autoSpaceDN w:val="0"/>
        <w:spacing w:before="162"/>
        <w:ind w:left="567" w:hanging="567"/>
        <w:jc w:val="both"/>
      </w:pPr>
      <w:r w:rsidRPr="00472578">
        <w:t>(2)</w:t>
      </w:r>
      <w:r w:rsidRPr="00472578">
        <w:tab/>
      </w:r>
      <w:r w:rsidR="000E04F9" w:rsidRPr="00472578">
        <w:t xml:space="preserve">the values of and access to regionally significant </w:t>
      </w:r>
      <w:r w:rsidR="000E04F9" w:rsidRPr="00472578">
        <w:rPr>
          <w:i/>
        </w:rPr>
        <w:t xml:space="preserve">surf breaks </w:t>
      </w:r>
      <w:r w:rsidR="000E04F9" w:rsidRPr="00472578">
        <w:t>are maintained.</w:t>
      </w:r>
    </w:p>
    <w:p w14:paraId="4C846892" w14:textId="77777777" w:rsidR="000E04F9" w:rsidRPr="00472578" w:rsidRDefault="000E04F9" w:rsidP="00E92686">
      <w:pPr>
        <w:pStyle w:val="BodyText"/>
      </w:pPr>
    </w:p>
    <w:p w14:paraId="0EAC7FE2" w14:textId="167903C0" w:rsidR="000E04F9" w:rsidRPr="00472578" w:rsidRDefault="007113CF" w:rsidP="00E92686">
      <w:pPr>
        <w:pStyle w:val="Heading4"/>
        <w:spacing w:before="1"/>
        <w:jc w:val="both"/>
      </w:pPr>
      <w:r w:rsidRPr="00472578">
        <w:rPr>
          <w:color w:val="1F3863"/>
        </w:rPr>
        <w:t>CE-P</w:t>
      </w:r>
      <w:r w:rsidR="000E04F9" w:rsidRPr="00472578">
        <w:rPr>
          <w:color w:val="1F3863"/>
        </w:rPr>
        <w:t>8 – Public access</w:t>
      </w:r>
    </w:p>
    <w:p w14:paraId="527167D2" w14:textId="0B59C11B" w:rsidR="009B6EC2" w:rsidRPr="00472578" w:rsidRDefault="009B6EC2" w:rsidP="00E92686">
      <w:pPr>
        <w:pStyle w:val="BodyText"/>
      </w:pPr>
      <w:r w:rsidRPr="00472578">
        <w:rPr>
          <w:strike/>
        </w:rPr>
        <w:t>Maintain or enhance</w:t>
      </w:r>
      <w:r w:rsidRPr="00472578">
        <w:t xml:space="preserve"> </w:t>
      </w:r>
      <w:r w:rsidRPr="00472578">
        <w:rPr>
          <w:u w:val="single"/>
        </w:rPr>
        <w:t>Manage</w:t>
      </w:r>
      <w:r w:rsidRPr="00472578">
        <w:t xml:space="preserve"> public </w:t>
      </w:r>
      <w:r w:rsidRPr="00472578">
        <w:rPr>
          <w:u w:val="single"/>
        </w:rPr>
        <w:t>walking and vehicle</w:t>
      </w:r>
      <w:r w:rsidRPr="00472578">
        <w:t xml:space="preserve"> access to</w:t>
      </w:r>
      <w:r w:rsidR="00A21EDA" w:rsidRPr="00472578">
        <w:rPr>
          <w:u w:val="single"/>
        </w:rPr>
        <w:t>,</w:t>
      </w:r>
      <w:r w:rsidRPr="00472578">
        <w:t xml:space="preserve"> </w:t>
      </w:r>
      <w:r w:rsidRPr="00472578">
        <w:rPr>
          <w:strike/>
        </w:rPr>
        <w:t>and</w:t>
      </w:r>
      <w:r w:rsidRPr="00472578">
        <w:t xml:space="preserve"> along</w:t>
      </w:r>
      <w:r w:rsidR="00A21EDA" w:rsidRPr="00472578">
        <w:t xml:space="preserve"> </w:t>
      </w:r>
      <w:r w:rsidR="00A21EDA" w:rsidRPr="00472578">
        <w:rPr>
          <w:u w:val="single"/>
        </w:rPr>
        <w:t>and adjacent to</w:t>
      </w:r>
      <w:r w:rsidRPr="00472578">
        <w:t xml:space="preserve"> the </w:t>
      </w:r>
      <w:r w:rsidRPr="00472578">
        <w:rPr>
          <w:i/>
        </w:rPr>
        <w:t>coastal marine area</w:t>
      </w:r>
      <w:r w:rsidR="00A21EDA" w:rsidRPr="00472578">
        <w:rPr>
          <w:i/>
        </w:rPr>
        <w:t xml:space="preserve"> </w:t>
      </w:r>
      <w:r w:rsidR="001E5308" w:rsidRPr="00472578">
        <w:rPr>
          <w:iCs/>
          <w:u w:val="single"/>
        </w:rPr>
        <w:t>by</w:t>
      </w:r>
      <w:r w:rsidRPr="00472578">
        <w:t xml:space="preserve"> </w:t>
      </w:r>
      <w:r w:rsidRPr="00472578">
        <w:rPr>
          <w:strike/>
        </w:rPr>
        <w:t>unless restricting public access is necessary</w:t>
      </w:r>
      <w:r w:rsidRPr="00472578">
        <w:t>:</w:t>
      </w:r>
    </w:p>
    <w:p w14:paraId="07C5E0E9" w14:textId="1E9E3D47" w:rsidR="000E04F9" w:rsidRPr="00472578" w:rsidRDefault="00D62AF9" w:rsidP="00E92686">
      <w:pPr>
        <w:pStyle w:val="BodyText"/>
        <w:rPr>
          <w:u w:val="single"/>
        </w:rPr>
      </w:pPr>
      <w:r w:rsidRPr="00472578">
        <w:rPr>
          <w:u w:val="single"/>
        </w:rPr>
        <w:t>(1</w:t>
      </w:r>
      <w:r w:rsidR="001E5308" w:rsidRPr="00472578">
        <w:rPr>
          <w:u w:val="single"/>
        </w:rPr>
        <w:t>A</w:t>
      </w:r>
      <w:r w:rsidRPr="00472578">
        <w:rPr>
          <w:u w:val="single"/>
        </w:rPr>
        <w:t>)</w:t>
      </w:r>
      <w:r w:rsidRPr="00472578">
        <w:rPr>
          <w:u w:val="single"/>
        </w:rPr>
        <w:tab/>
      </w:r>
      <w:r w:rsidR="000E04F9" w:rsidRPr="00472578">
        <w:rPr>
          <w:u w:val="single"/>
        </w:rPr>
        <w:t>maintain</w:t>
      </w:r>
      <w:r w:rsidR="00D30C89" w:rsidRPr="00472578">
        <w:rPr>
          <w:u w:val="single"/>
        </w:rPr>
        <w:t>ing</w:t>
      </w:r>
      <w:r w:rsidR="000E04F9" w:rsidRPr="00472578">
        <w:rPr>
          <w:u w:val="single"/>
        </w:rPr>
        <w:t xml:space="preserve"> or enhanc</w:t>
      </w:r>
      <w:r w:rsidR="00D30C89" w:rsidRPr="00472578">
        <w:rPr>
          <w:u w:val="single"/>
        </w:rPr>
        <w:t>ing</w:t>
      </w:r>
      <w:r w:rsidR="000E04F9" w:rsidRPr="00472578">
        <w:rPr>
          <w:u w:val="single"/>
        </w:rPr>
        <w:t xml:space="preserve"> public walking access,</w:t>
      </w:r>
    </w:p>
    <w:p w14:paraId="4D5209E2" w14:textId="11BEB75D" w:rsidR="000E04F9" w:rsidRPr="00472578" w:rsidRDefault="00D62AF9" w:rsidP="00E92686">
      <w:pPr>
        <w:pStyle w:val="BodyText"/>
        <w:rPr>
          <w:u w:val="single"/>
        </w:rPr>
      </w:pPr>
      <w:r w:rsidRPr="00472578">
        <w:rPr>
          <w:u w:val="single"/>
        </w:rPr>
        <w:t>(</w:t>
      </w:r>
      <w:r w:rsidR="00C97A72" w:rsidRPr="00472578">
        <w:rPr>
          <w:u w:val="single"/>
        </w:rPr>
        <w:t>1B</w:t>
      </w:r>
      <w:r w:rsidRPr="00472578">
        <w:rPr>
          <w:u w:val="single"/>
        </w:rPr>
        <w:t>)</w:t>
      </w:r>
      <w:r w:rsidRPr="00472578">
        <w:rPr>
          <w:u w:val="single"/>
        </w:rPr>
        <w:tab/>
      </w:r>
      <w:r w:rsidR="000E04F9" w:rsidRPr="00472578">
        <w:rPr>
          <w:u w:val="single"/>
        </w:rPr>
        <w:t>controlling vehicle access, and</w:t>
      </w:r>
    </w:p>
    <w:p w14:paraId="5F5208A1" w14:textId="198F8761" w:rsidR="000E04F9" w:rsidRPr="00472578" w:rsidRDefault="00D62AF9" w:rsidP="00E92686">
      <w:pPr>
        <w:pStyle w:val="BodyText"/>
        <w:rPr>
          <w:u w:val="single"/>
        </w:rPr>
      </w:pPr>
      <w:r w:rsidRPr="00472578">
        <w:rPr>
          <w:u w:val="single"/>
        </w:rPr>
        <w:t>(</w:t>
      </w:r>
      <w:r w:rsidR="00C97A72" w:rsidRPr="00472578">
        <w:rPr>
          <w:u w:val="single"/>
        </w:rPr>
        <w:t>1C</w:t>
      </w:r>
      <w:r w:rsidRPr="00472578">
        <w:rPr>
          <w:u w:val="single"/>
        </w:rPr>
        <w:t>)</w:t>
      </w:r>
      <w:r w:rsidRPr="00472578">
        <w:rPr>
          <w:u w:val="single"/>
        </w:rPr>
        <w:tab/>
      </w:r>
      <w:r w:rsidR="000E04F9" w:rsidRPr="00472578">
        <w:rPr>
          <w:u w:val="single"/>
        </w:rPr>
        <w:t>restricting public walking and vehicle access where necessary:</w:t>
      </w:r>
    </w:p>
    <w:p w14:paraId="2BED58F9" w14:textId="77777777" w:rsidR="00D62AF9" w:rsidRPr="00472578" w:rsidRDefault="00D62AF9" w:rsidP="00E92686">
      <w:pPr>
        <w:widowControl w:val="0"/>
        <w:tabs>
          <w:tab w:val="left" w:pos="686"/>
          <w:tab w:val="left" w:pos="687"/>
        </w:tabs>
        <w:autoSpaceDE w:val="0"/>
        <w:autoSpaceDN w:val="0"/>
        <w:spacing w:before="165"/>
        <w:ind w:left="993" w:hanging="426"/>
        <w:jc w:val="both"/>
        <w:rPr>
          <w:u w:val="single"/>
        </w:rPr>
      </w:pPr>
      <w:r w:rsidRPr="00472578">
        <w:rPr>
          <w:u w:val="single"/>
        </w:rPr>
        <w:t>(a)</w:t>
      </w:r>
      <w:r w:rsidRPr="00472578">
        <w:rPr>
          <w:u w:val="single"/>
        </w:rPr>
        <w:tab/>
        <w:t>to protect public health and safety,</w:t>
      </w:r>
    </w:p>
    <w:p w14:paraId="4B7B0872" w14:textId="77777777" w:rsidR="00D62AF9" w:rsidRPr="00472578" w:rsidRDefault="00D62AF9" w:rsidP="00E92686">
      <w:pPr>
        <w:widowControl w:val="0"/>
        <w:tabs>
          <w:tab w:val="left" w:pos="687"/>
        </w:tabs>
        <w:autoSpaceDE w:val="0"/>
        <w:autoSpaceDN w:val="0"/>
        <w:spacing w:before="161"/>
        <w:ind w:left="993" w:hanging="426"/>
        <w:jc w:val="both"/>
        <w:rPr>
          <w:u w:val="single"/>
        </w:rPr>
      </w:pPr>
      <w:r w:rsidRPr="00472578">
        <w:rPr>
          <w:u w:val="single"/>
        </w:rPr>
        <w:t>(b)</w:t>
      </w:r>
      <w:r w:rsidRPr="00472578">
        <w:rPr>
          <w:u w:val="single"/>
        </w:rPr>
        <w:tab/>
        <w:t>to protect areas of significant indigenous vegetation and significant habitats of indigenous fauna,</w:t>
      </w:r>
    </w:p>
    <w:p w14:paraId="49FFDBE6" w14:textId="77777777" w:rsidR="00D62AF9" w:rsidRPr="00472578" w:rsidRDefault="00D62AF9" w:rsidP="00E92686">
      <w:pPr>
        <w:widowControl w:val="0"/>
        <w:tabs>
          <w:tab w:val="left" w:pos="686"/>
          <w:tab w:val="left" w:pos="687"/>
        </w:tabs>
        <w:autoSpaceDE w:val="0"/>
        <w:autoSpaceDN w:val="0"/>
        <w:spacing w:before="161"/>
        <w:ind w:left="993" w:hanging="426"/>
        <w:jc w:val="both"/>
        <w:rPr>
          <w:u w:val="single"/>
        </w:rPr>
      </w:pPr>
      <w:r w:rsidRPr="00472578">
        <w:rPr>
          <w:u w:val="single"/>
        </w:rPr>
        <w:t>(c)</w:t>
      </w:r>
      <w:r w:rsidRPr="00472578">
        <w:rPr>
          <w:u w:val="single"/>
        </w:rPr>
        <w:tab/>
        <w:t>to protect dunes, estuaries and other sensitive natural areas or habitats,</w:t>
      </w:r>
    </w:p>
    <w:p w14:paraId="77A3E244" w14:textId="77777777" w:rsidR="00D62AF9" w:rsidRPr="00472578" w:rsidRDefault="00D62AF9" w:rsidP="00E92686">
      <w:pPr>
        <w:widowControl w:val="0"/>
        <w:tabs>
          <w:tab w:val="left" w:pos="686"/>
          <w:tab w:val="left" w:pos="687"/>
        </w:tabs>
        <w:autoSpaceDE w:val="0"/>
        <w:autoSpaceDN w:val="0"/>
        <w:spacing w:before="161"/>
        <w:ind w:left="993" w:hanging="426"/>
        <w:jc w:val="both"/>
        <w:rPr>
          <w:u w:val="single"/>
        </w:rPr>
      </w:pPr>
      <w:r w:rsidRPr="00472578">
        <w:rPr>
          <w:u w:val="single"/>
        </w:rPr>
        <w:t>(d)</w:t>
      </w:r>
      <w:r w:rsidRPr="00472578">
        <w:rPr>
          <w:u w:val="single"/>
        </w:rPr>
        <w:tab/>
        <w:t xml:space="preserve">to protect places or areas containing </w:t>
      </w:r>
      <w:r w:rsidRPr="00472578">
        <w:rPr>
          <w:i/>
          <w:u w:val="single"/>
        </w:rPr>
        <w:t xml:space="preserve">historic heritage </w:t>
      </w:r>
      <w:r w:rsidRPr="00472578">
        <w:rPr>
          <w:u w:val="single"/>
        </w:rPr>
        <w:t>of regional or national significance,</w:t>
      </w:r>
    </w:p>
    <w:p w14:paraId="652C3121" w14:textId="02D64072" w:rsidR="00D62AF9" w:rsidRPr="00472578" w:rsidRDefault="00D62AF9" w:rsidP="00E92686">
      <w:pPr>
        <w:widowControl w:val="0"/>
        <w:tabs>
          <w:tab w:val="left" w:pos="686"/>
          <w:tab w:val="left" w:pos="687"/>
        </w:tabs>
        <w:autoSpaceDE w:val="0"/>
        <w:autoSpaceDN w:val="0"/>
        <w:spacing w:before="161"/>
        <w:ind w:left="993" w:hanging="426"/>
        <w:jc w:val="both"/>
        <w:rPr>
          <w:u w:val="single"/>
        </w:rPr>
      </w:pPr>
      <w:r w:rsidRPr="00472578">
        <w:rPr>
          <w:u w:val="single"/>
        </w:rPr>
        <w:t>(e)</w:t>
      </w:r>
      <w:r w:rsidRPr="00472578">
        <w:rPr>
          <w:u w:val="single"/>
        </w:rPr>
        <w:tab/>
        <w:t>to protect places or areas of significance to</w:t>
      </w:r>
      <w:r w:rsidRPr="00472578">
        <w:rPr>
          <w:i/>
          <w:u w:val="single"/>
        </w:rPr>
        <w:t xml:space="preserve"> mana whenua</w:t>
      </w:r>
      <w:r w:rsidRPr="00472578">
        <w:rPr>
          <w:u w:val="single"/>
        </w:rPr>
        <w:t xml:space="preserve">, including wāhi tapua, wāhi tapu and </w:t>
      </w:r>
      <w:r w:rsidRPr="00472578">
        <w:rPr>
          <w:i/>
          <w:u w:val="single"/>
        </w:rPr>
        <w:t>wāhi taoka</w:t>
      </w:r>
      <w:r w:rsidR="006C64E3" w:rsidRPr="00472578">
        <w:rPr>
          <w:i/>
          <w:u w:val="single"/>
        </w:rPr>
        <w:t>,</w:t>
      </w:r>
    </w:p>
    <w:p w14:paraId="6B65A484" w14:textId="77777777" w:rsidR="00D62AF9" w:rsidRPr="00472578" w:rsidRDefault="00D62AF9" w:rsidP="00E92686">
      <w:pPr>
        <w:widowControl w:val="0"/>
        <w:tabs>
          <w:tab w:val="left" w:pos="686"/>
          <w:tab w:val="left" w:pos="687"/>
        </w:tabs>
        <w:autoSpaceDE w:val="0"/>
        <w:autoSpaceDN w:val="0"/>
        <w:spacing w:before="159"/>
        <w:ind w:left="993" w:hanging="426"/>
        <w:jc w:val="both"/>
        <w:rPr>
          <w:u w:val="single"/>
        </w:rPr>
      </w:pPr>
      <w:r w:rsidRPr="00472578">
        <w:rPr>
          <w:u w:val="single"/>
        </w:rPr>
        <w:t>(f)</w:t>
      </w:r>
      <w:r w:rsidRPr="00472578">
        <w:rPr>
          <w:u w:val="single"/>
        </w:rPr>
        <w:tab/>
        <w:t>for defence purposes in accordance with the Defence Act 1990,</w:t>
      </w:r>
    </w:p>
    <w:p w14:paraId="35653A83" w14:textId="77777777" w:rsidR="00D62AF9" w:rsidRPr="00472578" w:rsidRDefault="00D62AF9" w:rsidP="00E92686">
      <w:pPr>
        <w:widowControl w:val="0"/>
        <w:tabs>
          <w:tab w:val="left" w:pos="686"/>
          <w:tab w:val="left" w:pos="687"/>
        </w:tabs>
        <w:autoSpaceDE w:val="0"/>
        <w:autoSpaceDN w:val="0"/>
        <w:spacing w:before="161"/>
        <w:ind w:left="993" w:hanging="426"/>
        <w:jc w:val="both"/>
        <w:rPr>
          <w:u w:val="single"/>
        </w:rPr>
      </w:pPr>
      <w:r w:rsidRPr="00472578">
        <w:rPr>
          <w:u w:val="single"/>
        </w:rPr>
        <w:t>(g)</w:t>
      </w:r>
      <w:r w:rsidRPr="00472578">
        <w:rPr>
          <w:u w:val="single"/>
        </w:rPr>
        <w:tab/>
        <w:t>for temporary activities or special events, or</w:t>
      </w:r>
    </w:p>
    <w:p w14:paraId="0782966D" w14:textId="77777777" w:rsidR="00D62AF9" w:rsidRPr="00472578" w:rsidRDefault="00D62AF9" w:rsidP="00E92686">
      <w:pPr>
        <w:widowControl w:val="0"/>
        <w:tabs>
          <w:tab w:val="left" w:pos="687"/>
        </w:tabs>
        <w:autoSpaceDE w:val="0"/>
        <w:autoSpaceDN w:val="0"/>
        <w:spacing w:before="161"/>
        <w:ind w:left="993" w:hanging="426"/>
        <w:jc w:val="both"/>
        <w:rPr>
          <w:sz w:val="29"/>
          <w:u w:val="single"/>
        </w:rPr>
      </w:pPr>
      <w:r w:rsidRPr="00472578">
        <w:rPr>
          <w:u w:val="single"/>
        </w:rPr>
        <w:t>(h)</w:t>
      </w:r>
      <w:r w:rsidRPr="00472578">
        <w:rPr>
          <w:u w:val="single"/>
        </w:rPr>
        <w:tab/>
        <w:t>to ensure a level of security consistent with the operational requirements of a lawfully established activity.</w:t>
      </w:r>
    </w:p>
    <w:p w14:paraId="54A99A0A" w14:textId="40A74CFC" w:rsidR="000E04F9" w:rsidRPr="00472578" w:rsidRDefault="000E04F9" w:rsidP="00E92686">
      <w:pPr>
        <w:widowControl w:val="0"/>
        <w:tabs>
          <w:tab w:val="left" w:pos="686"/>
          <w:tab w:val="left" w:pos="687"/>
        </w:tabs>
        <w:autoSpaceDE w:val="0"/>
        <w:autoSpaceDN w:val="0"/>
        <w:spacing w:before="165"/>
        <w:ind w:left="567" w:hanging="567"/>
        <w:jc w:val="both"/>
        <w:rPr>
          <w:strike/>
        </w:rPr>
      </w:pPr>
      <w:r w:rsidRPr="00472578">
        <w:rPr>
          <w:strike/>
        </w:rPr>
        <w:t>(</w:t>
      </w:r>
      <w:r w:rsidR="00D62AF9" w:rsidRPr="00472578">
        <w:rPr>
          <w:strike/>
        </w:rPr>
        <w:t>1</w:t>
      </w:r>
      <w:r w:rsidRPr="00472578">
        <w:rPr>
          <w:strike/>
        </w:rPr>
        <w:t>)</w:t>
      </w:r>
      <w:r w:rsidRPr="00472578">
        <w:rPr>
          <w:strike/>
        </w:rPr>
        <w:tab/>
        <w:t>to protect public health and safety,</w:t>
      </w:r>
    </w:p>
    <w:p w14:paraId="098753F1" w14:textId="7815B5B9" w:rsidR="000E04F9" w:rsidRPr="00472578" w:rsidRDefault="000E04F9" w:rsidP="00E92686">
      <w:pPr>
        <w:widowControl w:val="0"/>
        <w:tabs>
          <w:tab w:val="left" w:pos="687"/>
        </w:tabs>
        <w:autoSpaceDE w:val="0"/>
        <w:autoSpaceDN w:val="0"/>
        <w:spacing w:before="161"/>
        <w:ind w:left="567" w:hanging="567"/>
        <w:jc w:val="both"/>
        <w:rPr>
          <w:strike/>
        </w:rPr>
      </w:pPr>
      <w:r w:rsidRPr="00472578">
        <w:rPr>
          <w:strike/>
        </w:rPr>
        <w:t>(</w:t>
      </w:r>
      <w:r w:rsidR="00D62AF9" w:rsidRPr="00472578">
        <w:rPr>
          <w:strike/>
        </w:rPr>
        <w:t>2</w:t>
      </w:r>
      <w:r w:rsidRPr="00472578">
        <w:rPr>
          <w:strike/>
        </w:rPr>
        <w:t>)</w:t>
      </w:r>
      <w:r w:rsidRPr="00472578">
        <w:rPr>
          <w:strike/>
        </w:rPr>
        <w:tab/>
      </w:r>
      <w:bookmarkStart w:id="130" w:name="_Hlk94187297"/>
      <w:r w:rsidRPr="00472578">
        <w:rPr>
          <w:strike/>
        </w:rPr>
        <w:t>to protect areas of significant indigenous vegetation and significant habitats of indigenous fauna</w:t>
      </w:r>
      <w:bookmarkEnd w:id="130"/>
      <w:r w:rsidRPr="00472578">
        <w:rPr>
          <w:strike/>
        </w:rPr>
        <w:t>,</w:t>
      </w:r>
    </w:p>
    <w:p w14:paraId="27AC0404" w14:textId="5E0CEB45" w:rsidR="000E04F9" w:rsidRPr="00472578" w:rsidRDefault="000E04F9" w:rsidP="00E92686">
      <w:pPr>
        <w:widowControl w:val="0"/>
        <w:tabs>
          <w:tab w:val="left" w:pos="686"/>
          <w:tab w:val="left" w:pos="687"/>
        </w:tabs>
        <w:autoSpaceDE w:val="0"/>
        <w:autoSpaceDN w:val="0"/>
        <w:spacing w:before="161"/>
        <w:ind w:left="567" w:hanging="567"/>
        <w:jc w:val="both"/>
        <w:rPr>
          <w:strike/>
        </w:rPr>
      </w:pPr>
      <w:r w:rsidRPr="00472578">
        <w:rPr>
          <w:strike/>
        </w:rPr>
        <w:t>(</w:t>
      </w:r>
      <w:r w:rsidR="00D62AF9" w:rsidRPr="00472578">
        <w:rPr>
          <w:strike/>
        </w:rPr>
        <w:t>3</w:t>
      </w:r>
      <w:r w:rsidRPr="00472578">
        <w:rPr>
          <w:strike/>
        </w:rPr>
        <w:t>)</w:t>
      </w:r>
      <w:r w:rsidRPr="00472578">
        <w:rPr>
          <w:strike/>
        </w:rPr>
        <w:tab/>
        <w:t>to protect dunes, estuaries and other sensitive natural areas or habitats,</w:t>
      </w:r>
    </w:p>
    <w:p w14:paraId="0D22E187" w14:textId="1DF75F92" w:rsidR="000E04F9" w:rsidRPr="00472578" w:rsidRDefault="000E04F9" w:rsidP="00E92686">
      <w:pPr>
        <w:widowControl w:val="0"/>
        <w:tabs>
          <w:tab w:val="left" w:pos="686"/>
          <w:tab w:val="left" w:pos="687"/>
        </w:tabs>
        <w:autoSpaceDE w:val="0"/>
        <w:autoSpaceDN w:val="0"/>
        <w:spacing w:before="161"/>
        <w:ind w:left="567" w:hanging="567"/>
        <w:jc w:val="both"/>
        <w:rPr>
          <w:strike/>
        </w:rPr>
      </w:pPr>
      <w:r w:rsidRPr="00472578">
        <w:rPr>
          <w:strike/>
        </w:rPr>
        <w:t>(</w:t>
      </w:r>
      <w:r w:rsidR="00D62AF9" w:rsidRPr="00472578">
        <w:rPr>
          <w:strike/>
        </w:rPr>
        <w:t>4</w:t>
      </w:r>
      <w:r w:rsidRPr="00472578">
        <w:rPr>
          <w:strike/>
        </w:rPr>
        <w:t>)</w:t>
      </w:r>
      <w:r w:rsidRPr="00472578">
        <w:rPr>
          <w:strike/>
        </w:rPr>
        <w:tab/>
        <w:t xml:space="preserve">to protect places or areas containing </w:t>
      </w:r>
      <w:r w:rsidRPr="00472578">
        <w:rPr>
          <w:i/>
          <w:strike/>
        </w:rPr>
        <w:t xml:space="preserve">historic heritage </w:t>
      </w:r>
      <w:r w:rsidRPr="00472578">
        <w:rPr>
          <w:strike/>
        </w:rPr>
        <w:t>of regional or national significance,</w:t>
      </w:r>
    </w:p>
    <w:p w14:paraId="0E32A3E1" w14:textId="31DAE7BF" w:rsidR="000E04F9" w:rsidRPr="00472578" w:rsidRDefault="000E04F9" w:rsidP="00E92686">
      <w:pPr>
        <w:widowControl w:val="0"/>
        <w:tabs>
          <w:tab w:val="left" w:pos="686"/>
          <w:tab w:val="left" w:pos="687"/>
        </w:tabs>
        <w:autoSpaceDE w:val="0"/>
        <w:autoSpaceDN w:val="0"/>
        <w:spacing w:before="161"/>
        <w:ind w:left="567" w:hanging="567"/>
        <w:jc w:val="both"/>
        <w:rPr>
          <w:strike/>
        </w:rPr>
      </w:pPr>
      <w:r w:rsidRPr="00472578">
        <w:rPr>
          <w:strike/>
        </w:rPr>
        <w:t>(</w:t>
      </w:r>
      <w:r w:rsidR="00D62AF9" w:rsidRPr="00472578">
        <w:rPr>
          <w:strike/>
        </w:rPr>
        <w:t>5</w:t>
      </w:r>
      <w:r w:rsidRPr="00472578">
        <w:rPr>
          <w:strike/>
        </w:rPr>
        <w:t>)</w:t>
      </w:r>
      <w:r w:rsidRPr="00472578">
        <w:rPr>
          <w:strike/>
        </w:rPr>
        <w:tab/>
      </w:r>
      <w:bookmarkStart w:id="131" w:name="_Hlk94184453"/>
      <w:r w:rsidRPr="00472578">
        <w:rPr>
          <w:strike/>
        </w:rPr>
        <w:t xml:space="preserve">to protect places or areas of significance to </w:t>
      </w:r>
      <w:r w:rsidRPr="00472578">
        <w:rPr>
          <w:i/>
          <w:strike/>
        </w:rPr>
        <w:t>takata mana whenua</w:t>
      </w:r>
      <w:bookmarkEnd w:id="131"/>
      <w:r w:rsidRPr="00472578">
        <w:rPr>
          <w:strike/>
        </w:rPr>
        <w:t xml:space="preserve">, including wāhi tapua, wāhi tapu and </w:t>
      </w:r>
      <w:r w:rsidRPr="00472578">
        <w:rPr>
          <w:i/>
          <w:strike/>
        </w:rPr>
        <w:t>wāhi tūpuna</w:t>
      </w:r>
      <w:r w:rsidRPr="00472578">
        <w:rPr>
          <w:strike/>
        </w:rPr>
        <w:t>,</w:t>
      </w:r>
    </w:p>
    <w:p w14:paraId="47C5AC2E" w14:textId="647530D8" w:rsidR="000E04F9" w:rsidRPr="00472578" w:rsidRDefault="000E04F9" w:rsidP="00E92686">
      <w:pPr>
        <w:widowControl w:val="0"/>
        <w:tabs>
          <w:tab w:val="left" w:pos="686"/>
          <w:tab w:val="left" w:pos="687"/>
        </w:tabs>
        <w:autoSpaceDE w:val="0"/>
        <w:autoSpaceDN w:val="0"/>
        <w:spacing w:before="159"/>
        <w:ind w:left="567" w:hanging="567"/>
        <w:jc w:val="both"/>
        <w:rPr>
          <w:strike/>
        </w:rPr>
      </w:pPr>
      <w:r w:rsidRPr="00472578">
        <w:rPr>
          <w:strike/>
        </w:rPr>
        <w:t>(</w:t>
      </w:r>
      <w:r w:rsidR="00D62AF9" w:rsidRPr="00472578">
        <w:rPr>
          <w:strike/>
        </w:rPr>
        <w:t>6</w:t>
      </w:r>
      <w:r w:rsidRPr="00472578">
        <w:rPr>
          <w:strike/>
        </w:rPr>
        <w:t>)</w:t>
      </w:r>
      <w:r w:rsidRPr="00472578">
        <w:rPr>
          <w:strike/>
        </w:rPr>
        <w:tab/>
        <w:t>for defence purposes in accordance with the Defence Act 1990,</w:t>
      </w:r>
    </w:p>
    <w:p w14:paraId="056B3875" w14:textId="69F47A92" w:rsidR="000E04F9" w:rsidRPr="00472578" w:rsidRDefault="000E04F9" w:rsidP="00E92686">
      <w:pPr>
        <w:widowControl w:val="0"/>
        <w:tabs>
          <w:tab w:val="left" w:pos="686"/>
          <w:tab w:val="left" w:pos="687"/>
        </w:tabs>
        <w:autoSpaceDE w:val="0"/>
        <w:autoSpaceDN w:val="0"/>
        <w:spacing w:before="161"/>
        <w:ind w:left="567" w:hanging="567"/>
        <w:jc w:val="both"/>
        <w:rPr>
          <w:strike/>
        </w:rPr>
      </w:pPr>
      <w:r w:rsidRPr="00472578">
        <w:rPr>
          <w:strike/>
        </w:rPr>
        <w:t>(</w:t>
      </w:r>
      <w:r w:rsidR="00D62AF9" w:rsidRPr="00472578">
        <w:rPr>
          <w:strike/>
        </w:rPr>
        <w:t>7</w:t>
      </w:r>
      <w:r w:rsidRPr="00472578">
        <w:rPr>
          <w:strike/>
        </w:rPr>
        <w:t>)</w:t>
      </w:r>
      <w:r w:rsidRPr="00472578">
        <w:rPr>
          <w:strike/>
        </w:rPr>
        <w:tab/>
        <w:t>for temporary activities or special events, or</w:t>
      </w:r>
    </w:p>
    <w:p w14:paraId="21BF09A5" w14:textId="3FEF4D8D" w:rsidR="000E04F9" w:rsidRPr="00472578" w:rsidRDefault="000E04F9" w:rsidP="00E92686">
      <w:pPr>
        <w:widowControl w:val="0"/>
        <w:tabs>
          <w:tab w:val="left" w:pos="687"/>
        </w:tabs>
        <w:autoSpaceDE w:val="0"/>
        <w:autoSpaceDN w:val="0"/>
        <w:spacing w:before="161"/>
        <w:ind w:left="567" w:hanging="567"/>
        <w:jc w:val="both"/>
        <w:rPr>
          <w:strike/>
          <w:sz w:val="29"/>
        </w:rPr>
      </w:pPr>
      <w:r w:rsidRPr="00472578">
        <w:rPr>
          <w:strike/>
        </w:rPr>
        <w:t>(</w:t>
      </w:r>
      <w:r w:rsidR="00D62AF9" w:rsidRPr="00472578">
        <w:rPr>
          <w:strike/>
        </w:rPr>
        <w:t>8</w:t>
      </w:r>
      <w:r w:rsidRPr="00472578">
        <w:rPr>
          <w:strike/>
        </w:rPr>
        <w:t>)</w:t>
      </w:r>
      <w:r w:rsidRPr="00472578">
        <w:rPr>
          <w:strike/>
        </w:rPr>
        <w:tab/>
        <w:t>to ensure a level of security consistent with the operational requirements of a lawfully established activity.</w:t>
      </w:r>
      <w:r w:rsidR="00384FB1" w:rsidRPr="00472578">
        <w:rPr>
          <w:strike/>
        </w:rPr>
        <w:t xml:space="preserve"> </w:t>
      </w:r>
      <w:r w:rsidR="00384FB1" w:rsidRPr="00472578">
        <w:rPr>
          <w:rStyle w:val="FootnoteReference"/>
          <w:iCs/>
        </w:rPr>
        <w:footnoteReference w:id="665"/>
      </w:r>
    </w:p>
    <w:p w14:paraId="38E1C2C1" w14:textId="59627DBC" w:rsidR="000E04F9" w:rsidRPr="00472578" w:rsidRDefault="007113CF" w:rsidP="00E92686">
      <w:pPr>
        <w:pStyle w:val="Heading4"/>
        <w:jc w:val="both"/>
      </w:pPr>
      <w:r w:rsidRPr="00472578">
        <w:lastRenderedPageBreak/>
        <w:t>CE-P</w:t>
      </w:r>
      <w:r w:rsidR="000E04F9" w:rsidRPr="00472578">
        <w:t xml:space="preserve">9 – Activities on </w:t>
      </w:r>
      <w:r w:rsidR="000E04F9" w:rsidRPr="00472578">
        <w:rPr>
          <w:i/>
        </w:rPr>
        <w:t xml:space="preserve">land </w:t>
      </w:r>
      <w:r w:rsidR="000E04F9" w:rsidRPr="00472578">
        <w:t>within the coastal environment</w:t>
      </w:r>
    </w:p>
    <w:p w14:paraId="47F9285A" w14:textId="77777777" w:rsidR="000E04F9" w:rsidRPr="00472578" w:rsidRDefault="000E04F9" w:rsidP="00E92686">
      <w:pPr>
        <w:pStyle w:val="BodyText"/>
      </w:pPr>
      <w:r w:rsidRPr="00472578">
        <w:t xml:space="preserve">The strategic and co-ordinated use of </w:t>
      </w:r>
      <w:r w:rsidRPr="00472578">
        <w:rPr>
          <w:i/>
        </w:rPr>
        <w:t xml:space="preserve">land </w:t>
      </w:r>
      <w:r w:rsidRPr="00472578">
        <w:t>within the coastal environment is achieved by:</w:t>
      </w:r>
    </w:p>
    <w:p w14:paraId="3C8DCE0D" w14:textId="456E88B2" w:rsidR="000E04F9" w:rsidRPr="00472578" w:rsidRDefault="00D62AF9" w:rsidP="00E92686">
      <w:pPr>
        <w:widowControl w:val="0"/>
        <w:tabs>
          <w:tab w:val="left" w:pos="686"/>
          <w:tab w:val="left" w:pos="687"/>
        </w:tabs>
        <w:autoSpaceDE w:val="0"/>
        <w:autoSpaceDN w:val="0"/>
        <w:spacing w:before="161"/>
        <w:ind w:left="567" w:hanging="567"/>
        <w:jc w:val="both"/>
      </w:pPr>
      <w:r w:rsidRPr="00472578">
        <w:t>(1)</w:t>
      </w:r>
      <w:r w:rsidRPr="00472578">
        <w:tab/>
      </w:r>
      <w:r w:rsidR="000E04F9" w:rsidRPr="00472578">
        <w:t xml:space="preserve">avoiding sprawling or sporadic patterns of </w:t>
      </w:r>
      <w:r w:rsidR="000E04F9" w:rsidRPr="00472578">
        <w:rPr>
          <w:i/>
        </w:rPr>
        <w:t>subdivision</w:t>
      </w:r>
      <w:r w:rsidR="000E04F9" w:rsidRPr="00472578">
        <w:t>, use and development,</w:t>
      </w:r>
    </w:p>
    <w:p w14:paraId="27269BE5" w14:textId="244460F9" w:rsidR="000E04F9" w:rsidRPr="00472578" w:rsidRDefault="00D62AF9" w:rsidP="00E92686">
      <w:pPr>
        <w:widowControl w:val="0"/>
        <w:tabs>
          <w:tab w:val="left" w:pos="687"/>
        </w:tabs>
        <w:autoSpaceDE w:val="0"/>
        <w:autoSpaceDN w:val="0"/>
        <w:spacing w:before="159"/>
        <w:ind w:left="567" w:right="175" w:hanging="567"/>
        <w:jc w:val="both"/>
      </w:pPr>
      <w:r w:rsidRPr="00472578">
        <w:t>(2)</w:t>
      </w:r>
      <w:r w:rsidRPr="00472578">
        <w:tab/>
      </w:r>
      <w:r w:rsidR="000E04F9" w:rsidRPr="00472578">
        <w:t>considering the rate at which built development should be enabled to provide for the reasonably foreseeable needs of population growth without compromising the values of the coastal environment,</w:t>
      </w:r>
    </w:p>
    <w:p w14:paraId="0F376B7F" w14:textId="392918D9" w:rsidR="000E04F9" w:rsidRPr="00472578" w:rsidRDefault="000E04F9" w:rsidP="00E92686">
      <w:pPr>
        <w:spacing w:before="120"/>
        <w:ind w:left="567" w:right="176" w:hanging="561"/>
        <w:jc w:val="both"/>
        <w:rPr>
          <w:u w:val="single"/>
        </w:rPr>
      </w:pPr>
      <w:bookmarkStart w:id="132" w:name="_Hlk94098845"/>
      <w:r w:rsidRPr="00472578">
        <w:rPr>
          <w:u w:val="single"/>
        </w:rPr>
        <w:t>(2</w:t>
      </w:r>
      <w:r w:rsidR="009A2AD0" w:rsidRPr="00472578">
        <w:rPr>
          <w:u w:val="single"/>
        </w:rPr>
        <w:t>A</w:t>
      </w:r>
      <w:r w:rsidRPr="00472578">
        <w:rPr>
          <w:u w:val="single"/>
        </w:rPr>
        <w:t>)</w:t>
      </w:r>
      <w:r w:rsidRPr="00472578">
        <w:rPr>
          <w:u w:val="single"/>
        </w:rPr>
        <w:tab/>
        <w:t xml:space="preserve">recognising and providing for the </w:t>
      </w:r>
      <w:r w:rsidRPr="00472578">
        <w:rPr>
          <w:i/>
          <w:iCs/>
          <w:u w:val="single"/>
        </w:rPr>
        <w:t>functional</w:t>
      </w:r>
      <w:r w:rsidRPr="00472578">
        <w:rPr>
          <w:u w:val="single"/>
        </w:rPr>
        <w:t xml:space="preserve"> </w:t>
      </w:r>
      <w:r w:rsidR="007F12CA" w:rsidRPr="00472578">
        <w:rPr>
          <w:i/>
          <w:iCs/>
          <w:u w:val="single"/>
        </w:rPr>
        <w:t>needs</w:t>
      </w:r>
      <w:r w:rsidR="007F12CA" w:rsidRPr="00472578">
        <w:rPr>
          <w:u w:val="single"/>
        </w:rPr>
        <w:t xml:space="preserve"> </w:t>
      </w:r>
      <w:r w:rsidRPr="00472578">
        <w:rPr>
          <w:u w:val="single"/>
        </w:rPr>
        <w:t xml:space="preserve">and </w:t>
      </w:r>
      <w:r w:rsidRPr="00472578">
        <w:rPr>
          <w:i/>
          <w:iCs/>
          <w:u w:val="single"/>
        </w:rPr>
        <w:t>operational needs</w:t>
      </w:r>
      <w:r w:rsidRPr="00472578">
        <w:rPr>
          <w:u w:val="single"/>
        </w:rPr>
        <w:t xml:space="preserve"> of </w:t>
      </w:r>
      <w:r w:rsidRPr="00472578">
        <w:rPr>
          <w:i/>
          <w:iCs/>
          <w:u w:val="single"/>
        </w:rPr>
        <w:t>nationally</w:t>
      </w:r>
      <w:r w:rsidR="00AD713A" w:rsidRPr="00472578">
        <w:rPr>
          <w:i/>
          <w:iCs/>
          <w:u w:val="single"/>
        </w:rPr>
        <w:t xml:space="preserve"> significant infrastructure</w:t>
      </w:r>
      <w:r w:rsidRPr="00472578">
        <w:rPr>
          <w:u w:val="single"/>
        </w:rPr>
        <w:t xml:space="preserve"> and </w:t>
      </w:r>
      <w:r w:rsidRPr="00472578">
        <w:rPr>
          <w:i/>
          <w:iCs/>
          <w:u w:val="single"/>
        </w:rPr>
        <w:t>regionally significant infrastructure</w:t>
      </w:r>
      <w:bookmarkEnd w:id="132"/>
      <w:r w:rsidRPr="00472578">
        <w:rPr>
          <w:u w:val="single"/>
        </w:rPr>
        <w:t xml:space="preserve"> where appropriate,</w:t>
      </w:r>
      <w:r w:rsidRPr="00472578">
        <w:rPr>
          <w:rStyle w:val="FootnoteReference"/>
        </w:rPr>
        <w:footnoteReference w:id="666"/>
      </w:r>
    </w:p>
    <w:p w14:paraId="5C23AFAA" w14:textId="4D9BEBB6" w:rsidR="000E04F9" w:rsidRPr="00472578" w:rsidRDefault="00D62AF9" w:rsidP="00E92686">
      <w:pPr>
        <w:widowControl w:val="0"/>
        <w:tabs>
          <w:tab w:val="left" w:pos="687"/>
        </w:tabs>
        <w:autoSpaceDE w:val="0"/>
        <w:autoSpaceDN w:val="0"/>
        <w:spacing w:before="159"/>
        <w:ind w:left="567" w:right="174" w:hanging="567"/>
        <w:jc w:val="both"/>
      </w:pPr>
      <w:r w:rsidRPr="00472578">
        <w:t>(3)</w:t>
      </w:r>
      <w:r w:rsidRPr="00472578">
        <w:tab/>
      </w:r>
      <w:r w:rsidR="000E04F9" w:rsidRPr="00472578">
        <w:t xml:space="preserve">recognising the importance of the provision of </w:t>
      </w:r>
      <w:r w:rsidR="000E04F9" w:rsidRPr="00472578">
        <w:rPr>
          <w:i/>
        </w:rPr>
        <w:t xml:space="preserve">infrastructure, </w:t>
      </w:r>
      <w:r w:rsidR="000E04F9" w:rsidRPr="00472578">
        <w:rPr>
          <w:iCs/>
          <w:u w:val="single"/>
        </w:rPr>
        <w:t>food production, and pastoral farming activities</w:t>
      </w:r>
      <w:r w:rsidR="000E04F9" w:rsidRPr="00472578">
        <w:rPr>
          <w:rStyle w:val="FootnoteReference"/>
          <w:iCs/>
        </w:rPr>
        <w:footnoteReference w:id="667"/>
      </w:r>
      <w:r w:rsidR="000E04F9" w:rsidRPr="00472578">
        <w:rPr>
          <w:i/>
        </w:rPr>
        <w:t xml:space="preserve"> </w:t>
      </w:r>
      <w:r w:rsidR="000E04F9" w:rsidRPr="00472578">
        <w:t xml:space="preserve">to the social, </w:t>
      </w:r>
      <w:proofErr w:type="gramStart"/>
      <w:r w:rsidR="000E04F9" w:rsidRPr="00472578">
        <w:t>economic</w:t>
      </w:r>
      <w:proofErr w:type="gramEnd"/>
      <w:r w:rsidR="000E04F9" w:rsidRPr="00472578">
        <w:t xml:space="preserve"> and cultural well-being of people and communities,</w:t>
      </w:r>
    </w:p>
    <w:p w14:paraId="6017065D" w14:textId="58897ACF" w:rsidR="000E04F9" w:rsidRPr="00472578" w:rsidRDefault="00D62AF9" w:rsidP="00E92686">
      <w:pPr>
        <w:widowControl w:val="0"/>
        <w:tabs>
          <w:tab w:val="left" w:pos="686"/>
          <w:tab w:val="left" w:pos="687"/>
        </w:tabs>
        <w:autoSpaceDE w:val="0"/>
        <w:autoSpaceDN w:val="0"/>
        <w:spacing w:before="160"/>
        <w:ind w:left="567" w:hanging="567"/>
        <w:jc w:val="both"/>
      </w:pPr>
      <w:r w:rsidRPr="00472578">
        <w:t>(4)</w:t>
      </w:r>
      <w:r w:rsidRPr="00472578">
        <w:tab/>
      </w:r>
      <w:r w:rsidR="000E04F9" w:rsidRPr="00472578">
        <w:t>maintaining or enhancing public access to the coastal environment, and</w:t>
      </w:r>
    </w:p>
    <w:p w14:paraId="5DD4F1A4" w14:textId="5B9C6962" w:rsidR="000E04F9" w:rsidRPr="00472578" w:rsidRDefault="00D62AF9" w:rsidP="00E92686">
      <w:pPr>
        <w:widowControl w:val="0"/>
        <w:tabs>
          <w:tab w:val="left" w:pos="687"/>
        </w:tabs>
        <w:autoSpaceDE w:val="0"/>
        <w:autoSpaceDN w:val="0"/>
        <w:spacing w:before="161"/>
        <w:ind w:left="567" w:right="176" w:hanging="567"/>
        <w:jc w:val="both"/>
      </w:pPr>
      <w:r w:rsidRPr="00472578">
        <w:t>(5)</w:t>
      </w:r>
      <w:r w:rsidRPr="00472578">
        <w:tab/>
      </w:r>
      <w:r w:rsidR="000E04F9" w:rsidRPr="00472578">
        <w:t>considering where activities that maintain the character of the existing built environment should be encouraged, and where activities resulting in a change in character would be acceptable.</w:t>
      </w:r>
    </w:p>
    <w:p w14:paraId="4D471AA3" w14:textId="3829BB80" w:rsidR="000E04F9" w:rsidRPr="00472578" w:rsidRDefault="007113CF" w:rsidP="00E92686">
      <w:pPr>
        <w:pStyle w:val="Heading4"/>
        <w:jc w:val="both"/>
        <w:rPr>
          <w:i/>
        </w:rPr>
      </w:pPr>
      <w:r w:rsidRPr="00472578">
        <w:t>CE-P</w:t>
      </w:r>
      <w:r w:rsidR="000E04F9" w:rsidRPr="00472578">
        <w:t xml:space="preserve">10 – Activities within the </w:t>
      </w:r>
      <w:r w:rsidR="000E04F9" w:rsidRPr="00472578">
        <w:rPr>
          <w:i/>
        </w:rPr>
        <w:t>coastal marine area</w:t>
      </w:r>
    </w:p>
    <w:p w14:paraId="3BD5B4EF" w14:textId="77777777" w:rsidR="000E04F9" w:rsidRPr="00472578" w:rsidRDefault="000E04F9" w:rsidP="00E92686">
      <w:pPr>
        <w:spacing w:before="160"/>
        <w:jc w:val="both"/>
      </w:pPr>
      <w:bookmarkStart w:id="133" w:name="_Hlk86223245"/>
      <w:r w:rsidRPr="00472578">
        <w:t xml:space="preserve">Use and development in the </w:t>
      </w:r>
      <w:r w:rsidRPr="00472578">
        <w:rPr>
          <w:i/>
        </w:rPr>
        <w:t xml:space="preserve">coastal marine area </w:t>
      </w:r>
      <w:r w:rsidRPr="00472578">
        <w:t>must:</w:t>
      </w:r>
    </w:p>
    <w:p w14:paraId="40936EE1" w14:textId="269AD0C5" w:rsidR="000E04F9" w:rsidRPr="00472578" w:rsidRDefault="00D62AF9" w:rsidP="00E92686">
      <w:pPr>
        <w:widowControl w:val="0"/>
        <w:tabs>
          <w:tab w:val="left" w:pos="686"/>
          <w:tab w:val="left" w:pos="687"/>
        </w:tabs>
        <w:autoSpaceDE w:val="0"/>
        <w:autoSpaceDN w:val="0"/>
        <w:spacing w:before="1"/>
        <w:ind w:left="567" w:hanging="567"/>
        <w:jc w:val="both"/>
      </w:pPr>
      <w:r w:rsidRPr="00472578">
        <w:t>(1)</w:t>
      </w:r>
      <w:r w:rsidRPr="00472578">
        <w:tab/>
      </w:r>
      <w:r w:rsidR="000E04F9" w:rsidRPr="00472578">
        <w:t xml:space="preserve">enable multiple uses of the </w:t>
      </w:r>
      <w:r w:rsidR="000E04F9" w:rsidRPr="00472578">
        <w:rPr>
          <w:i/>
        </w:rPr>
        <w:t xml:space="preserve">coastal marine area </w:t>
      </w:r>
      <w:r w:rsidR="000E04F9" w:rsidRPr="00472578">
        <w:t xml:space="preserve">wherever reasonable and practicable, </w:t>
      </w:r>
    </w:p>
    <w:p w14:paraId="73118DB8" w14:textId="7A451587" w:rsidR="000E04F9" w:rsidRPr="00472578" w:rsidRDefault="00D62AF9" w:rsidP="00E92686">
      <w:pPr>
        <w:widowControl w:val="0"/>
        <w:tabs>
          <w:tab w:val="left" w:pos="686"/>
          <w:tab w:val="left" w:pos="687"/>
        </w:tabs>
        <w:autoSpaceDE w:val="0"/>
        <w:autoSpaceDN w:val="0"/>
        <w:spacing w:before="159"/>
        <w:ind w:left="567" w:right="177" w:hanging="567"/>
        <w:jc w:val="both"/>
      </w:pPr>
      <w:r w:rsidRPr="00472578">
        <w:t>(2)</w:t>
      </w:r>
      <w:r w:rsidRPr="00472578">
        <w:tab/>
      </w:r>
      <w:r w:rsidR="000E04F9" w:rsidRPr="00472578">
        <w:t xml:space="preserve">maintain or improve the </w:t>
      </w:r>
      <w:r w:rsidR="000E04F9" w:rsidRPr="00472578">
        <w:rPr>
          <w:u w:val="single"/>
        </w:rPr>
        <w:t>health,</w:t>
      </w:r>
      <w:r w:rsidR="000E04F9" w:rsidRPr="00472578">
        <w:rPr>
          <w:rStyle w:val="FootnoteReference"/>
        </w:rPr>
        <w:footnoteReference w:id="668"/>
      </w:r>
      <w:r w:rsidR="000E04F9" w:rsidRPr="00472578">
        <w:t xml:space="preserve"> integrity, form, </w:t>
      </w:r>
      <w:proofErr w:type="gramStart"/>
      <w:r w:rsidR="000E04F9" w:rsidRPr="00472578">
        <w:t>function</w:t>
      </w:r>
      <w:proofErr w:type="gramEnd"/>
      <w:r w:rsidR="000E04F9" w:rsidRPr="00472578">
        <w:t xml:space="preserve"> and </w:t>
      </w:r>
      <w:r w:rsidR="000E04F9" w:rsidRPr="00472578">
        <w:rPr>
          <w:i/>
        </w:rPr>
        <w:t xml:space="preserve">resilience </w:t>
      </w:r>
      <w:r w:rsidR="000E04F9" w:rsidRPr="00472578">
        <w:t xml:space="preserve">of the </w:t>
      </w:r>
      <w:r w:rsidR="000E04F9" w:rsidRPr="00472578">
        <w:rPr>
          <w:i/>
        </w:rPr>
        <w:t>coastal marine area</w:t>
      </w:r>
      <w:r w:rsidR="000E04F9" w:rsidRPr="00472578">
        <w:t xml:space="preserve">, </w:t>
      </w:r>
      <w:r w:rsidR="000E04F9" w:rsidRPr="002B5B51">
        <w:rPr>
          <w:strike/>
        </w:rPr>
        <w:t>and</w:t>
      </w:r>
      <w:r w:rsidR="002B5B51" w:rsidRPr="00CC4DB7">
        <w:rPr>
          <w:rStyle w:val="FootnoteReference"/>
        </w:rPr>
        <w:footnoteReference w:id="669"/>
      </w:r>
    </w:p>
    <w:p w14:paraId="0376BFD6" w14:textId="4FEA740D" w:rsidR="000E04F9" w:rsidRPr="00472578" w:rsidRDefault="00D62AF9" w:rsidP="00E92686">
      <w:pPr>
        <w:widowControl w:val="0"/>
        <w:tabs>
          <w:tab w:val="left" w:pos="686"/>
          <w:tab w:val="left" w:pos="687"/>
        </w:tabs>
        <w:autoSpaceDE w:val="0"/>
        <w:autoSpaceDN w:val="0"/>
        <w:spacing w:before="161"/>
        <w:ind w:left="567" w:hanging="567"/>
        <w:jc w:val="both"/>
      </w:pPr>
      <w:r w:rsidRPr="00472578">
        <w:t>(3)</w:t>
      </w:r>
      <w:r w:rsidRPr="00472578">
        <w:tab/>
      </w:r>
      <w:r w:rsidR="000E04F9" w:rsidRPr="00472578">
        <w:t xml:space="preserve">have a </w:t>
      </w:r>
      <w:r w:rsidR="000E04F9" w:rsidRPr="00472578">
        <w:rPr>
          <w:i/>
        </w:rPr>
        <w:t>functional</w:t>
      </w:r>
      <w:r w:rsidR="003D6983" w:rsidRPr="00472578">
        <w:rPr>
          <w:i/>
        </w:rPr>
        <w:t xml:space="preserve"> </w:t>
      </w:r>
      <w:r w:rsidR="003D6983" w:rsidRPr="00472578">
        <w:rPr>
          <w:i/>
          <w:u w:val="single"/>
        </w:rPr>
        <w:t>need</w:t>
      </w:r>
      <w:r w:rsidR="006F0D83" w:rsidRPr="00472578">
        <w:rPr>
          <w:i/>
          <w:u w:val="single"/>
        </w:rPr>
        <w:t xml:space="preserve"> </w:t>
      </w:r>
      <w:r w:rsidR="00EF43CD" w:rsidRPr="00472578">
        <w:rPr>
          <w:rStyle w:val="FootnoteReference"/>
          <w:i/>
        </w:rPr>
        <w:footnoteReference w:id="670"/>
      </w:r>
      <w:r w:rsidR="000E04F9" w:rsidRPr="00472578">
        <w:t xml:space="preserve">or </w:t>
      </w:r>
      <w:r w:rsidR="000E04F9" w:rsidRPr="00472578">
        <w:rPr>
          <w:i/>
        </w:rPr>
        <w:t xml:space="preserve">operational need </w:t>
      </w:r>
      <w:r w:rsidR="000E04F9" w:rsidRPr="00472578">
        <w:t xml:space="preserve">to </w:t>
      </w:r>
      <w:proofErr w:type="gramStart"/>
      <w:r w:rsidR="000E04F9" w:rsidRPr="00472578">
        <w:t>be located in</w:t>
      </w:r>
      <w:proofErr w:type="gramEnd"/>
      <w:r w:rsidR="000E04F9" w:rsidRPr="00472578">
        <w:t xml:space="preserve"> the </w:t>
      </w:r>
      <w:r w:rsidR="000E04F9" w:rsidRPr="00472578">
        <w:rPr>
          <w:i/>
        </w:rPr>
        <w:t>coastal marine area</w:t>
      </w:r>
      <w:r w:rsidR="000E04F9" w:rsidRPr="00472578">
        <w:t>, or</w:t>
      </w:r>
    </w:p>
    <w:p w14:paraId="04DE321F" w14:textId="478B7922" w:rsidR="000E04F9" w:rsidRPr="00472578" w:rsidRDefault="00D62AF9" w:rsidP="00E92686">
      <w:pPr>
        <w:widowControl w:val="0"/>
        <w:tabs>
          <w:tab w:val="left" w:pos="686"/>
          <w:tab w:val="left" w:pos="687"/>
        </w:tabs>
        <w:autoSpaceDE w:val="0"/>
        <w:autoSpaceDN w:val="0"/>
        <w:spacing w:before="159"/>
        <w:ind w:left="567" w:right="177" w:hanging="567"/>
        <w:jc w:val="both"/>
      </w:pPr>
      <w:r w:rsidRPr="00472578">
        <w:t>(4)</w:t>
      </w:r>
      <w:r w:rsidRPr="00472578">
        <w:tab/>
      </w:r>
      <w:r w:rsidR="000E04F9" w:rsidRPr="00472578">
        <w:t xml:space="preserve">have a public benefit or opportunity for public recreation that cannot practicably be located outside the </w:t>
      </w:r>
      <w:r w:rsidR="000E04F9" w:rsidRPr="00472578">
        <w:rPr>
          <w:i/>
        </w:rPr>
        <w:t>coastal marine area</w:t>
      </w:r>
      <w:r w:rsidR="000E04F9" w:rsidRPr="00472578">
        <w:t>.</w:t>
      </w:r>
      <w:bookmarkEnd w:id="133"/>
    </w:p>
    <w:p w14:paraId="5B3586EF" w14:textId="2080DBA8" w:rsidR="000E04F9" w:rsidRPr="00472578" w:rsidRDefault="007113CF" w:rsidP="00E92686">
      <w:pPr>
        <w:pStyle w:val="Heading4"/>
        <w:jc w:val="both"/>
      </w:pPr>
      <w:r w:rsidRPr="00472578">
        <w:t>CE-P</w:t>
      </w:r>
      <w:r w:rsidR="000E04F9" w:rsidRPr="00472578">
        <w:t>11 – Aquaculture</w:t>
      </w:r>
    </w:p>
    <w:p w14:paraId="2F865717" w14:textId="77777777" w:rsidR="000E04F9" w:rsidRPr="00472578" w:rsidRDefault="000E04F9" w:rsidP="00E92686">
      <w:pPr>
        <w:pStyle w:val="BodyText"/>
      </w:pPr>
      <w:r w:rsidRPr="00472578">
        <w:t xml:space="preserve">Provide for the development and operation of </w:t>
      </w:r>
      <w:r w:rsidRPr="00472578">
        <w:rPr>
          <w:i/>
        </w:rPr>
        <w:t xml:space="preserve">aquaculture activities </w:t>
      </w:r>
      <w:r w:rsidRPr="00472578">
        <w:t xml:space="preserve">within appropriate locations and limits, </w:t>
      </w:r>
      <w:proofErr w:type="gramStart"/>
      <w:r w:rsidRPr="00472578">
        <w:t>taking into account</w:t>
      </w:r>
      <w:proofErr w:type="gramEnd"/>
      <w:r w:rsidRPr="00472578">
        <w:t>:</w:t>
      </w:r>
    </w:p>
    <w:p w14:paraId="4FC7E625" w14:textId="60A3009E" w:rsidR="000E04F9" w:rsidRPr="00472578" w:rsidRDefault="00B73BF1" w:rsidP="00E92686">
      <w:pPr>
        <w:widowControl w:val="0"/>
        <w:tabs>
          <w:tab w:val="left" w:pos="686"/>
          <w:tab w:val="left" w:pos="687"/>
        </w:tabs>
        <w:autoSpaceDE w:val="0"/>
        <w:autoSpaceDN w:val="0"/>
        <w:spacing w:before="165"/>
        <w:ind w:left="567" w:hanging="567"/>
        <w:jc w:val="both"/>
        <w:rPr>
          <w:u w:val="single"/>
        </w:rPr>
      </w:pPr>
      <w:r w:rsidRPr="00472578">
        <w:rPr>
          <w:u w:val="single"/>
        </w:rPr>
        <w:t>(1</w:t>
      </w:r>
      <w:r w:rsidR="00ED474A" w:rsidRPr="00472578">
        <w:rPr>
          <w:u w:val="single"/>
        </w:rPr>
        <w:t>A</w:t>
      </w:r>
      <w:r w:rsidRPr="00472578">
        <w:rPr>
          <w:u w:val="single"/>
        </w:rPr>
        <w:t>)</w:t>
      </w:r>
      <w:r w:rsidRPr="00472578">
        <w:rPr>
          <w:u w:val="single"/>
        </w:rPr>
        <w:tab/>
      </w:r>
      <w:r w:rsidR="000E04F9" w:rsidRPr="00472578">
        <w:rPr>
          <w:u w:val="single"/>
        </w:rPr>
        <w:t>risks to biosecurity from disease or introduced pest species,</w:t>
      </w:r>
      <w:r w:rsidR="000E04F9" w:rsidRPr="00472578">
        <w:rPr>
          <w:rStyle w:val="FootnoteReference"/>
        </w:rPr>
        <w:footnoteReference w:id="671"/>
      </w:r>
    </w:p>
    <w:p w14:paraId="42D4FCA6" w14:textId="6B54BA7B" w:rsidR="000E04F9" w:rsidRPr="00472578" w:rsidRDefault="00B73BF1" w:rsidP="00E92686">
      <w:pPr>
        <w:widowControl w:val="0"/>
        <w:tabs>
          <w:tab w:val="left" w:pos="686"/>
          <w:tab w:val="left" w:pos="687"/>
        </w:tabs>
        <w:autoSpaceDE w:val="0"/>
        <w:autoSpaceDN w:val="0"/>
        <w:spacing w:before="165"/>
        <w:ind w:left="567" w:hanging="567"/>
        <w:jc w:val="both"/>
        <w:rPr>
          <w:u w:val="single"/>
        </w:rPr>
      </w:pPr>
      <w:r w:rsidRPr="00472578">
        <w:rPr>
          <w:u w:val="single"/>
        </w:rPr>
        <w:t>(1</w:t>
      </w:r>
      <w:r w:rsidR="00ED474A" w:rsidRPr="00472578">
        <w:rPr>
          <w:u w:val="single"/>
        </w:rPr>
        <w:t>B</w:t>
      </w:r>
      <w:r w:rsidRPr="00472578">
        <w:rPr>
          <w:u w:val="single"/>
        </w:rPr>
        <w:t>)</w:t>
      </w:r>
      <w:r w:rsidRPr="00472578">
        <w:rPr>
          <w:u w:val="single"/>
        </w:rPr>
        <w:tab/>
      </w:r>
      <w:r w:rsidR="000E04F9" w:rsidRPr="00472578">
        <w:rPr>
          <w:u w:val="single"/>
        </w:rPr>
        <w:t>the effects of aquaculture</w:t>
      </w:r>
      <w:r w:rsidR="007701D5" w:rsidRPr="00472578">
        <w:rPr>
          <w:u w:val="single"/>
        </w:rPr>
        <w:t xml:space="preserve"> on cultural values</w:t>
      </w:r>
      <w:r w:rsidR="000E04F9" w:rsidRPr="00472578">
        <w:rPr>
          <w:u w:val="single"/>
        </w:rPr>
        <w:t xml:space="preserve">, including effects on </w:t>
      </w:r>
      <w:r w:rsidR="000E04F9" w:rsidRPr="00CF3CE4">
        <w:rPr>
          <w:i/>
          <w:u w:val="single"/>
        </w:rPr>
        <w:t>mahika kai</w:t>
      </w:r>
      <w:r w:rsidR="000E04F9" w:rsidRPr="00472578">
        <w:rPr>
          <w:u w:val="single"/>
        </w:rPr>
        <w:t xml:space="preserve"> and kaimoana practices, and customary fisheries, including mātaitai reserves and taiāpure,</w:t>
      </w:r>
      <w:r w:rsidR="000E04F9" w:rsidRPr="00472578">
        <w:rPr>
          <w:rStyle w:val="FootnoteReference"/>
        </w:rPr>
        <w:footnoteReference w:id="672"/>
      </w:r>
      <w:r w:rsidR="000E04F9" w:rsidRPr="00472578">
        <w:t xml:space="preserve"> </w:t>
      </w:r>
    </w:p>
    <w:p w14:paraId="7FED32A9" w14:textId="7483052E" w:rsidR="000E04F9" w:rsidRPr="00472578" w:rsidRDefault="00B73BF1" w:rsidP="00E92686">
      <w:pPr>
        <w:widowControl w:val="0"/>
        <w:tabs>
          <w:tab w:val="left" w:pos="686"/>
          <w:tab w:val="left" w:pos="687"/>
        </w:tabs>
        <w:autoSpaceDE w:val="0"/>
        <w:autoSpaceDN w:val="0"/>
        <w:spacing w:before="165"/>
        <w:ind w:left="567" w:hanging="567"/>
        <w:jc w:val="both"/>
      </w:pPr>
      <w:r w:rsidRPr="00472578">
        <w:t>(1)</w:t>
      </w:r>
      <w:r w:rsidRPr="00472578">
        <w:tab/>
      </w:r>
      <w:r w:rsidR="000E04F9" w:rsidRPr="00472578">
        <w:t xml:space="preserve">the need for high quality </w:t>
      </w:r>
      <w:r w:rsidR="000E04F9" w:rsidRPr="00472578">
        <w:rPr>
          <w:i/>
        </w:rPr>
        <w:t xml:space="preserve">water </w:t>
      </w:r>
      <w:r w:rsidR="000E04F9" w:rsidRPr="00472578">
        <w:t xml:space="preserve">required for an </w:t>
      </w:r>
      <w:r w:rsidR="000E04F9" w:rsidRPr="00472578">
        <w:rPr>
          <w:i/>
        </w:rPr>
        <w:t>aquaculture activity</w:t>
      </w:r>
      <w:r w:rsidR="000E04F9" w:rsidRPr="00472578">
        <w:t>,</w:t>
      </w:r>
    </w:p>
    <w:p w14:paraId="03016582" w14:textId="0D28518F" w:rsidR="000E04F9" w:rsidRPr="00472578" w:rsidRDefault="00B73BF1" w:rsidP="00E92686">
      <w:pPr>
        <w:widowControl w:val="0"/>
        <w:tabs>
          <w:tab w:val="left" w:pos="686"/>
          <w:tab w:val="left" w:pos="687"/>
        </w:tabs>
        <w:autoSpaceDE w:val="0"/>
        <w:autoSpaceDN w:val="0"/>
        <w:spacing w:before="159"/>
        <w:ind w:left="567" w:hanging="567"/>
        <w:jc w:val="both"/>
      </w:pPr>
      <w:r w:rsidRPr="00472578">
        <w:lastRenderedPageBreak/>
        <w:t>(2)</w:t>
      </w:r>
      <w:r w:rsidRPr="00472578">
        <w:tab/>
      </w:r>
      <w:r w:rsidR="000E04F9" w:rsidRPr="00472578">
        <w:t xml:space="preserve">the need for </w:t>
      </w:r>
      <w:r w:rsidR="000E04F9" w:rsidRPr="00472578">
        <w:rPr>
          <w:i/>
        </w:rPr>
        <w:t>land</w:t>
      </w:r>
      <w:r w:rsidR="000E04F9" w:rsidRPr="00472578">
        <w:t>-based facilities and infrastructure required to support the operation of</w:t>
      </w:r>
      <w:r w:rsidRPr="00472578">
        <w:t xml:space="preserve"> </w:t>
      </w:r>
      <w:r w:rsidR="000E04F9" w:rsidRPr="00472578">
        <w:rPr>
          <w:i/>
        </w:rPr>
        <w:t xml:space="preserve">aquaculture activities, </w:t>
      </w:r>
      <w:r w:rsidR="000E04F9" w:rsidRPr="00472578">
        <w:t>and</w:t>
      </w:r>
    </w:p>
    <w:p w14:paraId="78958DBF" w14:textId="4F3F2FE0" w:rsidR="000E04F9" w:rsidRPr="00472578" w:rsidRDefault="00B73BF1" w:rsidP="00E92686">
      <w:pPr>
        <w:widowControl w:val="0"/>
        <w:tabs>
          <w:tab w:val="left" w:pos="686"/>
          <w:tab w:val="left" w:pos="687"/>
        </w:tabs>
        <w:autoSpaceDE w:val="0"/>
        <w:autoSpaceDN w:val="0"/>
        <w:spacing w:before="162"/>
        <w:ind w:left="567" w:right="174" w:hanging="567"/>
        <w:jc w:val="both"/>
      </w:pPr>
      <w:r w:rsidRPr="00472578">
        <w:t>(3)</w:t>
      </w:r>
      <w:r w:rsidRPr="00472578">
        <w:tab/>
      </w:r>
      <w:r w:rsidR="000E04F9" w:rsidRPr="00472578">
        <w:t xml:space="preserve">the potential social, </w:t>
      </w:r>
      <w:proofErr w:type="gramStart"/>
      <w:r w:rsidR="000E04F9" w:rsidRPr="00472578">
        <w:t>economic</w:t>
      </w:r>
      <w:proofErr w:type="gramEnd"/>
      <w:r w:rsidR="000E04F9" w:rsidRPr="00472578">
        <w:t xml:space="preserve"> and cultural benefits associated with the operation and development of </w:t>
      </w:r>
      <w:r w:rsidR="000E04F9" w:rsidRPr="00472578">
        <w:rPr>
          <w:i/>
        </w:rPr>
        <w:t>aquaculture activities</w:t>
      </w:r>
      <w:r w:rsidR="000E04F9" w:rsidRPr="00472578">
        <w:t>.</w:t>
      </w:r>
    </w:p>
    <w:p w14:paraId="1C6BD4FF" w14:textId="624AE3F3" w:rsidR="000E04F9" w:rsidRPr="00472578" w:rsidRDefault="007113CF" w:rsidP="00E92686">
      <w:pPr>
        <w:pStyle w:val="Heading4"/>
        <w:jc w:val="both"/>
        <w:rPr>
          <w:i/>
          <w:iCs w:val="0"/>
          <w:u w:val="single"/>
        </w:rPr>
      </w:pPr>
      <w:bookmarkStart w:id="134" w:name="_Hlk86235566"/>
      <w:r w:rsidRPr="00472578">
        <w:t>CE-P</w:t>
      </w:r>
      <w:r w:rsidR="000E04F9" w:rsidRPr="00472578">
        <w:t xml:space="preserve">12 – Reclamation </w:t>
      </w:r>
      <w:r w:rsidR="000E04F9" w:rsidRPr="00472578">
        <w:rPr>
          <w:iCs w:val="0"/>
          <w:u w:val="single"/>
        </w:rPr>
        <w:t>and de-reclamation</w:t>
      </w:r>
      <w:r w:rsidR="00BC5D5F" w:rsidRPr="00472578">
        <w:rPr>
          <w:rStyle w:val="FootnoteReference"/>
          <w:b w:val="0"/>
          <w:bCs/>
          <w:iCs w:val="0"/>
          <w:color w:val="auto"/>
        </w:rPr>
        <w:footnoteReference w:id="673"/>
      </w:r>
    </w:p>
    <w:p w14:paraId="23E11B8E" w14:textId="77777777" w:rsidR="000E04F9" w:rsidRPr="00472578" w:rsidRDefault="000E04F9" w:rsidP="00E92686">
      <w:pPr>
        <w:jc w:val="both"/>
      </w:pPr>
      <w:r w:rsidRPr="00472578">
        <w:rPr>
          <w:u w:val="single"/>
        </w:rPr>
        <w:t>Manage reclamation and de-reclamation by:</w:t>
      </w:r>
      <w:r w:rsidRPr="00472578">
        <w:rPr>
          <w:rStyle w:val="FootnoteReference"/>
        </w:rPr>
        <w:footnoteReference w:id="674"/>
      </w:r>
    </w:p>
    <w:p w14:paraId="0DEACEDC" w14:textId="4241A5D4" w:rsidR="000E04F9" w:rsidRPr="00472578" w:rsidRDefault="00B73BF1" w:rsidP="00E92686">
      <w:pPr>
        <w:widowControl w:val="0"/>
        <w:autoSpaceDE w:val="0"/>
        <w:autoSpaceDN w:val="0"/>
        <w:spacing w:before="160"/>
        <w:ind w:left="567" w:hanging="567"/>
        <w:jc w:val="both"/>
      </w:pPr>
      <w:r w:rsidRPr="00472578">
        <w:rPr>
          <w:u w:val="single"/>
        </w:rPr>
        <w:t>(1</w:t>
      </w:r>
      <w:r w:rsidR="004B7293" w:rsidRPr="00472578">
        <w:rPr>
          <w:u w:val="single"/>
        </w:rPr>
        <w:t>A</w:t>
      </w:r>
      <w:r w:rsidRPr="00472578">
        <w:rPr>
          <w:u w:val="single"/>
        </w:rPr>
        <w:t>)</w:t>
      </w:r>
      <w:r w:rsidRPr="00472578">
        <w:rPr>
          <w:u w:val="single"/>
        </w:rPr>
        <w:tab/>
      </w:r>
      <w:r w:rsidR="000E04F9" w:rsidRPr="00472578">
        <w:t>Avoid</w:t>
      </w:r>
      <w:r w:rsidR="000E04F9" w:rsidRPr="00472578">
        <w:rPr>
          <w:u w:val="single"/>
        </w:rPr>
        <w:t>ing</w:t>
      </w:r>
      <w:r w:rsidR="000E04F9" w:rsidRPr="00472578">
        <w:rPr>
          <w:rStyle w:val="FootnoteReference"/>
        </w:rPr>
        <w:footnoteReference w:id="675"/>
      </w:r>
      <w:r w:rsidR="000E04F9" w:rsidRPr="00472578">
        <w:t xml:space="preserve"> reclamation in the </w:t>
      </w:r>
      <w:r w:rsidR="000E04F9" w:rsidRPr="00472578">
        <w:rPr>
          <w:i/>
        </w:rPr>
        <w:t>coastal marine area</w:t>
      </w:r>
      <w:r w:rsidR="000E04F9" w:rsidRPr="00472578">
        <w:t>, unless:</w:t>
      </w:r>
    </w:p>
    <w:p w14:paraId="3DE57C70" w14:textId="4D84B527" w:rsidR="000E04F9" w:rsidRPr="00472578" w:rsidRDefault="00B73BF1" w:rsidP="00E92686">
      <w:pPr>
        <w:widowControl w:val="0"/>
        <w:tabs>
          <w:tab w:val="left" w:pos="1276"/>
        </w:tabs>
        <w:autoSpaceDE w:val="0"/>
        <w:autoSpaceDN w:val="0"/>
        <w:ind w:left="1134" w:hanging="567"/>
        <w:jc w:val="both"/>
      </w:pPr>
      <w:r w:rsidRPr="00472578">
        <w:rPr>
          <w:iCs/>
          <w:strike/>
        </w:rPr>
        <w:t>(1)</w:t>
      </w:r>
      <w:r w:rsidRPr="00472578">
        <w:rPr>
          <w:iCs/>
          <w:u w:val="single"/>
        </w:rPr>
        <w:t>(a)</w:t>
      </w:r>
      <w:r w:rsidRPr="00472578">
        <w:rPr>
          <w:iCs/>
        </w:rPr>
        <w:tab/>
      </w:r>
      <w:r w:rsidR="000E04F9" w:rsidRPr="00472578">
        <w:rPr>
          <w:i/>
        </w:rPr>
        <w:t xml:space="preserve">land </w:t>
      </w:r>
      <w:r w:rsidR="000E04F9" w:rsidRPr="00472578">
        <w:t xml:space="preserve">outside the </w:t>
      </w:r>
      <w:r w:rsidR="000E04F9" w:rsidRPr="00472578">
        <w:rPr>
          <w:i/>
        </w:rPr>
        <w:t xml:space="preserve">coastal marine area </w:t>
      </w:r>
      <w:r w:rsidR="000E04F9" w:rsidRPr="00472578">
        <w:t>is not available for the proposed activity,</w:t>
      </w:r>
    </w:p>
    <w:p w14:paraId="27E3BAE4" w14:textId="5889303B" w:rsidR="000E04F9" w:rsidRPr="00472578" w:rsidRDefault="00B73BF1" w:rsidP="00E92686">
      <w:pPr>
        <w:widowControl w:val="0"/>
        <w:tabs>
          <w:tab w:val="left" w:pos="1276"/>
        </w:tabs>
        <w:autoSpaceDE w:val="0"/>
        <w:autoSpaceDN w:val="0"/>
        <w:ind w:left="1134" w:hanging="567"/>
        <w:jc w:val="both"/>
      </w:pPr>
      <w:r w:rsidRPr="00472578">
        <w:rPr>
          <w:iCs/>
          <w:strike/>
        </w:rPr>
        <w:t>(2)</w:t>
      </w:r>
      <w:r w:rsidRPr="00472578">
        <w:rPr>
          <w:iCs/>
          <w:u w:val="single"/>
        </w:rPr>
        <w:t>(b)</w:t>
      </w:r>
      <w:r w:rsidRPr="00472578">
        <w:rPr>
          <w:iCs/>
        </w:rPr>
        <w:tab/>
      </w:r>
      <w:r w:rsidR="000E04F9" w:rsidRPr="00472578">
        <w:rPr>
          <w:i/>
        </w:rPr>
        <w:t>the</w:t>
      </w:r>
      <w:r w:rsidR="000E04F9" w:rsidRPr="00472578">
        <w:t xml:space="preserve"> activity to be established on the reclamation can only occur immediately adjacent to the </w:t>
      </w:r>
      <w:r w:rsidR="000E04F9" w:rsidRPr="00472578">
        <w:rPr>
          <w:i/>
        </w:rPr>
        <w:t>coastal marine area</w:t>
      </w:r>
      <w:r w:rsidR="000E04F9" w:rsidRPr="00472578">
        <w:t>,</w:t>
      </w:r>
    </w:p>
    <w:p w14:paraId="66858D60" w14:textId="496D692F" w:rsidR="000E04F9" w:rsidRPr="00472578" w:rsidRDefault="00B73BF1" w:rsidP="00E92686">
      <w:pPr>
        <w:widowControl w:val="0"/>
        <w:tabs>
          <w:tab w:val="left" w:pos="1276"/>
        </w:tabs>
        <w:autoSpaceDE w:val="0"/>
        <w:autoSpaceDN w:val="0"/>
        <w:ind w:left="1134" w:hanging="567"/>
        <w:jc w:val="both"/>
      </w:pPr>
      <w:r w:rsidRPr="00472578">
        <w:rPr>
          <w:iCs/>
          <w:strike/>
        </w:rPr>
        <w:t>(3)</w:t>
      </w:r>
      <w:r w:rsidRPr="00472578">
        <w:rPr>
          <w:u w:val="single"/>
        </w:rPr>
        <w:t>(c)</w:t>
      </w:r>
      <w:r w:rsidRPr="00472578">
        <w:tab/>
      </w:r>
      <w:r w:rsidR="000E04F9" w:rsidRPr="00472578">
        <w:t xml:space="preserve">there are no practicable alternative methods of providing for the activity, </w:t>
      </w:r>
      <w:r w:rsidR="000E04F9" w:rsidRPr="00472578">
        <w:rPr>
          <w:strike/>
        </w:rPr>
        <w:t>and</w:t>
      </w:r>
    </w:p>
    <w:p w14:paraId="2C8D7FD5" w14:textId="3876B1EA" w:rsidR="000E04F9" w:rsidRPr="00472578" w:rsidRDefault="00B73BF1" w:rsidP="00E92686">
      <w:pPr>
        <w:widowControl w:val="0"/>
        <w:tabs>
          <w:tab w:val="left" w:pos="1276"/>
        </w:tabs>
        <w:autoSpaceDE w:val="0"/>
        <w:autoSpaceDN w:val="0"/>
        <w:spacing w:after="240"/>
        <w:ind w:left="1134" w:hanging="567"/>
        <w:jc w:val="both"/>
      </w:pPr>
      <w:r w:rsidRPr="00472578">
        <w:rPr>
          <w:iCs/>
          <w:strike/>
        </w:rPr>
        <w:t>(4)</w:t>
      </w:r>
      <w:r w:rsidRPr="00472578">
        <w:rPr>
          <w:u w:val="single"/>
        </w:rPr>
        <w:t>(d)</w:t>
      </w:r>
      <w:r w:rsidRPr="00472578">
        <w:tab/>
      </w:r>
      <w:r w:rsidR="000E04F9" w:rsidRPr="00472578">
        <w:t>the reclamation will provide significant regional or national benefit</w:t>
      </w:r>
      <w:r w:rsidR="000E04F9" w:rsidRPr="00472578">
        <w:rPr>
          <w:strike/>
        </w:rPr>
        <w:t>.</w:t>
      </w:r>
      <w:r w:rsidRPr="00472578">
        <w:rPr>
          <w:u w:val="single"/>
        </w:rPr>
        <w:t>, and</w:t>
      </w:r>
    </w:p>
    <w:p w14:paraId="4B6DCDB1" w14:textId="4BEA80BC" w:rsidR="000E04F9" w:rsidRPr="00472578" w:rsidRDefault="00B73BF1" w:rsidP="00E92686">
      <w:pPr>
        <w:widowControl w:val="0"/>
        <w:tabs>
          <w:tab w:val="left" w:pos="1276"/>
        </w:tabs>
        <w:autoSpaceDE w:val="0"/>
        <w:autoSpaceDN w:val="0"/>
        <w:spacing w:before="159"/>
        <w:ind w:left="567" w:hanging="567"/>
        <w:jc w:val="both"/>
      </w:pPr>
      <w:r w:rsidRPr="00472578">
        <w:rPr>
          <w:u w:val="single"/>
        </w:rPr>
        <w:t>(</w:t>
      </w:r>
      <w:r w:rsidR="0090795B" w:rsidRPr="00472578">
        <w:rPr>
          <w:u w:val="single"/>
        </w:rPr>
        <w:t>1B</w:t>
      </w:r>
      <w:r w:rsidRPr="00472578">
        <w:rPr>
          <w:u w:val="single"/>
        </w:rPr>
        <w:t>)</w:t>
      </w:r>
      <w:r w:rsidRPr="00472578">
        <w:rPr>
          <w:u w:val="single"/>
        </w:rPr>
        <w:tab/>
      </w:r>
      <w:r w:rsidR="000E04F9" w:rsidRPr="00472578">
        <w:rPr>
          <w:u w:val="single"/>
        </w:rPr>
        <w:t>Encouraging de-reclamation of redundant reclaimed land where it would restore natural character, resources of the coastal marine area, and provide for more public open space.</w:t>
      </w:r>
      <w:r w:rsidR="000E04F9" w:rsidRPr="00472578">
        <w:rPr>
          <w:rStyle w:val="FootnoteReference"/>
        </w:rPr>
        <w:footnoteReference w:id="676"/>
      </w:r>
    </w:p>
    <w:bookmarkEnd w:id="134"/>
    <w:p w14:paraId="0FFACB8D" w14:textId="56002D86" w:rsidR="000E04F9" w:rsidRPr="00472578" w:rsidRDefault="007113CF" w:rsidP="00E92686">
      <w:pPr>
        <w:pStyle w:val="Heading4"/>
        <w:jc w:val="both"/>
      </w:pPr>
      <w:r w:rsidRPr="00472578">
        <w:t>CE-P</w:t>
      </w:r>
      <w:r w:rsidR="000E04F9" w:rsidRPr="00472578">
        <w:t xml:space="preserve">13 – </w:t>
      </w:r>
      <w:r w:rsidR="000E04F9" w:rsidRPr="00472578">
        <w:rPr>
          <w:u w:val="single"/>
        </w:rPr>
        <w:t>Rakatirataka and</w:t>
      </w:r>
      <w:r w:rsidR="00B73BF1" w:rsidRPr="00472578">
        <w:rPr>
          <w:u w:val="single"/>
        </w:rPr>
        <w:t xml:space="preserve"> kaitiakitaka</w:t>
      </w:r>
      <w:r w:rsidR="00C6703D" w:rsidRPr="00472578">
        <w:rPr>
          <w:u w:val="single"/>
        </w:rPr>
        <w:t xml:space="preserve"> </w:t>
      </w:r>
      <w:r w:rsidR="000E04F9" w:rsidRPr="00472578">
        <w:rPr>
          <w:strike/>
        </w:rPr>
        <w:t>Kaitiakitaka</w:t>
      </w:r>
      <w:r w:rsidR="00C6703D" w:rsidRPr="00472578">
        <w:rPr>
          <w:rStyle w:val="FootnoteReference"/>
          <w:b w:val="0"/>
          <w:bCs/>
          <w:color w:val="auto"/>
        </w:rPr>
        <w:footnoteReference w:id="677"/>
      </w:r>
    </w:p>
    <w:p w14:paraId="235F9CEB" w14:textId="77777777" w:rsidR="000E04F9" w:rsidRPr="00472578" w:rsidRDefault="000E04F9" w:rsidP="00E92686">
      <w:pPr>
        <w:pStyle w:val="BodyText"/>
      </w:pPr>
      <w:r w:rsidRPr="00472578">
        <w:t xml:space="preserve">Recognise </w:t>
      </w:r>
      <w:r w:rsidRPr="00472578">
        <w:rPr>
          <w:u w:val="single"/>
        </w:rPr>
        <w:t>and give practical effect to Kāi Tahu rakatirataka and</w:t>
      </w:r>
      <w:r w:rsidRPr="00472578">
        <w:t xml:space="preserve"> </w:t>
      </w:r>
      <w:r w:rsidRPr="00472578">
        <w:rPr>
          <w:strike/>
        </w:rPr>
        <w:t>provide for</w:t>
      </w:r>
      <w:r w:rsidRPr="00472578">
        <w:rPr>
          <w:rStyle w:val="FootnoteReference"/>
        </w:rPr>
        <w:footnoteReference w:id="678"/>
      </w:r>
      <w:r w:rsidRPr="00472578">
        <w:t xml:space="preserve"> the role of Kāi Tahu as kaitiaki of the coastal environment by:</w:t>
      </w:r>
    </w:p>
    <w:p w14:paraId="26139BCB" w14:textId="49AD10F5" w:rsidR="000E04F9" w:rsidRPr="00472578" w:rsidRDefault="00B73BF1" w:rsidP="00E92686">
      <w:pPr>
        <w:widowControl w:val="0"/>
        <w:tabs>
          <w:tab w:val="left" w:pos="686"/>
          <w:tab w:val="left" w:pos="687"/>
        </w:tabs>
        <w:autoSpaceDE w:val="0"/>
        <w:autoSpaceDN w:val="0"/>
        <w:spacing w:before="158"/>
        <w:ind w:left="567" w:hanging="567"/>
        <w:jc w:val="both"/>
      </w:pPr>
      <w:r w:rsidRPr="00472578">
        <w:t>(1)</w:t>
      </w:r>
      <w:r w:rsidRPr="00472578">
        <w:tab/>
      </w:r>
      <w:r w:rsidR="000E04F9" w:rsidRPr="00472578">
        <w:rPr>
          <w:u w:val="single"/>
        </w:rPr>
        <w:t>facilitating partnership with, and actively</w:t>
      </w:r>
      <w:r w:rsidR="000E04F9" w:rsidRPr="00472578">
        <w:rPr>
          <w:rStyle w:val="FootnoteReference"/>
        </w:rPr>
        <w:footnoteReference w:id="679"/>
      </w:r>
      <w:r w:rsidR="000E04F9" w:rsidRPr="00472578">
        <w:t xml:space="preserve"> involving </w:t>
      </w:r>
      <w:r w:rsidR="000E04F9" w:rsidRPr="00472578">
        <w:rPr>
          <w:i/>
        </w:rPr>
        <w:t xml:space="preserve">mana whenua </w:t>
      </w:r>
      <w:r w:rsidR="000E04F9" w:rsidRPr="00472578">
        <w:t>in decision making and management processes in respect of the coast,</w:t>
      </w:r>
    </w:p>
    <w:p w14:paraId="68A27F09" w14:textId="0B89CB91" w:rsidR="000E04F9" w:rsidRPr="00472578" w:rsidRDefault="00B73BF1" w:rsidP="00E92686">
      <w:pPr>
        <w:widowControl w:val="0"/>
        <w:tabs>
          <w:tab w:val="left" w:pos="686"/>
          <w:tab w:val="left" w:pos="687"/>
        </w:tabs>
        <w:autoSpaceDE w:val="0"/>
        <w:autoSpaceDN w:val="0"/>
        <w:spacing w:before="161"/>
        <w:ind w:left="567" w:hanging="567"/>
        <w:jc w:val="both"/>
      </w:pPr>
      <w:bookmarkStart w:id="135" w:name="_Hlk97536656"/>
      <w:r w:rsidRPr="00472578">
        <w:t>(2)</w:t>
      </w:r>
      <w:r w:rsidRPr="00472578">
        <w:tab/>
      </w:r>
      <w:r w:rsidR="000E04F9" w:rsidRPr="00472578">
        <w:t>identifying, protecting, and improving where degraded</w:t>
      </w:r>
      <w:bookmarkEnd w:id="135"/>
      <w:r w:rsidR="000E04F9" w:rsidRPr="00472578">
        <w:t xml:space="preserve">, sites, </w:t>
      </w:r>
      <w:bookmarkStart w:id="136" w:name="_Hlk94169838"/>
      <w:proofErr w:type="gramStart"/>
      <w:r w:rsidR="000E04F9" w:rsidRPr="00472578">
        <w:t>areas</w:t>
      </w:r>
      <w:proofErr w:type="gramEnd"/>
      <w:r w:rsidR="000E04F9" w:rsidRPr="00472578">
        <w:t xml:space="preserve"> and values of importance</w:t>
      </w:r>
      <w:r w:rsidRPr="00472578">
        <w:t xml:space="preserve"> </w:t>
      </w:r>
      <w:r w:rsidR="000E04F9" w:rsidRPr="00472578">
        <w:t>to Kāi Tahu</w:t>
      </w:r>
      <w:bookmarkEnd w:id="136"/>
      <w:r w:rsidR="000E04F9" w:rsidRPr="00472578">
        <w:t xml:space="preserve"> within the coastal environment, and managing these in accordance with tikaka,</w:t>
      </w:r>
    </w:p>
    <w:p w14:paraId="3CF06339" w14:textId="3911640E" w:rsidR="000E04F9" w:rsidRPr="00472578" w:rsidRDefault="00B73BF1" w:rsidP="00E92686">
      <w:pPr>
        <w:widowControl w:val="0"/>
        <w:tabs>
          <w:tab w:val="left" w:pos="686"/>
          <w:tab w:val="left" w:pos="687"/>
        </w:tabs>
        <w:autoSpaceDE w:val="0"/>
        <w:autoSpaceDN w:val="0"/>
        <w:spacing w:before="158"/>
        <w:ind w:left="567" w:hanging="567"/>
        <w:jc w:val="both"/>
      </w:pPr>
      <w:r w:rsidRPr="00472578">
        <w:t>(3)</w:t>
      </w:r>
      <w:r w:rsidRPr="00472578">
        <w:tab/>
      </w:r>
      <w:r w:rsidR="000E04F9" w:rsidRPr="00472578">
        <w:t xml:space="preserve">providing for customary uses, including </w:t>
      </w:r>
      <w:r w:rsidR="000E04F9" w:rsidRPr="009C237D">
        <w:rPr>
          <w:strike/>
        </w:rPr>
        <w:t>mahika kai</w:t>
      </w:r>
      <w:r w:rsidR="000E04F9" w:rsidRPr="00472578">
        <w:t xml:space="preserve"> </w:t>
      </w:r>
      <w:r w:rsidR="00CF3CE4" w:rsidRPr="004B700D">
        <w:rPr>
          <w:i/>
          <w:iCs/>
          <w:u w:val="single"/>
        </w:rPr>
        <w:t>mahika kai</w:t>
      </w:r>
      <w:r w:rsidR="00CF3CE4">
        <w:rPr>
          <w:rStyle w:val="FootnoteReference"/>
        </w:rPr>
        <w:footnoteReference w:id="680"/>
      </w:r>
      <w:r w:rsidR="00CF3CE4" w:rsidRPr="00472578">
        <w:rPr>
          <w:iCs/>
        </w:rPr>
        <w:t xml:space="preserve"> </w:t>
      </w:r>
      <w:r w:rsidR="000E04F9" w:rsidRPr="00472578">
        <w:t>and the harvesting of kaimoana,</w:t>
      </w:r>
    </w:p>
    <w:p w14:paraId="6D1B4B36" w14:textId="30472DB0" w:rsidR="000E04F9" w:rsidRPr="00472578" w:rsidRDefault="00B73BF1" w:rsidP="00E92686">
      <w:pPr>
        <w:widowControl w:val="0"/>
        <w:tabs>
          <w:tab w:val="left" w:pos="686"/>
          <w:tab w:val="left" w:pos="687"/>
        </w:tabs>
        <w:autoSpaceDE w:val="0"/>
        <w:autoSpaceDN w:val="0"/>
        <w:spacing w:before="161"/>
        <w:ind w:left="567" w:hanging="567"/>
        <w:jc w:val="both"/>
      </w:pPr>
      <w:r w:rsidRPr="00472578">
        <w:t>(4)</w:t>
      </w:r>
      <w:r w:rsidRPr="00472578">
        <w:tab/>
      </w:r>
      <w:r w:rsidR="000E04F9" w:rsidRPr="00472578">
        <w:t>incorporating the impact of activities on customary fisheries</w:t>
      </w:r>
      <w:r w:rsidR="000E04F9" w:rsidRPr="00472578">
        <w:rPr>
          <w:u w:val="single"/>
        </w:rPr>
        <w:t>, mātaitai reserves and taiāpure</w:t>
      </w:r>
      <w:r w:rsidR="000E04F9" w:rsidRPr="00472578">
        <w:rPr>
          <w:rStyle w:val="FootnoteReference"/>
        </w:rPr>
        <w:footnoteReference w:id="681"/>
      </w:r>
      <w:r w:rsidR="000E04F9" w:rsidRPr="00472578">
        <w:t xml:space="preserve"> in decision making, and</w:t>
      </w:r>
    </w:p>
    <w:p w14:paraId="0CA31923" w14:textId="62311D97" w:rsidR="000E04F9" w:rsidRPr="00472578" w:rsidRDefault="00B73BF1" w:rsidP="00E92686">
      <w:pPr>
        <w:widowControl w:val="0"/>
        <w:tabs>
          <w:tab w:val="left" w:pos="686"/>
          <w:tab w:val="left" w:pos="687"/>
        </w:tabs>
        <w:autoSpaceDE w:val="0"/>
        <w:autoSpaceDN w:val="0"/>
        <w:spacing w:before="159"/>
        <w:ind w:left="567" w:hanging="567"/>
        <w:jc w:val="both"/>
      </w:pPr>
      <w:r w:rsidRPr="00472578">
        <w:t>(5)</w:t>
      </w:r>
      <w:r w:rsidRPr="00472578">
        <w:tab/>
      </w:r>
      <w:r w:rsidR="000E04F9" w:rsidRPr="00472578">
        <w:t>incorporating mātauraka Maōri in the management and monitoring of activities in the coastal</w:t>
      </w:r>
      <w:r w:rsidRPr="00472578">
        <w:t xml:space="preserve"> </w:t>
      </w:r>
      <w:r w:rsidR="000E04F9" w:rsidRPr="00472578">
        <w:t>environment.</w:t>
      </w:r>
    </w:p>
    <w:p w14:paraId="5DF1173F" w14:textId="03ECC127" w:rsidR="000E04F9" w:rsidRPr="00472578" w:rsidRDefault="000E04F9" w:rsidP="00E92686">
      <w:pPr>
        <w:pStyle w:val="Heading3"/>
        <w:jc w:val="both"/>
      </w:pPr>
      <w:r w:rsidRPr="00472578">
        <w:lastRenderedPageBreak/>
        <w:t>Methods</w:t>
      </w:r>
    </w:p>
    <w:p w14:paraId="0515A2A8" w14:textId="1E62C23D" w:rsidR="000E04F9" w:rsidRPr="00472578" w:rsidRDefault="007113CF" w:rsidP="00E92686">
      <w:pPr>
        <w:pStyle w:val="Heading4"/>
        <w:jc w:val="both"/>
        <w:rPr>
          <w:u w:val="single"/>
        </w:rPr>
      </w:pPr>
      <w:r w:rsidRPr="00472578">
        <w:rPr>
          <w:u w:val="single"/>
        </w:rPr>
        <w:t>CE-M</w:t>
      </w:r>
      <w:r w:rsidR="000E04F9" w:rsidRPr="00472578">
        <w:rPr>
          <w:u w:val="single"/>
        </w:rPr>
        <w:t>1</w:t>
      </w:r>
      <w:r w:rsidR="004A21E5" w:rsidRPr="00472578">
        <w:rPr>
          <w:u w:val="single"/>
        </w:rPr>
        <w:t>A</w:t>
      </w:r>
      <w:r w:rsidR="000E04F9" w:rsidRPr="00472578">
        <w:rPr>
          <w:u w:val="single"/>
        </w:rPr>
        <w:t xml:space="preserve"> – </w:t>
      </w:r>
      <w:r w:rsidR="00837989" w:rsidRPr="00472578">
        <w:rPr>
          <w:u w:val="single"/>
        </w:rPr>
        <w:t>Mana whenua</w:t>
      </w:r>
      <w:r w:rsidR="00E5098D" w:rsidRPr="00472578">
        <w:rPr>
          <w:u w:val="single"/>
        </w:rPr>
        <w:t>/mana moana involvement</w:t>
      </w:r>
    </w:p>
    <w:p w14:paraId="2227EFEC" w14:textId="4812CD5D" w:rsidR="000E04F9" w:rsidRPr="00472578" w:rsidRDefault="000E04F9" w:rsidP="00E92686">
      <w:pPr>
        <w:spacing w:before="158"/>
        <w:jc w:val="both"/>
        <w:rPr>
          <w:u w:val="single"/>
        </w:rPr>
      </w:pPr>
      <w:r w:rsidRPr="00472578">
        <w:rPr>
          <w:iCs/>
          <w:u w:val="single"/>
        </w:rPr>
        <w:t>Otago</w:t>
      </w:r>
      <w:r w:rsidRPr="00472578">
        <w:rPr>
          <w:u w:val="single"/>
        </w:rPr>
        <w:t xml:space="preserve"> Regional Council must partner with Kāi Tahu in coastal management by</w:t>
      </w:r>
      <w:r w:rsidR="00B73BF1" w:rsidRPr="00472578">
        <w:rPr>
          <w:u w:val="single"/>
        </w:rPr>
        <w:t xml:space="preserve"> </w:t>
      </w:r>
      <w:r w:rsidRPr="00472578">
        <w:rPr>
          <w:u w:val="single"/>
        </w:rPr>
        <w:t>actively identifying and pursuing opportunities for mana whenua to exercise their rakatirataka role, manaakitaka and their kaitiaki duty of care kaitiaki role within the coastal environment</w:t>
      </w:r>
      <w:r w:rsidR="00B73BF1" w:rsidRPr="00472578">
        <w:rPr>
          <w:u w:val="single"/>
        </w:rPr>
        <w:t>.</w:t>
      </w:r>
      <w:r w:rsidR="007457F3" w:rsidRPr="00472578">
        <w:rPr>
          <w:rStyle w:val="FootnoteReference"/>
        </w:rPr>
        <w:footnoteReference w:id="682"/>
      </w:r>
    </w:p>
    <w:p w14:paraId="3E2922E8" w14:textId="536A5A13" w:rsidR="000E04F9" w:rsidRPr="00472578" w:rsidRDefault="007113CF" w:rsidP="00E92686">
      <w:pPr>
        <w:pStyle w:val="Heading4"/>
        <w:jc w:val="both"/>
      </w:pPr>
      <w:r w:rsidRPr="00472578">
        <w:t>CE-M</w:t>
      </w:r>
      <w:r w:rsidR="000E04F9" w:rsidRPr="00472578">
        <w:t>1 – Identifying the coastal environment</w:t>
      </w:r>
    </w:p>
    <w:p w14:paraId="4B2CFB1E" w14:textId="77777777" w:rsidR="000E04F9" w:rsidRPr="00472578" w:rsidRDefault="000E04F9" w:rsidP="00E92686">
      <w:pPr>
        <w:spacing w:before="158"/>
        <w:jc w:val="both"/>
      </w:pPr>
      <w:r w:rsidRPr="00472578">
        <w:rPr>
          <w:i/>
        </w:rPr>
        <w:t xml:space="preserve">Local authorities </w:t>
      </w:r>
      <w:r w:rsidRPr="00472578">
        <w:t>must:</w:t>
      </w:r>
    </w:p>
    <w:p w14:paraId="17AA89C3" w14:textId="5E577208" w:rsidR="000E04F9" w:rsidRPr="00472578" w:rsidRDefault="00B73BF1" w:rsidP="00E92686">
      <w:pPr>
        <w:widowControl w:val="0"/>
        <w:tabs>
          <w:tab w:val="left" w:pos="686"/>
          <w:tab w:val="left" w:pos="687"/>
        </w:tabs>
        <w:autoSpaceDE w:val="0"/>
        <w:autoSpaceDN w:val="0"/>
        <w:spacing w:before="182"/>
        <w:ind w:left="567" w:hanging="567"/>
        <w:jc w:val="both"/>
      </w:pPr>
      <w:r w:rsidRPr="00472578">
        <w:t>(1)</w:t>
      </w:r>
      <w:r w:rsidRPr="00472578">
        <w:tab/>
      </w:r>
      <w:r w:rsidR="000E04F9" w:rsidRPr="00472578">
        <w:t xml:space="preserve">no later than 31 May 2023, work collaboratively, </w:t>
      </w:r>
      <w:r w:rsidR="000E04F9" w:rsidRPr="00472578">
        <w:rPr>
          <w:u w:val="single"/>
        </w:rPr>
        <w:t>including with local authorities in neighbouring regions,</w:t>
      </w:r>
      <w:r w:rsidR="000E04F9" w:rsidRPr="00472578">
        <w:rPr>
          <w:rStyle w:val="FootnoteReference"/>
        </w:rPr>
        <w:footnoteReference w:id="683"/>
      </w:r>
      <w:r w:rsidR="000E04F9" w:rsidRPr="00472578">
        <w:t xml:space="preserve"> to:</w:t>
      </w:r>
    </w:p>
    <w:p w14:paraId="0473CBD8" w14:textId="7CAC65F8" w:rsidR="000E04F9" w:rsidRPr="00472578" w:rsidRDefault="00B73BF1" w:rsidP="00E92686">
      <w:pPr>
        <w:widowControl w:val="0"/>
        <w:tabs>
          <w:tab w:val="left" w:pos="1253"/>
          <w:tab w:val="left" w:pos="1254"/>
        </w:tabs>
        <w:autoSpaceDE w:val="0"/>
        <w:autoSpaceDN w:val="0"/>
        <w:spacing w:before="41"/>
        <w:ind w:left="1134" w:hanging="567"/>
        <w:jc w:val="both"/>
      </w:pPr>
      <w:r w:rsidRPr="00472578">
        <w:t>(a)</w:t>
      </w:r>
      <w:r w:rsidRPr="00472578">
        <w:tab/>
      </w:r>
      <w:r w:rsidR="000E04F9" w:rsidRPr="00472578">
        <w:t>identify the landward extent of the coastal environment, in accordance with CE-P2(1),</w:t>
      </w:r>
    </w:p>
    <w:p w14:paraId="1C60FFC5" w14:textId="55343160" w:rsidR="000E04F9" w:rsidRPr="00472578" w:rsidRDefault="00B73BF1" w:rsidP="00E92686">
      <w:pPr>
        <w:widowControl w:val="0"/>
        <w:tabs>
          <w:tab w:val="left" w:pos="1253"/>
          <w:tab w:val="left" w:pos="1254"/>
        </w:tabs>
        <w:autoSpaceDE w:val="0"/>
        <w:autoSpaceDN w:val="0"/>
        <w:spacing w:before="159"/>
        <w:ind w:left="1134" w:hanging="567"/>
        <w:jc w:val="both"/>
      </w:pPr>
      <w:r w:rsidRPr="00472578">
        <w:t>(b)</w:t>
      </w:r>
      <w:r w:rsidRPr="00472578">
        <w:tab/>
      </w:r>
      <w:r w:rsidR="000E04F9" w:rsidRPr="00472578">
        <w:t xml:space="preserve">map the landward extent of the coastal environment area in the relevant </w:t>
      </w:r>
      <w:r w:rsidR="000E04F9" w:rsidRPr="00472578">
        <w:rPr>
          <w:i/>
        </w:rPr>
        <w:t xml:space="preserve">regional </w:t>
      </w:r>
      <w:r w:rsidR="007D25FD" w:rsidRPr="00472578">
        <w:rPr>
          <w:i/>
          <w:iCs/>
          <w:u w:val="single"/>
        </w:rPr>
        <w:t>plans</w:t>
      </w:r>
      <w:r w:rsidR="0063411B" w:rsidRPr="00472578">
        <w:rPr>
          <w:rStyle w:val="FootnoteReference"/>
          <w:iCs/>
        </w:rPr>
        <w:footnoteReference w:id="684"/>
      </w:r>
      <w:r w:rsidR="007D25FD" w:rsidRPr="00472578">
        <w:rPr>
          <w:iCs/>
        </w:rPr>
        <w:t xml:space="preserve"> </w:t>
      </w:r>
      <w:r w:rsidR="000E04F9" w:rsidRPr="00472578">
        <w:t>and</w:t>
      </w:r>
      <w:r w:rsidRPr="00472578">
        <w:t xml:space="preserve"> </w:t>
      </w:r>
      <w:r w:rsidR="000E04F9" w:rsidRPr="00472578">
        <w:rPr>
          <w:i/>
        </w:rPr>
        <w:t>district plans</w:t>
      </w:r>
      <w:r w:rsidR="000E04F9" w:rsidRPr="00472578">
        <w:t>.</w:t>
      </w:r>
    </w:p>
    <w:p w14:paraId="64297973" w14:textId="7057DADF" w:rsidR="000E04F9" w:rsidRPr="00472578" w:rsidRDefault="007113CF" w:rsidP="00E92686">
      <w:pPr>
        <w:pStyle w:val="Heading4"/>
        <w:jc w:val="both"/>
      </w:pPr>
      <w:r w:rsidRPr="00472578">
        <w:t>CE-M</w:t>
      </w:r>
      <w:r w:rsidR="000E04F9" w:rsidRPr="00472578">
        <w:t>2 – Identifying other areas</w:t>
      </w:r>
    </w:p>
    <w:p w14:paraId="26251DE0" w14:textId="77777777" w:rsidR="000E04F9" w:rsidRPr="00472578" w:rsidRDefault="000E04F9" w:rsidP="00E92686">
      <w:pPr>
        <w:spacing w:before="161"/>
        <w:jc w:val="both"/>
      </w:pPr>
      <w:r w:rsidRPr="00472578">
        <w:rPr>
          <w:i/>
        </w:rPr>
        <w:t xml:space="preserve">Local authorities </w:t>
      </w:r>
      <w:r w:rsidRPr="00472578">
        <w:t xml:space="preserve">must work collaboratively, </w:t>
      </w:r>
      <w:r w:rsidRPr="00472578">
        <w:rPr>
          <w:u w:val="single"/>
        </w:rPr>
        <w:t>with Kāi Tahu</w:t>
      </w:r>
      <w:r w:rsidRPr="00472578">
        <w:rPr>
          <w:rStyle w:val="FootnoteReference"/>
          <w:u w:val="single"/>
        </w:rPr>
        <w:footnoteReference w:id="685"/>
      </w:r>
      <w:r w:rsidRPr="00472578">
        <w:rPr>
          <w:u w:val="single"/>
        </w:rPr>
        <w:t xml:space="preserve"> and local authorities in neighbouring regions,</w:t>
      </w:r>
      <w:r w:rsidRPr="00472578">
        <w:rPr>
          <w:rStyle w:val="FootnoteReference"/>
        </w:rPr>
        <w:footnoteReference w:id="686"/>
      </w:r>
      <w:r w:rsidRPr="00472578">
        <w:t xml:space="preserve"> together to:</w:t>
      </w:r>
    </w:p>
    <w:p w14:paraId="5852D6D4" w14:textId="36B00943" w:rsidR="000E04F9" w:rsidRPr="00472578" w:rsidRDefault="0012618F" w:rsidP="00E92686">
      <w:pPr>
        <w:widowControl w:val="0"/>
        <w:tabs>
          <w:tab w:val="left" w:pos="687"/>
        </w:tabs>
        <w:autoSpaceDE w:val="0"/>
        <w:autoSpaceDN w:val="0"/>
        <w:ind w:left="567" w:right="174" w:hanging="567"/>
        <w:jc w:val="both"/>
      </w:pPr>
      <w:r w:rsidRPr="00472578">
        <w:t>(1)</w:t>
      </w:r>
      <w:r w:rsidRPr="00472578">
        <w:tab/>
      </w:r>
      <w:r w:rsidR="000E04F9" w:rsidRPr="00472578">
        <w:t xml:space="preserve">identify areas and values of high and outstanding natural character within their jurisdictions in accordance with </w:t>
      </w:r>
      <w:r w:rsidR="007113CF" w:rsidRPr="00472578">
        <w:t>CE-P</w:t>
      </w:r>
      <w:r w:rsidR="000E04F9" w:rsidRPr="00472578">
        <w:t xml:space="preserve">4(1), map the areas and describe their values in the relevant </w:t>
      </w:r>
      <w:r w:rsidR="000E04F9" w:rsidRPr="00472578">
        <w:rPr>
          <w:i/>
        </w:rPr>
        <w:t xml:space="preserve">regional </w:t>
      </w:r>
      <w:r w:rsidR="0028765C" w:rsidRPr="00472578">
        <w:rPr>
          <w:i/>
          <w:u w:val="single"/>
        </w:rPr>
        <w:t>plans</w:t>
      </w:r>
      <w:r w:rsidR="0028765C" w:rsidRPr="00472578">
        <w:rPr>
          <w:rStyle w:val="FootnoteReference"/>
          <w:iCs/>
        </w:rPr>
        <w:footnoteReference w:id="687"/>
      </w:r>
      <w:r w:rsidR="00403F39" w:rsidRPr="00472578">
        <w:t xml:space="preserve"> a</w:t>
      </w:r>
      <w:r w:rsidR="000E04F9" w:rsidRPr="00472578">
        <w:t xml:space="preserve">nd </w:t>
      </w:r>
      <w:r w:rsidR="000E04F9" w:rsidRPr="00472578">
        <w:rPr>
          <w:i/>
        </w:rPr>
        <w:t>district plans</w:t>
      </w:r>
      <w:r w:rsidR="000E04F9" w:rsidRPr="00472578">
        <w:t>, and identify their capacity to accommodate change through use or development while protecting the values that contribute to the natural character of the area being considered high or outstanding,</w:t>
      </w:r>
    </w:p>
    <w:p w14:paraId="7D0864F2" w14:textId="65C3073B" w:rsidR="000E04F9" w:rsidRPr="00472578" w:rsidRDefault="0012618F" w:rsidP="00E92686">
      <w:pPr>
        <w:widowControl w:val="0"/>
        <w:tabs>
          <w:tab w:val="left" w:pos="687"/>
        </w:tabs>
        <w:autoSpaceDE w:val="0"/>
        <w:autoSpaceDN w:val="0"/>
        <w:spacing w:before="160"/>
        <w:ind w:left="567" w:right="173" w:hanging="567"/>
        <w:jc w:val="both"/>
      </w:pPr>
      <w:r w:rsidRPr="00472578">
        <w:t>(2)</w:t>
      </w:r>
      <w:r w:rsidRPr="00472578">
        <w:tab/>
      </w:r>
      <w:r w:rsidR="000E04F9" w:rsidRPr="00472578">
        <w:t xml:space="preserve">identify, </w:t>
      </w:r>
      <w:r w:rsidR="000E04F9" w:rsidRPr="00472578">
        <w:rPr>
          <w:u w:val="single"/>
        </w:rPr>
        <w:t>at an appropriate scale,</w:t>
      </w:r>
      <w:r w:rsidR="000E04F9" w:rsidRPr="00472578">
        <w:rPr>
          <w:rStyle w:val="FootnoteReference"/>
        </w:rPr>
        <w:footnoteReference w:id="688"/>
      </w:r>
      <w:r w:rsidR="000E04F9" w:rsidRPr="00472578">
        <w:t xml:space="preserve"> areas and values of outstanding natural features, landscapes, and seascapes (in the coastal environment) within their jurisdictions in accordance with </w:t>
      </w:r>
      <w:r w:rsidR="007113CF" w:rsidRPr="00472578">
        <w:t>CE-P</w:t>
      </w:r>
      <w:r w:rsidR="000E04F9" w:rsidRPr="00472578">
        <w:t xml:space="preserve">6(1), map the areas and describe their values in the relevant </w:t>
      </w:r>
      <w:r w:rsidR="000E04F9" w:rsidRPr="00472578">
        <w:rPr>
          <w:i/>
        </w:rPr>
        <w:t>regional</w:t>
      </w:r>
      <w:r w:rsidR="00F0537B" w:rsidRPr="00472578">
        <w:rPr>
          <w:i/>
        </w:rPr>
        <w:t xml:space="preserve"> </w:t>
      </w:r>
      <w:r w:rsidR="00F0537B" w:rsidRPr="00472578">
        <w:rPr>
          <w:i/>
          <w:u w:val="single"/>
        </w:rPr>
        <w:t>plans</w:t>
      </w:r>
      <w:r w:rsidR="002F6C87" w:rsidRPr="00472578">
        <w:rPr>
          <w:rStyle w:val="FootnoteReference"/>
        </w:rPr>
        <w:footnoteReference w:id="689"/>
      </w:r>
      <w:r w:rsidR="00403F39" w:rsidRPr="00472578">
        <w:t xml:space="preserve"> a</w:t>
      </w:r>
      <w:r w:rsidR="000E04F9" w:rsidRPr="00472578">
        <w:t xml:space="preserve">nd </w:t>
      </w:r>
      <w:r w:rsidR="000E04F9" w:rsidRPr="00472578">
        <w:rPr>
          <w:i/>
        </w:rPr>
        <w:t>district plans</w:t>
      </w:r>
      <w:r w:rsidR="000E04F9" w:rsidRPr="00472578">
        <w:t>, and identify their capacity to accommodate change through use or development while protecting the values that contribute to the natural features, landscapes, and seascapes being considered outstanding,</w:t>
      </w:r>
    </w:p>
    <w:p w14:paraId="46158143" w14:textId="182F982D" w:rsidR="000E04F9" w:rsidRPr="00472578" w:rsidRDefault="0012618F" w:rsidP="00E92686">
      <w:pPr>
        <w:widowControl w:val="0"/>
        <w:tabs>
          <w:tab w:val="left" w:pos="687"/>
        </w:tabs>
        <w:autoSpaceDE w:val="0"/>
        <w:autoSpaceDN w:val="0"/>
        <w:spacing w:before="159"/>
        <w:ind w:left="567" w:right="173" w:hanging="567"/>
        <w:jc w:val="both"/>
      </w:pPr>
      <w:r w:rsidRPr="00472578">
        <w:t>(3)</w:t>
      </w:r>
      <w:r w:rsidRPr="00472578">
        <w:tab/>
      </w:r>
      <w:r w:rsidR="000E04F9" w:rsidRPr="00472578">
        <w:t xml:space="preserve">identify areas and values of indigenous </w:t>
      </w:r>
      <w:r w:rsidR="000E04F9" w:rsidRPr="00472578">
        <w:rPr>
          <w:i/>
        </w:rPr>
        <w:t xml:space="preserve">biodiversity </w:t>
      </w:r>
      <w:r w:rsidR="000E04F9" w:rsidRPr="00472578">
        <w:t xml:space="preserve">within their jurisdictions in accordance with </w:t>
      </w:r>
      <w:r w:rsidR="007113CF" w:rsidRPr="00472578">
        <w:t>CE-P</w:t>
      </w:r>
      <w:r w:rsidR="000E04F9" w:rsidRPr="00472578">
        <w:t xml:space="preserve">5, map the areas and describe their values in the relevant </w:t>
      </w:r>
      <w:r w:rsidR="000E04F9" w:rsidRPr="00472578">
        <w:rPr>
          <w:i/>
        </w:rPr>
        <w:t>regional</w:t>
      </w:r>
      <w:r w:rsidR="00831A02" w:rsidRPr="00472578">
        <w:rPr>
          <w:i/>
        </w:rPr>
        <w:t xml:space="preserve"> </w:t>
      </w:r>
      <w:r w:rsidR="00831A02" w:rsidRPr="00472578">
        <w:rPr>
          <w:i/>
          <w:u w:val="single"/>
        </w:rPr>
        <w:t>plans</w:t>
      </w:r>
      <w:r w:rsidR="00455CF3" w:rsidRPr="00472578">
        <w:rPr>
          <w:rStyle w:val="FootnoteReference"/>
          <w:iCs/>
        </w:rPr>
        <w:footnoteReference w:id="690"/>
      </w:r>
      <w:r w:rsidR="00403F39" w:rsidRPr="00472578">
        <w:t xml:space="preserve"> a</w:t>
      </w:r>
      <w:r w:rsidR="000E04F9" w:rsidRPr="00472578">
        <w:t xml:space="preserve">nd </w:t>
      </w:r>
      <w:r w:rsidR="000E04F9" w:rsidRPr="00472578">
        <w:rPr>
          <w:i/>
        </w:rPr>
        <w:t>district plans</w:t>
      </w:r>
      <w:r w:rsidR="000E04F9" w:rsidRPr="00472578">
        <w:t>, and</w:t>
      </w:r>
    </w:p>
    <w:p w14:paraId="420CD02A" w14:textId="04C3BA73" w:rsidR="000E04F9" w:rsidRPr="00472578" w:rsidRDefault="0012618F" w:rsidP="00E92686">
      <w:pPr>
        <w:widowControl w:val="0"/>
        <w:tabs>
          <w:tab w:val="left" w:pos="686"/>
          <w:tab w:val="left" w:pos="687"/>
        </w:tabs>
        <w:autoSpaceDE w:val="0"/>
        <w:autoSpaceDN w:val="0"/>
        <w:spacing w:before="161"/>
        <w:ind w:left="567" w:hanging="567"/>
        <w:jc w:val="both"/>
      </w:pPr>
      <w:r w:rsidRPr="00472578">
        <w:lastRenderedPageBreak/>
        <w:t>(4)</w:t>
      </w:r>
      <w:r w:rsidRPr="00472578">
        <w:tab/>
      </w:r>
      <w:r w:rsidR="000E04F9" w:rsidRPr="00472578">
        <w:t>prioritise identification under (1) – (3) in areas that are:</w:t>
      </w:r>
    </w:p>
    <w:p w14:paraId="009AB986" w14:textId="23E16F75" w:rsidR="000E04F9" w:rsidRPr="00472578" w:rsidRDefault="0012618F" w:rsidP="00E92686">
      <w:pPr>
        <w:widowControl w:val="0"/>
        <w:tabs>
          <w:tab w:val="left" w:pos="1253"/>
          <w:tab w:val="left" w:pos="1254"/>
        </w:tabs>
        <w:autoSpaceDE w:val="0"/>
        <w:autoSpaceDN w:val="0"/>
        <w:spacing w:before="159"/>
        <w:ind w:left="1134" w:hanging="567"/>
        <w:jc w:val="both"/>
      </w:pPr>
      <w:r w:rsidRPr="00472578">
        <w:t>(a)</w:t>
      </w:r>
      <w:r w:rsidRPr="00472578">
        <w:tab/>
      </w:r>
      <w:r w:rsidR="000E04F9" w:rsidRPr="00472578">
        <w:t>likely to face development or growth pressure over the life of this RPS, or</w:t>
      </w:r>
    </w:p>
    <w:p w14:paraId="4ACBEA20" w14:textId="4BA8F94E" w:rsidR="000E04F9" w:rsidRPr="00472578" w:rsidRDefault="0012618F" w:rsidP="00E92686">
      <w:pPr>
        <w:widowControl w:val="0"/>
        <w:tabs>
          <w:tab w:val="left" w:pos="1254"/>
        </w:tabs>
        <w:autoSpaceDE w:val="0"/>
        <w:autoSpaceDN w:val="0"/>
        <w:spacing w:before="161"/>
        <w:ind w:left="1134" w:right="173" w:hanging="567"/>
        <w:jc w:val="both"/>
      </w:pPr>
      <w:r w:rsidRPr="00472578">
        <w:t>(b)</w:t>
      </w:r>
      <w:r w:rsidRPr="00472578">
        <w:tab/>
      </w:r>
      <w:r w:rsidR="000E04F9" w:rsidRPr="00472578">
        <w:t xml:space="preserve">likely to contain outstanding natural character areas, outstanding natural features or landscapes, and areas of significant indigenous </w:t>
      </w:r>
      <w:r w:rsidR="000E04F9" w:rsidRPr="00472578">
        <w:rPr>
          <w:i/>
        </w:rPr>
        <w:t>biodiversity</w:t>
      </w:r>
      <w:r w:rsidR="000E04F9" w:rsidRPr="00472578">
        <w:t>, including the areas in the table below.</w:t>
      </w:r>
    </w:p>
    <w:p w14:paraId="5044EE65" w14:textId="36A5E439" w:rsidR="00752412" w:rsidRDefault="00752412" w:rsidP="00752412">
      <w:pPr>
        <w:pStyle w:val="Caption"/>
        <w:keepNext/>
        <w:ind w:left="1134"/>
        <w:jc w:val="both"/>
      </w:pPr>
      <w:r>
        <w:t xml:space="preserve">Table </w:t>
      </w:r>
      <w:fldSimple w:instr=" SEQ Table \* ARABIC ">
        <w:r w:rsidR="004557BC">
          <w:rPr>
            <w:noProof/>
          </w:rPr>
          <w:t>2</w:t>
        </w:r>
      </w:fldSimple>
      <w:r w:rsidR="004557BC">
        <w:t xml:space="preserve"> – </w:t>
      </w:r>
      <w:r w:rsidRPr="00421E02">
        <w:t>Areas likely to contain significant values</w:t>
      </w: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5"/>
        <w:gridCol w:w="3968"/>
      </w:tblGrid>
      <w:tr w:rsidR="000E04F9" w:rsidRPr="00472578" w14:paraId="57EAD465" w14:textId="77777777" w:rsidTr="00E722D4">
        <w:trPr>
          <w:trHeight w:val="4639"/>
        </w:trPr>
        <w:tc>
          <w:tcPr>
            <w:tcW w:w="3915" w:type="dxa"/>
          </w:tcPr>
          <w:p w14:paraId="72713811"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Oamaru Harbour Breakwater </w:t>
            </w:r>
          </w:p>
          <w:p w14:paraId="6DE8A617" w14:textId="4DB34BD6"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Moeraki Beach</w:t>
            </w:r>
          </w:p>
          <w:p w14:paraId="1138ADE7" w14:textId="77777777"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Moeraki Peninsula</w:t>
            </w:r>
          </w:p>
          <w:p w14:paraId="22737254"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Shag Point &amp; Shag River Estuary </w:t>
            </w:r>
          </w:p>
          <w:p w14:paraId="46743FF9" w14:textId="329BEA2C"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Stony Creek Estuary</w:t>
            </w:r>
          </w:p>
          <w:p w14:paraId="0AE9FEBB"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Pleasant River Estuary </w:t>
            </w:r>
          </w:p>
          <w:p w14:paraId="5B7EEF94"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Hawksbury Inlet </w:t>
            </w:r>
          </w:p>
          <w:p w14:paraId="0A34C4C4"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Waikouaiti River Estuary </w:t>
            </w:r>
          </w:p>
          <w:p w14:paraId="6C79B02A"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Karitane Headland </w:t>
            </w:r>
          </w:p>
          <w:p w14:paraId="74C7111D" w14:textId="256D4841"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Puketeraki</w:t>
            </w:r>
          </w:p>
          <w:p w14:paraId="1F342169"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Blueskin Bay </w:t>
            </w:r>
          </w:p>
          <w:p w14:paraId="48A27CE8"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Orokonui Inlet </w:t>
            </w:r>
          </w:p>
          <w:p w14:paraId="0F4189CE"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Mapoutahi </w:t>
            </w:r>
          </w:p>
          <w:p w14:paraId="079C6DEF"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Purakanui Inlet </w:t>
            </w:r>
          </w:p>
          <w:p w14:paraId="13E887B0" w14:textId="6050676B"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Aramoana</w:t>
            </w:r>
          </w:p>
          <w:p w14:paraId="77FCCBC1"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Otago Harbour Historic Walls </w:t>
            </w:r>
          </w:p>
          <w:p w14:paraId="7E1DBB19"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Otakou &amp; Taiaroa Head </w:t>
            </w:r>
          </w:p>
          <w:p w14:paraId="5AAA320B" w14:textId="3821A758" w:rsidR="000E04F9" w:rsidRPr="00472578" w:rsidRDefault="000E04F9" w:rsidP="00E92686">
            <w:pPr>
              <w:spacing w:after="0" w:line="240" w:lineRule="auto"/>
              <w:ind w:left="143"/>
              <w:jc w:val="both"/>
              <w:rPr>
                <w:strike/>
                <w:sz w:val="20"/>
              </w:rPr>
            </w:pPr>
            <w:r w:rsidRPr="00472578">
              <w:rPr>
                <w:strike/>
                <w:sz w:val="20"/>
                <w:szCs w:val="20"/>
                <w:lang w:val="en-GB"/>
              </w:rPr>
              <w:t>Pipikaretu Point</w:t>
            </w:r>
          </w:p>
        </w:tc>
        <w:tc>
          <w:tcPr>
            <w:tcW w:w="3968" w:type="dxa"/>
          </w:tcPr>
          <w:p w14:paraId="7D07B378"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Te Whakarekaiwi </w:t>
            </w:r>
          </w:p>
          <w:p w14:paraId="733D9C2C"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Papanui Inlet </w:t>
            </w:r>
          </w:p>
          <w:p w14:paraId="30E40A16"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Hoopers Inlet </w:t>
            </w:r>
          </w:p>
          <w:p w14:paraId="077AC4A3"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Kaikorai Estuary </w:t>
            </w:r>
          </w:p>
          <w:p w14:paraId="4E4EB84C" w14:textId="3763B746"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Brighton</w:t>
            </w:r>
          </w:p>
          <w:p w14:paraId="3041C823"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Akatore Creek </w:t>
            </w:r>
            <w:r w:rsidR="0012618F" w:rsidRPr="00472578">
              <w:rPr>
                <w:strike/>
                <w:sz w:val="20"/>
                <w:szCs w:val="20"/>
                <w:lang w:val="en-GB"/>
              </w:rPr>
              <w:t>E</w:t>
            </w:r>
            <w:r w:rsidRPr="00472578">
              <w:rPr>
                <w:strike/>
                <w:sz w:val="20"/>
                <w:szCs w:val="20"/>
                <w:lang w:val="en-GB"/>
              </w:rPr>
              <w:t xml:space="preserve">stuary </w:t>
            </w:r>
          </w:p>
          <w:p w14:paraId="4BAA03BC"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Tokomairiro Estuary </w:t>
            </w:r>
          </w:p>
          <w:p w14:paraId="3D010F74" w14:textId="66A7BA7C"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Wangaloa</w:t>
            </w:r>
          </w:p>
          <w:p w14:paraId="37C78DF3"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Clutha River Mata-au, Matau Branch </w:t>
            </w:r>
          </w:p>
          <w:p w14:paraId="6CBAB8CB" w14:textId="545E1139"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Nugget Point</w:t>
            </w:r>
          </w:p>
          <w:p w14:paraId="525033EA" w14:textId="77777777"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Surat Bay</w:t>
            </w:r>
          </w:p>
          <w:p w14:paraId="1E3A550C"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Catlins Lake Estuary </w:t>
            </w:r>
          </w:p>
          <w:p w14:paraId="69E46EB3" w14:textId="7D9D7FBC"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Jacks Bay</w:t>
            </w:r>
          </w:p>
          <w:p w14:paraId="4F2BF427"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Waiheke Beach </w:t>
            </w:r>
          </w:p>
          <w:p w14:paraId="61B647B4"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Tahakopa Estuary </w:t>
            </w:r>
          </w:p>
          <w:p w14:paraId="2A029A15" w14:textId="77777777" w:rsidR="0012618F" w:rsidRPr="00472578" w:rsidRDefault="000E04F9" w:rsidP="00E92686">
            <w:pPr>
              <w:spacing w:after="0" w:line="240" w:lineRule="auto"/>
              <w:ind w:left="143"/>
              <w:jc w:val="both"/>
              <w:rPr>
                <w:strike/>
                <w:sz w:val="20"/>
                <w:szCs w:val="20"/>
                <w:lang w:val="en-GB"/>
              </w:rPr>
            </w:pPr>
            <w:r w:rsidRPr="00472578">
              <w:rPr>
                <w:strike/>
                <w:sz w:val="20"/>
                <w:szCs w:val="20"/>
                <w:lang w:val="en-GB"/>
              </w:rPr>
              <w:t xml:space="preserve">Oyster Bay </w:t>
            </w:r>
          </w:p>
          <w:p w14:paraId="7B77A8EF" w14:textId="28E9BCF4"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Tautuku Estuary</w:t>
            </w:r>
          </w:p>
          <w:p w14:paraId="3898C5D8" w14:textId="77777777" w:rsidR="000E04F9" w:rsidRPr="00472578" w:rsidRDefault="000E04F9" w:rsidP="00E92686">
            <w:pPr>
              <w:spacing w:after="0" w:line="240" w:lineRule="auto"/>
              <w:ind w:left="143"/>
              <w:jc w:val="both"/>
              <w:rPr>
                <w:strike/>
                <w:sz w:val="20"/>
                <w:szCs w:val="20"/>
                <w:lang w:val="en-GB"/>
              </w:rPr>
            </w:pPr>
            <w:r w:rsidRPr="00472578">
              <w:rPr>
                <w:strike/>
                <w:sz w:val="20"/>
                <w:szCs w:val="20"/>
                <w:lang w:val="en-GB"/>
              </w:rPr>
              <w:t>Waipati Estuary &amp; Kinakina Island</w:t>
            </w:r>
          </w:p>
        </w:tc>
      </w:tr>
    </w:tbl>
    <w:p w14:paraId="66E31A3B" w14:textId="77777777" w:rsidR="000E04F9" w:rsidRPr="00472578" w:rsidRDefault="000E04F9" w:rsidP="00E92686">
      <w:pPr>
        <w:jc w:val="both"/>
        <w:rPr>
          <w:sz w:val="20"/>
        </w:rPr>
        <w:sectPr w:rsidR="000E04F9" w:rsidRPr="00472578">
          <w:footerReference w:type="default" r:id="rId51"/>
          <w:pgSz w:w="11910" w:h="16840"/>
          <w:pgMar w:top="1380" w:right="1260" w:bottom="1200" w:left="1320" w:header="0" w:footer="866" w:gutter="0"/>
          <w:cols w:space="720"/>
        </w:sectPr>
      </w:pPr>
    </w:p>
    <w:tbl>
      <w:tblPr>
        <w:tblStyle w:val="TableGrid"/>
        <w:tblW w:w="4158" w:type="pct"/>
        <w:tblInd w:w="1384" w:type="dxa"/>
        <w:tblLook w:val="04A0" w:firstRow="1" w:lastRow="0" w:firstColumn="1" w:lastColumn="0" w:noHBand="0" w:noVBand="1"/>
      </w:tblPr>
      <w:tblGrid>
        <w:gridCol w:w="3749"/>
        <w:gridCol w:w="3749"/>
      </w:tblGrid>
      <w:tr w:rsidR="000E04F9" w:rsidRPr="00472578" w14:paraId="6804136E" w14:textId="77777777" w:rsidTr="00E722D4">
        <w:tc>
          <w:tcPr>
            <w:tcW w:w="2500" w:type="pct"/>
          </w:tcPr>
          <w:p w14:paraId="317226B8" w14:textId="77777777" w:rsidR="000E04F9" w:rsidRPr="00472578" w:rsidRDefault="000E04F9" w:rsidP="00752412">
            <w:pPr>
              <w:spacing w:after="0"/>
              <w:jc w:val="both"/>
              <w:rPr>
                <w:sz w:val="20"/>
                <w:szCs w:val="20"/>
                <w:u w:val="single"/>
                <w:lang w:val="en-GB"/>
              </w:rPr>
            </w:pPr>
            <w:r w:rsidRPr="00472578">
              <w:rPr>
                <w:sz w:val="20"/>
                <w:szCs w:val="20"/>
                <w:u w:val="single"/>
                <w:lang w:val="en-GB"/>
              </w:rPr>
              <w:lastRenderedPageBreak/>
              <w:t>Cape Wanbrow</w:t>
            </w:r>
          </w:p>
          <w:p w14:paraId="03444028" w14:textId="77777777" w:rsidR="000E04F9" w:rsidRPr="00472578" w:rsidRDefault="000E04F9" w:rsidP="00752412">
            <w:pPr>
              <w:spacing w:after="0"/>
              <w:jc w:val="both"/>
              <w:rPr>
                <w:sz w:val="20"/>
                <w:szCs w:val="20"/>
                <w:u w:val="single"/>
                <w:lang w:val="en-GB"/>
              </w:rPr>
            </w:pPr>
            <w:r w:rsidRPr="00472578">
              <w:rPr>
                <w:sz w:val="20"/>
                <w:szCs w:val="20"/>
                <w:u w:val="single"/>
                <w:lang w:val="en-GB"/>
              </w:rPr>
              <w:t>All Day Bay Lagoon</w:t>
            </w:r>
          </w:p>
          <w:p w14:paraId="6C5DF3CE" w14:textId="77777777" w:rsidR="000E04F9" w:rsidRPr="00472578" w:rsidRDefault="000E04F9" w:rsidP="00752412">
            <w:pPr>
              <w:spacing w:after="0"/>
              <w:jc w:val="both"/>
              <w:rPr>
                <w:sz w:val="20"/>
                <w:szCs w:val="20"/>
                <w:u w:val="single"/>
                <w:lang w:val="en-GB"/>
              </w:rPr>
            </w:pPr>
            <w:r w:rsidRPr="00472578">
              <w:rPr>
                <w:sz w:val="20"/>
                <w:szCs w:val="20"/>
                <w:u w:val="single"/>
                <w:lang w:val="en-GB"/>
              </w:rPr>
              <w:t>Te Hakapureirei Beach</w:t>
            </w:r>
          </w:p>
          <w:p w14:paraId="6B5F054B" w14:textId="77777777" w:rsidR="000E04F9" w:rsidRPr="00472578" w:rsidRDefault="000E04F9" w:rsidP="00752412">
            <w:pPr>
              <w:spacing w:after="0"/>
              <w:jc w:val="both"/>
              <w:rPr>
                <w:sz w:val="20"/>
                <w:szCs w:val="20"/>
                <w:u w:val="single"/>
                <w:lang w:val="en-GB"/>
              </w:rPr>
            </w:pPr>
            <w:r w:rsidRPr="00472578">
              <w:rPr>
                <w:sz w:val="20"/>
                <w:szCs w:val="20"/>
                <w:u w:val="single"/>
                <w:lang w:val="en-GB"/>
              </w:rPr>
              <w:t>Moeraki Point and adjacent coast</w:t>
            </w:r>
          </w:p>
          <w:p w14:paraId="375B0EE6" w14:textId="77777777" w:rsidR="000E04F9" w:rsidRPr="00472578" w:rsidRDefault="000E04F9" w:rsidP="00752412">
            <w:pPr>
              <w:spacing w:after="0"/>
              <w:jc w:val="both"/>
              <w:rPr>
                <w:sz w:val="20"/>
                <w:szCs w:val="20"/>
                <w:u w:val="single"/>
                <w:lang w:val="en-GB"/>
              </w:rPr>
            </w:pPr>
            <w:r w:rsidRPr="00472578">
              <w:rPr>
                <w:sz w:val="20"/>
                <w:szCs w:val="20"/>
                <w:u w:val="single"/>
                <w:lang w:val="en-GB"/>
              </w:rPr>
              <w:t>Kātiki Point</w:t>
            </w:r>
          </w:p>
          <w:p w14:paraId="3B5762C0" w14:textId="77777777" w:rsidR="000E04F9" w:rsidRPr="00472578" w:rsidRDefault="000E04F9" w:rsidP="00752412">
            <w:pPr>
              <w:spacing w:after="0"/>
              <w:jc w:val="both"/>
              <w:rPr>
                <w:sz w:val="20"/>
                <w:szCs w:val="20"/>
                <w:u w:val="single"/>
                <w:lang w:val="en-GB"/>
              </w:rPr>
            </w:pPr>
            <w:r w:rsidRPr="00472578">
              <w:rPr>
                <w:sz w:val="20"/>
                <w:szCs w:val="20"/>
                <w:u w:val="single"/>
                <w:lang w:val="en-GB"/>
              </w:rPr>
              <w:t>Kātiki Beach</w:t>
            </w:r>
          </w:p>
          <w:p w14:paraId="22742762" w14:textId="77777777" w:rsidR="000E04F9" w:rsidRPr="00472578" w:rsidRDefault="000E04F9" w:rsidP="00752412">
            <w:pPr>
              <w:spacing w:after="0"/>
              <w:jc w:val="both"/>
              <w:rPr>
                <w:sz w:val="20"/>
                <w:szCs w:val="20"/>
                <w:u w:val="single"/>
                <w:lang w:val="en-GB"/>
              </w:rPr>
            </w:pPr>
            <w:r w:rsidRPr="00472578">
              <w:rPr>
                <w:sz w:val="20"/>
                <w:szCs w:val="20"/>
                <w:u w:val="single"/>
                <w:lang w:val="en-GB"/>
              </w:rPr>
              <w:t>Shag Point (incl. Shag River estuary &amp; Cliffs between Shag and Stoney Rivers)</w:t>
            </w:r>
          </w:p>
          <w:p w14:paraId="5D17A6F4" w14:textId="77777777" w:rsidR="000E04F9" w:rsidRPr="00472578" w:rsidRDefault="000E04F9" w:rsidP="00752412">
            <w:pPr>
              <w:spacing w:after="0"/>
              <w:jc w:val="both"/>
              <w:rPr>
                <w:sz w:val="20"/>
                <w:szCs w:val="20"/>
                <w:u w:val="single"/>
                <w:lang w:val="en-GB"/>
              </w:rPr>
            </w:pPr>
            <w:r w:rsidRPr="00472578">
              <w:rPr>
                <w:sz w:val="20"/>
                <w:szCs w:val="20"/>
                <w:u w:val="single"/>
                <w:lang w:val="en-GB"/>
              </w:rPr>
              <w:t>Cliffs south of Stoney Creek</w:t>
            </w:r>
          </w:p>
          <w:p w14:paraId="6F6CBC00" w14:textId="77777777" w:rsidR="000E04F9" w:rsidRPr="00472578" w:rsidRDefault="000E04F9" w:rsidP="00752412">
            <w:pPr>
              <w:spacing w:after="0"/>
              <w:jc w:val="both"/>
              <w:rPr>
                <w:sz w:val="20"/>
                <w:szCs w:val="20"/>
                <w:u w:val="single"/>
                <w:lang w:val="en-GB"/>
              </w:rPr>
            </w:pPr>
            <w:r w:rsidRPr="00472578">
              <w:rPr>
                <w:sz w:val="20"/>
                <w:szCs w:val="20"/>
                <w:u w:val="single"/>
                <w:lang w:val="en-GB"/>
              </w:rPr>
              <w:t>Bobbys Head</w:t>
            </w:r>
          </w:p>
          <w:p w14:paraId="39753247" w14:textId="77777777" w:rsidR="000E04F9" w:rsidRPr="00472578" w:rsidRDefault="000E04F9" w:rsidP="00752412">
            <w:pPr>
              <w:spacing w:after="0"/>
              <w:jc w:val="both"/>
              <w:rPr>
                <w:sz w:val="20"/>
                <w:szCs w:val="20"/>
                <w:u w:val="single"/>
                <w:lang w:val="en-GB"/>
              </w:rPr>
            </w:pPr>
            <w:r w:rsidRPr="00472578">
              <w:rPr>
                <w:sz w:val="20"/>
                <w:szCs w:val="20"/>
                <w:u w:val="single"/>
                <w:lang w:val="en-GB"/>
              </w:rPr>
              <w:t>Cliffs south of Tavora</w:t>
            </w:r>
          </w:p>
          <w:p w14:paraId="6016A562" w14:textId="77777777" w:rsidR="000E04F9" w:rsidRPr="00472578" w:rsidRDefault="000E04F9" w:rsidP="00752412">
            <w:pPr>
              <w:spacing w:after="0"/>
              <w:jc w:val="both"/>
              <w:rPr>
                <w:sz w:val="20"/>
                <w:szCs w:val="20"/>
                <w:u w:val="single"/>
                <w:lang w:val="en-GB"/>
              </w:rPr>
            </w:pPr>
            <w:r w:rsidRPr="00472578">
              <w:rPr>
                <w:sz w:val="20"/>
                <w:szCs w:val="20"/>
                <w:u w:val="single"/>
                <w:lang w:val="en-GB"/>
              </w:rPr>
              <w:t>Pleasant River spit</w:t>
            </w:r>
          </w:p>
          <w:p w14:paraId="5FD38767" w14:textId="77777777" w:rsidR="000E04F9" w:rsidRPr="00472578" w:rsidRDefault="000E04F9" w:rsidP="00752412">
            <w:pPr>
              <w:spacing w:after="0"/>
              <w:jc w:val="both"/>
              <w:rPr>
                <w:sz w:val="20"/>
                <w:szCs w:val="20"/>
                <w:u w:val="single"/>
                <w:lang w:val="en-GB"/>
              </w:rPr>
            </w:pPr>
            <w:r w:rsidRPr="00472578">
              <w:rPr>
                <w:sz w:val="20"/>
                <w:szCs w:val="20"/>
                <w:u w:val="single"/>
                <w:lang w:val="en-GB"/>
              </w:rPr>
              <w:t>Pleasant River estuary</w:t>
            </w:r>
          </w:p>
          <w:p w14:paraId="50FE5C59" w14:textId="77777777" w:rsidR="000E04F9" w:rsidRPr="00472578" w:rsidRDefault="000E04F9" w:rsidP="00752412">
            <w:pPr>
              <w:spacing w:after="0"/>
              <w:jc w:val="both"/>
              <w:rPr>
                <w:sz w:val="20"/>
                <w:szCs w:val="20"/>
                <w:u w:val="single"/>
                <w:lang w:val="en-GB"/>
              </w:rPr>
            </w:pPr>
            <w:r w:rsidRPr="00472578">
              <w:rPr>
                <w:sz w:val="20"/>
                <w:szCs w:val="20"/>
                <w:u w:val="single"/>
                <w:lang w:val="en-GB"/>
              </w:rPr>
              <w:t>Tumai</w:t>
            </w:r>
          </w:p>
          <w:p w14:paraId="4929ABAE" w14:textId="77777777" w:rsidR="000E04F9" w:rsidRPr="00472578" w:rsidRDefault="000E04F9" w:rsidP="00752412">
            <w:pPr>
              <w:spacing w:after="0"/>
              <w:jc w:val="both"/>
              <w:rPr>
                <w:sz w:val="20"/>
                <w:szCs w:val="20"/>
                <w:u w:val="single"/>
                <w:lang w:val="en-GB"/>
              </w:rPr>
            </w:pPr>
            <w:r w:rsidRPr="00472578">
              <w:rPr>
                <w:sz w:val="20"/>
                <w:szCs w:val="20"/>
                <w:u w:val="single"/>
                <w:lang w:val="en-GB"/>
              </w:rPr>
              <w:t>Karitāne Headland</w:t>
            </w:r>
          </w:p>
          <w:p w14:paraId="5EAC1AE2" w14:textId="77777777" w:rsidR="000E04F9" w:rsidRPr="00472578" w:rsidRDefault="000E04F9" w:rsidP="00752412">
            <w:pPr>
              <w:spacing w:after="0"/>
              <w:jc w:val="both"/>
              <w:rPr>
                <w:sz w:val="20"/>
                <w:szCs w:val="20"/>
                <w:u w:val="single"/>
                <w:lang w:val="en-GB"/>
              </w:rPr>
            </w:pPr>
            <w:r w:rsidRPr="00472578">
              <w:rPr>
                <w:sz w:val="20"/>
                <w:szCs w:val="20"/>
                <w:u w:val="single"/>
                <w:lang w:val="en-GB"/>
              </w:rPr>
              <w:t>Seacliff</w:t>
            </w:r>
          </w:p>
          <w:p w14:paraId="0B9046CB" w14:textId="77777777" w:rsidR="000E04F9" w:rsidRPr="00472578" w:rsidRDefault="000E04F9" w:rsidP="00752412">
            <w:pPr>
              <w:spacing w:after="0"/>
              <w:jc w:val="both"/>
              <w:rPr>
                <w:sz w:val="20"/>
                <w:szCs w:val="20"/>
                <w:u w:val="single"/>
                <w:lang w:val="en-GB"/>
              </w:rPr>
            </w:pPr>
            <w:r w:rsidRPr="00472578">
              <w:rPr>
                <w:sz w:val="20"/>
                <w:szCs w:val="20"/>
                <w:u w:val="single"/>
                <w:lang w:val="en-GB"/>
              </w:rPr>
              <w:t>Māpoutahi</w:t>
            </w:r>
          </w:p>
          <w:p w14:paraId="38F8826F" w14:textId="77777777" w:rsidR="000E04F9" w:rsidRPr="00472578" w:rsidRDefault="000E04F9" w:rsidP="00752412">
            <w:pPr>
              <w:spacing w:after="0"/>
              <w:jc w:val="both"/>
              <w:rPr>
                <w:sz w:val="20"/>
                <w:szCs w:val="20"/>
                <w:u w:val="single"/>
                <w:lang w:val="en-GB"/>
              </w:rPr>
            </w:pPr>
            <w:r w:rsidRPr="00472578">
              <w:rPr>
                <w:sz w:val="20"/>
                <w:szCs w:val="20"/>
                <w:u w:val="single"/>
                <w:lang w:val="en-GB"/>
              </w:rPr>
              <w:t>Potato Point</w:t>
            </w:r>
          </w:p>
          <w:p w14:paraId="30B0A801" w14:textId="77777777" w:rsidR="000E04F9" w:rsidRPr="00472578" w:rsidRDefault="000E04F9" w:rsidP="00752412">
            <w:pPr>
              <w:spacing w:after="0"/>
              <w:jc w:val="both"/>
              <w:rPr>
                <w:sz w:val="20"/>
                <w:szCs w:val="20"/>
                <w:u w:val="single"/>
                <w:lang w:val="en-GB"/>
              </w:rPr>
            </w:pPr>
            <w:r w:rsidRPr="00472578">
              <w:rPr>
                <w:sz w:val="20"/>
                <w:szCs w:val="20"/>
                <w:u w:val="single"/>
                <w:lang w:val="en-GB"/>
              </w:rPr>
              <w:t>Heyward Point (incl. Long Beach &amp; Aramoana)</w:t>
            </w:r>
          </w:p>
          <w:p w14:paraId="0429F360" w14:textId="77777777" w:rsidR="000E04F9" w:rsidRPr="00472578" w:rsidRDefault="000E04F9" w:rsidP="00752412">
            <w:pPr>
              <w:spacing w:after="0"/>
              <w:jc w:val="both"/>
              <w:rPr>
                <w:sz w:val="20"/>
                <w:szCs w:val="20"/>
                <w:u w:val="single"/>
                <w:lang w:val="en-GB"/>
              </w:rPr>
            </w:pPr>
            <w:r w:rsidRPr="00472578">
              <w:rPr>
                <w:sz w:val="20"/>
                <w:szCs w:val="20"/>
                <w:u w:val="single"/>
                <w:lang w:val="en-GB"/>
              </w:rPr>
              <w:t>Harbour Islands / Portobello Peninsula</w:t>
            </w:r>
          </w:p>
          <w:p w14:paraId="586A6884" w14:textId="77777777" w:rsidR="000E04F9" w:rsidRPr="00472578" w:rsidRDefault="000E04F9" w:rsidP="00752412">
            <w:pPr>
              <w:spacing w:after="0"/>
              <w:jc w:val="both"/>
              <w:rPr>
                <w:sz w:val="20"/>
                <w:szCs w:val="20"/>
                <w:u w:val="single"/>
                <w:lang w:val="en-GB"/>
              </w:rPr>
            </w:pPr>
            <w:r w:rsidRPr="00472578">
              <w:rPr>
                <w:sz w:val="20"/>
                <w:szCs w:val="20"/>
                <w:u w:val="single"/>
                <w:lang w:val="en-GB"/>
              </w:rPr>
              <w:t>Taiaroa Head</w:t>
            </w:r>
          </w:p>
          <w:p w14:paraId="0538641A" w14:textId="77777777" w:rsidR="000E04F9" w:rsidRPr="00472578" w:rsidRDefault="000E04F9" w:rsidP="00752412">
            <w:pPr>
              <w:spacing w:after="0"/>
              <w:jc w:val="both"/>
              <w:rPr>
                <w:sz w:val="20"/>
                <w:szCs w:val="20"/>
                <w:u w:val="single"/>
                <w:lang w:val="en-GB"/>
              </w:rPr>
            </w:pPr>
            <w:r w:rsidRPr="00472578">
              <w:rPr>
                <w:sz w:val="20"/>
                <w:szCs w:val="20"/>
                <w:u w:val="single"/>
                <w:lang w:val="en-GB"/>
              </w:rPr>
              <w:t>Harington Point</w:t>
            </w:r>
          </w:p>
          <w:p w14:paraId="5F64EC3F" w14:textId="77777777" w:rsidR="000E04F9" w:rsidRPr="00472578" w:rsidRDefault="000E04F9" w:rsidP="00752412">
            <w:pPr>
              <w:spacing w:after="0"/>
              <w:jc w:val="both"/>
              <w:rPr>
                <w:sz w:val="20"/>
                <w:szCs w:val="20"/>
                <w:u w:val="single"/>
                <w:lang w:val="en-GB"/>
              </w:rPr>
            </w:pPr>
            <w:r w:rsidRPr="00472578">
              <w:rPr>
                <w:sz w:val="20"/>
                <w:szCs w:val="20"/>
                <w:u w:val="single"/>
                <w:lang w:val="en-GB"/>
              </w:rPr>
              <w:t>Pīpīkāretu</w:t>
            </w:r>
          </w:p>
          <w:p w14:paraId="3DC80C92" w14:textId="77777777" w:rsidR="000E04F9" w:rsidRPr="00472578" w:rsidRDefault="000E04F9" w:rsidP="00752412">
            <w:pPr>
              <w:spacing w:after="0"/>
              <w:jc w:val="both"/>
              <w:rPr>
                <w:sz w:val="20"/>
                <w:szCs w:val="20"/>
                <w:u w:val="single"/>
                <w:lang w:val="en-GB"/>
              </w:rPr>
            </w:pPr>
            <w:r w:rsidRPr="00472578">
              <w:rPr>
                <w:sz w:val="20"/>
                <w:szCs w:val="20"/>
                <w:u w:val="single"/>
                <w:lang w:val="en-GB"/>
              </w:rPr>
              <w:t>Okia (incl. Victory Beach &amp; Papanui Inlet)</w:t>
            </w:r>
          </w:p>
          <w:p w14:paraId="3E971528" w14:textId="77777777" w:rsidR="000E04F9" w:rsidRPr="00472578" w:rsidRDefault="000E04F9" w:rsidP="00752412">
            <w:pPr>
              <w:spacing w:after="0"/>
              <w:jc w:val="both"/>
              <w:rPr>
                <w:sz w:val="20"/>
                <w:szCs w:val="20"/>
                <w:u w:val="single"/>
                <w:lang w:val="en-GB"/>
              </w:rPr>
            </w:pPr>
            <w:r w:rsidRPr="00472578">
              <w:rPr>
                <w:sz w:val="20"/>
                <w:szCs w:val="20"/>
                <w:u w:val="single"/>
                <w:lang w:val="en-GB"/>
              </w:rPr>
              <w:t>Allans Beach / Hoopers Inlet</w:t>
            </w:r>
          </w:p>
          <w:p w14:paraId="45136A62" w14:textId="77777777" w:rsidR="000E04F9" w:rsidRPr="00472578" w:rsidRDefault="000E04F9" w:rsidP="00752412">
            <w:pPr>
              <w:spacing w:after="0"/>
              <w:jc w:val="both"/>
              <w:rPr>
                <w:sz w:val="20"/>
                <w:szCs w:val="20"/>
                <w:u w:val="single"/>
                <w:lang w:val="en-GB"/>
              </w:rPr>
            </w:pPr>
            <w:r w:rsidRPr="00472578">
              <w:rPr>
                <w:sz w:val="20"/>
                <w:szCs w:val="20"/>
                <w:u w:val="single"/>
                <w:lang w:val="en-GB"/>
              </w:rPr>
              <w:t>Seal Point</w:t>
            </w:r>
          </w:p>
          <w:p w14:paraId="14E51D0D" w14:textId="77777777" w:rsidR="000E04F9" w:rsidRPr="00472578" w:rsidRDefault="000E04F9" w:rsidP="00752412">
            <w:pPr>
              <w:spacing w:after="0"/>
              <w:jc w:val="both"/>
              <w:rPr>
                <w:sz w:val="20"/>
                <w:szCs w:val="20"/>
                <w:u w:val="single"/>
                <w:lang w:val="en-GB"/>
              </w:rPr>
            </w:pPr>
            <w:r w:rsidRPr="00472578">
              <w:rPr>
                <w:sz w:val="20"/>
                <w:szCs w:val="20"/>
                <w:u w:val="single"/>
                <w:lang w:val="en-GB"/>
              </w:rPr>
              <w:t>Boulder Beach</w:t>
            </w:r>
          </w:p>
          <w:p w14:paraId="34984155" w14:textId="77777777" w:rsidR="000E04F9" w:rsidRPr="00472578" w:rsidRDefault="000E04F9" w:rsidP="00752412">
            <w:pPr>
              <w:spacing w:after="0"/>
              <w:jc w:val="both"/>
              <w:rPr>
                <w:sz w:val="20"/>
                <w:szCs w:val="20"/>
                <w:u w:val="single"/>
                <w:lang w:val="en-GB"/>
              </w:rPr>
            </w:pPr>
            <w:r w:rsidRPr="00472578">
              <w:rPr>
                <w:sz w:val="20"/>
                <w:szCs w:val="20"/>
                <w:u w:val="single"/>
                <w:lang w:val="en-GB"/>
              </w:rPr>
              <w:t>St Clair cliffs</w:t>
            </w:r>
          </w:p>
          <w:p w14:paraId="500F29E7" w14:textId="77777777" w:rsidR="000E04F9" w:rsidRPr="00472578" w:rsidRDefault="000E04F9" w:rsidP="00752412">
            <w:pPr>
              <w:spacing w:after="0"/>
              <w:jc w:val="both"/>
              <w:rPr>
                <w:sz w:val="20"/>
                <w:szCs w:val="20"/>
                <w:u w:val="single"/>
                <w:lang w:val="en-GB"/>
              </w:rPr>
            </w:pPr>
            <w:r w:rsidRPr="00472578">
              <w:rPr>
                <w:sz w:val="20"/>
                <w:szCs w:val="20"/>
                <w:u w:val="single"/>
                <w:lang w:val="en-GB"/>
              </w:rPr>
              <w:t>Kuri Bush</w:t>
            </w:r>
          </w:p>
          <w:p w14:paraId="70C75C74" w14:textId="77777777" w:rsidR="000E04F9" w:rsidRPr="00472578" w:rsidRDefault="000E04F9" w:rsidP="00752412">
            <w:pPr>
              <w:spacing w:after="0"/>
              <w:jc w:val="both"/>
              <w:rPr>
                <w:sz w:val="20"/>
                <w:szCs w:val="20"/>
                <w:u w:val="single"/>
                <w:lang w:val="en-GB"/>
              </w:rPr>
            </w:pPr>
            <w:r w:rsidRPr="00472578">
              <w:rPr>
                <w:sz w:val="20"/>
                <w:szCs w:val="20"/>
                <w:u w:val="single"/>
                <w:lang w:val="en-GB"/>
              </w:rPr>
              <w:t>Cape Saunders</w:t>
            </w:r>
          </w:p>
          <w:p w14:paraId="2B32D0AB" w14:textId="77777777" w:rsidR="000E04F9" w:rsidRPr="00472578" w:rsidRDefault="000E04F9" w:rsidP="00752412">
            <w:pPr>
              <w:spacing w:after="0"/>
              <w:jc w:val="both"/>
              <w:rPr>
                <w:sz w:val="20"/>
                <w:szCs w:val="20"/>
                <w:u w:val="single"/>
                <w:lang w:val="en-GB"/>
              </w:rPr>
            </w:pPr>
            <w:r w:rsidRPr="00472578">
              <w:rPr>
                <w:sz w:val="20"/>
                <w:szCs w:val="20"/>
                <w:u w:val="single"/>
                <w:lang w:val="en-GB"/>
              </w:rPr>
              <w:t>Sandfly Bay</w:t>
            </w:r>
          </w:p>
          <w:p w14:paraId="577BF3C8" w14:textId="77777777" w:rsidR="000E04F9" w:rsidRPr="00472578" w:rsidRDefault="000E04F9" w:rsidP="00752412">
            <w:pPr>
              <w:spacing w:after="0"/>
              <w:jc w:val="both"/>
              <w:rPr>
                <w:sz w:val="20"/>
                <w:szCs w:val="20"/>
                <w:u w:val="single"/>
                <w:lang w:val="en-GB"/>
              </w:rPr>
            </w:pPr>
            <w:r w:rsidRPr="00472578">
              <w:rPr>
                <w:sz w:val="20"/>
                <w:szCs w:val="20"/>
                <w:u w:val="single"/>
                <w:lang w:val="en-GB"/>
              </w:rPr>
              <w:t>Sandymount</w:t>
            </w:r>
          </w:p>
          <w:p w14:paraId="49441A52" w14:textId="77777777" w:rsidR="000E04F9" w:rsidRPr="00472578" w:rsidRDefault="000E04F9" w:rsidP="00752412">
            <w:pPr>
              <w:spacing w:after="0"/>
              <w:jc w:val="both"/>
              <w:rPr>
                <w:sz w:val="20"/>
                <w:szCs w:val="20"/>
                <w:u w:val="single"/>
                <w:lang w:val="en-GB"/>
              </w:rPr>
            </w:pPr>
            <w:r w:rsidRPr="00472578">
              <w:rPr>
                <w:sz w:val="20"/>
                <w:szCs w:val="20"/>
                <w:u w:val="single"/>
                <w:lang w:val="en-GB"/>
              </w:rPr>
              <w:t>Highcliff / Pudneys Cliff</w:t>
            </w:r>
          </w:p>
          <w:p w14:paraId="54B28D63" w14:textId="77777777" w:rsidR="000E04F9" w:rsidRPr="00472578" w:rsidRDefault="000E04F9" w:rsidP="00752412">
            <w:pPr>
              <w:spacing w:after="0"/>
              <w:jc w:val="both"/>
              <w:rPr>
                <w:sz w:val="20"/>
                <w:szCs w:val="20"/>
                <w:u w:val="single"/>
                <w:lang w:val="en-GB"/>
              </w:rPr>
            </w:pPr>
            <w:r w:rsidRPr="00472578">
              <w:rPr>
                <w:sz w:val="20"/>
                <w:szCs w:val="20"/>
                <w:u w:val="single"/>
                <w:lang w:val="en-GB"/>
              </w:rPr>
              <w:t>White Island</w:t>
            </w:r>
          </w:p>
          <w:p w14:paraId="60E6E162" w14:textId="77777777" w:rsidR="000E04F9" w:rsidRPr="00472578" w:rsidRDefault="000E04F9" w:rsidP="00752412">
            <w:pPr>
              <w:spacing w:after="0"/>
              <w:jc w:val="both"/>
              <w:rPr>
                <w:sz w:val="20"/>
                <w:szCs w:val="20"/>
                <w:u w:val="single"/>
                <w:lang w:val="en-GB"/>
              </w:rPr>
            </w:pPr>
            <w:r w:rsidRPr="00472578">
              <w:rPr>
                <w:sz w:val="20"/>
                <w:szCs w:val="20"/>
                <w:u w:val="single"/>
                <w:lang w:val="en-GB"/>
              </w:rPr>
              <w:t>Tunnel Beach</w:t>
            </w:r>
          </w:p>
          <w:p w14:paraId="14616550" w14:textId="77777777" w:rsidR="000E04F9" w:rsidRPr="00472578" w:rsidRDefault="000E04F9" w:rsidP="00752412">
            <w:pPr>
              <w:spacing w:after="0"/>
              <w:jc w:val="both"/>
              <w:rPr>
                <w:sz w:val="20"/>
                <w:szCs w:val="20"/>
                <w:u w:val="single"/>
                <w:lang w:val="en-GB"/>
              </w:rPr>
            </w:pPr>
            <w:r w:rsidRPr="00472578">
              <w:rPr>
                <w:sz w:val="20"/>
                <w:szCs w:val="20"/>
                <w:u w:val="single"/>
                <w:lang w:val="en-GB"/>
              </w:rPr>
              <w:t xml:space="preserve">Green Island </w:t>
            </w:r>
          </w:p>
          <w:p w14:paraId="77787970" w14:textId="77777777" w:rsidR="000E04F9" w:rsidRPr="00472578" w:rsidRDefault="000E04F9" w:rsidP="00752412">
            <w:pPr>
              <w:spacing w:after="0"/>
              <w:jc w:val="both"/>
              <w:rPr>
                <w:sz w:val="20"/>
                <w:szCs w:val="20"/>
                <w:u w:val="single"/>
                <w:lang w:val="en-GB"/>
              </w:rPr>
            </w:pPr>
            <w:r w:rsidRPr="00472578">
              <w:rPr>
                <w:sz w:val="20"/>
                <w:szCs w:val="20"/>
                <w:u w:val="single"/>
                <w:lang w:val="en-GB"/>
              </w:rPr>
              <w:t>Coutts Gully wetland</w:t>
            </w:r>
          </w:p>
          <w:p w14:paraId="63D7B38C" w14:textId="77777777" w:rsidR="000E04F9" w:rsidRPr="00472578" w:rsidRDefault="000E04F9" w:rsidP="00752412">
            <w:pPr>
              <w:spacing w:after="0"/>
              <w:jc w:val="both"/>
              <w:rPr>
                <w:sz w:val="20"/>
                <w:szCs w:val="20"/>
                <w:u w:val="single"/>
                <w:lang w:val="en-GB"/>
              </w:rPr>
            </w:pPr>
            <w:r w:rsidRPr="00472578">
              <w:rPr>
                <w:sz w:val="20"/>
                <w:szCs w:val="20"/>
                <w:u w:val="single"/>
                <w:lang w:val="en-GB"/>
              </w:rPr>
              <w:t>Taieri Beach</w:t>
            </w:r>
          </w:p>
          <w:p w14:paraId="650FF76C" w14:textId="77777777" w:rsidR="000E04F9" w:rsidRPr="00472578" w:rsidRDefault="000E04F9" w:rsidP="00752412">
            <w:pPr>
              <w:spacing w:after="0"/>
              <w:jc w:val="both"/>
              <w:rPr>
                <w:sz w:val="20"/>
                <w:szCs w:val="20"/>
                <w:u w:val="single"/>
                <w:lang w:val="en-GB"/>
              </w:rPr>
            </w:pPr>
            <w:r w:rsidRPr="00472578">
              <w:rPr>
                <w:sz w:val="20"/>
                <w:szCs w:val="20"/>
                <w:u w:val="single"/>
                <w:lang w:val="en-GB"/>
              </w:rPr>
              <w:t>Akatore gorge</w:t>
            </w:r>
          </w:p>
          <w:p w14:paraId="3093C3DA" w14:textId="77777777" w:rsidR="000E04F9" w:rsidRPr="00472578" w:rsidRDefault="000E04F9" w:rsidP="00752412">
            <w:pPr>
              <w:spacing w:after="0"/>
              <w:jc w:val="both"/>
              <w:rPr>
                <w:sz w:val="20"/>
                <w:szCs w:val="20"/>
                <w:u w:val="single"/>
                <w:lang w:val="en-GB"/>
              </w:rPr>
            </w:pPr>
            <w:r w:rsidRPr="00472578">
              <w:rPr>
                <w:sz w:val="20"/>
                <w:szCs w:val="20"/>
                <w:u w:val="single"/>
                <w:lang w:val="en-GB"/>
              </w:rPr>
              <w:t>Akatore wetland</w:t>
            </w:r>
          </w:p>
          <w:p w14:paraId="2FCD3EF7" w14:textId="77777777" w:rsidR="000E04F9" w:rsidRPr="00472578" w:rsidRDefault="000E04F9" w:rsidP="00752412">
            <w:pPr>
              <w:spacing w:after="0"/>
              <w:jc w:val="both"/>
              <w:rPr>
                <w:sz w:val="20"/>
                <w:szCs w:val="20"/>
                <w:u w:val="single"/>
                <w:lang w:val="en-GB"/>
              </w:rPr>
            </w:pPr>
            <w:r w:rsidRPr="00472578">
              <w:rPr>
                <w:sz w:val="20"/>
                <w:szCs w:val="20"/>
                <w:u w:val="single"/>
                <w:lang w:val="en-GB"/>
              </w:rPr>
              <w:t>Quoin Point</w:t>
            </w:r>
          </w:p>
          <w:p w14:paraId="6FF5491E" w14:textId="77777777" w:rsidR="000E04F9" w:rsidRPr="00472578" w:rsidRDefault="000E04F9" w:rsidP="00752412">
            <w:pPr>
              <w:spacing w:after="0"/>
              <w:jc w:val="both"/>
              <w:rPr>
                <w:sz w:val="20"/>
                <w:szCs w:val="20"/>
                <w:u w:val="single"/>
                <w:lang w:val="en-GB"/>
              </w:rPr>
            </w:pPr>
            <w:r w:rsidRPr="00472578">
              <w:rPr>
                <w:sz w:val="20"/>
                <w:szCs w:val="20"/>
                <w:u w:val="single"/>
                <w:lang w:val="en-GB"/>
              </w:rPr>
              <w:t>Measly Beach</w:t>
            </w:r>
          </w:p>
          <w:p w14:paraId="3002F75D" w14:textId="77777777" w:rsidR="000E04F9" w:rsidRPr="00472578" w:rsidRDefault="000E04F9" w:rsidP="00752412">
            <w:pPr>
              <w:spacing w:after="0"/>
              <w:jc w:val="both"/>
              <w:rPr>
                <w:sz w:val="20"/>
                <w:szCs w:val="20"/>
                <w:u w:val="single"/>
                <w:lang w:val="en-GB"/>
              </w:rPr>
            </w:pPr>
            <w:r w:rsidRPr="00472578">
              <w:rPr>
                <w:sz w:val="20"/>
                <w:szCs w:val="20"/>
                <w:u w:val="single"/>
                <w:lang w:val="en-GB"/>
              </w:rPr>
              <w:t>Cannibal / Surat Bay</w:t>
            </w:r>
          </w:p>
          <w:p w14:paraId="7CD8812D" w14:textId="77777777" w:rsidR="000E04F9" w:rsidRPr="00472578" w:rsidRDefault="000E04F9" w:rsidP="00752412">
            <w:pPr>
              <w:spacing w:after="0"/>
              <w:jc w:val="both"/>
              <w:rPr>
                <w:sz w:val="20"/>
                <w:szCs w:val="20"/>
                <w:u w:val="single"/>
                <w:lang w:val="en-GB"/>
              </w:rPr>
            </w:pPr>
            <w:r w:rsidRPr="00472578">
              <w:rPr>
                <w:sz w:val="20"/>
                <w:szCs w:val="20"/>
                <w:u w:val="single"/>
                <w:lang w:val="en-GB"/>
              </w:rPr>
              <w:t>Caitlins Lake</w:t>
            </w:r>
          </w:p>
          <w:p w14:paraId="18E085C0" w14:textId="77777777" w:rsidR="000E04F9" w:rsidRPr="00472578" w:rsidRDefault="000E04F9" w:rsidP="00752412">
            <w:pPr>
              <w:spacing w:after="0"/>
              <w:jc w:val="both"/>
              <w:rPr>
                <w:sz w:val="20"/>
                <w:szCs w:val="20"/>
                <w:u w:val="single"/>
                <w:lang w:val="en-GB"/>
              </w:rPr>
            </w:pPr>
            <w:r w:rsidRPr="00472578">
              <w:rPr>
                <w:sz w:val="20"/>
                <w:szCs w:val="20"/>
                <w:u w:val="single"/>
                <w:lang w:val="en-GB"/>
              </w:rPr>
              <w:t>Caitlins Heads</w:t>
            </w:r>
          </w:p>
          <w:p w14:paraId="7877C786" w14:textId="77777777" w:rsidR="000E04F9" w:rsidRPr="00472578" w:rsidRDefault="000E04F9" w:rsidP="00752412">
            <w:pPr>
              <w:spacing w:after="0"/>
              <w:jc w:val="both"/>
              <w:rPr>
                <w:sz w:val="20"/>
                <w:szCs w:val="20"/>
                <w:u w:val="single"/>
                <w:lang w:val="en-GB"/>
              </w:rPr>
            </w:pPr>
            <w:r w:rsidRPr="00472578">
              <w:rPr>
                <w:sz w:val="20"/>
                <w:szCs w:val="20"/>
              </w:rPr>
              <w:t xml:space="preserve">Pūrākaunui </w:t>
            </w:r>
            <w:r w:rsidRPr="00472578">
              <w:rPr>
                <w:sz w:val="20"/>
                <w:szCs w:val="20"/>
                <w:u w:val="single"/>
                <w:lang w:val="en-GB"/>
              </w:rPr>
              <w:t>Bay</w:t>
            </w:r>
          </w:p>
          <w:p w14:paraId="262E6966" w14:textId="77777777" w:rsidR="000E04F9" w:rsidRPr="00472578" w:rsidRDefault="000E04F9" w:rsidP="00752412">
            <w:pPr>
              <w:spacing w:after="0"/>
              <w:jc w:val="both"/>
              <w:rPr>
                <w:sz w:val="20"/>
                <w:szCs w:val="20"/>
                <w:u w:val="single"/>
                <w:lang w:val="en-GB"/>
              </w:rPr>
            </w:pPr>
            <w:r w:rsidRPr="00472578">
              <w:rPr>
                <w:sz w:val="20"/>
                <w:szCs w:val="20"/>
                <w:u w:val="single"/>
                <w:lang w:val="en-GB"/>
              </w:rPr>
              <w:t>Haywards Point</w:t>
            </w:r>
          </w:p>
          <w:p w14:paraId="5D8E427F" w14:textId="77777777" w:rsidR="000E04F9" w:rsidRPr="00472578" w:rsidRDefault="000E04F9" w:rsidP="00752412">
            <w:pPr>
              <w:spacing w:after="0"/>
              <w:jc w:val="both"/>
              <w:rPr>
                <w:sz w:val="20"/>
                <w:szCs w:val="20"/>
                <w:u w:val="single"/>
                <w:lang w:val="en-GB"/>
              </w:rPr>
            </w:pPr>
            <w:r w:rsidRPr="00472578">
              <w:rPr>
                <w:sz w:val="20"/>
                <w:szCs w:val="20"/>
                <w:u w:val="single"/>
                <w:lang w:val="en-GB"/>
              </w:rPr>
              <w:t>Pillans Head</w:t>
            </w:r>
          </w:p>
          <w:p w14:paraId="3599F72D" w14:textId="77777777" w:rsidR="000E04F9" w:rsidRPr="00472578" w:rsidRDefault="000E04F9" w:rsidP="00752412">
            <w:pPr>
              <w:spacing w:after="0"/>
              <w:jc w:val="both"/>
              <w:rPr>
                <w:sz w:val="20"/>
                <w:szCs w:val="20"/>
                <w:u w:val="single"/>
                <w:lang w:val="en-GB"/>
              </w:rPr>
            </w:pPr>
            <w:r w:rsidRPr="00472578">
              <w:rPr>
                <w:sz w:val="20"/>
                <w:szCs w:val="20"/>
                <w:u w:val="single"/>
                <w:lang w:val="en-GB"/>
              </w:rPr>
              <w:lastRenderedPageBreak/>
              <w:t>Tahakopa River</w:t>
            </w:r>
          </w:p>
          <w:p w14:paraId="6EAC488B" w14:textId="77777777" w:rsidR="000E04F9" w:rsidRPr="00472578" w:rsidRDefault="000E04F9" w:rsidP="00752412">
            <w:pPr>
              <w:spacing w:after="0"/>
              <w:jc w:val="both"/>
              <w:rPr>
                <w:sz w:val="20"/>
                <w:szCs w:val="20"/>
                <w:u w:val="single"/>
                <w:lang w:val="en-GB"/>
              </w:rPr>
            </w:pPr>
            <w:r w:rsidRPr="00472578">
              <w:rPr>
                <w:sz w:val="20"/>
                <w:szCs w:val="20"/>
                <w:u w:val="single"/>
                <w:lang w:val="en-GB"/>
              </w:rPr>
              <w:t>Tautuku (incl. Tautuku Peninsula (incl. Tautuku Bay &amp; Tautuku River)</w:t>
            </w:r>
          </w:p>
          <w:p w14:paraId="6267FC79" w14:textId="77777777" w:rsidR="000E04F9" w:rsidRPr="00472578" w:rsidRDefault="000E04F9" w:rsidP="00752412">
            <w:pPr>
              <w:spacing w:after="0"/>
              <w:jc w:val="both"/>
              <w:rPr>
                <w:sz w:val="20"/>
                <w:szCs w:val="20"/>
                <w:u w:val="single"/>
                <w:lang w:val="en-GB"/>
              </w:rPr>
            </w:pPr>
            <w:r w:rsidRPr="00472578">
              <w:rPr>
                <w:sz w:val="20"/>
                <w:szCs w:val="20"/>
                <w:u w:val="single"/>
                <w:lang w:val="en-GB"/>
              </w:rPr>
              <w:t>Lower Taieri River</w:t>
            </w:r>
          </w:p>
          <w:p w14:paraId="4A4D9116" w14:textId="77777777" w:rsidR="000E04F9" w:rsidRPr="00472578" w:rsidRDefault="000E04F9" w:rsidP="00752412">
            <w:pPr>
              <w:spacing w:after="0"/>
              <w:jc w:val="both"/>
              <w:rPr>
                <w:sz w:val="20"/>
                <w:szCs w:val="20"/>
                <w:u w:val="single"/>
                <w:lang w:val="en-GB"/>
              </w:rPr>
            </w:pPr>
            <w:r w:rsidRPr="00472578">
              <w:rPr>
                <w:sz w:val="20"/>
                <w:szCs w:val="20"/>
                <w:u w:val="single"/>
                <w:lang w:val="en-GB"/>
              </w:rPr>
              <w:t>Moturata</w:t>
            </w:r>
          </w:p>
        </w:tc>
        <w:tc>
          <w:tcPr>
            <w:tcW w:w="2500" w:type="pct"/>
          </w:tcPr>
          <w:p w14:paraId="1CC3DEBF" w14:textId="77777777" w:rsidR="000E04F9" w:rsidRPr="00472578" w:rsidRDefault="000E04F9" w:rsidP="00752412">
            <w:pPr>
              <w:spacing w:after="0"/>
              <w:jc w:val="both"/>
              <w:rPr>
                <w:sz w:val="20"/>
                <w:szCs w:val="20"/>
                <w:u w:val="single"/>
                <w:lang w:val="en-GB"/>
              </w:rPr>
            </w:pPr>
            <w:r w:rsidRPr="00472578">
              <w:rPr>
                <w:sz w:val="20"/>
                <w:szCs w:val="20"/>
                <w:u w:val="single"/>
                <w:lang w:val="en-GB"/>
              </w:rPr>
              <w:lastRenderedPageBreak/>
              <w:t>Nugget Point</w:t>
            </w:r>
          </w:p>
          <w:p w14:paraId="2145127D" w14:textId="77777777" w:rsidR="000E04F9" w:rsidRPr="00472578" w:rsidRDefault="000E04F9" w:rsidP="00752412">
            <w:pPr>
              <w:spacing w:after="0"/>
              <w:jc w:val="both"/>
              <w:rPr>
                <w:sz w:val="20"/>
                <w:szCs w:val="20"/>
                <w:u w:val="single"/>
                <w:lang w:val="en-GB"/>
              </w:rPr>
            </w:pPr>
            <w:r w:rsidRPr="00472578">
              <w:rPr>
                <w:sz w:val="20"/>
                <w:szCs w:val="20"/>
                <w:u w:val="single"/>
                <w:lang w:val="en-GB"/>
              </w:rPr>
              <w:t>Sandy Bay</w:t>
            </w:r>
          </w:p>
          <w:p w14:paraId="71E31BBA" w14:textId="77777777" w:rsidR="000E04F9" w:rsidRPr="00472578" w:rsidRDefault="000E04F9" w:rsidP="00752412">
            <w:pPr>
              <w:spacing w:after="0"/>
              <w:jc w:val="both"/>
              <w:rPr>
                <w:sz w:val="20"/>
                <w:szCs w:val="20"/>
                <w:u w:val="single"/>
                <w:lang w:val="en-GB"/>
              </w:rPr>
            </w:pPr>
            <w:r w:rsidRPr="00472578">
              <w:rPr>
                <w:sz w:val="20"/>
                <w:szCs w:val="20"/>
                <w:u w:val="single"/>
                <w:lang w:val="en-GB"/>
              </w:rPr>
              <w:t>False Islet</w:t>
            </w:r>
          </w:p>
          <w:p w14:paraId="30AB9200" w14:textId="77777777" w:rsidR="000E04F9" w:rsidRPr="00472578" w:rsidRDefault="000E04F9" w:rsidP="00752412">
            <w:pPr>
              <w:spacing w:after="0"/>
              <w:jc w:val="both"/>
              <w:rPr>
                <w:sz w:val="20"/>
                <w:szCs w:val="20"/>
                <w:u w:val="single"/>
                <w:lang w:val="en-GB"/>
              </w:rPr>
            </w:pPr>
            <w:r w:rsidRPr="00472578">
              <w:rPr>
                <w:sz w:val="20"/>
                <w:szCs w:val="20"/>
                <w:u w:val="single"/>
                <w:lang w:val="en-GB"/>
              </w:rPr>
              <w:t>Penguin Bay</w:t>
            </w:r>
          </w:p>
          <w:p w14:paraId="410CE556" w14:textId="77777777" w:rsidR="000E04F9" w:rsidRPr="00472578" w:rsidRDefault="000E04F9" w:rsidP="00752412">
            <w:pPr>
              <w:spacing w:after="0"/>
              <w:jc w:val="both"/>
              <w:rPr>
                <w:sz w:val="20"/>
                <w:szCs w:val="20"/>
                <w:u w:val="single"/>
                <w:lang w:val="en-GB"/>
              </w:rPr>
            </w:pPr>
            <w:r w:rsidRPr="00472578">
              <w:rPr>
                <w:sz w:val="20"/>
                <w:szCs w:val="20"/>
                <w:u w:val="single"/>
                <w:lang w:val="en-GB"/>
              </w:rPr>
              <w:t>Cosgrove Island</w:t>
            </w:r>
          </w:p>
          <w:p w14:paraId="26C6FE31" w14:textId="77777777" w:rsidR="000E04F9" w:rsidRPr="00472578" w:rsidRDefault="000E04F9" w:rsidP="00752412">
            <w:pPr>
              <w:spacing w:after="0"/>
              <w:jc w:val="both"/>
              <w:rPr>
                <w:sz w:val="20"/>
                <w:szCs w:val="20"/>
                <w:u w:val="single"/>
                <w:lang w:val="en-GB"/>
              </w:rPr>
            </w:pPr>
            <w:r w:rsidRPr="00472578">
              <w:rPr>
                <w:sz w:val="20"/>
                <w:szCs w:val="20"/>
                <w:u w:val="single"/>
                <w:lang w:val="en-GB"/>
              </w:rPr>
              <w:t>Long Point</w:t>
            </w:r>
          </w:p>
          <w:p w14:paraId="3B12717F" w14:textId="77777777" w:rsidR="000E04F9" w:rsidRPr="00472578" w:rsidRDefault="000E04F9" w:rsidP="00752412">
            <w:pPr>
              <w:spacing w:after="0"/>
              <w:jc w:val="both"/>
              <w:rPr>
                <w:sz w:val="20"/>
                <w:szCs w:val="20"/>
                <w:u w:val="single"/>
                <w:lang w:val="en-GB"/>
              </w:rPr>
            </w:pPr>
            <w:r w:rsidRPr="00472578">
              <w:rPr>
                <w:sz w:val="20"/>
                <w:szCs w:val="20"/>
                <w:u w:val="single"/>
                <w:lang w:val="en-GB"/>
              </w:rPr>
              <w:t>Tahakopa Bay</w:t>
            </w:r>
          </w:p>
          <w:p w14:paraId="4D98EADB" w14:textId="77777777" w:rsidR="000E04F9" w:rsidRPr="00472578" w:rsidRDefault="000E04F9" w:rsidP="00752412">
            <w:pPr>
              <w:spacing w:after="0"/>
              <w:jc w:val="both"/>
              <w:rPr>
                <w:sz w:val="20"/>
                <w:szCs w:val="20"/>
                <w:u w:val="single"/>
                <w:lang w:val="en-GB"/>
              </w:rPr>
            </w:pPr>
            <w:r w:rsidRPr="00472578">
              <w:rPr>
                <w:sz w:val="20"/>
                <w:szCs w:val="20"/>
                <w:u w:val="single"/>
                <w:lang w:val="en-GB"/>
              </w:rPr>
              <w:t>Mahaka Point</w:t>
            </w:r>
          </w:p>
          <w:p w14:paraId="7E76A59A" w14:textId="77777777" w:rsidR="000E04F9" w:rsidRPr="00472578" w:rsidRDefault="000E04F9" w:rsidP="00752412">
            <w:pPr>
              <w:spacing w:after="0"/>
              <w:jc w:val="both"/>
              <w:rPr>
                <w:sz w:val="20"/>
                <w:szCs w:val="20"/>
                <w:u w:val="single"/>
                <w:lang w:val="en-GB"/>
              </w:rPr>
            </w:pPr>
            <w:r w:rsidRPr="00472578">
              <w:rPr>
                <w:sz w:val="20"/>
                <w:szCs w:val="20"/>
                <w:u w:val="single"/>
                <w:lang w:val="en-GB"/>
              </w:rPr>
              <w:t>Frances Pillars / Cathedral Caves</w:t>
            </w:r>
          </w:p>
          <w:p w14:paraId="28BC012E" w14:textId="77777777" w:rsidR="000E04F9" w:rsidRPr="00472578" w:rsidRDefault="000E04F9" w:rsidP="00752412">
            <w:pPr>
              <w:spacing w:after="0"/>
              <w:jc w:val="both"/>
              <w:rPr>
                <w:sz w:val="20"/>
                <w:szCs w:val="20"/>
                <w:u w:val="single"/>
                <w:lang w:val="en-GB"/>
              </w:rPr>
            </w:pPr>
            <w:r w:rsidRPr="00472578">
              <w:rPr>
                <w:sz w:val="20"/>
                <w:szCs w:val="20"/>
                <w:u w:val="single"/>
                <w:lang w:val="en-GB"/>
              </w:rPr>
              <w:t>Makatī</w:t>
            </w:r>
          </w:p>
          <w:p w14:paraId="4F85FB7B" w14:textId="77777777" w:rsidR="000E04F9" w:rsidRPr="00472578" w:rsidRDefault="000E04F9" w:rsidP="00752412">
            <w:pPr>
              <w:spacing w:after="0"/>
              <w:jc w:val="both"/>
              <w:rPr>
                <w:sz w:val="20"/>
                <w:szCs w:val="20"/>
                <w:u w:val="single"/>
                <w:lang w:val="en-GB"/>
              </w:rPr>
            </w:pPr>
            <w:r w:rsidRPr="00472578">
              <w:rPr>
                <w:sz w:val="20"/>
                <w:szCs w:val="20"/>
                <w:u w:val="single"/>
                <w:lang w:val="en-GB"/>
              </w:rPr>
              <w:t>Waianakarua</w:t>
            </w:r>
          </w:p>
          <w:p w14:paraId="620D793F" w14:textId="77777777" w:rsidR="000E04F9" w:rsidRPr="00472578" w:rsidRDefault="000E04F9" w:rsidP="00752412">
            <w:pPr>
              <w:spacing w:after="0"/>
              <w:jc w:val="both"/>
              <w:rPr>
                <w:sz w:val="20"/>
                <w:szCs w:val="20"/>
                <w:u w:val="single"/>
                <w:lang w:val="en-GB"/>
              </w:rPr>
            </w:pPr>
            <w:r w:rsidRPr="00472578">
              <w:rPr>
                <w:sz w:val="20"/>
                <w:szCs w:val="20"/>
                <w:u w:val="single"/>
                <w:lang w:val="en-GB"/>
              </w:rPr>
              <w:t>Goodwood</w:t>
            </w:r>
          </w:p>
          <w:p w14:paraId="39F13E61" w14:textId="77777777" w:rsidR="000E04F9" w:rsidRPr="00472578" w:rsidRDefault="000E04F9" w:rsidP="00752412">
            <w:pPr>
              <w:spacing w:after="0"/>
              <w:jc w:val="both"/>
              <w:rPr>
                <w:sz w:val="20"/>
                <w:szCs w:val="20"/>
                <w:u w:val="single"/>
                <w:lang w:val="en-GB"/>
              </w:rPr>
            </w:pPr>
            <w:r w:rsidRPr="00472578">
              <w:rPr>
                <w:sz w:val="20"/>
                <w:szCs w:val="20"/>
              </w:rPr>
              <w:t xml:space="preserve">Pūrākaunui </w:t>
            </w:r>
          </w:p>
          <w:p w14:paraId="76F2D691" w14:textId="77777777" w:rsidR="000E04F9" w:rsidRPr="00472578" w:rsidRDefault="000E04F9" w:rsidP="00752412">
            <w:pPr>
              <w:spacing w:after="0"/>
              <w:jc w:val="both"/>
              <w:rPr>
                <w:sz w:val="20"/>
                <w:szCs w:val="20"/>
                <w:u w:val="single"/>
                <w:lang w:val="en-GB"/>
              </w:rPr>
            </w:pPr>
            <w:r w:rsidRPr="00472578">
              <w:rPr>
                <w:sz w:val="20"/>
                <w:szCs w:val="20"/>
                <w:u w:val="single"/>
                <w:lang w:val="en-GB"/>
              </w:rPr>
              <w:t>Lower Otago Harbour</w:t>
            </w:r>
          </w:p>
          <w:p w14:paraId="5D1E75E1" w14:textId="77777777" w:rsidR="000E04F9" w:rsidRPr="00472578" w:rsidRDefault="000E04F9" w:rsidP="00752412">
            <w:pPr>
              <w:spacing w:after="0"/>
              <w:jc w:val="both"/>
              <w:rPr>
                <w:sz w:val="20"/>
                <w:szCs w:val="20"/>
                <w:u w:val="single"/>
                <w:lang w:val="en-GB"/>
              </w:rPr>
            </w:pPr>
            <w:r w:rsidRPr="00472578">
              <w:rPr>
                <w:sz w:val="20"/>
                <w:szCs w:val="20"/>
                <w:u w:val="single"/>
                <w:lang w:val="en-GB"/>
              </w:rPr>
              <w:t>Smaills / Tomahawk</w:t>
            </w:r>
          </w:p>
          <w:p w14:paraId="749D26A8" w14:textId="77777777" w:rsidR="000E04F9" w:rsidRPr="00472578" w:rsidRDefault="000E04F9" w:rsidP="00752412">
            <w:pPr>
              <w:spacing w:after="0"/>
              <w:jc w:val="both"/>
              <w:rPr>
                <w:sz w:val="20"/>
                <w:szCs w:val="20"/>
                <w:u w:val="single"/>
                <w:lang w:val="en-GB"/>
              </w:rPr>
            </w:pPr>
            <w:r w:rsidRPr="00472578">
              <w:rPr>
                <w:sz w:val="20"/>
                <w:szCs w:val="20"/>
                <w:u w:val="single"/>
                <w:lang w:val="en-GB"/>
              </w:rPr>
              <w:t>Brighton</w:t>
            </w:r>
          </w:p>
          <w:p w14:paraId="4BE0E6C7" w14:textId="77777777" w:rsidR="000E04F9" w:rsidRPr="00472578" w:rsidRDefault="000E04F9" w:rsidP="00752412">
            <w:pPr>
              <w:spacing w:after="0"/>
              <w:jc w:val="both"/>
              <w:rPr>
                <w:sz w:val="20"/>
                <w:szCs w:val="20"/>
                <w:u w:val="single"/>
                <w:lang w:val="en-GB"/>
              </w:rPr>
            </w:pPr>
            <w:r w:rsidRPr="00472578">
              <w:rPr>
                <w:sz w:val="20"/>
                <w:szCs w:val="20"/>
                <w:u w:val="single"/>
                <w:lang w:val="en-GB"/>
              </w:rPr>
              <w:t>Taieri River Gorge</w:t>
            </w:r>
          </w:p>
          <w:p w14:paraId="0E0241EE" w14:textId="77777777" w:rsidR="000E04F9" w:rsidRPr="00472578" w:rsidRDefault="000E04F9" w:rsidP="00752412">
            <w:pPr>
              <w:spacing w:after="0"/>
              <w:jc w:val="both"/>
              <w:rPr>
                <w:sz w:val="20"/>
                <w:szCs w:val="20"/>
                <w:u w:val="single"/>
                <w:lang w:val="en-GB"/>
              </w:rPr>
            </w:pPr>
            <w:r w:rsidRPr="00472578">
              <w:rPr>
                <w:sz w:val="20"/>
                <w:szCs w:val="20"/>
                <w:u w:val="single"/>
                <w:lang w:val="en-GB"/>
              </w:rPr>
              <w:t>Outer Otago Peninsula</w:t>
            </w:r>
          </w:p>
          <w:p w14:paraId="07A7EE94" w14:textId="77777777" w:rsidR="000E04F9" w:rsidRPr="00472578" w:rsidRDefault="000E04F9" w:rsidP="00752412">
            <w:pPr>
              <w:spacing w:after="0"/>
              <w:jc w:val="both"/>
              <w:rPr>
                <w:sz w:val="20"/>
                <w:szCs w:val="20"/>
                <w:u w:val="single"/>
                <w:lang w:val="en-GB"/>
              </w:rPr>
            </w:pPr>
            <w:r w:rsidRPr="00472578">
              <w:rPr>
                <w:sz w:val="20"/>
                <w:szCs w:val="20"/>
                <w:u w:val="single"/>
                <w:lang w:val="en-GB"/>
              </w:rPr>
              <w:t>Southern Otago Peninsula</w:t>
            </w:r>
          </w:p>
          <w:p w14:paraId="50785033" w14:textId="77777777" w:rsidR="000E04F9" w:rsidRPr="00472578" w:rsidRDefault="000E04F9" w:rsidP="00752412">
            <w:pPr>
              <w:spacing w:after="0"/>
              <w:jc w:val="both"/>
              <w:rPr>
                <w:sz w:val="20"/>
                <w:szCs w:val="20"/>
                <w:u w:val="single"/>
                <w:lang w:val="en-GB"/>
              </w:rPr>
            </w:pPr>
            <w:r w:rsidRPr="00472578">
              <w:rPr>
                <w:sz w:val="20"/>
                <w:szCs w:val="20"/>
                <w:u w:val="single"/>
                <w:lang w:val="en-GB"/>
              </w:rPr>
              <w:t>Outer Otago Peninsula</w:t>
            </w:r>
          </w:p>
          <w:p w14:paraId="32A9835A" w14:textId="77777777" w:rsidR="000E04F9" w:rsidRPr="00472578" w:rsidRDefault="000E04F9" w:rsidP="00752412">
            <w:pPr>
              <w:spacing w:after="0"/>
              <w:jc w:val="both"/>
              <w:rPr>
                <w:sz w:val="20"/>
                <w:szCs w:val="20"/>
                <w:u w:val="single"/>
                <w:lang w:val="en-GB"/>
              </w:rPr>
            </w:pPr>
            <w:r w:rsidRPr="00472578">
              <w:rPr>
                <w:sz w:val="20"/>
                <w:szCs w:val="20"/>
                <w:u w:val="single"/>
                <w:lang w:val="en-GB"/>
              </w:rPr>
              <w:t>Taieri Mouth</w:t>
            </w:r>
          </w:p>
          <w:p w14:paraId="2C20F0D5" w14:textId="77777777" w:rsidR="000E04F9" w:rsidRPr="00472578" w:rsidRDefault="000E04F9" w:rsidP="00752412">
            <w:pPr>
              <w:spacing w:after="0"/>
              <w:jc w:val="both"/>
              <w:rPr>
                <w:sz w:val="20"/>
                <w:szCs w:val="20"/>
                <w:u w:val="single"/>
                <w:lang w:val="en-GB"/>
              </w:rPr>
            </w:pPr>
            <w:r w:rsidRPr="00472578">
              <w:rPr>
                <w:sz w:val="20"/>
                <w:szCs w:val="20"/>
                <w:u w:val="single"/>
                <w:lang w:val="en-GB"/>
              </w:rPr>
              <w:t>Akatore Coast</w:t>
            </w:r>
          </w:p>
          <w:p w14:paraId="06C3ECC1" w14:textId="77777777" w:rsidR="000E04F9" w:rsidRPr="00472578" w:rsidRDefault="000E04F9" w:rsidP="00752412">
            <w:pPr>
              <w:spacing w:after="0"/>
              <w:jc w:val="both"/>
              <w:rPr>
                <w:sz w:val="20"/>
                <w:szCs w:val="20"/>
                <w:u w:val="single"/>
                <w:lang w:val="en-GB"/>
              </w:rPr>
            </w:pPr>
            <w:r w:rsidRPr="00472578">
              <w:rPr>
                <w:sz w:val="20"/>
                <w:szCs w:val="20"/>
                <w:u w:val="single"/>
                <w:lang w:val="en-GB"/>
              </w:rPr>
              <w:t>Toko Mouth</w:t>
            </w:r>
          </w:p>
          <w:p w14:paraId="255E65A2" w14:textId="77777777" w:rsidR="000E04F9" w:rsidRPr="00472578" w:rsidRDefault="000E04F9" w:rsidP="00752412">
            <w:pPr>
              <w:spacing w:after="0"/>
              <w:jc w:val="both"/>
              <w:rPr>
                <w:sz w:val="20"/>
                <w:szCs w:val="20"/>
                <w:u w:val="single"/>
                <w:lang w:val="en-GB"/>
              </w:rPr>
            </w:pPr>
            <w:r w:rsidRPr="00472578">
              <w:rPr>
                <w:sz w:val="20"/>
                <w:szCs w:val="20"/>
                <w:u w:val="single"/>
                <w:lang w:val="en-GB"/>
              </w:rPr>
              <w:t>Wangaloa</w:t>
            </w:r>
          </w:p>
          <w:p w14:paraId="316DB033" w14:textId="77777777" w:rsidR="000E04F9" w:rsidRPr="00472578" w:rsidRDefault="000E04F9" w:rsidP="00752412">
            <w:pPr>
              <w:spacing w:after="0"/>
              <w:jc w:val="both"/>
              <w:rPr>
                <w:sz w:val="20"/>
                <w:szCs w:val="20"/>
                <w:u w:val="single"/>
                <w:lang w:val="en-GB"/>
              </w:rPr>
            </w:pPr>
            <w:r w:rsidRPr="00472578">
              <w:rPr>
                <w:sz w:val="20"/>
                <w:szCs w:val="20"/>
                <w:u w:val="single"/>
                <w:lang w:val="en-GB"/>
              </w:rPr>
              <w:t>Clutha Mouth</w:t>
            </w:r>
          </w:p>
          <w:p w14:paraId="580D5EC8" w14:textId="77777777" w:rsidR="000E04F9" w:rsidRPr="00472578" w:rsidRDefault="000E04F9" w:rsidP="00752412">
            <w:pPr>
              <w:spacing w:after="0"/>
              <w:jc w:val="both"/>
              <w:rPr>
                <w:sz w:val="20"/>
                <w:szCs w:val="20"/>
                <w:u w:val="single"/>
                <w:lang w:val="en-GB"/>
              </w:rPr>
            </w:pPr>
            <w:r w:rsidRPr="00472578">
              <w:rPr>
                <w:sz w:val="20"/>
                <w:szCs w:val="20"/>
                <w:u w:val="single"/>
                <w:lang w:val="en-GB"/>
              </w:rPr>
              <w:t>Kaka Point</w:t>
            </w:r>
          </w:p>
          <w:p w14:paraId="13F9F8B9" w14:textId="77777777" w:rsidR="000E04F9" w:rsidRPr="00472578" w:rsidRDefault="000E04F9" w:rsidP="00752412">
            <w:pPr>
              <w:spacing w:after="0"/>
              <w:jc w:val="both"/>
              <w:rPr>
                <w:sz w:val="20"/>
                <w:szCs w:val="20"/>
                <w:u w:val="single"/>
                <w:lang w:val="en-GB"/>
              </w:rPr>
            </w:pPr>
            <w:r w:rsidRPr="00472578">
              <w:rPr>
                <w:sz w:val="20"/>
                <w:szCs w:val="20"/>
                <w:u w:val="single"/>
                <w:lang w:val="en-GB"/>
              </w:rPr>
              <w:t>Jacks Bay / Penguin Bay</w:t>
            </w:r>
          </w:p>
          <w:p w14:paraId="77C7916B" w14:textId="77777777" w:rsidR="000E04F9" w:rsidRPr="00472578" w:rsidRDefault="000E04F9" w:rsidP="00752412">
            <w:pPr>
              <w:spacing w:after="0"/>
              <w:jc w:val="both"/>
              <w:rPr>
                <w:sz w:val="20"/>
                <w:szCs w:val="20"/>
                <w:u w:val="single"/>
                <w:lang w:val="en-GB"/>
              </w:rPr>
            </w:pPr>
            <w:r w:rsidRPr="00472578">
              <w:rPr>
                <w:sz w:val="20"/>
                <w:szCs w:val="20"/>
                <w:u w:val="single"/>
                <w:lang w:val="en-GB"/>
              </w:rPr>
              <w:t>Hinahina</w:t>
            </w:r>
          </w:p>
          <w:p w14:paraId="3E22A943" w14:textId="77777777" w:rsidR="000E04F9" w:rsidRPr="00472578" w:rsidRDefault="000E04F9" w:rsidP="00752412">
            <w:pPr>
              <w:spacing w:after="0"/>
              <w:jc w:val="both"/>
              <w:rPr>
                <w:sz w:val="20"/>
                <w:szCs w:val="20"/>
                <w:u w:val="single"/>
                <w:lang w:val="en-GB"/>
              </w:rPr>
            </w:pPr>
            <w:r w:rsidRPr="00472578">
              <w:rPr>
                <w:sz w:val="20"/>
                <w:szCs w:val="20"/>
                <w:u w:val="single"/>
                <w:lang w:val="en-GB"/>
              </w:rPr>
              <w:t>Waipāti (incl. Waipāti Beach &amp; Waipāti Estuary)</w:t>
            </w:r>
          </w:p>
          <w:p w14:paraId="52C43EB0" w14:textId="77777777" w:rsidR="000E04F9" w:rsidRPr="00472578" w:rsidRDefault="000E04F9" w:rsidP="00752412">
            <w:pPr>
              <w:spacing w:after="0"/>
              <w:jc w:val="both"/>
              <w:rPr>
                <w:sz w:val="20"/>
                <w:szCs w:val="20"/>
                <w:u w:val="single"/>
                <w:lang w:val="en-GB"/>
              </w:rPr>
            </w:pPr>
            <w:r w:rsidRPr="00472578">
              <w:rPr>
                <w:sz w:val="20"/>
                <w:szCs w:val="20"/>
                <w:u w:val="single"/>
                <w:lang w:val="en-GB"/>
              </w:rPr>
              <w:t xml:space="preserve">Wallace Head </w:t>
            </w:r>
          </w:p>
          <w:p w14:paraId="4DA5CD7D" w14:textId="77777777" w:rsidR="000E04F9" w:rsidRPr="00472578" w:rsidRDefault="000E04F9" w:rsidP="00752412">
            <w:pPr>
              <w:spacing w:after="0"/>
              <w:jc w:val="both"/>
              <w:rPr>
                <w:sz w:val="20"/>
                <w:szCs w:val="20"/>
                <w:u w:val="single"/>
                <w:lang w:val="en-GB"/>
              </w:rPr>
            </w:pPr>
            <w:r w:rsidRPr="00472578">
              <w:rPr>
                <w:sz w:val="20"/>
                <w:szCs w:val="20"/>
                <w:u w:val="single"/>
                <w:lang w:val="en-GB"/>
              </w:rPr>
              <w:t xml:space="preserve">Waitaki River mouth </w:t>
            </w:r>
          </w:p>
          <w:p w14:paraId="6CC90F4C" w14:textId="77777777" w:rsidR="000E04F9" w:rsidRPr="00472578" w:rsidRDefault="000E04F9" w:rsidP="00752412">
            <w:pPr>
              <w:spacing w:after="0"/>
              <w:jc w:val="both"/>
              <w:rPr>
                <w:sz w:val="20"/>
                <w:szCs w:val="20"/>
                <w:u w:val="single"/>
                <w:lang w:val="en-GB"/>
              </w:rPr>
            </w:pPr>
            <w:r w:rsidRPr="00472578">
              <w:rPr>
                <w:sz w:val="20"/>
                <w:szCs w:val="20"/>
                <w:u w:val="single"/>
                <w:lang w:val="en-GB"/>
              </w:rPr>
              <w:t>Cape Wanbrow wave cut notch and platform</w:t>
            </w:r>
          </w:p>
          <w:p w14:paraId="785CBD1C" w14:textId="77777777" w:rsidR="000E04F9" w:rsidRPr="00472578" w:rsidRDefault="000E04F9" w:rsidP="00752412">
            <w:pPr>
              <w:spacing w:after="0"/>
              <w:jc w:val="both"/>
              <w:rPr>
                <w:sz w:val="20"/>
                <w:szCs w:val="20"/>
                <w:u w:val="single"/>
                <w:lang w:val="en-GB"/>
              </w:rPr>
            </w:pPr>
            <w:r w:rsidRPr="00472578">
              <w:rPr>
                <w:sz w:val="20"/>
                <w:szCs w:val="20"/>
                <w:u w:val="single"/>
                <w:lang w:val="en-GB"/>
              </w:rPr>
              <w:t>Bridge Point</w:t>
            </w:r>
          </w:p>
          <w:p w14:paraId="18CFC799" w14:textId="77777777" w:rsidR="000E04F9" w:rsidRPr="00472578" w:rsidRDefault="000E04F9" w:rsidP="00752412">
            <w:pPr>
              <w:spacing w:after="0"/>
              <w:jc w:val="both"/>
              <w:rPr>
                <w:sz w:val="20"/>
                <w:szCs w:val="20"/>
                <w:u w:val="single"/>
                <w:lang w:val="en-GB"/>
              </w:rPr>
            </w:pPr>
            <w:r w:rsidRPr="00472578">
              <w:rPr>
                <w:sz w:val="20"/>
                <w:szCs w:val="20"/>
                <w:u w:val="single"/>
                <w:lang w:val="en-GB"/>
              </w:rPr>
              <w:t>Moeraki Boulders</w:t>
            </w:r>
          </w:p>
          <w:p w14:paraId="7628E5C3" w14:textId="77777777" w:rsidR="000E04F9" w:rsidRPr="00472578" w:rsidRDefault="000E04F9" w:rsidP="00752412">
            <w:pPr>
              <w:spacing w:after="0"/>
              <w:jc w:val="both"/>
              <w:rPr>
                <w:sz w:val="20"/>
                <w:szCs w:val="20"/>
                <w:u w:val="single"/>
                <w:lang w:val="en-GB"/>
              </w:rPr>
            </w:pPr>
            <w:r w:rsidRPr="00472578">
              <w:rPr>
                <w:sz w:val="20"/>
                <w:szCs w:val="20"/>
                <w:u w:val="single"/>
                <w:lang w:val="en-GB"/>
              </w:rPr>
              <w:t>Warrington Spit / Rabbit Island</w:t>
            </w:r>
          </w:p>
          <w:p w14:paraId="1A0357FD" w14:textId="77777777" w:rsidR="000E04F9" w:rsidRPr="00472578" w:rsidRDefault="000E04F9" w:rsidP="00752412">
            <w:pPr>
              <w:spacing w:after="0"/>
              <w:jc w:val="both"/>
              <w:rPr>
                <w:sz w:val="20"/>
                <w:szCs w:val="20"/>
                <w:u w:val="single"/>
                <w:lang w:val="en-GB"/>
              </w:rPr>
            </w:pPr>
            <w:r w:rsidRPr="00472578">
              <w:rPr>
                <w:sz w:val="20"/>
                <w:szCs w:val="20"/>
                <w:u w:val="single"/>
                <w:lang w:val="en-GB"/>
              </w:rPr>
              <w:t>Matanaka</w:t>
            </w:r>
          </w:p>
          <w:p w14:paraId="0D5338FD" w14:textId="77777777" w:rsidR="000E04F9" w:rsidRPr="00472578" w:rsidRDefault="000E04F9" w:rsidP="00752412">
            <w:pPr>
              <w:spacing w:after="0"/>
              <w:jc w:val="both"/>
              <w:rPr>
                <w:sz w:val="20"/>
                <w:szCs w:val="20"/>
                <w:u w:val="single"/>
                <w:lang w:val="en-GB"/>
              </w:rPr>
            </w:pPr>
            <w:r w:rsidRPr="00472578">
              <w:rPr>
                <w:sz w:val="20"/>
                <w:szCs w:val="20"/>
                <w:u w:val="single"/>
                <w:lang w:val="en-GB"/>
              </w:rPr>
              <w:t>Karitāne Peninsula</w:t>
            </w:r>
          </w:p>
          <w:p w14:paraId="4CBDFE9A" w14:textId="77777777" w:rsidR="000E04F9" w:rsidRPr="00472578" w:rsidRDefault="000E04F9" w:rsidP="00752412">
            <w:pPr>
              <w:spacing w:after="0"/>
              <w:jc w:val="both"/>
              <w:rPr>
                <w:sz w:val="20"/>
                <w:szCs w:val="20"/>
                <w:u w:val="single"/>
                <w:lang w:val="en-GB"/>
              </w:rPr>
            </w:pPr>
            <w:r w:rsidRPr="00472578">
              <w:rPr>
                <w:sz w:val="20"/>
                <w:szCs w:val="20"/>
                <w:u w:val="single"/>
                <w:lang w:val="en-GB"/>
              </w:rPr>
              <w:t>Goat Island – Rakiriri</w:t>
            </w:r>
          </w:p>
          <w:p w14:paraId="2FDD38BB" w14:textId="77777777" w:rsidR="000E04F9" w:rsidRPr="00472578" w:rsidRDefault="000E04F9" w:rsidP="00752412">
            <w:pPr>
              <w:spacing w:after="0"/>
              <w:jc w:val="both"/>
              <w:rPr>
                <w:sz w:val="20"/>
                <w:szCs w:val="20"/>
                <w:u w:val="single"/>
                <w:lang w:val="en-GB"/>
              </w:rPr>
            </w:pPr>
            <w:r w:rsidRPr="00472578">
              <w:rPr>
                <w:sz w:val="20"/>
                <w:szCs w:val="20"/>
                <w:u w:val="single"/>
                <w:lang w:val="en-GB"/>
              </w:rPr>
              <w:t>Quarantine Island</w:t>
            </w:r>
          </w:p>
          <w:p w14:paraId="54D62F28" w14:textId="77777777" w:rsidR="000E04F9" w:rsidRPr="00472578" w:rsidRDefault="000E04F9" w:rsidP="00752412">
            <w:pPr>
              <w:spacing w:after="0"/>
              <w:jc w:val="both"/>
              <w:rPr>
                <w:sz w:val="20"/>
                <w:szCs w:val="20"/>
                <w:u w:val="single"/>
                <w:lang w:val="en-GB"/>
              </w:rPr>
            </w:pPr>
            <w:r w:rsidRPr="00472578">
              <w:rPr>
                <w:sz w:val="20"/>
                <w:szCs w:val="20"/>
                <w:u w:val="single"/>
                <w:lang w:val="en-GB"/>
              </w:rPr>
              <w:t>Pyramids</w:t>
            </w:r>
          </w:p>
          <w:p w14:paraId="37DBE77A" w14:textId="77777777" w:rsidR="000E04F9" w:rsidRPr="00472578" w:rsidRDefault="000E04F9" w:rsidP="00752412">
            <w:pPr>
              <w:spacing w:after="0"/>
              <w:jc w:val="both"/>
              <w:rPr>
                <w:sz w:val="20"/>
                <w:szCs w:val="20"/>
                <w:u w:val="single"/>
                <w:lang w:val="en-GB"/>
              </w:rPr>
            </w:pPr>
            <w:r w:rsidRPr="00472578">
              <w:rPr>
                <w:sz w:val="20"/>
                <w:szCs w:val="20"/>
                <w:u w:val="single"/>
                <w:lang w:val="en-GB"/>
              </w:rPr>
              <w:t>Wharekākahu Island</w:t>
            </w:r>
          </w:p>
          <w:p w14:paraId="0A4BF3E9" w14:textId="77777777" w:rsidR="000E04F9" w:rsidRPr="00472578" w:rsidRDefault="000E04F9" w:rsidP="00752412">
            <w:pPr>
              <w:spacing w:after="0"/>
              <w:jc w:val="both"/>
              <w:rPr>
                <w:sz w:val="20"/>
                <w:szCs w:val="20"/>
                <w:u w:val="single"/>
                <w:lang w:val="en-GB"/>
              </w:rPr>
            </w:pPr>
            <w:proofErr w:type="gramStart"/>
            <w:r w:rsidRPr="00472578">
              <w:rPr>
                <w:sz w:val="20"/>
                <w:szCs w:val="20"/>
                <w:u w:val="single"/>
                <w:lang w:val="en-GB"/>
              </w:rPr>
              <w:t>Lovers</w:t>
            </w:r>
            <w:proofErr w:type="gramEnd"/>
            <w:r w:rsidRPr="00472578">
              <w:rPr>
                <w:sz w:val="20"/>
                <w:szCs w:val="20"/>
                <w:u w:val="single"/>
                <w:lang w:val="en-GB"/>
              </w:rPr>
              <w:t xml:space="preserve"> leap and the Chasm</w:t>
            </w:r>
          </w:p>
          <w:p w14:paraId="1ED8FB27" w14:textId="77777777" w:rsidR="000E04F9" w:rsidRPr="00472578" w:rsidRDefault="000E04F9" w:rsidP="00752412">
            <w:pPr>
              <w:spacing w:after="0"/>
              <w:jc w:val="both"/>
              <w:rPr>
                <w:sz w:val="20"/>
                <w:szCs w:val="20"/>
                <w:u w:val="single"/>
                <w:lang w:val="en-GB"/>
              </w:rPr>
            </w:pPr>
            <w:r w:rsidRPr="00472578">
              <w:rPr>
                <w:sz w:val="20"/>
                <w:szCs w:val="20"/>
                <w:u w:val="single"/>
                <w:lang w:val="en-GB"/>
              </w:rPr>
              <w:t>Blackhead organ pipes</w:t>
            </w:r>
          </w:p>
          <w:p w14:paraId="0527C1EA" w14:textId="77777777" w:rsidR="000E04F9" w:rsidRPr="00472578" w:rsidRDefault="000E04F9" w:rsidP="00752412">
            <w:pPr>
              <w:spacing w:after="0"/>
              <w:jc w:val="both"/>
              <w:rPr>
                <w:sz w:val="20"/>
                <w:szCs w:val="20"/>
                <w:u w:val="single"/>
                <w:lang w:val="en-GB"/>
              </w:rPr>
            </w:pPr>
            <w:r w:rsidRPr="00472578">
              <w:rPr>
                <w:sz w:val="20"/>
                <w:szCs w:val="20"/>
                <w:u w:val="single"/>
                <w:lang w:val="en-GB"/>
              </w:rPr>
              <w:t>Chrystalls Beach</w:t>
            </w:r>
          </w:p>
          <w:p w14:paraId="6146F111" w14:textId="77777777" w:rsidR="000E04F9" w:rsidRPr="00472578" w:rsidRDefault="000E04F9" w:rsidP="00752412">
            <w:pPr>
              <w:spacing w:after="0"/>
              <w:jc w:val="both"/>
              <w:rPr>
                <w:sz w:val="20"/>
                <w:szCs w:val="20"/>
                <w:u w:val="single"/>
                <w:lang w:val="en-GB"/>
              </w:rPr>
            </w:pPr>
            <w:r w:rsidRPr="00472578">
              <w:rPr>
                <w:sz w:val="20"/>
                <w:szCs w:val="20"/>
                <w:u w:val="single"/>
                <w:lang w:val="en-GB"/>
              </w:rPr>
              <w:t>Cooks Head Rock</w:t>
            </w:r>
          </w:p>
          <w:p w14:paraId="799B08D1" w14:textId="77777777" w:rsidR="000E04F9" w:rsidRPr="00472578" w:rsidRDefault="000E04F9" w:rsidP="00752412">
            <w:pPr>
              <w:spacing w:after="0"/>
              <w:jc w:val="both"/>
              <w:rPr>
                <w:sz w:val="20"/>
                <w:szCs w:val="20"/>
                <w:u w:val="single"/>
                <w:lang w:val="en-GB"/>
              </w:rPr>
            </w:pPr>
            <w:r w:rsidRPr="00472578">
              <w:rPr>
                <w:sz w:val="20"/>
                <w:szCs w:val="20"/>
                <w:u w:val="single"/>
                <w:lang w:val="en-GB"/>
              </w:rPr>
              <w:t>Jacks Blowhole</w:t>
            </w:r>
          </w:p>
          <w:p w14:paraId="4BAE2C7E" w14:textId="77777777" w:rsidR="000E04F9" w:rsidRPr="00472578" w:rsidRDefault="000E04F9" w:rsidP="00752412">
            <w:pPr>
              <w:spacing w:after="0"/>
              <w:jc w:val="both"/>
              <w:rPr>
                <w:sz w:val="20"/>
                <w:szCs w:val="20"/>
                <w:u w:val="single"/>
                <w:lang w:val="en-GB"/>
              </w:rPr>
            </w:pPr>
            <w:r w:rsidRPr="00472578">
              <w:rPr>
                <w:sz w:val="20"/>
                <w:szCs w:val="20"/>
                <w:u w:val="single"/>
                <w:lang w:val="en-GB"/>
              </w:rPr>
              <w:t>Tuhawaiki Island</w:t>
            </w:r>
          </w:p>
          <w:p w14:paraId="73EDAD45" w14:textId="77777777" w:rsidR="000E04F9" w:rsidRPr="00472578" w:rsidRDefault="000E04F9" w:rsidP="00752412">
            <w:pPr>
              <w:spacing w:after="0"/>
              <w:jc w:val="both"/>
              <w:rPr>
                <w:sz w:val="20"/>
                <w:szCs w:val="20"/>
                <w:u w:val="single"/>
                <w:lang w:val="en-GB"/>
              </w:rPr>
            </w:pPr>
            <w:r w:rsidRPr="00472578">
              <w:rPr>
                <w:sz w:val="20"/>
                <w:szCs w:val="20"/>
                <w:u w:val="single"/>
                <w:lang w:val="en-GB"/>
              </w:rPr>
              <w:lastRenderedPageBreak/>
              <w:t>Cosgrove Island</w:t>
            </w:r>
          </w:p>
          <w:p w14:paraId="001D258F" w14:textId="77777777" w:rsidR="000E04F9" w:rsidRPr="00472578" w:rsidRDefault="000E04F9" w:rsidP="00752412">
            <w:pPr>
              <w:spacing w:after="0"/>
              <w:jc w:val="both"/>
              <w:rPr>
                <w:sz w:val="20"/>
                <w:szCs w:val="20"/>
                <w:u w:val="single"/>
                <w:lang w:val="en-GB"/>
              </w:rPr>
            </w:pPr>
            <w:r w:rsidRPr="00472578">
              <w:rPr>
                <w:sz w:val="20"/>
                <w:szCs w:val="20"/>
                <w:u w:val="single"/>
                <w:lang w:val="en-GB"/>
              </w:rPr>
              <w:t>Rainbow Isles</w:t>
            </w:r>
          </w:p>
          <w:p w14:paraId="79368B3B" w14:textId="77777777" w:rsidR="000E04F9" w:rsidRPr="00472578" w:rsidRDefault="000E04F9" w:rsidP="00752412">
            <w:pPr>
              <w:spacing w:after="0"/>
              <w:jc w:val="both"/>
              <w:rPr>
                <w:sz w:val="20"/>
                <w:szCs w:val="20"/>
                <w:u w:val="single"/>
                <w:lang w:val="en-GB"/>
              </w:rPr>
            </w:pPr>
            <w:r w:rsidRPr="00472578">
              <w:rPr>
                <w:sz w:val="20"/>
                <w:szCs w:val="20"/>
                <w:u w:val="single"/>
                <w:lang w:val="en-GB"/>
              </w:rPr>
              <w:t>Lake Wilkie</w:t>
            </w:r>
          </w:p>
          <w:p w14:paraId="3C883DB0" w14:textId="77777777" w:rsidR="000E04F9" w:rsidRPr="00472578" w:rsidRDefault="000E04F9" w:rsidP="00752412">
            <w:pPr>
              <w:spacing w:after="0"/>
              <w:jc w:val="both"/>
              <w:rPr>
                <w:sz w:val="20"/>
                <w:szCs w:val="20"/>
                <w:u w:val="single"/>
                <w:lang w:val="en-GB"/>
              </w:rPr>
            </w:pPr>
            <w:r w:rsidRPr="00472578">
              <w:rPr>
                <w:sz w:val="20"/>
                <w:szCs w:val="20"/>
                <w:u w:val="single"/>
                <w:lang w:val="en-GB"/>
              </w:rPr>
              <w:t>Cathedral Caves</w:t>
            </w:r>
          </w:p>
          <w:p w14:paraId="51B35656" w14:textId="77777777" w:rsidR="000E04F9" w:rsidRPr="00472578" w:rsidRDefault="000E04F9" w:rsidP="00752412">
            <w:pPr>
              <w:spacing w:after="0"/>
              <w:jc w:val="both"/>
              <w:rPr>
                <w:sz w:val="20"/>
                <w:szCs w:val="20"/>
                <w:u w:val="single"/>
                <w:lang w:val="en-GB"/>
              </w:rPr>
            </w:pPr>
            <w:r w:rsidRPr="00472578">
              <w:rPr>
                <w:sz w:val="20"/>
                <w:szCs w:val="20"/>
                <w:u w:val="single"/>
                <w:lang w:val="en-GB"/>
              </w:rPr>
              <w:t>Kinakina Island</w:t>
            </w:r>
            <w:r w:rsidRPr="00472578">
              <w:rPr>
                <w:rStyle w:val="FootnoteReference"/>
                <w:sz w:val="20"/>
                <w:szCs w:val="20"/>
                <w:lang w:val="en-GB"/>
              </w:rPr>
              <w:footnoteReference w:id="691"/>
            </w:r>
          </w:p>
        </w:tc>
      </w:tr>
    </w:tbl>
    <w:p w14:paraId="2E629FD4" w14:textId="11566BA1" w:rsidR="000E04F9" w:rsidRPr="00472578" w:rsidRDefault="007113CF" w:rsidP="00E92686">
      <w:pPr>
        <w:pStyle w:val="Heading4"/>
        <w:jc w:val="both"/>
      </w:pPr>
      <w:r w:rsidRPr="00472578">
        <w:lastRenderedPageBreak/>
        <w:t>CE-M</w:t>
      </w:r>
      <w:r w:rsidR="000E04F9" w:rsidRPr="00472578">
        <w:t xml:space="preserve">3 – </w:t>
      </w:r>
      <w:r w:rsidR="000E04F9" w:rsidRPr="00472578">
        <w:rPr>
          <w:i/>
          <w:iCs w:val="0"/>
        </w:rPr>
        <w:t>Regional plans</w:t>
      </w:r>
    </w:p>
    <w:p w14:paraId="189A5D10" w14:textId="77777777" w:rsidR="000E04F9" w:rsidRPr="00472578" w:rsidRDefault="000E04F9" w:rsidP="00E92686">
      <w:pPr>
        <w:pStyle w:val="BodyText"/>
      </w:pPr>
      <w:bookmarkStart w:id="137" w:name="_Hlk93997234"/>
      <w:r w:rsidRPr="00472578">
        <w:t xml:space="preserve">Otago Regional Council must prepare or amend and maintain its </w:t>
      </w:r>
      <w:r w:rsidRPr="00472578">
        <w:rPr>
          <w:i/>
        </w:rPr>
        <w:t xml:space="preserve">regional plans </w:t>
      </w:r>
      <w:r w:rsidRPr="00472578">
        <w:t>no later than 31 December 2028</w:t>
      </w:r>
      <w:bookmarkEnd w:id="137"/>
      <w:r w:rsidRPr="00472578">
        <w:t xml:space="preserve"> to:</w:t>
      </w:r>
    </w:p>
    <w:p w14:paraId="74F0E881" w14:textId="0FC03CB5" w:rsidR="000E04F9" w:rsidRPr="00472578" w:rsidRDefault="0012618F" w:rsidP="00E92686">
      <w:pPr>
        <w:widowControl w:val="0"/>
        <w:tabs>
          <w:tab w:val="left" w:pos="686"/>
          <w:tab w:val="left" w:pos="687"/>
        </w:tabs>
        <w:autoSpaceDE w:val="0"/>
        <w:autoSpaceDN w:val="0"/>
        <w:ind w:left="567" w:right="174" w:hanging="567"/>
        <w:jc w:val="both"/>
      </w:pPr>
      <w:r w:rsidRPr="00472578">
        <w:t>(1)</w:t>
      </w:r>
      <w:r w:rsidRPr="00472578">
        <w:tab/>
      </w:r>
      <w:r w:rsidR="000E04F9" w:rsidRPr="00472578">
        <w:t xml:space="preserve">map areas of </w:t>
      </w:r>
      <w:bookmarkStart w:id="138" w:name="_Hlk94276405"/>
      <w:r w:rsidR="000E04F9" w:rsidRPr="00472578">
        <w:t xml:space="preserve">deteriorated </w:t>
      </w:r>
      <w:r w:rsidR="000E04F9" w:rsidRPr="00472578">
        <w:rPr>
          <w:i/>
        </w:rPr>
        <w:t xml:space="preserve">water </w:t>
      </w:r>
      <w:r w:rsidR="000E04F9" w:rsidRPr="00472578">
        <w:t>quality in the coastal environment</w:t>
      </w:r>
      <w:bookmarkEnd w:id="138"/>
      <w:r w:rsidR="000E04F9" w:rsidRPr="00472578">
        <w:rPr>
          <w:i/>
        </w:rPr>
        <w:t xml:space="preserve">, </w:t>
      </w:r>
      <w:r w:rsidR="000E04F9" w:rsidRPr="00472578">
        <w:t xml:space="preserve">in accordance with CE– P2(2) </w:t>
      </w:r>
      <w:r w:rsidR="000E04F9" w:rsidRPr="00472578">
        <w:rPr>
          <w:strike/>
        </w:rPr>
        <w:t xml:space="preserve">and </w:t>
      </w:r>
      <w:r w:rsidR="007113CF" w:rsidRPr="00472578">
        <w:rPr>
          <w:strike/>
        </w:rPr>
        <w:t>CE-P</w:t>
      </w:r>
      <w:r w:rsidR="000E04F9" w:rsidRPr="00472578">
        <w:rPr>
          <w:strike/>
        </w:rPr>
        <w:t>2(3</w:t>
      </w:r>
      <w:r w:rsidR="000E04F9" w:rsidRPr="00472578">
        <w:t>),</w:t>
      </w:r>
      <w:r w:rsidR="005451B5" w:rsidRPr="00472578">
        <w:rPr>
          <w:rStyle w:val="FootnoteReference"/>
        </w:rPr>
        <w:t xml:space="preserve"> </w:t>
      </w:r>
      <w:r w:rsidR="005451B5" w:rsidRPr="00472578">
        <w:rPr>
          <w:rStyle w:val="FootnoteReference"/>
        </w:rPr>
        <w:footnoteReference w:id="692"/>
      </w:r>
    </w:p>
    <w:p w14:paraId="591497D2" w14:textId="674638F6" w:rsidR="000E04F9" w:rsidRPr="00472578" w:rsidRDefault="000E04F9" w:rsidP="00E92686">
      <w:pPr>
        <w:ind w:left="567" w:hanging="567"/>
        <w:jc w:val="both"/>
        <w:rPr>
          <w:u w:val="single"/>
        </w:rPr>
      </w:pPr>
      <w:r w:rsidRPr="00472578">
        <w:rPr>
          <w:u w:val="single"/>
        </w:rPr>
        <w:t>(1</w:t>
      </w:r>
      <w:r w:rsidR="005451B5" w:rsidRPr="00472578">
        <w:rPr>
          <w:u w:val="single"/>
        </w:rPr>
        <w:t>A</w:t>
      </w:r>
      <w:r w:rsidRPr="00472578">
        <w:rPr>
          <w:u w:val="single"/>
        </w:rPr>
        <w:t>)</w:t>
      </w:r>
      <w:r w:rsidRPr="00472578">
        <w:rPr>
          <w:u w:val="single"/>
        </w:rPr>
        <w:tab/>
      </w:r>
      <w:r w:rsidR="00F5634D" w:rsidRPr="00472578">
        <w:rPr>
          <w:u w:val="single"/>
        </w:rPr>
        <w:t>identify, protect</w:t>
      </w:r>
      <w:r w:rsidRPr="00472578">
        <w:rPr>
          <w:u w:val="single"/>
        </w:rPr>
        <w:t>, and improve where degraded, areas of coastal water where mana whenua have a particular cultural interest, including wāhi tupuna, statutory acknowledgement areas, tōpuni and nohoaka identified in the NTCSA, and customary fisheries,</w:t>
      </w:r>
      <w:r w:rsidRPr="00472578">
        <w:rPr>
          <w:rStyle w:val="FootnoteReference"/>
        </w:rPr>
        <w:footnoteReference w:id="693"/>
      </w:r>
    </w:p>
    <w:p w14:paraId="06112FFB" w14:textId="76773C5C" w:rsidR="000E04F9" w:rsidRPr="00472578" w:rsidRDefault="000E04F9" w:rsidP="00E92686">
      <w:pPr>
        <w:ind w:left="567" w:hanging="567"/>
        <w:jc w:val="both"/>
        <w:rPr>
          <w:u w:val="single"/>
          <w:lang w:val="en-US"/>
        </w:rPr>
      </w:pPr>
      <w:r w:rsidRPr="00472578">
        <w:rPr>
          <w:u w:val="single"/>
        </w:rPr>
        <w:t>(1</w:t>
      </w:r>
      <w:r w:rsidR="005451B5" w:rsidRPr="00472578">
        <w:rPr>
          <w:u w:val="single"/>
        </w:rPr>
        <w:t>B</w:t>
      </w:r>
      <w:r w:rsidRPr="00472578">
        <w:rPr>
          <w:u w:val="single"/>
        </w:rPr>
        <w:t>)</w:t>
      </w:r>
      <w:r w:rsidRPr="00472578">
        <w:rPr>
          <w:u w:val="single"/>
        </w:rPr>
        <w:tab/>
        <w:t>set water quality targets for coastal waters in accordance with CE-P3</w:t>
      </w:r>
      <w:r w:rsidRPr="00472578">
        <w:t>,</w:t>
      </w:r>
      <w:r w:rsidR="006C4721" w:rsidRPr="00472578">
        <w:rPr>
          <w:rStyle w:val="FootnoteReference"/>
        </w:rPr>
        <w:footnoteReference w:id="694"/>
      </w:r>
    </w:p>
    <w:p w14:paraId="5C6A57BF" w14:textId="66471B13" w:rsidR="000E04F9" w:rsidRPr="00472578" w:rsidRDefault="0012618F" w:rsidP="00E92686">
      <w:pPr>
        <w:widowControl w:val="0"/>
        <w:tabs>
          <w:tab w:val="left" w:pos="686"/>
          <w:tab w:val="left" w:pos="687"/>
        </w:tabs>
        <w:autoSpaceDE w:val="0"/>
        <w:autoSpaceDN w:val="0"/>
        <w:ind w:left="426" w:right="173" w:hanging="426"/>
        <w:jc w:val="both"/>
      </w:pPr>
      <w:r w:rsidRPr="00472578">
        <w:t>(2)</w:t>
      </w:r>
      <w:r w:rsidRPr="00472578">
        <w:tab/>
      </w:r>
      <w:r w:rsidR="000E04F9" w:rsidRPr="00472578">
        <w:t xml:space="preserve">map the areas and characteristics of, and access to, </w:t>
      </w:r>
      <w:bookmarkStart w:id="139" w:name="_Hlk93496074"/>
      <w:r w:rsidR="000E04F9" w:rsidRPr="00472578">
        <w:rPr>
          <w:strike/>
        </w:rPr>
        <w:t>nationally</w:t>
      </w:r>
      <w:r w:rsidR="000E04F9" w:rsidRPr="00472578">
        <w:t xml:space="preserve"> </w:t>
      </w:r>
      <w:r w:rsidR="000E04F9" w:rsidRPr="00472578">
        <w:rPr>
          <w:u w:val="single"/>
        </w:rPr>
        <w:t>surf breaks of national significance</w:t>
      </w:r>
      <w:r w:rsidR="000E04F9" w:rsidRPr="00472578">
        <w:rPr>
          <w:rStyle w:val="FootnoteReference"/>
        </w:rPr>
        <w:footnoteReference w:id="695"/>
      </w:r>
      <w:r w:rsidR="000E04F9" w:rsidRPr="00472578">
        <w:t xml:space="preserve"> </w:t>
      </w:r>
      <w:bookmarkEnd w:id="139"/>
      <w:r w:rsidR="000E04F9" w:rsidRPr="00472578">
        <w:t xml:space="preserve">and regionally significant </w:t>
      </w:r>
      <w:r w:rsidR="000E04F9" w:rsidRPr="00472578">
        <w:rPr>
          <w:i/>
        </w:rPr>
        <w:t>surf breaks</w:t>
      </w:r>
      <w:r w:rsidR="000E04F9" w:rsidRPr="00472578">
        <w:t>,</w:t>
      </w:r>
    </w:p>
    <w:p w14:paraId="76B510A0" w14:textId="09F1BB36" w:rsidR="000E04F9" w:rsidRPr="00472578" w:rsidRDefault="0012618F" w:rsidP="00E92686">
      <w:pPr>
        <w:widowControl w:val="0"/>
        <w:tabs>
          <w:tab w:val="left" w:pos="686"/>
          <w:tab w:val="left" w:pos="687"/>
        </w:tabs>
        <w:autoSpaceDE w:val="0"/>
        <w:autoSpaceDN w:val="0"/>
        <w:ind w:left="426" w:right="173" w:hanging="426"/>
        <w:jc w:val="both"/>
      </w:pPr>
      <w:r w:rsidRPr="00472578">
        <w:t>(3)</w:t>
      </w:r>
      <w:r w:rsidRPr="00472578">
        <w:tab/>
      </w:r>
      <w:r w:rsidR="000E04F9" w:rsidRPr="00472578">
        <w:t xml:space="preserve">require development to be set back from the </w:t>
      </w:r>
      <w:r w:rsidR="000E04F9" w:rsidRPr="00472578">
        <w:rPr>
          <w:i/>
        </w:rPr>
        <w:t xml:space="preserve">coastal marine area </w:t>
      </w:r>
      <w:r w:rsidR="000E04F9" w:rsidRPr="00472578">
        <w:t xml:space="preserve">where practicable to </w:t>
      </w:r>
      <w:r w:rsidR="00181BDE" w:rsidRPr="00472578">
        <w:t>protect the</w:t>
      </w:r>
      <w:r w:rsidR="000E04F9" w:rsidRPr="00472578">
        <w:t xml:space="preserve"> natural character, open space, public </w:t>
      </w:r>
      <w:proofErr w:type="gramStart"/>
      <w:r w:rsidR="000E04F9" w:rsidRPr="00472578">
        <w:t>access</w:t>
      </w:r>
      <w:proofErr w:type="gramEnd"/>
      <w:r w:rsidR="000E04F9" w:rsidRPr="00472578">
        <w:t xml:space="preserve"> and </w:t>
      </w:r>
      <w:r w:rsidR="000E04F9" w:rsidRPr="00472578">
        <w:rPr>
          <w:i/>
        </w:rPr>
        <w:t xml:space="preserve">amenity values </w:t>
      </w:r>
      <w:r w:rsidR="000E04F9" w:rsidRPr="00472578">
        <w:t>of the coastal environment,</w:t>
      </w:r>
    </w:p>
    <w:p w14:paraId="1B4BCCF4" w14:textId="78CBE74E" w:rsidR="000E04F9" w:rsidRPr="00472578" w:rsidRDefault="0012618F" w:rsidP="00E92686">
      <w:pPr>
        <w:widowControl w:val="0"/>
        <w:tabs>
          <w:tab w:val="left" w:pos="686"/>
          <w:tab w:val="left" w:pos="687"/>
        </w:tabs>
        <w:autoSpaceDE w:val="0"/>
        <w:autoSpaceDN w:val="0"/>
        <w:ind w:left="426" w:hanging="426"/>
        <w:jc w:val="both"/>
      </w:pPr>
      <w:bookmarkStart w:id="140" w:name="_Hlk94260396"/>
      <w:r w:rsidRPr="00472578">
        <w:t>(4)</w:t>
      </w:r>
      <w:r w:rsidRPr="00472578">
        <w:tab/>
      </w:r>
      <w:r w:rsidR="000E04F9" w:rsidRPr="00472578">
        <w:t xml:space="preserve">manage the </w:t>
      </w:r>
      <w:r w:rsidR="000E04F9" w:rsidRPr="00472578">
        <w:rPr>
          <w:i/>
        </w:rPr>
        <w:t xml:space="preserve">discharge </w:t>
      </w:r>
      <w:r w:rsidR="000E04F9" w:rsidRPr="00472578">
        <w:t xml:space="preserve">of </w:t>
      </w:r>
      <w:r w:rsidR="000E04F9" w:rsidRPr="00472578">
        <w:rPr>
          <w:i/>
        </w:rPr>
        <w:t xml:space="preserve">contaminants </w:t>
      </w:r>
      <w:r w:rsidR="000E04F9" w:rsidRPr="00472578">
        <w:t xml:space="preserve">into </w:t>
      </w:r>
      <w:r w:rsidR="000E04F9" w:rsidRPr="00472578">
        <w:rPr>
          <w:i/>
        </w:rPr>
        <w:t>coastal wate</w:t>
      </w:r>
      <w:bookmarkEnd w:id="140"/>
      <w:r w:rsidR="000E04F9" w:rsidRPr="00472578">
        <w:rPr>
          <w:i/>
        </w:rPr>
        <w:t>r</w:t>
      </w:r>
      <w:r w:rsidR="00B20B85" w:rsidRPr="00472578">
        <w:rPr>
          <w:i/>
        </w:rPr>
        <w:t xml:space="preserve"> </w:t>
      </w:r>
      <w:r w:rsidR="00B20B85" w:rsidRPr="00472578">
        <w:rPr>
          <w:iCs/>
          <w:u w:val="single"/>
        </w:rPr>
        <w:t xml:space="preserve">to achieve </w:t>
      </w:r>
      <w:r w:rsidR="00051CFC" w:rsidRPr="00472578">
        <w:rPr>
          <w:i/>
          <w:u w:val="single"/>
        </w:rPr>
        <w:t xml:space="preserve">environmental limits </w:t>
      </w:r>
      <w:r w:rsidR="00051CFC" w:rsidRPr="00472578">
        <w:rPr>
          <w:iCs/>
          <w:u w:val="single"/>
        </w:rPr>
        <w:t xml:space="preserve">for </w:t>
      </w:r>
      <w:r w:rsidR="00B20B85" w:rsidRPr="00472578">
        <w:rPr>
          <w:iCs/>
          <w:u w:val="single"/>
        </w:rPr>
        <w:t>water quality</w:t>
      </w:r>
      <w:r w:rsidR="00E80622" w:rsidRPr="00472578">
        <w:rPr>
          <w:rStyle w:val="FootnoteReference"/>
          <w:iCs/>
        </w:rPr>
        <w:footnoteReference w:id="696"/>
      </w:r>
      <w:r w:rsidR="000E04F9" w:rsidRPr="00472578">
        <w:rPr>
          <w:i/>
        </w:rPr>
        <w:t xml:space="preserve"> </w:t>
      </w:r>
      <w:r w:rsidR="000E04F9" w:rsidRPr="00472578">
        <w:t>by:</w:t>
      </w:r>
    </w:p>
    <w:p w14:paraId="460265D0" w14:textId="788D0002" w:rsidR="000E04F9" w:rsidRPr="00472578" w:rsidRDefault="0012618F" w:rsidP="00E92686">
      <w:pPr>
        <w:widowControl w:val="0"/>
        <w:tabs>
          <w:tab w:val="left" w:pos="1254"/>
        </w:tabs>
        <w:autoSpaceDE w:val="0"/>
        <w:autoSpaceDN w:val="0"/>
        <w:ind w:left="1134" w:right="174" w:hanging="567"/>
        <w:jc w:val="both"/>
      </w:pPr>
      <w:r w:rsidRPr="00472578">
        <w:t>(a)</w:t>
      </w:r>
      <w:r w:rsidRPr="00472578">
        <w:tab/>
      </w:r>
      <w:r w:rsidR="000E04F9" w:rsidRPr="00472578">
        <w:rPr>
          <w:u w:val="single"/>
        </w:rPr>
        <w:t xml:space="preserve">minimising the size of the </w:t>
      </w:r>
      <w:r w:rsidR="000E04F9" w:rsidRPr="00472578">
        <w:rPr>
          <w:i/>
          <w:iCs/>
          <w:u w:val="single"/>
        </w:rPr>
        <w:t>mixing zone</w:t>
      </w:r>
      <w:r w:rsidR="000E04F9" w:rsidRPr="00472578">
        <w:rPr>
          <w:u w:val="single"/>
        </w:rPr>
        <w:t xml:space="preserve"> </w:t>
      </w:r>
      <w:r w:rsidR="000E04F9" w:rsidRPr="00472578">
        <w:rPr>
          <w:strike/>
        </w:rPr>
        <w:t xml:space="preserve">only enabling the use of small </w:t>
      </w:r>
      <w:r w:rsidR="000E04F9" w:rsidRPr="00472578">
        <w:rPr>
          <w:i/>
          <w:iCs/>
          <w:strike/>
        </w:rPr>
        <w:t>mixing zones</w:t>
      </w:r>
      <w:r w:rsidR="000E04F9" w:rsidRPr="00472578">
        <w:rPr>
          <w:rStyle w:val="FootnoteReference"/>
        </w:rPr>
        <w:footnoteReference w:id="697"/>
      </w:r>
      <w:r w:rsidR="000E04F9" w:rsidRPr="00472578">
        <w:rPr>
          <w:i/>
        </w:rPr>
        <w:t xml:space="preserve"> </w:t>
      </w:r>
      <w:r w:rsidR="000E04F9" w:rsidRPr="00472578">
        <w:t xml:space="preserve">before the </w:t>
      </w:r>
      <w:r w:rsidR="000E04F9" w:rsidRPr="00472578">
        <w:rPr>
          <w:i/>
        </w:rPr>
        <w:t xml:space="preserve">water </w:t>
      </w:r>
      <w:r w:rsidR="000E04F9" w:rsidRPr="00472578">
        <w:t xml:space="preserve">quality standards need to be met in the </w:t>
      </w:r>
      <w:r w:rsidR="000E04F9" w:rsidRPr="00472578">
        <w:rPr>
          <w:i/>
        </w:rPr>
        <w:t xml:space="preserve">receiving environment </w:t>
      </w:r>
      <w:r w:rsidR="000E04F9" w:rsidRPr="00472578">
        <w:t xml:space="preserve">and minimising adverse </w:t>
      </w:r>
      <w:r w:rsidR="000E04F9" w:rsidRPr="00472578">
        <w:rPr>
          <w:i/>
        </w:rPr>
        <w:t xml:space="preserve">effects </w:t>
      </w:r>
      <w:r w:rsidR="000E04F9" w:rsidRPr="00472578">
        <w:t>on the life-supporting</w:t>
      </w:r>
      <w:r w:rsidR="007D0416" w:rsidRPr="00472578">
        <w:t xml:space="preserve"> </w:t>
      </w:r>
      <w:r w:rsidR="000E04F9" w:rsidRPr="00472578">
        <w:t xml:space="preserve">capacity of </w:t>
      </w:r>
      <w:r w:rsidR="000E04F9" w:rsidRPr="00472578">
        <w:rPr>
          <w:i/>
        </w:rPr>
        <w:t xml:space="preserve">water </w:t>
      </w:r>
      <w:r w:rsidR="000E04F9" w:rsidRPr="00472578">
        <w:t>within any mixing zone,</w:t>
      </w:r>
    </w:p>
    <w:p w14:paraId="6508A6BD" w14:textId="7F2ED882" w:rsidR="000E04F9" w:rsidRPr="00472578" w:rsidRDefault="0012618F" w:rsidP="00E92686">
      <w:pPr>
        <w:widowControl w:val="0"/>
        <w:tabs>
          <w:tab w:val="left" w:pos="1254"/>
        </w:tabs>
        <w:autoSpaceDE w:val="0"/>
        <w:autoSpaceDN w:val="0"/>
        <w:ind w:left="1134" w:right="174" w:hanging="567"/>
        <w:jc w:val="both"/>
      </w:pPr>
      <w:r w:rsidRPr="00472578">
        <w:t>(b)</w:t>
      </w:r>
      <w:r w:rsidRPr="00472578">
        <w:tab/>
      </w:r>
      <w:r w:rsidR="000E04F9" w:rsidRPr="00472578">
        <w:t xml:space="preserve">prohibiting </w:t>
      </w:r>
      <w:r w:rsidR="000E04F9" w:rsidRPr="00472578">
        <w:rPr>
          <w:u w:val="single"/>
        </w:rPr>
        <w:t>any new</w:t>
      </w:r>
      <w:r w:rsidR="000E04F9" w:rsidRPr="00472578">
        <w:t xml:space="preserve"> </w:t>
      </w:r>
      <w:r w:rsidR="000E04F9" w:rsidRPr="00472578">
        <w:rPr>
          <w:strike/>
        </w:rPr>
        <w:t>the</w:t>
      </w:r>
      <w:r w:rsidR="000E04F9" w:rsidRPr="00472578">
        <w:rPr>
          <w:rStyle w:val="FootnoteReference"/>
        </w:rPr>
        <w:footnoteReference w:id="698"/>
      </w:r>
      <w:r w:rsidR="000E04F9" w:rsidRPr="00472578">
        <w:t xml:space="preserve"> </w:t>
      </w:r>
      <w:r w:rsidR="000E04F9" w:rsidRPr="00472578">
        <w:rPr>
          <w:i/>
        </w:rPr>
        <w:t xml:space="preserve">discharge </w:t>
      </w:r>
      <w:r w:rsidR="000E04F9" w:rsidRPr="00472578">
        <w:t xml:space="preserve">of untreated human </w:t>
      </w:r>
      <w:r w:rsidR="000E04F9" w:rsidRPr="00472578">
        <w:rPr>
          <w:i/>
        </w:rPr>
        <w:t xml:space="preserve">sewage </w:t>
      </w:r>
      <w:r w:rsidR="000E04F9" w:rsidRPr="00472578">
        <w:t>directly to water in the coastal environment,</w:t>
      </w:r>
    </w:p>
    <w:p w14:paraId="17F19A1F" w14:textId="0199BF68" w:rsidR="000E04F9" w:rsidRPr="00472578" w:rsidRDefault="000E04F9" w:rsidP="00E92686">
      <w:pPr>
        <w:ind w:left="1134" w:right="176" w:hanging="567"/>
        <w:jc w:val="both"/>
        <w:rPr>
          <w:u w:val="single"/>
        </w:rPr>
      </w:pPr>
      <w:r w:rsidRPr="00472578">
        <w:rPr>
          <w:u w:val="single"/>
        </w:rPr>
        <w:t>(b</w:t>
      </w:r>
      <w:r w:rsidR="0012618F" w:rsidRPr="00472578">
        <w:rPr>
          <w:u w:val="single"/>
        </w:rPr>
        <w:t>b</w:t>
      </w:r>
      <w:r w:rsidRPr="00472578">
        <w:rPr>
          <w:u w:val="single"/>
        </w:rPr>
        <w:t>)</w:t>
      </w:r>
      <w:r w:rsidRPr="00472578">
        <w:rPr>
          <w:u w:val="single"/>
        </w:rPr>
        <w:tab/>
        <w:t>requiring the implementation of methods to progressively reduce the volume and frequency of existing discharges of untreated human sewage from reticulated wastewater system in the event of a system failure or overloading the system, including by minimising stormwater inflows and infiltration into wastewater systems,</w:t>
      </w:r>
      <w:r w:rsidRPr="00472578">
        <w:rPr>
          <w:rStyle w:val="FootnoteReference"/>
        </w:rPr>
        <w:footnoteReference w:id="699"/>
      </w:r>
    </w:p>
    <w:p w14:paraId="2AB25B99" w14:textId="15C0988B" w:rsidR="000E04F9" w:rsidRPr="00472578" w:rsidRDefault="000E04F9" w:rsidP="00E92686">
      <w:pPr>
        <w:ind w:left="1134" w:right="176" w:hanging="567"/>
        <w:jc w:val="both"/>
        <w:rPr>
          <w:u w:val="single"/>
        </w:rPr>
      </w:pPr>
      <w:r w:rsidRPr="00472578">
        <w:rPr>
          <w:u w:val="single"/>
        </w:rPr>
        <w:t>(b</w:t>
      </w:r>
      <w:r w:rsidR="0012618F" w:rsidRPr="00472578">
        <w:rPr>
          <w:u w:val="single"/>
        </w:rPr>
        <w:t>c</w:t>
      </w:r>
      <w:r w:rsidRPr="00472578">
        <w:rPr>
          <w:u w:val="single"/>
        </w:rPr>
        <w:t>)</w:t>
      </w:r>
      <w:r w:rsidRPr="00472578">
        <w:rPr>
          <w:u w:val="single"/>
        </w:rPr>
        <w:tab/>
        <w:t>encouraging methods and actions to reduce contaminant discharges at source,</w:t>
      </w:r>
      <w:r w:rsidRPr="00472578">
        <w:rPr>
          <w:rStyle w:val="FootnoteReference"/>
        </w:rPr>
        <w:footnoteReference w:id="700"/>
      </w:r>
    </w:p>
    <w:p w14:paraId="1770C93D" w14:textId="1BBEBF3F" w:rsidR="000E04F9" w:rsidRPr="00472578" w:rsidRDefault="0012618F" w:rsidP="00E92686">
      <w:pPr>
        <w:widowControl w:val="0"/>
        <w:tabs>
          <w:tab w:val="left" w:pos="1254"/>
        </w:tabs>
        <w:autoSpaceDE w:val="0"/>
        <w:autoSpaceDN w:val="0"/>
        <w:ind w:left="1134" w:right="175" w:hanging="567"/>
        <w:jc w:val="both"/>
      </w:pPr>
      <w:r w:rsidRPr="00472578">
        <w:lastRenderedPageBreak/>
        <w:t>(c)</w:t>
      </w:r>
      <w:r w:rsidRPr="00472578">
        <w:tab/>
      </w:r>
      <w:r w:rsidR="000E04F9" w:rsidRPr="00472578">
        <w:t xml:space="preserve">prohibiting the </w:t>
      </w:r>
      <w:r w:rsidR="000E04F9" w:rsidRPr="00472578">
        <w:rPr>
          <w:i/>
        </w:rPr>
        <w:t xml:space="preserve">discharge </w:t>
      </w:r>
      <w:r w:rsidR="000E04F9" w:rsidRPr="00472578">
        <w:t xml:space="preserve">of treated human </w:t>
      </w:r>
      <w:r w:rsidR="000E04F9" w:rsidRPr="00472578">
        <w:rPr>
          <w:i/>
        </w:rPr>
        <w:t xml:space="preserve">sewage </w:t>
      </w:r>
      <w:r w:rsidR="000E04F9" w:rsidRPr="00472578">
        <w:t>directly to water in the coastal environment unless:</w:t>
      </w:r>
    </w:p>
    <w:p w14:paraId="5CE4D5AB" w14:textId="254C51A5" w:rsidR="000E04F9" w:rsidRPr="00472578" w:rsidRDefault="0012618F" w:rsidP="00E92686">
      <w:pPr>
        <w:widowControl w:val="0"/>
        <w:tabs>
          <w:tab w:val="left" w:pos="1821"/>
          <w:tab w:val="left" w:pos="1822"/>
        </w:tabs>
        <w:autoSpaceDE w:val="0"/>
        <w:autoSpaceDN w:val="0"/>
        <w:ind w:left="1701" w:right="174" w:hanging="567"/>
        <w:jc w:val="both"/>
      </w:pPr>
      <w:r w:rsidRPr="00472578">
        <w:t>(i)</w:t>
      </w:r>
      <w:r w:rsidRPr="00472578">
        <w:tab/>
      </w:r>
      <w:r w:rsidR="000E04F9" w:rsidRPr="00472578">
        <w:t xml:space="preserve">there has been adequate consideration of alternative methods, </w:t>
      </w:r>
      <w:proofErr w:type="gramStart"/>
      <w:r w:rsidR="000E04F9" w:rsidRPr="00472578">
        <w:t>sites</w:t>
      </w:r>
      <w:proofErr w:type="gramEnd"/>
      <w:r w:rsidR="000E04F9" w:rsidRPr="00472578">
        <w:t xml:space="preserve"> and routes for undertaking the </w:t>
      </w:r>
      <w:r w:rsidR="000E04F9" w:rsidRPr="00472578">
        <w:rPr>
          <w:i/>
        </w:rPr>
        <w:t>discharge</w:t>
      </w:r>
      <w:r w:rsidR="000E04F9" w:rsidRPr="00472578">
        <w:t>, and</w:t>
      </w:r>
    </w:p>
    <w:p w14:paraId="7972A805" w14:textId="46E4931C" w:rsidR="000E04F9" w:rsidRPr="00472578" w:rsidRDefault="0012618F" w:rsidP="00E92686">
      <w:pPr>
        <w:widowControl w:val="0"/>
        <w:tabs>
          <w:tab w:val="left" w:pos="1821"/>
          <w:tab w:val="left" w:pos="1822"/>
        </w:tabs>
        <w:autoSpaceDE w:val="0"/>
        <w:autoSpaceDN w:val="0"/>
        <w:ind w:left="1701" w:hanging="567"/>
        <w:jc w:val="both"/>
      </w:pPr>
      <w:r w:rsidRPr="00472578">
        <w:t>(ii)</w:t>
      </w:r>
      <w:r w:rsidRPr="00472578">
        <w:tab/>
      </w:r>
      <w:r w:rsidR="000E04F9" w:rsidRPr="00472578">
        <w:t>it can be demonstrated that the proposal has been informed by consultation with</w:t>
      </w:r>
      <w:r w:rsidRPr="00472578">
        <w:t xml:space="preserve"> </w:t>
      </w:r>
      <w:r w:rsidR="000E04F9" w:rsidRPr="00472578">
        <w:rPr>
          <w:i/>
        </w:rPr>
        <w:t xml:space="preserve">tangata whenua </w:t>
      </w:r>
      <w:r w:rsidR="000E04F9" w:rsidRPr="00472578">
        <w:t>and the affected community, and</w:t>
      </w:r>
    </w:p>
    <w:p w14:paraId="3EA4BFED" w14:textId="6BA163F8" w:rsidR="000E04F9" w:rsidRPr="00472578" w:rsidRDefault="0012618F" w:rsidP="00E92686">
      <w:pPr>
        <w:widowControl w:val="0"/>
        <w:tabs>
          <w:tab w:val="left" w:pos="1253"/>
          <w:tab w:val="left" w:pos="1254"/>
        </w:tabs>
        <w:autoSpaceDE w:val="0"/>
        <w:autoSpaceDN w:val="0"/>
        <w:ind w:left="1134" w:hanging="567"/>
        <w:jc w:val="both"/>
      </w:pPr>
      <w:r w:rsidRPr="00472578">
        <w:t>(d)</w:t>
      </w:r>
      <w:r w:rsidRPr="00472578">
        <w:tab/>
      </w:r>
      <w:r w:rsidR="000E04F9" w:rsidRPr="00472578">
        <w:t xml:space="preserve">reducing the </w:t>
      </w:r>
      <w:r w:rsidR="000E04F9" w:rsidRPr="00472578">
        <w:rPr>
          <w:i/>
        </w:rPr>
        <w:t xml:space="preserve">discharge </w:t>
      </w:r>
      <w:r w:rsidR="000E04F9" w:rsidRPr="00472578">
        <w:t>of sediment by:</w:t>
      </w:r>
    </w:p>
    <w:p w14:paraId="5163C788" w14:textId="7462E7B5" w:rsidR="000E04F9" w:rsidRPr="00472578" w:rsidRDefault="0012618F" w:rsidP="00E92686">
      <w:pPr>
        <w:widowControl w:val="0"/>
        <w:tabs>
          <w:tab w:val="left" w:pos="1821"/>
          <w:tab w:val="left" w:pos="1822"/>
        </w:tabs>
        <w:autoSpaceDE w:val="0"/>
        <w:autoSpaceDN w:val="0"/>
        <w:ind w:left="1701" w:right="173" w:hanging="567"/>
        <w:jc w:val="both"/>
      </w:pPr>
      <w:r w:rsidRPr="00472578">
        <w:t>(i)</w:t>
      </w:r>
      <w:r w:rsidRPr="00472578">
        <w:tab/>
      </w:r>
      <w:r w:rsidR="000E04F9" w:rsidRPr="00472578">
        <w:t xml:space="preserve">requiring that </w:t>
      </w:r>
      <w:r w:rsidR="000E04F9" w:rsidRPr="00472578">
        <w:rPr>
          <w:i/>
        </w:rPr>
        <w:t>subdivision</w:t>
      </w:r>
      <w:r w:rsidR="000E04F9" w:rsidRPr="00472578">
        <w:t xml:space="preserve">, use, or development will not increase sedimentation of the </w:t>
      </w:r>
      <w:r w:rsidR="000E04F9" w:rsidRPr="00472578">
        <w:rPr>
          <w:i/>
        </w:rPr>
        <w:t xml:space="preserve">coastal marine area </w:t>
      </w:r>
      <w:r w:rsidR="000E04F9" w:rsidRPr="00472578">
        <w:t xml:space="preserve">or other </w:t>
      </w:r>
      <w:r w:rsidR="000E04F9" w:rsidRPr="00472578">
        <w:rPr>
          <w:i/>
        </w:rPr>
        <w:t>coastal water</w:t>
      </w:r>
      <w:r w:rsidR="000E04F9" w:rsidRPr="00472578">
        <w:t>,</w:t>
      </w:r>
    </w:p>
    <w:p w14:paraId="7BEA7D7A" w14:textId="569F5378" w:rsidR="000E04F9" w:rsidRPr="00472578" w:rsidRDefault="0012618F" w:rsidP="00E92686">
      <w:pPr>
        <w:widowControl w:val="0"/>
        <w:tabs>
          <w:tab w:val="left" w:pos="1821"/>
          <w:tab w:val="left" w:pos="1822"/>
        </w:tabs>
        <w:autoSpaceDE w:val="0"/>
        <w:autoSpaceDN w:val="0"/>
        <w:ind w:left="1701" w:right="177" w:hanging="567"/>
        <w:jc w:val="both"/>
      </w:pPr>
      <w:r w:rsidRPr="00472578">
        <w:t>(ii)</w:t>
      </w:r>
      <w:r w:rsidRPr="00472578">
        <w:tab/>
      </w:r>
      <w:r w:rsidR="000E04F9" w:rsidRPr="00472578">
        <w:t xml:space="preserve">controlling the impacts of vegetation removal on sedimentation including the impacts of harvesting </w:t>
      </w:r>
      <w:r w:rsidR="000E04F9" w:rsidRPr="00472578">
        <w:rPr>
          <w:i/>
        </w:rPr>
        <w:t>plantation forestry</w:t>
      </w:r>
      <w:r w:rsidR="000E04F9" w:rsidRPr="00472578">
        <w:t>, and</w:t>
      </w:r>
    </w:p>
    <w:p w14:paraId="6DDC9FB0" w14:textId="6932141F" w:rsidR="000E04F9" w:rsidRPr="00472578" w:rsidRDefault="0012618F" w:rsidP="00E92686">
      <w:pPr>
        <w:widowControl w:val="0"/>
        <w:tabs>
          <w:tab w:val="left" w:pos="1821"/>
          <w:tab w:val="left" w:pos="1822"/>
        </w:tabs>
        <w:autoSpaceDE w:val="0"/>
        <w:autoSpaceDN w:val="0"/>
        <w:ind w:left="1701" w:right="175" w:hanging="567"/>
        <w:jc w:val="both"/>
      </w:pPr>
      <w:r w:rsidRPr="00472578">
        <w:t>(iii)</w:t>
      </w:r>
      <w:r w:rsidRPr="00472578">
        <w:tab/>
      </w:r>
      <w:r w:rsidR="000E04F9" w:rsidRPr="00472578">
        <w:t xml:space="preserve">reducing sediment loadings in runoff and in </w:t>
      </w:r>
      <w:r w:rsidR="000E04F9" w:rsidRPr="00472578">
        <w:rPr>
          <w:i/>
        </w:rPr>
        <w:t xml:space="preserve">stormwater </w:t>
      </w:r>
      <w:r w:rsidR="000E04F9" w:rsidRPr="00472578">
        <w:t xml:space="preserve">systems through controls on </w:t>
      </w:r>
      <w:r w:rsidR="000E04F9" w:rsidRPr="00472578">
        <w:rPr>
          <w:i/>
        </w:rPr>
        <w:t xml:space="preserve">land </w:t>
      </w:r>
      <w:r w:rsidR="000E04F9" w:rsidRPr="00472578">
        <w:t>use activities, and</w:t>
      </w:r>
    </w:p>
    <w:p w14:paraId="43E71235" w14:textId="7D28C2D2" w:rsidR="000E04F9" w:rsidRPr="00472578" w:rsidRDefault="0012618F" w:rsidP="00E92686">
      <w:pPr>
        <w:widowControl w:val="0"/>
        <w:tabs>
          <w:tab w:val="left" w:pos="1254"/>
        </w:tabs>
        <w:autoSpaceDE w:val="0"/>
        <w:autoSpaceDN w:val="0"/>
        <w:ind w:left="1134" w:right="178" w:hanging="567"/>
        <w:jc w:val="both"/>
      </w:pPr>
      <w:r w:rsidRPr="00472578">
        <w:t>(e)</w:t>
      </w:r>
      <w:r w:rsidRPr="00472578">
        <w:tab/>
      </w:r>
      <w:r w:rsidR="000E04F9" w:rsidRPr="00472578">
        <w:rPr>
          <w:u w:val="single"/>
        </w:rPr>
        <w:t xml:space="preserve">designing installing, </w:t>
      </w:r>
      <w:proofErr w:type="gramStart"/>
      <w:r w:rsidR="000E04F9" w:rsidRPr="00472578">
        <w:rPr>
          <w:u w:val="single"/>
        </w:rPr>
        <w:t>operating</w:t>
      </w:r>
      <w:proofErr w:type="gramEnd"/>
      <w:r w:rsidR="000E04F9" w:rsidRPr="00472578">
        <w:rPr>
          <w:u w:val="single"/>
        </w:rPr>
        <w:t xml:space="preserve"> and maintaining new reticulated wastewater systems to</w:t>
      </w:r>
      <w:r w:rsidR="00452397" w:rsidRPr="00472578">
        <w:rPr>
          <w:u w:val="single"/>
        </w:rPr>
        <w:t xml:space="preserve"> </w:t>
      </w:r>
      <w:r w:rsidR="000E04F9" w:rsidRPr="00472578">
        <w:t>avoidi</w:t>
      </w:r>
      <w:r w:rsidR="000E04F9" w:rsidRPr="00472578">
        <w:rPr>
          <w:strike/>
        </w:rPr>
        <w:t>ng</w:t>
      </w:r>
      <w:r w:rsidR="000E04F9" w:rsidRPr="00472578">
        <w:t xml:space="preserve"> cross-contamination between</w:t>
      </w:r>
      <w:r w:rsidR="00240D5C" w:rsidRPr="00472578">
        <w:rPr>
          <w:i/>
        </w:rPr>
        <w:t xml:space="preserve"> </w:t>
      </w:r>
      <w:r w:rsidR="000E04F9" w:rsidRPr="00472578">
        <w:rPr>
          <w:i/>
        </w:rPr>
        <w:t xml:space="preserve">sewage </w:t>
      </w:r>
      <w:r w:rsidR="000E04F9" w:rsidRPr="00472578">
        <w:t xml:space="preserve">and </w:t>
      </w:r>
      <w:r w:rsidR="000E04F9" w:rsidRPr="00472578">
        <w:rPr>
          <w:i/>
        </w:rPr>
        <w:t xml:space="preserve">stormwater </w:t>
      </w:r>
      <w:r w:rsidR="000E04F9" w:rsidRPr="00472578">
        <w:t xml:space="preserve">systems </w:t>
      </w:r>
      <w:r w:rsidR="000E04F9" w:rsidRPr="00472578">
        <w:rPr>
          <w:strike/>
        </w:rPr>
        <w:t>where new systems are proposed</w:t>
      </w:r>
      <w:r w:rsidR="000E04F9" w:rsidRPr="00472578">
        <w:t xml:space="preserve"> and remedying cross-contamination where </w:t>
      </w:r>
      <w:r w:rsidR="000E04F9" w:rsidRPr="00472578">
        <w:rPr>
          <w:strike/>
        </w:rPr>
        <w:t>they</w:t>
      </w:r>
      <w:r w:rsidR="000E04F9" w:rsidRPr="00472578">
        <w:t xml:space="preserve"> </w:t>
      </w:r>
      <w:r w:rsidR="00240D5C" w:rsidRPr="00472578">
        <w:rPr>
          <w:u w:val="single"/>
        </w:rPr>
        <w:t>it</w:t>
      </w:r>
      <w:r w:rsidR="00240D5C" w:rsidRPr="00472578">
        <w:t xml:space="preserve"> </w:t>
      </w:r>
      <w:r w:rsidR="000E04F9" w:rsidRPr="00472578">
        <w:t>currently exist</w:t>
      </w:r>
      <w:r w:rsidR="00452397" w:rsidRPr="00472578">
        <w:rPr>
          <w:u w:val="single"/>
        </w:rPr>
        <w:t>s</w:t>
      </w:r>
      <w:r w:rsidR="000E04F9" w:rsidRPr="00472578">
        <w:t xml:space="preserve"> in established systems, and</w:t>
      </w:r>
      <w:r w:rsidR="00452397" w:rsidRPr="00472578">
        <w:rPr>
          <w:rStyle w:val="FootnoteReference"/>
        </w:rPr>
        <w:footnoteReference w:id="701"/>
      </w:r>
    </w:p>
    <w:p w14:paraId="12B24B0E" w14:textId="3937D762" w:rsidR="000E04F9" w:rsidRPr="00472578" w:rsidRDefault="007B241B" w:rsidP="00E92686">
      <w:pPr>
        <w:widowControl w:val="0"/>
        <w:tabs>
          <w:tab w:val="left" w:pos="1253"/>
          <w:tab w:val="left" w:pos="1254"/>
        </w:tabs>
        <w:autoSpaceDE w:val="0"/>
        <w:autoSpaceDN w:val="0"/>
        <w:ind w:left="1134" w:hanging="567"/>
        <w:jc w:val="both"/>
      </w:pPr>
      <w:r w:rsidRPr="00472578">
        <w:t>(f)</w:t>
      </w:r>
      <w:r w:rsidRPr="00472578">
        <w:tab/>
      </w:r>
      <w:r w:rsidR="000E04F9" w:rsidRPr="00472578">
        <w:t xml:space="preserve">having </w:t>
      </w:r>
      <w:proofErr w:type="gramStart"/>
      <w:r w:rsidR="000E04F9" w:rsidRPr="00472578">
        <w:t>particular regard</w:t>
      </w:r>
      <w:proofErr w:type="gramEnd"/>
      <w:r w:rsidR="000E04F9" w:rsidRPr="00472578">
        <w:t xml:space="preserve"> to:</w:t>
      </w:r>
    </w:p>
    <w:p w14:paraId="5CF61CB8" w14:textId="2103DED1" w:rsidR="000E04F9" w:rsidRPr="00472578" w:rsidRDefault="007B241B" w:rsidP="00E92686">
      <w:pPr>
        <w:widowControl w:val="0"/>
        <w:tabs>
          <w:tab w:val="left" w:pos="1821"/>
          <w:tab w:val="left" w:pos="1822"/>
        </w:tabs>
        <w:autoSpaceDE w:val="0"/>
        <w:autoSpaceDN w:val="0"/>
        <w:ind w:left="1701" w:hanging="567"/>
        <w:jc w:val="both"/>
      </w:pPr>
      <w:r w:rsidRPr="00472578">
        <w:t>(i)</w:t>
      </w:r>
      <w:r w:rsidRPr="00472578">
        <w:tab/>
      </w:r>
      <w:r w:rsidR="000E04F9" w:rsidRPr="00472578">
        <w:t>the sensitivity of the receiving environment,</w:t>
      </w:r>
    </w:p>
    <w:p w14:paraId="68B8A75E" w14:textId="49BD7C9F" w:rsidR="000E04F9" w:rsidRPr="00472578" w:rsidRDefault="007B241B" w:rsidP="00E92686">
      <w:pPr>
        <w:widowControl w:val="0"/>
        <w:tabs>
          <w:tab w:val="left" w:pos="1822"/>
        </w:tabs>
        <w:autoSpaceDE w:val="0"/>
        <w:autoSpaceDN w:val="0"/>
        <w:ind w:left="1701" w:right="171" w:hanging="567"/>
        <w:jc w:val="both"/>
      </w:pPr>
      <w:r w:rsidRPr="00472578">
        <w:t>(ii)</w:t>
      </w:r>
      <w:r w:rsidRPr="00472578">
        <w:tab/>
      </w:r>
      <w:r w:rsidR="000E04F9" w:rsidRPr="00472578">
        <w:t xml:space="preserve">the nature of the </w:t>
      </w:r>
      <w:r w:rsidR="000E04F9" w:rsidRPr="00472578">
        <w:rPr>
          <w:i/>
        </w:rPr>
        <w:t xml:space="preserve">contaminants </w:t>
      </w:r>
      <w:r w:rsidR="000E04F9" w:rsidRPr="00472578">
        <w:t xml:space="preserve">to be </w:t>
      </w:r>
      <w:r w:rsidR="000E04F9" w:rsidRPr="00472578">
        <w:rPr>
          <w:i/>
        </w:rPr>
        <w:t>discharged</w:t>
      </w:r>
      <w:r w:rsidR="000E04F9" w:rsidRPr="00472578">
        <w:t xml:space="preserve">, the </w:t>
      </w:r>
      <w:r w:rsidR="000E04F9" w:rsidRPr="00472578">
        <w:rPr>
          <w:i/>
        </w:rPr>
        <w:t xml:space="preserve">contaminant </w:t>
      </w:r>
      <w:r w:rsidR="000E04F9" w:rsidRPr="00472578">
        <w:t xml:space="preserve">concentration thresholds not to be exceeded to achieve the required </w:t>
      </w:r>
      <w:r w:rsidR="000E04F9" w:rsidRPr="00472578">
        <w:rPr>
          <w:i/>
        </w:rPr>
        <w:t xml:space="preserve">water </w:t>
      </w:r>
      <w:r w:rsidR="000E04F9" w:rsidRPr="00472578">
        <w:t xml:space="preserve">quality in the receiving environment, and the risks if that concentration of </w:t>
      </w:r>
      <w:r w:rsidR="000E04F9" w:rsidRPr="00472578">
        <w:rPr>
          <w:i/>
        </w:rPr>
        <w:t xml:space="preserve">contaminants </w:t>
      </w:r>
      <w:r w:rsidR="000E04F9" w:rsidRPr="00472578">
        <w:t>is exceeded,</w:t>
      </w:r>
    </w:p>
    <w:p w14:paraId="0EF9A9E7" w14:textId="529C5FFE" w:rsidR="000E04F9" w:rsidRPr="00472578" w:rsidRDefault="007B241B" w:rsidP="00E92686">
      <w:pPr>
        <w:widowControl w:val="0"/>
        <w:tabs>
          <w:tab w:val="left" w:pos="1821"/>
          <w:tab w:val="left" w:pos="1822"/>
        </w:tabs>
        <w:autoSpaceDE w:val="0"/>
        <w:autoSpaceDN w:val="0"/>
        <w:ind w:left="1701" w:right="177" w:hanging="567"/>
        <w:jc w:val="both"/>
      </w:pPr>
      <w:r w:rsidRPr="00472578">
        <w:t>(iii)</w:t>
      </w:r>
      <w:r w:rsidRPr="00472578">
        <w:tab/>
      </w:r>
      <w:r w:rsidR="000E04F9" w:rsidRPr="00472578">
        <w:t xml:space="preserve">the capacity of the receiving environment to assimilate the </w:t>
      </w:r>
      <w:r w:rsidR="000E04F9" w:rsidRPr="00472578">
        <w:rPr>
          <w:i/>
        </w:rPr>
        <w:t>contaminants</w:t>
      </w:r>
      <w:r w:rsidR="000E04F9" w:rsidRPr="00472578">
        <w:t>, and</w:t>
      </w:r>
    </w:p>
    <w:p w14:paraId="1AF7B3D9" w14:textId="4BA5BF58" w:rsidR="000E04F9" w:rsidRPr="00472578" w:rsidRDefault="007B241B" w:rsidP="00E92686">
      <w:pPr>
        <w:widowControl w:val="0"/>
        <w:tabs>
          <w:tab w:val="left" w:pos="1821"/>
          <w:tab w:val="left" w:pos="1822"/>
        </w:tabs>
        <w:autoSpaceDE w:val="0"/>
        <w:autoSpaceDN w:val="0"/>
        <w:ind w:left="1701" w:hanging="567"/>
        <w:jc w:val="both"/>
      </w:pPr>
      <w:r w:rsidRPr="00472578">
        <w:t>(iv)</w:t>
      </w:r>
      <w:r w:rsidRPr="00472578">
        <w:tab/>
      </w:r>
      <w:r w:rsidR="000E04F9" w:rsidRPr="00472578">
        <w:t xml:space="preserve">avoiding significant adverse </w:t>
      </w:r>
      <w:r w:rsidR="000E04F9" w:rsidRPr="00472578">
        <w:rPr>
          <w:i/>
        </w:rPr>
        <w:t xml:space="preserve">effects </w:t>
      </w:r>
      <w:r w:rsidR="000E04F9" w:rsidRPr="00472578">
        <w:t>on ecosystems and habitats after reasonable mixing,</w:t>
      </w:r>
    </w:p>
    <w:p w14:paraId="2BBB56C3" w14:textId="5C61A4DD" w:rsidR="000E04F9" w:rsidRPr="00472578" w:rsidRDefault="007B241B" w:rsidP="00E92686">
      <w:pPr>
        <w:widowControl w:val="0"/>
        <w:tabs>
          <w:tab w:val="left" w:pos="686"/>
          <w:tab w:val="left" w:pos="687"/>
        </w:tabs>
        <w:autoSpaceDE w:val="0"/>
        <w:autoSpaceDN w:val="0"/>
        <w:ind w:left="567" w:hanging="567"/>
        <w:jc w:val="both"/>
      </w:pPr>
      <w:r w:rsidRPr="00472578">
        <w:t>(5)</w:t>
      </w:r>
      <w:r w:rsidRPr="00472578">
        <w:tab/>
      </w:r>
      <w:r w:rsidR="000E04F9" w:rsidRPr="00472578">
        <w:t xml:space="preserve">control the use and development of the </w:t>
      </w:r>
      <w:r w:rsidR="000E04F9" w:rsidRPr="00472578">
        <w:rPr>
          <w:i/>
        </w:rPr>
        <w:t>coastal marine area</w:t>
      </w:r>
      <w:r w:rsidR="000E04F9" w:rsidRPr="00472578">
        <w:t xml:space="preserve">, </w:t>
      </w:r>
      <w:proofErr w:type="gramStart"/>
      <w:r w:rsidR="000E04F9" w:rsidRPr="00472578">
        <w:t>in order to</w:t>
      </w:r>
      <w:proofErr w:type="gramEnd"/>
      <w:r w:rsidR="000E04F9" w:rsidRPr="00472578">
        <w:t>:</w:t>
      </w:r>
    </w:p>
    <w:p w14:paraId="4CFC42E4" w14:textId="6F60398F" w:rsidR="000E04F9" w:rsidRPr="00472578" w:rsidRDefault="007B241B" w:rsidP="00E92686">
      <w:pPr>
        <w:widowControl w:val="0"/>
        <w:tabs>
          <w:tab w:val="left" w:pos="1254"/>
        </w:tabs>
        <w:autoSpaceDE w:val="0"/>
        <w:autoSpaceDN w:val="0"/>
        <w:ind w:left="1134" w:right="172" w:hanging="567"/>
        <w:jc w:val="both"/>
      </w:pPr>
      <w:r w:rsidRPr="00472578">
        <w:t>(a)</w:t>
      </w:r>
      <w:r w:rsidRPr="00472578">
        <w:tab/>
      </w:r>
      <w:r w:rsidR="000E04F9" w:rsidRPr="00472578">
        <w:t xml:space="preserve">preserve the </w:t>
      </w:r>
      <w:r w:rsidR="000E04F9" w:rsidRPr="00472578">
        <w:rPr>
          <w:u w:val="single"/>
        </w:rPr>
        <w:t>coastal water quality</w:t>
      </w:r>
      <w:r w:rsidR="000D7D4D" w:rsidRPr="00472578">
        <w:rPr>
          <w:u w:val="single"/>
        </w:rPr>
        <w:t>;</w:t>
      </w:r>
      <w:r w:rsidR="000E04F9" w:rsidRPr="00472578">
        <w:rPr>
          <w:u w:val="single"/>
        </w:rPr>
        <w:t xml:space="preserve"> </w:t>
      </w:r>
      <w:r w:rsidR="000E04F9" w:rsidRPr="00472578">
        <w:t>natural character</w:t>
      </w:r>
      <w:r w:rsidR="000D7D4D" w:rsidRPr="00472578">
        <w:t>;</w:t>
      </w:r>
      <w:r w:rsidR="000E04F9" w:rsidRPr="00472578">
        <w:t xml:space="preserve"> natural landscapes, features, and seascapes; </w:t>
      </w:r>
      <w:r w:rsidR="000E04F9" w:rsidRPr="00472578">
        <w:rPr>
          <w:u w:val="single"/>
        </w:rPr>
        <w:t>wāhi tūpuna</w:t>
      </w:r>
      <w:r w:rsidR="000E04F9" w:rsidRPr="00472578">
        <w:t xml:space="preserve"> and indigenous </w:t>
      </w:r>
      <w:r w:rsidR="000E04F9" w:rsidRPr="00472578">
        <w:rPr>
          <w:i/>
        </w:rPr>
        <w:t xml:space="preserve">biodiversity </w:t>
      </w:r>
      <w:r w:rsidR="000E04F9" w:rsidRPr="00472578">
        <w:t xml:space="preserve">of the </w:t>
      </w:r>
      <w:r w:rsidR="000E04F9" w:rsidRPr="00472578">
        <w:rPr>
          <w:i/>
        </w:rPr>
        <w:t xml:space="preserve">coastal marine area </w:t>
      </w:r>
      <w:r w:rsidR="000E04F9" w:rsidRPr="00472578">
        <w:t xml:space="preserve">in accordance with </w:t>
      </w:r>
      <w:r w:rsidR="000E04F9" w:rsidRPr="00472578">
        <w:rPr>
          <w:u w:val="single"/>
        </w:rPr>
        <w:t>CE-P3,</w:t>
      </w:r>
      <w:r w:rsidR="000E04F9" w:rsidRPr="00472578">
        <w:t xml:space="preserve"> </w:t>
      </w:r>
      <w:r w:rsidR="007113CF" w:rsidRPr="00472578">
        <w:t>CE-P</w:t>
      </w:r>
      <w:r w:rsidR="000E04F9" w:rsidRPr="00472578">
        <w:t xml:space="preserve">4, </w:t>
      </w:r>
      <w:r w:rsidR="007113CF" w:rsidRPr="00472578">
        <w:t>CE-P</w:t>
      </w:r>
      <w:r w:rsidR="000E04F9" w:rsidRPr="00472578">
        <w:t xml:space="preserve">5, </w:t>
      </w:r>
      <w:r w:rsidR="000E04F9" w:rsidRPr="00472578">
        <w:rPr>
          <w:strike/>
        </w:rPr>
        <w:t>and</w:t>
      </w:r>
      <w:r w:rsidR="000E04F9" w:rsidRPr="00472578">
        <w:t xml:space="preserve"> </w:t>
      </w:r>
      <w:r w:rsidR="007113CF" w:rsidRPr="00472578">
        <w:t>CE-P</w:t>
      </w:r>
      <w:r w:rsidR="000E04F9" w:rsidRPr="00472578">
        <w:t>6</w:t>
      </w:r>
      <w:r w:rsidR="00E16934" w:rsidRPr="00472578">
        <w:t xml:space="preserve"> </w:t>
      </w:r>
      <w:r w:rsidR="00E16934" w:rsidRPr="00472578">
        <w:rPr>
          <w:u w:val="single"/>
        </w:rPr>
        <w:t>and HCV-WT-P2</w:t>
      </w:r>
      <w:r w:rsidR="002017AB" w:rsidRPr="00472578">
        <w:rPr>
          <w:rStyle w:val="FootnoteReference"/>
        </w:rPr>
        <w:footnoteReference w:id="702"/>
      </w:r>
      <w:r w:rsidR="000E04F9" w:rsidRPr="00472578">
        <w:t>, and</w:t>
      </w:r>
    </w:p>
    <w:p w14:paraId="049F0CAF" w14:textId="0CE2F5A2" w:rsidR="000E04F9" w:rsidRPr="00472578" w:rsidRDefault="007B241B" w:rsidP="00E92686">
      <w:pPr>
        <w:widowControl w:val="0"/>
        <w:tabs>
          <w:tab w:val="left" w:pos="1254"/>
        </w:tabs>
        <w:autoSpaceDE w:val="0"/>
        <w:autoSpaceDN w:val="0"/>
        <w:ind w:left="1134" w:right="174" w:hanging="567"/>
        <w:jc w:val="both"/>
      </w:pPr>
      <w:r w:rsidRPr="00472578">
        <w:t>(b)</w:t>
      </w:r>
      <w:r w:rsidRPr="00472578">
        <w:tab/>
      </w:r>
      <w:r w:rsidR="000E04F9" w:rsidRPr="00472578">
        <w:t xml:space="preserve">manage Otago’s </w:t>
      </w:r>
      <w:r w:rsidR="000E04F9" w:rsidRPr="00472578">
        <w:rPr>
          <w:i/>
          <w:iCs/>
          <w:u w:val="single"/>
        </w:rPr>
        <w:t>surf breaks</w:t>
      </w:r>
      <w:r w:rsidR="000E04F9" w:rsidRPr="00472578">
        <w:rPr>
          <w:u w:val="single"/>
        </w:rPr>
        <w:t xml:space="preserve"> of national significance</w:t>
      </w:r>
      <w:r w:rsidR="000E04F9" w:rsidRPr="00472578">
        <w:t xml:space="preserve"> </w:t>
      </w:r>
      <w:r w:rsidR="000E04F9" w:rsidRPr="00472578">
        <w:rPr>
          <w:strike/>
        </w:rPr>
        <w:t>nationally</w:t>
      </w:r>
      <w:r w:rsidR="000E04F9" w:rsidRPr="00472578">
        <w:rPr>
          <w:rStyle w:val="FootnoteReference"/>
        </w:rPr>
        <w:footnoteReference w:id="703"/>
      </w:r>
      <w:r w:rsidR="000E04F9" w:rsidRPr="00472578">
        <w:t xml:space="preserve"> and regionally significant </w:t>
      </w:r>
      <w:r w:rsidR="000E04F9" w:rsidRPr="00472578">
        <w:rPr>
          <w:i/>
        </w:rPr>
        <w:t xml:space="preserve">surf breaks </w:t>
      </w:r>
      <w:r w:rsidR="000E04F9" w:rsidRPr="00472578">
        <w:t>in accordance with CE</w:t>
      </w:r>
      <w:r w:rsidR="00E86303" w:rsidRPr="00472578">
        <w:t>-</w:t>
      </w:r>
      <w:r w:rsidR="000E04F9" w:rsidRPr="00472578">
        <w:t>P7,</w:t>
      </w:r>
    </w:p>
    <w:p w14:paraId="3EB319B1" w14:textId="6FA8B54D" w:rsidR="000E04F9" w:rsidRPr="00472578" w:rsidRDefault="007B241B" w:rsidP="00E92686">
      <w:pPr>
        <w:widowControl w:val="0"/>
        <w:tabs>
          <w:tab w:val="left" w:pos="686"/>
          <w:tab w:val="left" w:pos="687"/>
        </w:tabs>
        <w:autoSpaceDE w:val="0"/>
        <w:autoSpaceDN w:val="0"/>
        <w:ind w:left="567" w:hanging="567"/>
        <w:jc w:val="both"/>
      </w:pPr>
      <w:r w:rsidRPr="00472578">
        <w:t>(6)</w:t>
      </w:r>
      <w:r w:rsidRPr="00472578">
        <w:tab/>
      </w:r>
      <w:r w:rsidR="000E04F9" w:rsidRPr="00472578">
        <w:t xml:space="preserve">include provisions requiring the adoption of a precautionary approach to assessing the </w:t>
      </w:r>
      <w:r w:rsidR="000E04F9" w:rsidRPr="00472578">
        <w:rPr>
          <w:i/>
        </w:rPr>
        <w:t>effects</w:t>
      </w:r>
      <w:r w:rsidRPr="00472578">
        <w:rPr>
          <w:i/>
        </w:rPr>
        <w:t xml:space="preserve"> </w:t>
      </w:r>
      <w:r w:rsidR="000E04F9" w:rsidRPr="00472578">
        <w:t>of activities in the coastal environment in accordance with IM</w:t>
      </w:r>
      <w:r w:rsidR="00E86303" w:rsidRPr="00472578">
        <w:t>-</w:t>
      </w:r>
      <w:r w:rsidR="000E04F9" w:rsidRPr="00472578">
        <w:t>P</w:t>
      </w:r>
      <w:r w:rsidR="000E04F9" w:rsidRPr="00472578">
        <w:rPr>
          <w:strike/>
        </w:rPr>
        <w:t>15</w:t>
      </w:r>
      <w:r w:rsidR="000E04F9" w:rsidRPr="00472578">
        <w:rPr>
          <w:u w:val="single"/>
        </w:rPr>
        <w:t>6</w:t>
      </w:r>
      <w:r w:rsidR="000E04F9" w:rsidRPr="00472578">
        <w:rPr>
          <w:rStyle w:val="FootnoteReference"/>
        </w:rPr>
        <w:footnoteReference w:id="704"/>
      </w:r>
      <w:r w:rsidR="000E04F9" w:rsidRPr="00472578">
        <w:t xml:space="preserve"> where:</w:t>
      </w:r>
    </w:p>
    <w:p w14:paraId="77ED62DB" w14:textId="432CCFE4" w:rsidR="000E04F9" w:rsidRPr="00472578" w:rsidRDefault="007B241B" w:rsidP="00E92686">
      <w:pPr>
        <w:widowControl w:val="0"/>
        <w:tabs>
          <w:tab w:val="left" w:pos="1253"/>
          <w:tab w:val="left" w:pos="1254"/>
        </w:tabs>
        <w:autoSpaceDE w:val="0"/>
        <w:autoSpaceDN w:val="0"/>
        <w:ind w:left="1134" w:hanging="567"/>
        <w:jc w:val="both"/>
      </w:pPr>
      <w:r w:rsidRPr="00472578">
        <w:lastRenderedPageBreak/>
        <w:t>(a)</w:t>
      </w:r>
      <w:r w:rsidRPr="00472578">
        <w:tab/>
      </w:r>
      <w:r w:rsidR="000E04F9" w:rsidRPr="00472578">
        <w:t>there is scientific uncertainty, or</w:t>
      </w:r>
    </w:p>
    <w:p w14:paraId="68F6574E" w14:textId="73B3D623" w:rsidR="000E04F9" w:rsidRPr="00472578" w:rsidRDefault="007B241B" w:rsidP="00E92686">
      <w:pPr>
        <w:widowControl w:val="0"/>
        <w:tabs>
          <w:tab w:val="left" w:pos="1253"/>
          <w:tab w:val="left" w:pos="1254"/>
        </w:tabs>
        <w:autoSpaceDE w:val="0"/>
        <w:autoSpaceDN w:val="0"/>
        <w:ind w:left="1134" w:hanging="567"/>
        <w:jc w:val="both"/>
      </w:pPr>
      <w:r w:rsidRPr="00472578">
        <w:t>(b)</w:t>
      </w:r>
      <w:r w:rsidRPr="00472578">
        <w:tab/>
      </w:r>
      <w:r w:rsidR="000E04F9" w:rsidRPr="00472578">
        <w:t xml:space="preserve">there are potentially significant or irreversible adverse </w:t>
      </w:r>
      <w:r w:rsidR="000E04F9" w:rsidRPr="00472578">
        <w:rPr>
          <w:i/>
        </w:rPr>
        <w:t>effects</w:t>
      </w:r>
      <w:r w:rsidR="000E04F9" w:rsidRPr="00472578">
        <w:t xml:space="preserve">, </w:t>
      </w:r>
      <w:r w:rsidR="000E04F9" w:rsidRPr="00472578">
        <w:rPr>
          <w:u w:val="single"/>
        </w:rPr>
        <w:t>or</w:t>
      </w:r>
    </w:p>
    <w:p w14:paraId="4D802CF8" w14:textId="3A68DC03" w:rsidR="000E04F9" w:rsidRPr="00472578" w:rsidRDefault="007B241B" w:rsidP="00E92686">
      <w:pPr>
        <w:widowControl w:val="0"/>
        <w:tabs>
          <w:tab w:val="left" w:pos="1253"/>
          <w:tab w:val="left" w:pos="1254"/>
        </w:tabs>
        <w:autoSpaceDE w:val="0"/>
        <w:autoSpaceDN w:val="0"/>
        <w:ind w:left="1134" w:hanging="567"/>
        <w:jc w:val="both"/>
      </w:pPr>
      <w:bookmarkStart w:id="141" w:name="_Hlk94550939"/>
      <w:r w:rsidRPr="00472578">
        <w:rPr>
          <w:u w:val="single"/>
        </w:rPr>
        <w:t>(c)</w:t>
      </w:r>
      <w:r w:rsidRPr="00472578">
        <w:rPr>
          <w:u w:val="single"/>
        </w:rPr>
        <w:tab/>
      </w:r>
      <w:r w:rsidR="000E04F9" w:rsidRPr="00472578">
        <w:rPr>
          <w:u w:val="single"/>
        </w:rPr>
        <w:t>coastal resources are potentially vulnerable to effects from climate change</w:t>
      </w:r>
      <w:bookmarkEnd w:id="141"/>
      <w:r w:rsidR="00460A28" w:rsidRPr="00472578">
        <w:rPr>
          <w:u w:val="single"/>
        </w:rPr>
        <w:t>,</w:t>
      </w:r>
      <w:r w:rsidR="000E04F9" w:rsidRPr="00472578">
        <w:rPr>
          <w:rStyle w:val="FootnoteReference"/>
        </w:rPr>
        <w:t xml:space="preserve"> </w:t>
      </w:r>
      <w:r w:rsidR="000E04F9" w:rsidRPr="00472578">
        <w:rPr>
          <w:rStyle w:val="FootnoteReference"/>
        </w:rPr>
        <w:footnoteReference w:id="705"/>
      </w:r>
    </w:p>
    <w:p w14:paraId="4949F392" w14:textId="2809E8FD" w:rsidR="000E04F9" w:rsidRPr="00472578" w:rsidRDefault="007B241B" w:rsidP="00E92686">
      <w:pPr>
        <w:widowControl w:val="0"/>
        <w:tabs>
          <w:tab w:val="left" w:pos="687"/>
        </w:tabs>
        <w:autoSpaceDE w:val="0"/>
        <w:autoSpaceDN w:val="0"/>
        <w:ind w:left="567" w:right="177" w:hanging="567"/>
        <w:jc w:val="both"/>
      </w:pPr>
      <w:r w:rsidRPr="00472578">
        <w:t>(7)</w:t>
      </w:r>
      <w:r w:rsidRPr="00472578">
        <w:tab/>
      </w:r>
      <w:r w:rsidR="000E04F9" w:rsidRPr="00472578">
        <w:t xml:space="preserve">identify areas appropriate for aquaculture and the forms and limits associated with providing for aquaculture that will enable achievement of objectives </w:t>
      </w:r>
      <w:r w:rsidR="007113CF" w:rsidRPr="00472578">
        <w:t>CE-O</w:t>
      </w:r>
      <w:r w:rsidR="000E04F9" w:rsidRPr="00472578">
        <w:t xml:space="preserve">1 to </w:t>
      </w:r>
      <w:r w:rsidR="007113CF" w:rsidRPr="00472578">
        <w:t>CE-O</w:t>
      </w:r>
      <w:r w:rsidR="000E04F9" w:rsidRPr="00472578">
        <w:t>5,</w:t>
      </w:r>
    </w:p>
    <w:p w14:paraId="3511FAD6" w14:textId="4B36B796" w:rsidR="000E04F9" w:rsidRPr="00472578" w:rsidRDefault="007B241B" w:rsidP="00E92686">
      <w:pPr>
        <w:widowControl w:val="0"/>
        <w:tabs>
          <w:tab w:val="left" w:pos="687"/>
        </w:tabs>
        <w:autoSpaceDE w:val="0"/>
        <w:autoSpaceDN w:val="0"/>
        <w:ind w:left="567" w:right="176" w:hanging="567"/>
        <w:jc w:val="both"/>
      </w:pPr>
      <w:r w:rsidRPr="00472578">
        <w:t>(8)</w:t>
      </w:r>
      <w:r w:rsidRPr="00472578">
        <w:tab/>
      </w:r>
      <w:r w:rsidR="000E04F9" w:rsidRPr="00472578">
        <w:t xml:space="preserve">provide for walking access to and along the </w:t>
      </w:r>
      <w:r w:rsidR="000E04F9" w:rsidRPr="00472578">
        <w:rPr>
          <w:i/>
        </w:rPr>
        <w:t xml:space="preserve">coastal marine area </w:t>
      </w:r>
      <w:r w:rsidR="000E04F9" w:rsidRPr="00472578">
        <w:t>in accordance with Policy 19 of the NZCPS,</w:t>
      </w:r>
    </w:p>
    <w:p w14:paraId="0DD0B292" w14:textId="2CB19723" w:rsidR="000E04F9" w:rsidRPr="00472578" w:rsidRDefault="007B241B" w:rsidP="00E92686">
      <w:pPr>
        <w:widowControl w:val="0"/>
        <w:tabs>
          <w:tab w:val="left" w:pos="687"/>
        </w:tabs>
        <w:autoSpaceDE w:val="0"/>
        <w:autoSpaceDN w:val="0"/>
        <w:ind w:left="567" w:right="177" w:hanging="567"/>
        <w:jc w:val="both"/>
      </w:pPr>
      <w:r w:rsidRPr="00472578">
        <w:t>(9)</w:t>
      </w:r>
      <w:r w:rsidRPr="00472578">
        <w:tab/>
      </w:r>
      <w:r w:rsidR="000E04F9" w:rsidRPr="00472578">
        <w:t xml:space="preserve">control vehicle access to and along the </w:t>
      </w:r>
      <w:r w:rsidR="000E04F9" w:rsidRPr="00472578">
        <w:rPr>
          <w:i/>
        </w:rPr>
        <w:t xml:space="preserve">coastal marine area </w:t>
      </w:r>
      <w:r w:rsidR="000E04F9" w:rsidRPr="00472578">
        <w:t>in accordance with Policy 20 of the NZCPS,</w:t>
      </w:r>
    </w:p>
    <w:p w14:paraId="1A5F41D0" w14:textId="4D6A202A" w:rsidR="000E04F9" w:rsidRPr="00472578" w:rsidRDefault="007B241B" w:rsidP="00E92686">
      <w:pPr>
        <w:widowControl w:val="0"/>
        <w:tabs>
          <w:tab w:val="left" w:pos="687"/>
        </w:tabs>
        <w:autoSpaceDE w:val="0"/>
        <w:autoSpaceDN w:val="0"/>
        <w:ind w:left="567" w:right="174" w:hanging="567"/>
        <w:jc w:val="both"/>
      </w:pPr>
      <w:r w:rsidRPr="00472578">
        <w:t>(10)</w:t>
      </w:r>
      <w:r w:rsidRPr="00472578">
        <w:tab/>
      </w:r>
      <w:r w:rsidR="000E04F9" w:rsidRPr="00472578">
        <w:t xml:space="preserve">manage reclamation </w:t>
      </w:r>
      <w:r w:rsidR="000E04F9" w:rsidRPr="00472578">
        <w:rPr>
          <w:u w:val="single"/>
        </w:rPr>
        <w:t>and de-reclamation</w:t>
      </w:r>
      <w:r w:rsidR="000E04F9" w:rsidRPr="00472578">
        <w:rPr>
          <w:rStyle w:val="FootnoteReference"/>
        </w:rPr>
        <w:footnoteReference w:id="706"/>
      </w:r>
      <w:r w:rsidR="000E04F9" w:rsidRPr="00472578">
        <w:t xml:space="preserve"> activities in accordance with </w:t>
      </w:r>
      <w:r w:rsidR="007113CF" w:rsidRPr="00472578">
        <w:t>CE-P</w:t>
      </w:r>
      <w:r w:rsidR="000E04F9" w:rsidRPr="00472578">
        <w:t xml:space="preserve">12, and when </w:t>
      </w:r>
      <w:r w:rsidR="000E04F9" w:rsidRPr="00472578">
        <w:rPr>
          <w:i/>
        </w:rPr>
        <w:t xml:space="preserve">reclamation </w:t>
      </w:r>
      <w:r w:rsidR="000E04F9" w:rsidRPr="00472578">
        <w:t xml:space="preserve">is considered suitable in accordance with </w:t>
      </w:r>
      <w:r w:rsidR="007113CF" w:rsidRPr="00472578">
        <w:t>CE-P</w:t>
      </w:r>
      <w:r w:rsidR="000E04F9" w:rsidRPr="00472578">
        <w:t xml:space="preserve">12, have </w:t>
      </w:r>
      <w:proofErr w:type="gramStart"/>
      <w:r w:rsidR="000E04F9" w:rsidRPr="00472578">
        <w:t>particular regard</w:t>
      </w:r>
      <w:proofErr w:type="gramEnd"/>
      <w:r w:rsidR="000E04F9" w:rsidRPr="00472578">
        <w:t xml:space="preserve"> to the matters listed in Policy 10(2) and (3) of the NZCPS,</w:t>
      </w:r>
    </w:p>
    <w:p w14:paraId="536C99EF" w14:textId="1639E473" w:rsidR="000E04F9" w:rsidRPr="00472578" w:rsidRDefault="007B241B" w:rsidP="00E92686">
      <w:pPr>
        <w:widowControl w:val="0"/>
        <w:autoSpaceDE w:val="0"/>
        <w:autoSpaceDN w:val="0"/>
        <w:ind w:left="567" w:right="174" w:hanging="567"/>
        <w:jc w:val="both"/>
        <w:rPr>
          <w:rFonts w:cstheme="minorHAnsi"/>
          <w:u w:val="single"/>
        </w:rPr>
      </w:pPr>
      <w:r w:rsidRPr="00472578">
        <w:rPr>
          <w:rFonts w:cstheme="minorHAnsi"/>
          <w:color w:val="000000"/>
          <w:shd w:val="clear" w:color="auto" w:fill="FFFFFF"/>
        </w:rPr>
        <w:t>(11)</w:t>
      </w:r>
      <w:r w:rsidRPr="00472578">
        <w:rPr>
          <w:rFonts w:cstheme="minorHAnsi"/>
          <w:color w:val="000000"/>
          <w:shd w:val="clear" w:color="auto" w:fill="FFFFFF"/>
        </w:rPr>
        <w:tab/>
      </w:r>
      <w:r w:rsidR="000E04F9" w:rsidRPr="00472578">
        <w:rPr>
          <w:rFonts w:cstheme="minorHAnsi"/>
          <w:color w:val="000000"/>
          <w:shd w:val="clear" w:color="auto" w:fill="FFFFFF"/>
        </w:rPr>
        <w:t>require stock to be excluded from the </w:t>
      </w:r>
      <w:r w:rsidR="000E04F9" w:rsidRPr="00472578">
        <w:rPr>
          <w:rFonts w:cstheme="minorHAnsi"/>
          <w:i/>
          <w:color w:val="000000"/>
          <w:shd w:val="clear" w:color="auto" w:fill="FFFFFF"/>
        </w:rPr>
        <w:t>coastal marine area,</w:t>
      </w:r>
      <w:r w:rsidR="000E04F9" w:rsidRPr="00472578">
        <w:rPr>
          <w:rFonts w:cstheme="minorHAnsi"/>
          <w:color w:val="000000"/>
          <w:shd w:val="clear" w:color="auto" w:fill="FFFFFF"/>
        </w:rPr>
        <w:t> adjoining intertidal areas and other </w:t>
      </w:r>
      <w:r w:rsidR="000E04F9" w:rsidRPr="00472578">
        <w:rPr>
          <w:rFonts w:cstheme="minorHAnsi"/>
          <w:i/>
          <w:color w:val="000000"/>
          <w:shd w:val="clear" w:color="auto" w:fill="FFFFFF"/>
        </w:rPr>
        <w:t>water bodies</w:t>
      </w:r>
      <w:r w:rsidR="000E04F9" w:rsidRPr="00472578">
        <w:rPr>
          <w:rFonts w:cstheme="minorHAnsi"/>
          <w:color w:val="000000"/>
          <w:shd w:val="clear" w:color="auto" w:fill="FFFFFF"/>
        </w:rPr>
        <w:t> and riparian margins in the coastal </w:t>
      </w:r>
      <w:r w:rsidR="000E04F9" w:rsidRPr="00472578">
        <w:rPr>
          <w:rFonts w:cstheme="minorHAnsi"/>
        </w:rPr>
        <w:t>environment</w:t>
      </w:r>
      <w:r w:rsidR="000E04F9" w:rsidRPr="00472578">
        <w:rPr>
          <w:rFonts w:cstheme="minorHAnsi"/>
          <w:color w:val="000000"/>
          <w:shd w:val="clear" w:color="auto" w:fill="FFFFFF"/>
        </w:rPr>
        <w:t>, and</w:t>
      </w:r>
    </w:p>
    <w:p w14:paraId="085A49B5" w14:textId="6BB28DA8" w:rsidR="000E04F9" w:rsidRPr="00472578" w:rsidRDefault="007B241B" w:rsidP="00E92686">
      <w:pPr>
        <w:widowControl w:val="0"/>
        <w:tabs>
          <w:tab w:val="left" w:pos="687"/>
        </w:tabs>
        <w:autoSpaceDE w:val="0"/>
        <w:autoSpaceDN w:val="0"/>
        <w:ind w:left="567" w:right="179" w:hanging="567"/>
        <w:jc w:val="both"/>
      </w:pPr>
      <w:r w:rsidRPr="00472578">
        <w:t>(12)</w:t>
      </w:r>
      <w:r w:rsidRPr="00472578">
        <w:tab/>
      </w:r>
      <w:r w:rsidR="000E04F9" w:rsidRPr="00472578">
        <w:t xml:space="preserve">provide for and encourage activities undertaken for the primary purpose of </w:t>
      </w:r>
      <w:r w:rsidR="000E04F9" w:rsidRPr="00472578">
        <w:rPr>
          <w:u w:val="single"/>
        </w:rPr>
        <w:t xml:space="preserve">enhancing coastal water quality, coastal habitats and ecosystems, customary fisheries, </w:t>
      </w:r>
      <w:r w:rsidR="000E04F9" w:rsidRPr="00A00191">
        <w:rPr>
          <w:i/>
          <w:u w:val="single"/>
        </w:rPr>
        <w:t>mahika kai</w:t>
      </w:r>
      <w:r w:rsidR="000E04F9" w:rsidRPr="00472578">
        <w:rPr>
          <w:u w:val="single"/>
        </w:rPr>
        <w:t xml:space="preserve"> and kaimoana activities, and</w:t>
      </w:r>
      <w:r w:rsidR="000E04F9" w:rsidRPr="00472578">
        <w:rPr>
          <w:rStyle w:val="FootnoteReference"/>
        </w:rPr>
        <w:footnoteReference w:id="707"/>
      </w:r>
      <w:r w:rsidR="000E04F9" w:rsidRPr="00472578">
        <w:t xml:space="preserve"> restoring natural character, features, landscapes, or seascapes in accordance with </w:t>
      </w:r>
      <w:r w:rsidR="000E04F9" w:rsidRPr="00472578">
        <w:rPr>
          <w:u w:val="single"/>
        </w:rPr>
        <w:t>CE-P3,</w:t>
      </w:r>
      <w:r w:rsidR="001D71A6" w:rsidRPr="00472578">
        <w:rPr>
          <w:rStyle w:val="FootnoteReference"/>
        </w:rPr>
        <w:footnoteReference w:id="708"/>
      </w:r>
      <w:r w:rsidR="000E04F9" w:rsidRPr="00472578">
        <w:t xml:space="preserve"> </w:t>
      </w:r>
      <w:r w:rsidR="007113CF" w:rsidRPr="00472578">
        <w:t>CE-P</w:t>
      </w:r>
      <w:r w:rsidR="000E04F9" w:rsidRPr="00472578">
        <w:t xml:space="preserve">4, </w:t>
      </w:r>
      <w:r w:rsidR="000E04F9" w:rsidRPr="00472578">
        <w:rPr>
          <w:u w:val="single"/>
        </w:rPr>
        <w:t>CE-P5</w:t>
      </w:r>
      <w:r w:rsidR="000E04F9" w:rsidRPr="00472578">
        <w:t xml:space="preserve">, </w:t>
      </w:r>
      <w:r w:rsidR="000E04F9" w:rsidRPr="00472578">
        <w:rPr>
          <w:strike/>
        </w:rPr>
        <w:t>and</w:t>
      </w:r>
      <w:r w:rsidR="001D71A6" w:rsidRPr="00472578">
        <w:rPr>
          <w:rStyle w:val="FootnoteReference"/>
        </w:rPr>
        <w:footnoteReference w:id="709"/>
      </w:r>
      <w:r w:rsidR="000E04F9" w:rsidRPr="00472578">
        <w:t xml:space="preserve"> </w:t>
      </w:r>
      <w:r w:rsidR="007113CF" w:rsidRPr="00472578">
        <w:t>CE-P</w:t>
      </w:r>
      <w:r w:rsidR="000E04F9" w:rsidRPr="00472578">
        <w:t xml:space="preserve">6, </w:t>
      </w:r>
      <w:r w:rsidR="000E04F9" w:rsidRPr="00472578">
        <w:rPr>
          <w:u w:val="single"/>
        </w:rPr>
        <w:t>and CE-P13</w:t>
      </w:r>
      <w:r w:rsidR="001640A1" w:rsidRPr="00472578">
        <w:rPr>
          <w:rStyle w:val="FootnoteReference"/>
        </w:rPr>
        <w:footnoteReference w:id="710"/>
      </w:r>
      <w:r w:rsidR="000E04F9" w:rsidRPr="00472578">
        <w:t>.</w:t>
      </w:r>
    </w:p>
    <w:p w14:paraId="106278B4" w14:textId="3104D9A4" w:rsidR="000E04F9" w:rsidRPr="00472578" w:rsidRDefault="007113CF" w:rsidP="00E92686">
      <w:pPr>
        <w:pStyle w:val="Heading4"/>
        <w:jc w:val="both"/>
      </w:pPr>
      <w:r w:rsidRPr="00472578">
        <w:t>CE-M</w:t>
      </w:r>
      <w:r w:rsidR="000E04F9" w:rsidRPr="00472578">
        <w:t xml:space="preserve">4 – </w:t>
      </w:r>
      <w:r w:rsidR="000E04F9" w:rsidRPr="00472578">
        <w:rPr>
          <w:i/>
          <w:iCs w:val="0"/>
        </w:rPr>
        <w:t>District plans</w:t>
      </w:r>
    </w:p>
    <w:p w14:paraId="2CBD4518" w14:textId="77777777" w:rsidR="000E04F9" w:rsidRPr="00472578" w:rsidRDefault="000E04F9" w:rsidP="00E92686">
      <w:pPr>
        <w:jc w:val="both"/>
      </w:pPr>
      <w:r w:rsidRPr="00472578">
        <w:rPr>
          <w:i/>
        </w:rPr>
        <w:t xml:space="preserve">Territorial authorities </w:t>
      </w:r>
      <w:r w:rsidRPr="00472578">
        <w:t xml:space="preserve">must prepare or amend and maintain their </w:t>
      </w:r>
      <w:r w:rsidRPr="00472578">
        <w:rPr>
          <w:i/>
        </w:rPr>
        <w:t xml:space="preserve">district plans </w:t>
      </w:r>
      <w:r w:rsidRPr="00472578">
        <w:t>to:</w:t>
      </w:r>
    </w:p>
    <w:p w14:paraId="34BCC2DA" w14:textId="1B894810" w:rsidR="000E04F9" w:rsidRPr="00472578" w:rsidRDefault="007B241B" w:rsidP="00E92686">
      <w:pPr>
        <w:widowControl w:val="0"/>
        <w:tabs>
          <w:tab w:val="left" w:pos="686"/>
          <w:tab w:val="left" w:pos="687"/>
        </w:tabs>
        <w:autoSpaceDE w:val="0"/>
        <w:autoSpaceDN w:val="0"/>
        <w:ind w:left="567" w:hanging="567"/>
        <w:jc w:val="both"/>
      </w:pPr>
      <w:r w:rsidRPr="00472578">
        <w:t>(1)</w:t>
      </w:r>
      <w:r w:rsidRPr="00472578">
        <w:tab/>
      </w:r>
      <w:r w:rsidR="000E04F9" w:rsidRPr="00472578">
        <w:t xml:space="preserve">control the location, </w:t>
      </w:r>
      <w:proofErr w:type="gramStart"/>
      <w:r w:rsidR="000E04F9" w:rsidRPr="00472578">
        <w:t>density</w:t>
      </w:r>
      <w:proofErr w:type="gramEnd"/>
      <w:r w:rsidR="000E04F9" w:rsidRPr="00472578">
        <w:t xml:space="preserve"> and form of </w:t>
      </w:r>
      <w:r w:rsidR="000E04F9" w:rsidRPr="00472578">
        <w:rPr>
          <w:i/>
        </w:rPr>
        <w:t xml:space="preserve">subdivision </w:t>
      </w:r>
      <w:r w:rsidR="000E04F9" w:rsidRPr="00472578">
        <w:t>in the coastal environment (outside the</w:t>
      </w:r>
      <w:r w:rsidRPr="00472578">
        <w:t xml:space="preserve"> </w:t>
      </w:r>
      <w:r w:rsidR="000E04F9" w:rsidRPr="00472578">
        <w:rPr>
          <w:i/>
        </w:rPr>
        <w:t>coastal marine area</w:t>
      </w:r>
      <w:r w:rsidR="000E04F9" w:rsidRPr="00472578">
        <w:t>),</w:t>
      </w:r>
    </w:p>
    <w:p w14:paraId="488BF48B" w14:textId="34D052FA" w:rsidR="000E04F9" w:rsidRPr="00472578" w:rsidRDefault="007B241B" w:rsidP="00E92686">
      <w:pPr>
        <w:widowControl w:val="0"/>
        <w:tabs>
          <w:tab w:val="left" w:pos="686"/>
          <w:tab w:val="left" w:pos="687"/>
        </w:tabs>
        <w:autoSpaceDE w:val="0"/>
        <w:autoSpaceDN w:val="0"/>
        <w:ind w:left="567" w:right="176" w:hanging="567"/>
        <w:jc w:val="both"/>
      </w:pPr>
      <w:r w:rsidRPr="00472578">
        <w:t>(2)</w:t>
      </w:r>
      <w:r w:rsidRPr="00472578">
        <w:tab/>
      </w:r>
      <w:r w:rsidR="000E04F9" w:rsidRPr="00472578">
        <w:t xml:space="preserve">control the location, scale and form of </w:t>
      </w:r>
      <w:r w:rsidR="000E04F9" w:rsidRPr="00472578">
        <w:rPr>
          <w:i/>
        </w:rPr>
        <w:t xml:space="preserve">buildings </w:t>
      </w:r>
      <w:r w:rsidR="000E04F9" w:rsidRPr="00472578">
        <w:t xml:space="preserve">and </w:t>
      </w:r>
      <w:r w:rsidR="000E04F9" w:rsidRPr="00472578">
        <w:rPr>
          <w:i/>
        </w:rPr>
        <w:t xml:space="preserve">structures </w:t>
      </w:r>
      <w:r w:rsidR="000E04F9" w:rsidRPr="00472578">
        <w:t xml:space="preserve">in the coastal </w:t>
      </w:r>
      <w:r w:rsidR="008473B5" w:rsidRPr="00472578">
        <w:t>environment (</w:t>
      </w:r>
      <w:r w:rsidR="000E04F9" w:rsidRPr="00472578">
        <w:t xml:space="preserve">outside the </w:t>
      </w:r>
      <w:r w:rsidR="000E04F9" w:rsidRPr="00472578">
        <w:rPr>
          <w:i/>
        </w:rPr>
        <w:t>coastal marine area</w:t>
      </w:r>
      <w:r w:rsidR="000E04F9" w:rsidRPr="00472578">
        <w:t>),</w:t>
      </w:r>
    </w:p>
    <w:p w14:paraId="3C31600C" w14:textId="69605CAC" w:rsidR="000E04F9" w:rsidRPr="00472578" w:rsidRDefault="007B241B" w:rsidP="00E92686">
      <w:pPr>
        <w:widowControl w:val="0"/>
        <w:tabs>
          <w:tab w:val="left" w:pos="686"/>
          <w:tab w:val="left" w:pos="687"/>
        </w:tabs>
        <w:autoSpaceDE w:val="0"/>
        <w:autoSpaceDN w:val="0"/>
        <w:ind w:left="567" w:right="173" w:hanging="567"/>
        <w:jc w:val="both"/>
      </w:pPr>
      <w:r w:rsidRPr="00472578">
        <w:t>(3)</w:t>
      </w:r>
      <w:r w:rsidRPr="00472578">
        <w:tab/>
      </w:r>
      <w:r w:rsidR="000E04F9" w:rsidRPr="00472578">
        <w:t xml:space="preserve">control the location and scale of </w:t>
      </w:r>
      <w:r w:rsidR="000E04F9" w:rsidRPr="00472578">
        <w:rPr>
          <w:i/>
        </w:rPr>
        <w:t xml:space="preserve">earthworks </w:t>
      </w:r>
      <w:r w:rsidR="000E04F9" w:rsidRPr="00472578">
        <w:t xml:space="preserve">and vegetation planting, </w:t>
      </w:r>
      <w:proofErr w:type="gramStart"/>
      <w:r w:rsidR="000E04F9" w:rsidRPr="00472578">
        <w:t>modification</w:t>
      </w:r>
      <w:proofErr w:type="gramEnd"/>
      <w:r w:rsidR="000E04F9" w:rsidRPr="00472578">
        <w:t xml:space="preserve"> and removal in the coastal environment (outside the </w:t>
      </w:r>
      <w:r w:rsidR="000E04F9" w:rsidRPr="00472578">
        <w:rPr>
          <w:i/>
        </w:rPr>
        <w:t>coastal marine area</w:t>
      </w:r>
      <w:r w:rsidR="000E04F9" w:rsidRPr="00472578">
        <w:t>),</w:t>
      </w:r>
    </w:p>
    <w:p w14:paraId="4D3E873F" w14:textId="649FA98B" w:rsidR="000E04F9" w:rsidRPr="00472578" w:rsidRDefault="000E04F9" w:rsidP="00E92686">
      <w:pPr>
        <w:ind w:left="567" w:right="173" w:hanging="567"/>
        <w:jc w:val="both"/>
        <w:rPr>
          <w:u w:val="single"/>
        </w:rPr>
      </w:pPr>
      <w:bookmarkStart w:id="142" w:name="_Hlk94466066"/>
      <w:bookmarkStart w:id="143" w:name="_Hlk94463784"/>
      <w:r w:rsidRPr="00472578">
        <w:rPr>
          <w:u w:val="single"/>
        </w:rPr>
        <w:t>(3</w:t>
      </w:r>
      <w:r w:rsidR="001C68E0" w:rsidRPr="00472578">
        <w:rPr>
          <w:u w:val="single"/>
        </w:rPr>
        <w:t>A</w:t>
      </w:r>
      <w:r w:rsidRPr="00472578">
        <w:rPr>
          <w:u w:val="single"/>
        </w:rPr>
        <w:t>)</w:t>
      </w:r>
      <w:r w:rsidRPr="00472578">
        <w:rPr>
          <w:u w:val="single"/>
        </w:rPr>
        <w:tab/>
        <w:t>achieve the integrated management of, and control over</w:t>
      </w:r>
      <w:r w:rsidR="00AD4387" w:rsidRPr="00472578">
        <w:rPr>
          <w:u w:val="single"/>
        </w:rPr>
        <w:t>,</w:t>
      </w:r>
      <w:r w:rsidRPr="00472578">
        <w:rPr>
          <w:u w:val="single"/>
        </w:rPr>
        <w:t xml:space="preserve"> land use activities which could cause direct or indirect effects on the </w:t>
      </w:r>
      <w:r w:rsidRPr="00472578">
        <w:rPr>
          <w:i/>
          <w:iCs/>
          <w:u w:val="single"/>
        </w:rPr>
        <w:t>coastal marine area</w:t>
      </w:r>
      <w:bookmarkEnd w:id="142"/>
      <w:r w:rsidRPr="00472578">
        <w:rPr>
          <w:u w:val="single"/>
        </w:rPr>
        <w:t>,</w:t>
      </w:r>
      <w:r w:rsidRPr="00472578">
        <w:rPr>
          <w:rStyle w:val="FootnoteReference"/>
        </w:rPr>
        <w:footnoteReference w:id="711"/>
      </w:r>
    </w:p>
    <w:bookmarkEnd w:id="143"/>
    <w:p w14:paraId="72D76263" w14:textId="21449541" w:rsidR="000E04F9" w:rsidRPr="00472578" w:rsidRDefault="007B241B" w:rsidP="00E92686">
      <w:pPr>
        <w:widowControl w:val="0"/>
        <w:tabs>
          <w:tab w:val="left" w:pos="686"/>
          <w:tab w:val="left" w:pos="687"/>
        </w:tabs>
        <w:autoSpaceDE w:val="0"/>
        <w:autoSpaceDN w:val="0"/>
        <w:ind w:left="567" w:right="176" w:hanging="567"/>
        <w:jc w:val="both"/>
      </w:pPr>
      <w:r w:rsidRPr="00472578">
        <w:t>(4)</w:t>
      </w:r>
      <w:r w:rsidRPr="00472578">
        <w:tab/>
      </w:r>
      <w:r w:rsidR="000E04F9" w:rsidRPr="00472578">
        <w:t xml:space="preserve">require </w:t>
      </w:r>
      <w:r w:rsidR="000E04F9" w:rsidRPr="00472578">
        <w:rPr>
          <w:i/>
        </w:rPr>
        <w:t xml:space="preserve">resource consent </w:t>
      </w:r>
      <w:r w:rsidR="000E04F9" w:rsidRPr="00472578">
        <w:t xml:space="preserve">for uses of </w:t>
      </w:r>
      <w:r w:rsidR="000E04F9" w:rsidRPr="00472578">
        <w:rPr>
          <w:i/>
        </w:rPr>
        <w:t xml:space="preserve">land </w:t>
      </w:r>
      <w:r w:rsidR="000E04F9" w:rsidRPr="00472578">
        <w:t>on reclamations that have occurred after the date this RPS becomes operative,</w:t>
      </w:r>
    </w:p>
    <w:p w14:paraId="4BE65C63" w14:textId="06017436" w:rsidR="000E04F9" w:rsidRPr="00472578" w:rsidRDefault="007B241B" w:rsidP="00E92686">
      <w:pPr>
        <w:widowControl w:val="0"/>
        <w:tabs>
          <w:tab w:val="left" w:pos="686"/>
          <w:tab w:val="left" w:pos="687"/>
        </w:tabs>
        <w:autoSpaceDE w:val="0"/>
        <w:autoSpaceDN w:val="0"/>
        <w:ind w:left="567" w:hanging="567"/>
        <w:jc w:val="both"/>
      </w:pPr>
      <w:r w:rsidRPr="00472578">
        <w:t>(5)</w:t>
      </w:r>
      <w:r w:rsidRPr="00472578">
        <w:tab/>
      </w:r>
      <w:r w:rsidR="000E04F9" w:rsidRPr="00472578">
        <w:t xml:space="preserve">provide for the establishment of </w:t>
      </w:r>
      <w:r w:rsidR="000E04F9" w:rsidRPr="00472578">
        <w:rPr>
          <w:i/>
        </w:rPr>
        <w:t xml:space="preserve">esplanade reserves </w:t>
      </w:r>
      <w:r w:rsidR="000E04F9" w:rsidRPr="00472578">
        <w:t xml:space="preserve">and </w:t>
      </w:r>
      <w:r w:rsidR="000E04F9" w:rsidRPr="00472578">
        <w:rPr>
          <w:i/>
        </w:rPr>
        <w:t>esplanade strips</w:t>
      </w:r>
      <w:r w:rsidR="000E04F9" w:rsidRPr="00472578">
        <w:t>,</w:t>
      </w:r>
    </w:p>
    <w:p w14:paraId="5D0D0A5F" w14:textId="68916F43" w:rsidR="000E04F9" w:rsidRPr="00472578" w:rsidRDefault="007B241B" w:rsidP="00E92686">
      <w:pPr>
        <w:widowControl w:val="0"/>
        <w:tabs>
          <w:tab w:val="left" w:pos="686"/>
          <w:tab w:val="left" w:pos="687"/>
        </w:tabs>
        <w:autoSpaceDE w:val="0"/>
        <w:autoSpaceDN w:val="0"/>
        <w:ind w:left="567" w:hanging="567"/>
        <w:jc w:val="both"/>
      </w:pPr>
      <w:r w:rsidRPr="00472578">
        <w:lastRenderedPageBreak/>
        <w:t>(6)</w:t>
      </w:r>
      <w:r w:rsidRPr="00472578">
        <w:tab/>
      </w:r>
      <w:r w:rsidR="000E04F9" w:rsidRPr="00472578">
        <w:t xml:space="preserve">include provisions requiring the adoption of a precautionary approach to assessing the </w:t>
      </w:r>
      <w:r w:rsidR="000E04F9" w:rsidRPr="00472578">
        <w:rPr>
          <w:i/>
        </w:rPr>
        <w:t>effects</w:t>
      </w:r>
      <w:r w:rsidRPr="00472578">
        <w:rPr>
          <w:i/>
        </w:rPr>
        <w:t xml:space="preserve"> </w:t>
      </w:r>
      <w:r w:rsidR="000E04F9" w:rsidRPr="00472578">
        <w:t>of activities in the coastal environment in accordance with IM–P</w:t>
      </w:r>
      <w:r w:rsidR="00B32CEE" w:rsidRPr="00472578">
        <w:rPr>
          <w:u w:val="single"/>
        </w:rPr>
        <w:t>6</w:t>
      </w:r>
      <w:r w:rsidR="000E04F9" w:rsidRPr="00472578">
        <w:rPr>
          <w:strike/>
        </w:rPr>
        <w:t>15</w:t>
      </w:r>
      <w:r w:rsidR="00B32CEE" w:rsidRPr="00472578">
        <w:rPr>
          <w:rStyle w:val="FootnoteReference"/>
        </w:rPr>
        <w:footnoteReference w:id="712"/>
      </w:r>
      <w:r w:rsidR="00B32CEE" w:rsidRPr="00472578">
        <w:t xml:space="preserve"> </w:t>
      </w:r>
      <w:r w:rsidR="000E04F9" w:rsidRPr="00472578">
        <w:t>where:</w:t>
      </w:r>
    </w:p>
    <w:p w14:paraId="5853B8CD" w14:textId="1C0AD257" w:rsidR="000E04F9" w:rsidRPr="00472578" w:rsidRDefault="007B241B" w:rsidP="00E92686">
      <w:pPr>
        <w:widowControl w:val="0"/>
        <w:tabs>
          <w:tab w:val="left" w:pos="1253"/>
          <w:tab w:val="left" w:pos="1254"/>
        </w:tabs>
        <w:autoSpaceDE w:val="0"/>
        <w:autoSpaceDN w:val="0"/>
        <w:ind w:left="1134" w:hanging="567"/>
        <w:jc w:val="both"/>
      </w:pPr>
      <w:r w:rsidRPr="00472578">
        <w:t>(a)</w:t>
      </w:r>
      <w:r w:rsidRPr="00472578">
        <w:tab/>
      </w:r>
      <w:r w:rsidR="000E04F9" w:rsidRPr="00472578">
        <w:t>there is scientific uncertainty, or</w:t>
      </w:r>
    </w:p>
    <w:p w14:paraId="1EE56598" w14:textId="7748A1CF" w:rsidR="000E04F9" w:rsidRPr="00472578" w:rsidRDefault="007B241B" w:rsidP="00E92686">
      <w:pPr>
        <w:widowControl w:val="0"/>
        <w:tabs>
          <w:tab w:val="left" w:pos="1253"/>
          <w:tab w:val="left" w:pos="1254"/>
        </w:tabs>
        <w:autoSpaceDE w:val="0"/>
        <w:autoSpaceDN w:val="0"/>
        <w:ind w:left="1134" w:hanging="567"/>
        <w:jc w:val="both"/>
      </w:pPr>
      <w:r w:rsidRPr="00472578">
        <w:t>(b)</w:t>
      </w:r>
      <w:r w:rsidRPr="00472578">
        <w:tab/>
      </w:r>
      <w:r w:rsidR="000E04F9" w:rsidRPr="00472578">
        <w:t xml:space="preserve">there are potentially significant or irreversible adverse </w:t>
      </w:r>
      <w:r w:rsidR="000E04F9" w:rsidRPr="00472578">
        <w:rPr>
          <w:i/>
        </w:rPr>
        <w:t>effects</w:t>
      </w:r>
      <w:r w:rsidR="000E04F9" w:rsidRPr="00472578">
        <w:t xml:space="preserve">, </w:t>
      </w:r>
      <w:r w:rsidR="000E04F9" w:rsidRPr="00472578">
        <w:rPr>
          <w:u w:val="single"/>
        </w:rPr>
        <w:t>or</w:t>
      </w:r>
    </w:p>
    <w:p w14:paraId="617738E1" w14:textId="6A2A57FF" w:rsidR="000E04F9" w:rsidRPr="00472578" w:rsidRDefault="007B241B" w:rsidP="00E92686">
      <w:pPr>
        <w:widowControl w:val="0"/>
        <w:tabs>
          <w:tab w:val="left" w:pos="1253"/>
          <w:tab w:val="left" w:pos="1254"/>
        </w:tabs>
        <w:autoSpaceDE w:val="0"/>
        <w:autoSpaceDN w:val="0"/>
        <w:ind w:left="1134" w:hanging="567"/>
        <w:jc w:val="both"/>
      </w:pPr>
      <w:r w:rsidRPr="00472578">
        <w:rPr>
          <w:u w:val="single"/>
        </w:rPr>
        <w:t>(c)</w:t>
      </w:r>
      <w:r w:rsidRPr="00472578">
        <w:rPr>
          <w:u w:val="single"/>
        </w:rPr>
        <w:tab/>
      </w:r>
      <w:r w:rsidR="000E04F9" w:rsidRPr="00472578">
        <w:rPr>
          <w:u w:val="single"/>
        </w:rPr>
        <w:t>coastal resources are potentially vulnerable to effects from climate change</w:t>
      </w:r>
      <w:r w:rsidRPr="00472578">
        <w:rPr>
          <w:u w:val="single"/>
        </w:rPr>
        <w:t>.</w:t>
      </w:r>
      <w:r w:rsidR="000E04F9" w:rsidRPr="00472578">
        <w:rPr>
          <w:rStyle w:val="FootnoteReference"/>
        </w:rPr>
        <w:footnoteReference w:id="713"/>
      </w:r>
    </w:p>
    <w:p w14:paraId="35CE0693" w14:textId="5BB440F3" w:rsidR="000E04F9" w:rsidRPr="00472578" w:rsidRDefault="007B241B" w:rsidP="00E92686">
      <w:pPr>
        <w:widowControl w:val="0"/>
        <w:autoSpaceDE w:val="0"/>
        <w:autoSpaceDN w:val="0"/>
        <w:ind w:left="567" w:hanging="567"/>
        <w:jc w:val="both"/>
      </w:pPr>
      <w:r w:rsidRPr="00472578">
        <w:t>(7)</w:t>
      </w:r>
      <w:r w:rsidRPr="00472578">
        <w:tab/>
      </w:r>
      <w:r w:rsidR="000E04F9" w:rsidRPr="00472578">
        <w:t xml:space="preserve">provide for walking access to the </w:t>
      </w:r>
      <w:r w:rsidR="000E04F9" w:rsidRPr="00472578">
        <w:rPr>
          <w:i/>
        </w:rPr>
        <w:t xml:space="preserve">coastal marine area </w:t>
      </w:r>
      <w:r w:rsidR="000E04F9" w:rsidRPr="00472578">
        <w:t>in accordance with Policy 19 of the NZCPS,</w:t>
      </w:r>
    </w:p>
    <w:p w14:paraId="3BDF1264" w14:textId="24B34456" w:rsidR="000E04F9" w:rsidRPr="00472578" w:rsidRDefault="007B241B" w:rsidP="00E92686">
      <w:pPr>
        <w:widowControl w:val="0"/>
        <w:autoSpaceDE w:val="0"/>
        <w:autoSpaceDN w:val="0"/>
        <w:ind w:left="567" w:hanging="567"/>
        <w:jc w:val="both"/>
      </w:pPr>
      <w:r w:rsidRPr="00472578">
        <w:t>(8)</w:t>
      </w:r>
      <w:r w:rsidRPr="00472578">
        <w:tab/>
      </w:r>
      <w:r w:rsidR="000E04F9" w:rsidRPr="00472578">
        <w:t xml:space="preserve">control vehicle access to the </w:t>
      </w:r>
      <w:r w:rsidR="000E04F9" w:rsidRPr="00472578">
        <w:rPr>
          <w:i/>
        </w:rPr>
        <w:t xml:space="preserve">coastal marine area </w:t>
      </w:r>
      <w:r w:rsidR="000E04F9" w:rsidRPr="00472578">
        <w:t>in accordance with Policy 20 of the NZCPS,</w:t>
      </w:r>
    </w:p>
    <w:p w14:paraId="77D149C3" w14:textId="56C598F4" w:rsidR="000E04F9" w:rsidRPr="00472578" w:rsidRDefault="007B241B" w:rsidP="00E92686">
      <w:pPr>
        <w:widowControl w:val="0"/>
        <w:autoSpaceDE w:val="0"/>
        <w:autoSpaceDN w:val="0"/>
        <w:ind w:left="567" w:right="173" w:hanging="567"/>
        <w:jc w:val="both"/>
      </w:pPr>
      <w:r w:rsidRPr="00472578">
        <w:t>(9)</w:t>
      </w:r>
      <w:r w:rsidRPr="00472578">
        <w:tab/>
      </w:r>
      <w:r w:rsidR="000E04F9" w:rsidRPr="00472578">
        <w:t xml:space="preserve">recognise </w:t>
      </w:r>
      <w:r w:rsidR="000E04F9" w:rsidRPr="00472578">
        <w:rPr>
          <w:i/>
        </w:rPr>
        <w:t xml:space="preserve">takata whenua </w:t>
      </w:r>
      <w:r w:rsidR="000E04F9" w:rsidRPr="00472578">
        <w:t xml:space="preserve">needs for </w:t>
      </w:r>
      <w:r w:rsidR="000E04F9" w:rsidRPr="00472578">
        <w:rPr>
          <w:i/>
        </w:rPr>
        <w:t>papakāika</w:t>
      </w:r>
      <w:r w:rsidR="000E04F9" w:rsidRPr="00472578">
        <w:t>, marae and associated developments within the coastal environment and make appropriate provision for them,</w:t>
      </w:r>
    </w:p>
    <w:p w14:paraId="3307A9F6" w14:textId="217875C9" w:rsidR="000E04F9" w:rsidRPr="00472578" w:rsidRDefault="007B241B" w:rsidP="00E92686">
      <w:pPr>
        <w:widowControl w:val="0"/>
        <w:autoSpaceDE w:val="0"/>
        <w:autoSpaceDN w:val="0"/>
        <w:ind w:left="567" w:hanging="567"/>
        <w:jc w:val="both"/>
      </w:pPr>
      <w:r w:rsidRPr="00472578">
        <w:t>(10)</w:t>
      </w:r>
      <w:r w:rsidRPr="00472578">
        <w:tab/>
      </w:r>
      <w:r w:rsidR="000E04F9" w:rsidRPr="00472578">
        <w:t xml:space="preserve">provide access to </w:t>
      </w:r>
      <w:r w:rsidR="000E04F9" w:rsidRPr="00472578">
        <w:rPr>
          <w:i/>
          <w:iCs/>
          <w:u w:val="single"/>
        </w:rPr>
        <w:t>surf breaks</w:t>
      </w:r>
      <w:r w:rsidR="000E04F9" w:rsidRPr="00472578">
        <w:rPr>
          <w:u w:val="single"/>
        </w:rPr>
        <w:t xml:space="preserve"> of national significance </w:t>
      </w:r>
      <w:r w:rsidR="000E04F9" w:rsidRPr="00472578">
        <w:rPr>
          <w:strike/>
        </w:rPr>
        <w:t>nationally</w:t>
      </w:r>
      <w:r w:rsidR="000E04F9" w:rsidRPr="00472578">
        <w:rPr>
          <w:rStyle w:val="FootnoteReference"/>
        </w:rPr>
        <w:footnoteReference w:id="714"/>
      </w:r>
      <w:r w:rsidR="000E04F9" w:rsidRPr="00472578">
        <w:t xml:space="preserve"> and regionally significant </w:t>
      </w:r>
      <w:r w:rsidR="000E04F9" w:rsidRPr="00472578">
        <w:rPr>
          <w:i/>
        </w:rPr>
        <w:t>surf breaks</w:t>
      </w:r>
      <w:r w:rsidR="000E04F9" w:rsidRPr="00472578">
        <w:t>, and</w:t>
      </w:r>
    </w:p>
    <w:p w14:paraId="48102067" w14:textId="43F7DE23" w:rsidR="000E04F9" w:rsidRPr="00472578" w:rsidRDefault="007B241B" w:rsidP="00E92686">
      <w:pPr>
        <w:widowControl w:val="0"/>
        <w:autoSpaceDE w:val="0"/>
        <w:autoSpaceDN w:val="0"/>
        <w:ind w:left="567" w:right="179" w:hanging="567"/>
        <w:jc w:val="both"/>
      </w:pPr>
      <w:r w:rsidRPr="00472578">
        <w:t>(11)</w:t>
      </w:r>
      <w:r w:rsidRPr="00472578">
        <w:tab/>
      </w:r>
      <w:r w:rsidR="000E04F9" w:rsidRPr="00472578">
        <w:t xml:space="preserve">provide for and encourage activities undertaken for the primary purpose of restoring natural character, features, or landscapes in accordance with </w:t>
      </w:r>
      <w:r w:rsidR="007113CF" w:rsidRPr="00472578">
        <w:t>CE-P</w:t>
      </w:r>
      <w:r w:rsidR="000E04F9" w:rsidRPr="00472578">
        <w:t xml:space="preserve">4 and </w:t>
      </w:r>
      <w:r w:rsidR="007113CF" w:rsidRPr="00472578">
        <w:t>CE-P</w:t>
      </w:r>
      <w:r w:rsidR="000E04F9" w:rsidRPr="00472578">
        <w:t>6.</w:t>
      </w:r>
    </w:p>
    <w:p w14:paraId="033FFD5E" w14:textId="7BB92DA1" w:rsidR="000E04F9" w:rsidRPr="00472578" w:rsidRDefault="007113CF" w:rsidP="00E92686">
      <w:pPr>
        <w:pStyle w:val="Heading4"/>
        <w:jc w:val="both"/>
      </w:pPr>
      <w:r w:rsidRPr="00472578">
        <w:t>CE-M</w:t>
      </w:r>
      <w:r w:rsidR="000E04F9" w:rsidRPr="00472578">
        <w:t>5 – Other incentives and mechanisms</w:t>
      </w:r>
    </w:p>
    <w:p w14:paraId="48E7BBFD" w14:textId="2FE2B972" w:rsidR="000E04F9" w:rsidRPr="00472578" w:rsidRDefault="000E04F9" w:rsidP="00E92686">
      <w:pPr>
        <w:pStyle w:val="BodyText"/>
      </w:pPr>
      <w:r w:rsidRPr="00472578">
        <w:rPr>
          <w:i/>
        </w:rPr>
        <w:t xml:space="preserve">Local authorities </w:t>
      </w:r>
      <w:r w:rsidRPr="00472578">
        <w:rPr>
          <w:strike/>
        </w:rPr>
        <w:t>are encouraged to</w:t>
      </w:r>
      <w:r w:rsidRPr="00472578">
        <w:t xml:space="preserve"> </w:t>
      </w:r>
      <w:r w:rsidRPr="00472578">
        <w:rPr>
          <w:u w:val="single"/>
        </w:rPr>
        <w:t>shall</w:t>
      </w:r>
      <w:r w:rsidRPr="00472578">
        <w:rPr>
          <w:rStyle w:val="FootnoteReference"/>
        </w:rPr>
        <w:footnoteReference w:id="715"/>
      </w:r>
      <w:r w:rsidRPr="00472578">
        <w:t xml:space="preserve"> consider the use of other mechanisms or incentives to assist in achieving Policies </w:t>
      </w:r>
      <w:r w:rsidR="007113CF" w:rsidRPr="00472578">
        <w:t>CE-P</w:t>
      </w:r>
      <w:r w:rsidRPr="00472578">
        <w:t xml:space="preserve">2 to </w:t>
      </w:r>
      <w:r w:rsidR="007113CF" w:rsidRPr="00472578">
        <w:t>CE-P</w:t>
      </w:r>
      <w:r w:rsidRPr="00472578">
        <w:t>1</w:t>
      </w:r>
      <w:r w:rsidRPr="00472578">
        <w:rPr>
          <w:strike/>
        </w:rPr>
        <w:t>2</w:t>
      </w:r>
      <w:r w:rsidRPr="00472578">
        <w:rPr>
          <w:u w:val="single"/>
        </w:rPr>
        <w:t>3</w:t>
      </w:r>
      <w:r w:rsidR="007B241B" w:rsidRPr="00472578">
        <w:t>,</w:t>
      </w:r>
      <w:r w:rsidRPr="00472578">
        <w:rPr>
          <w:rStyle w:val="FootnoteReference"/>
        </w:rPr>
        <w:footnoteReference w:id="716"/>
      </w:r>
      <w:r w:rsidRPr="00472578">
        <w:t xml:space="preserve"> including:</w:t>
      </w:r>
    </w:p>
    <w:p w14:paraId="7D23C5A1" w14:textId="0A6EE192" w:rsidR="000E04F9" w:rsidRPr="00472578" w:rsidRDefault="007113CF" w:rsidP="00E92686">
      <w:pPr>
        <w:widowControl w:val="0"/>
        <w:tabs>
          <w:tab w:val="left" w:pos="686"/>
          <w:tab w:val="left" w:pos="687"/>
        </w:tabs>
        <w:autoSpaceDE w:val="0"/>
        <w:autoSpaceDN w:val="0"/>
        <w:spacing w:before="165"/>
        <w:ind w:left="567" w:right="175" w:hanging="567"/>
        <w:jc w:val="both"/>
      </w:pPr>
      <w:r w:rsidRPr="00472578">
        <w:t>(1)</w:t>
      </w:r>
      <w:r w:rsidRPr="00472578">
        <w:tab/>
      </w:r>
      <w:r w:rsidR="000E04F9" w:rsidRPr="00472578">
        <w:t>identifying areas and opportunities within the coastal environment for restoration or rehabilitation,</w:t>
      </w:r>
    </w:p>
    <w:p w14:paraId="6061B7D5" w14:textId="669A05D0" w:rsidR="000E04F9" w:rsidRPr="00472578" w:rsidRDefault="007113CF" w:rsidP="00E92686">
      <w:pPr>
        <w:widowControl w:val="0"/>
        <w:tabs>
          <w:tab w:val="left" w:pos="686"/>
          <w:tab w:val="left" w:pos="687"/>
        </w:tabs>
        <w:autoSpaceDE w:val="0"/>
        <w:autoSpaceDN w:val="0"/>
        <w:spacing w:before="159"/>
        <w:ind w:left="567" w:right="175" w:hanging="567"/>
        <w:jc w:val="both"/>
      </w:pPr>
      <w:r w:rsidRPr="00472578">
        <w:t>(2)</w:t>
      </w:r>
      <w:r w:rsidRPr="00472578">
        <w:tab/>
      </w:r>
      <w:r w:rsidR="000E04F9" w:rsidRPr="00472578">
        <w:t>identifying opportunities to enhance or restore public walking access in accordance with Policy 19(c) of the NZCPS,</w:t>
      </w:r>
    </w:p>
    <w:p w14:paraId="1FD65A72" w14:textId="363555BC" w:rsidR="000E04F9" w:rsidRPr="00472578" w:rsidRDefault="007113CF" w:rsidP="00E92686">
      <w:pPr>
        <w:widowControl w:val="0"/>
        <w:tabs>
          <w:tab w:val="left" w:pos="686"/>
          <w:tab w:val="left" w:pos="687"/>
        </w:tabs>
        <w:autoSpaceDE w:val="0"/>
        <w:autoSpaceDN w:val="0"/>
        <w:spacing w:before="161" w:line="256" w:lineRule="auto"/>
        <w:ind w:left="567" w:right="266" w:hanging="567"/>
        <w:jc w:val="both"/>
      </w:pPr>
      <w:r w:rsidRPr="00472578">
        <w:t>(3)</w:t>
      </w:r>
      <w:r w:rsidRPr="00472578">
        <w:tab/>
      </w:r>
      <w:r w:rsidR="000E04F9" w:rsidRPr="00472578">
        <w:t xml:space="preserve">promoting the removal of abandoned or redundant structures that have no heritage, </w:t>
      </w:r>
      <w:proofErr w:type="gramStart"/>
      <w:r w:rsidR="008473B5" w:rsidRPr="00472578">
        <w:t>amenity</w:t>
      </w:r>
      <w:proofErr w:type="gramEnd"/>
      <w:r w:rsidR="008473B5" w:rsidRPr="00472578">
        <w:t xml:space="preserve"> or</w:t>
      </w:r>
      <w:r w:rsidR="000E04F9" w:rsidRPr="00472578">
        <w:t xml:space="preserve"> reuse value,</w:t>
      </w:r>
    </w:p>
    <w:p w14:paraId="6805E3BC" w14:textId="418C1A76" w:rsidR="000E04F9" w:rsidRPr="00472578" w:rsidRDefault="007113CF" w:rsidP="00E92686">
      <w:pPr>
        <w:widowControl w:val="0"/>
        <w:tabs>
          <w:tab w:val="left" w:pos="686"/>
          <w:tab w:val="left" w:pos="687"/>
        </w:tabs>
        <w:autoSpaceDE w:val="0"/>
        <w:autoSpaceDN w:val="0"/>
        <w:ind w:left="567" w:hanging="567"/>
        <w:jc w:val="both"/>
      </w:pPr>
      <w:r w:rsidRPr="00472578">
        <w:t>(4)</w:t>
      </w:r>
      <w:r w:rsidRPr="00472578">
        <w:tab/>
      </w:r>
      <w:r w:rsidR="000E04F9" w:rsidRPr="00472578">
        <w:t>funding assistance for restoration projects (for example, through Otago Regional Council’s ECO</w:t>
      </w:r>
      <w:r w:rsidRPr="00472578">
        <w:t xml:space="preserve"> </w:t>
      </w:r>
      <w:r w:rsidR="000E04F9" w:rsidRPr="00472578">
        <w:t>Fund),</w:t>
      </w:r>
    </w:p>
    <w:p w14:paraId="44FE9770" w14:textId="5AD441B7" w:rsidR="000E04F9" w:rsidRPr="00472578" w:rsidRDefault="007113CF" w:rsidP="00E92686">
      <w:pPr>
        <w:widowControl w:val="0"/>
        <w:tabs>
          <w:tab w:val="left" w:pos="686"/>
          <w:tab w:val="left" w:pos="687"/>
        </w:tabs>
        <w:autoSpaceDE w:val="0"/>
        <w:autoSpaceDN w:val="0"/>
        <w:spacing w:before="161"/>
        <w:ind w:left="567" w:right="174" w:hanging="567"/>
        <w:jc w:val="both"/>
      </w:pPr>
      <w:r w:rsidRPr="00472578">
        <w:t>(5)</w:t>
      </w:r>
      <w:r w:rsidRPr="00472578">
        <w:tab/>
      </w:r>
      <w:r w:rsidR="000E04F9" w:rsidRPr="00472578">
        <w:t xml:space="preserve">development or design guidelines (for example, colour palettes for </w:t>
      </w:r>
      <w:r w:rsidR="000E04F9" w:rsidRPr="00472578">
        <w:rPr>
          <w:i/>
        </w:rPr>
        <w:t xml:space="preserve">structures </w:t>
      </w:r>
      <w:r w:rsidR="000E04F9" w:rsidRPr="00472578">
        <w:t xml:space="preserve">in the </w:t>
      </w:r>
      <w:r w:rsidR="009615A6" w:rsidRPr="00472578">
        <w:t>coastal environment</w:t>
      </w:r>
      <w:r w:rsidR="000E04F9" w:rsidRPr="00472578">
        <w:t>),</w:t>
      </w:r>
    </w:p>
    <w:p w14:paraId="76046BFE" w14:textId="35522455" w:rsidR="000E04F9" w:rsidRPr="00472578" w:rsidRDefault="007113CF" w:rsidP="00E92686">
      <w:pPr>
        <w:widowControl w:val="0"/>
        <w:tabs>
          <w:tab w:val="left" w:pos="686"/>
          <w:tab w:val="left" w:pos="687"/>
        </w:tabs>
        <w:autoSpaceDE w:val="0"/>
        <w:autoSpaceDN w:val="0"/>
        <w:spacing w:before="159"/>
        <w:ind w:left="567" w:right="177" w:hanging="567"/>
        <w:jc w:val="both"/>
      </w:pPr>
      <w:r w:rsidRPr="00472578">
        <w:t>(6)</w:t>
      </w:r>
      <w:r w:rsidRPr="00472578">
        <w:tab/>
      </w:r>
      <w:r w:rsidR="000E04F9" w:rsidRPr="00472578">
        <w:t xml:space="preserve">rating differentials for </w:t>
      </w:r>
      <w:r w:rsidR="000E04F9" w:rsidRPr="00472578">
        <w:rPr>
          <w:i/>
        </w:rPr>
        <w:t xml:space="preserve">land </w:t>
      </w:r>
      <w:r w:rsidR="000E04F9" w:rsidRPr="00472578">
        <w:t>that is protected due to its status as a high or outstanding natural character area,</w:t>
      </w:r>
    </w:p>
    <w:p w14:paraId="22AFD3FB" w14:textId="69863C11" w:rsidR="000E04F9" w:rsidRPr="00472578" w:rsidRDefault="007113CF" w:rsidP="00E92686">
      <w:pPr>
        <w:widowControl w:val="0"/>
        <w:tabs>
          <w:tab w:val="left" w:pos="686"/>
          <w:tab w:val="left" w:pos="687"/>
        </w:tabs>
        <w:autoSpaceDE w:val="0"/>
        <w:autoSpaceDN w:val="0"/>
        <w:spacing w:before="162"/>
        <w:ind w:left="567" w:hanging="567"/>
        <w:jc w:val="both"/>
      </w:pPr>
      <w:r w:rsidRPr="00472578">
        <w:t>(7)</w:t>
      </w:r>
      <w:r w:rsidRPr="00472578">
        <w:tab/>
      </w:r>
      <w:r w:rsidR="000E04F9" w:rsidRPr="00472578">
        <w:t>education and advice,</w:t>
      </w:r>
    </w:p>
    <w:p w14:paraId="4E63FC74" w14:textId="5589FCB8" w:rsidR="000E04F9" w:rsidRPr="00472578" w:rsidRDefault="007113CF" w:rsidP="00E92686">
      <w:pPr>
        <w:widowControl w:val="0"/>
        <w:tabs>
          <w:tab w:val="left" w:pos="686"/>
          <w:tab w:val="left" w:pos="687"/>
        </w:tabs>
        <w:autoSpaceDE w:val="0"/>
        <w:autoSpaceDN w:val="0"/>
        <w:spacing w:before="158"/>
        <w:ind w:left="567" w:hanging="567"/>
        <w:jc w:val="both"/>
      </w:pPr>
      <w:r w:rsidRPr="00472578">
        <w:t>(8)</w:t>
      </w:r>
      <w:r w:rsidRPr="00472578">
        <w:tab/>
      </w:r>
      <w:r w:rsidR="000E04F9" w:rsidRPr="00472578">
        <w:t xml:space="preserve">research relevant to the </w:t>
      </w:r>
      <w:r w:rsidR="000E04F9" w:rsidRPr="00472578">
        <w:rPr>
          <w:i/>
        </w:rPr>
        <w:t xml:space="preserve">effects </w:t>
      </w:r>
      <w:r w:rsidR="000E04F9" w:rsidRPr="00472578">
        <w:t>of activities on:</w:t>
      </w:r>
    </w:p>
    <w:p w14:paraId="6CD8D7C9" w14:textId="60F87C78" w:rsidR="000E04F9" w:rsidRPr="00472578" w:rsidRDefault="007113CF" w:rsidP="00E92686">
      <w:pPr>
        <w:widowControl w:val="0"/>
        <w:tabs>
          <w:tab w:val="left" w:pos="1253"/>
          <w:tab w:val="left" w:pos="1254"/>
        </w:tabs>
        <w:autoSpaceDE w:val="0"/>
        <w:autoSpaceDN w:val="0"/>
        <w:spacing w:before="161"/>
        <w:ind w:left="1134" w:hanging="567"/>
        <w:jc w:val="both"/>
      </w:pPr>
      <w:r w:rsidRPr="00472578">
        <w:t>(a)</w:t>
      </w:r>
      <w:r w:rsidRPr="00472578">
        <w:tab/>
      </w:r>
      <w:r w:rsidR="000E04F9" w:rsidRPr="00472578">
        <w:t xml:space="preserve">coastal network </w:t>
      </w:r>
      <w:r w:rsidR="000E04F9" w:rsidRPr="00472578">
        <w:rPr>
          <w:i/>
        </w:rPr>
        <w:t>infrastructure</w:t>
      </w:r>
      <w:r w:rsidR="000E04F9" w:rsidRPr="00472578">
        <w:t>,</w:t>
      </w:r>
    </w:p>
    <w:p w14:paraId="55DB3E91" w14:textId="2303D052" w:rsidR="000E04F9" w:rsidRPr="00472578" w:rsidRDefault="007113CF" w:rsidP="00E92686">
      <w:pPr>
        <w:widowControl w:val="0"/>
        <w:tabs>
          <w:tab w:val="left" w:pos="1253"/>
          <w:tab w:val="left" w:pos="1254"/>
        </w:tabs>
        <w:autoSpaceDE w:val="0"/>
        <w:autoSpaceDN w:val="0"/>
        <w:spacing w:before="159"/>
        <w:ind w:left="1134" w:hanging="567"/>
        <w:jc w:val="both"/>
      </w:pPr>
      <w:r w:rsidRPr="00472578">
        <w:lastRenderedPageBreak/>
        <w:t>(b)</w:t>
      </w:r>
      <w:r w:rsidRPr="00472578">
        <w:tab/>
      </w:r>
      <w:r w:rsidR="000E04F9" w:rsidRPr="00472578">
        <w:t>coastal values,</w:t>
      </w:r>
    </w:p>
    <w:p w14:paraId="56FC26F4" w14:textId="68BB9D22" w:rsidR="000E04F9" w:rsidRPr="00472578" w:rsidRDefault="007113CF" w:rsidP="00E92686">
      <w:pPr>
        <w:widowControl w:val="0"/>
        <w:tabs>
          <w:tab w:val="left" w:pos="1253"/>
          <w:tab w:val="left" w:pos="1254"/>
        </w:tabs>
        <w:autoSpaceDE w:val="0"/>
        <w:autoSpaceDN w:val="0"/>
        <w:spacing w:before="161"/>
        <w:ind w:left="1134" w:hanging="567"/>
        <w:jc w:val="both"/>
      </w:pPr>
      <w:r w:rsidRPr="00472578">
        <w:t>(c)</w:t>
      </w:r>
      <w:r w:rsidRPr="00472578">
        <w:tab/>
      </w:r>
      <w:r w:rsidR="000E04F9" w:rsidRPr="00472578">
        <w:t>coastal hazards,</w:t>
      </w:r>
    </w:p>
    <w:p w14:paraId="226F3629" w14:textId="59A274B7" w:rsidR="000E04F9" w:rsidRPr="00472578" w:rsidRDefault="007113CF" w:rsidP="00E92686">
      <w:pPr>
        <w:widowControl w:val="0"/>
        <w:tabs>
          <w:tab w:val="left" w:pos="1253"/>
          <w:tab w:val="left" w:pos="1254"/>
        </w:tabs>
        <w:autoSpaceDE w:val="0"/>
        <w:autoSpaceDN w:val="0"/>
        <w:spacing w:before="159"/>
        <w:ind w:left="1134" w:right="178" w:hanging="567"/>
        <w:jc w:val="both"/>
      </w:pPr>
      <w:r w:rsidRPr="00472578">
        <w:t>(d)</w:t>
      </w:r>
      <w:r w:rsidRPr="00472578">
        <w:tab/>
      </w:r>
      <w:r w:rsidR="000E04F9" w:rsidRPr="00472578">
        <w:t xml:space="preserve">riparian vegetation cover or any </w:t>
      </w:r>
      <w:r w:rsidR="000E04F9" w:rsidRPr="00472578">
        <w:rPr>
          <w:i/>
        </w:rPr>
        <w:t xml:space="preserve">land </w:t>
      </w:r>
      <w:r w:rsidR="000E04F9" w:rsidRPr="00472578">
        <w:t xml:space="preserve">cover that contributes to supporting coastal values or mitigating coastal hazards, </w:t>
      </w:r>
      <w:r w:rsidR="000E04F9" w:rsidRPr="00472578">
        <w:rPr>
          <w:strike/>
        </w:rPr>
        <w:t>or</w:t>
      </w:r>
    </w:p>
    <w:p w14:paraId="1F7D7C5E" w14:textId="4314200D" w:rsidR="000E04F9" w:rsidRPr="00472578" w:rsidRDefault="007113CF" w:rsidP="00E92686">
      <w:pPr>
        <w:widowControl w:val="0"/>
        <w:tabs>
          <w:tab w:val="left" w:pos="1253"/>
          <w:tab w:val="left" w:pos="1254"/>
        </w:tabs>
        <w:autoSpaceDE w:val="0"/>
        <w:autoSpaceDN w:val="0"/>
        <w:spacing w:before="161"/>
        <w:ind w:left="1134" w:hanging="567"/>
        <w:jc w:val="both"/>
        <w:rPr>
          <w:u w:val="single"/>
        </w:rPr>
      </w:pPr>
      <w:r w:rsidRPr="00472578">
        <w:t>(e)</w:t>
      </w:r>
      <w:r w:rsidRPr="00472578">
        <w:tab/>
      </w:r>
      <w:r w:rsidR="000E04F9" w:rsidRPr="00472578">
        <w:t xml:space="preserve">areas particularly sensitive to </w:t>
      </w:r>
      <w:r w:rsidR="000E04F9" w:rsidRPr="00472578">
        <w:rPr>
          <w:i/>
        </w:rPr>
        <w:t xml:space="preserve">land </w:t>
      </w:r>
      <w:r w:rsidR="000E04F9" w:rsidRPr="00472578">
        <w:t>use changes,</w:t>
      </w:r>
      <w:r w:rsidR="000E04F9" w:rsidRPr="00472578">
        <w:rPr>
          <w:u w:val="single"/>
        </w:rPr>
        <w:t xml:space="preserve"> </w:t>
      </w:r>
    </w:p>
    <w:p w14:paraId="2C18E1D7" w14:textId="77777777" w:rsidR="000E04F9" w:rsidRPr="00472578" w:rsidRDefault="000E04F9" w:rsidP="00E92686">
      <w:pPr>
        <w:tabs>
          <w:tab w:val="left" w:pos="1253"/>
          <w:tab w:val="left" w:pos="1254"/>
        </w:tabs>
        <w:spacing w:before="161"/>
        <w:ind w:left="1134" w:hanging="567"/>
        <w:jc w:val="both"/>
        <w:rPr>
          <w:u w:val="single"/>
        </w:rPr>
      </w:pPr>
      <w:r w:rsidRPr="00472578">
        <w:rPr>
          <w:u w:val="single"/>
        </w:rPr>
        <w:t>(f)</w:t>
      </w:r>
      <w:r w:rsidRPr="00472578">
        <w:rPr>
          <w:u w:val="single"/>
        </w:rPr>
        <w:tab/>
        <w:t>coastal water quality, or</w:t>
      </w:r>
      <w:r w:rsidRPr="00472578">
        <w:rPr>
          <w:rStyle w:val="FootnoteReference"/>
        </w:rPr>
        <w:t xml:space="preserve"> </w:t>
      </w:r>
      <w:r w:rsidRPr="00472578">
        <w:rPr>
          <w:rStyle w:val="FootnoteReference"/>
        </w:rPr>
        <w:footnoteReference w:id="717"/>
      </w:r>
      <w:r w:rsidRPr="00472578">
        <w:rPr>
          <w:u w:val="single"/>
        </w:rPr>
        <w:t xml:space="preserve"> </w:t>
      </w:r>
    </w:p>
    <w:p w14:paraId="519CB7B7" w14:textId="06D8F1C4" w:rsidR="000E04F9" w:rsidRPr="00472578" w:rsidRDefault="000E04F9" w:rsidP="00E92686">
      <w:pPr>
        <w:tabs>
          <w:tab w:val="left" w:pos="1253"/>
          <w:tab w:val="left" w:pos="1254"/>
        </w:tabs>
        <w:spacing w:before="161"/>
        <w:ind w:left="1134" w:hanging="567"/>
        <w:jc w:val="both"/>
        <w:rPr>
          <w:u w:val="single"/>
        </w:rPr>
      </w:pPr>
      <w:r w:rsidRPr="00472578">
        <w:rPr>
          <w:u w:val="single"/>
        </w:rPr>
        <w:t>(g)</w:t>
      </w:r>
      <w:r w:rsidRPr="00472578">
        <w:rPr>
          <w:u w:val="single"/>
        </w:rPr>
        <w:tab/>
        <w:t>coastal habitats and ecosystems</w:t>
      </w:r>
      <w:r w:rsidR="007113CF" w:rsidRPr="00472578">
        <w:rPr>
          <w:u w:val="single"/>
        </w:rPr>
        <w:t>,</w:t>
      </w:r>
      <w:r w:rsidRPr="00472578">
        <w:rPr>
          <w:rStyle w:val="FootnoteReference"/>
        </w:rPr>
        <w:footnoteReference w:id="718"/>
      </w:r>
    </w:p>
    <w:p w14:paraId="0440D3AE" w14:textId="2E75B972" w:rsidR="000E04F9" w:rsidRPr="00472578" w:rsidRDefault="007113CF" w:rsidP="00E92686">
      <w:pPr>
        <w:widowControl w:val="0"/>
        <w:tabs>
          <w:tab w:val="left" w:pos="686"/>
          <w:tab w:val="left" w:pos="687"/>
        </w:tabs>
        <w:autoSpaceDE w:val="0"/>
        <w:autoSpaceDN w:val="0"/>
        <w:spacing w:before="159"/>
        <w:ind w:left="567" w:hanging="567"/>
        <w:jc w:val="both"/>
      </w:pPr>
      <w:r w:rsidRPr="00472578">
        <w:t>(9)</w:t>
      </w:r>
      <w:r w:rsidRPr="00472578">
        <w:tab/>
      </w:r>
      <w:r w:rsidR="000E04F9" w:rsidRPr="00472578">
        <w:t xml:space="preserve">facilitating the restoration, </w:t>
      </w:r>
      <w:proofErr w:type="gramStart"/>
      <w:r w:rsidR="000E04F9" w:rsidRPr="00472578">
        <w:t>rehabilitation</w:t>
      </w:r>
      <w:proofErr w:type="gramEnd"/>
      <w:r w:rsidR="000E04F9" w:rsidRPr="00472578">
        <w:t xml:space="preserve"> or creation of coastal habitats, particularly when it:</w:t>
      </w:r>
    </w:p>
    <w:p w14:paraId="460578C7" w14:textId="2BCD07AA" w:rsidR="000E04F9" w:rsidRPr="00472578" w:rsidRDefault="007113CF" w:rsidP="00E92686">
      <w:pPr>
        <w:widowControl w:val="0"/>
        <w:tabs>
          <w:tab w:val="left" w:pos="1253"/>
          <w:tab w:val="left" w:pos="1254"/>
        </w:tabs>
        <w:autoSpaceDE w:val="0"/>
        <w:autoSpaceDN w:val="0"/>
        <w:spacing w:before="161"/>
        <w:ind w:left="993" w:hanging="426"/>
        <w:jc w:val="both"/>
      </w:pPr>
      <w:r w:rsidRPr="00472578">
        <w:t>(a)</w:t>
      </w:r>
      <w:r w:rsidRPr="00472578">
        <w:tab/>
      </w:r>
      <w:r w:rsidR="000E04F9" w:rsidRPr="00472578">
        <w:t>encourages the natural regeneration of indigenous species,</w:t>
      </w:r>
    </w:p>
    <w:p w14:paraId="5AF73778" w14:textId="04C51583" w:rsidR="000E04F9" w:rsidRPr="00472578" w:rsidRDefault="007113CF" w:rsidP="00E92686">
      <w:pPr>
        <w:widowControl w:val="0"/>
        <w:tabs>
          <w:tab w:val="left" w:pos="1253"/>
          <w:tab w:val="left" w:pos="1254"/>
        </w:tabs>
        <w:autoSpaceDE w:val="0"/>
        <w:autoSpaceDN w:val="0"/>
        <w:spacing w:before="159"/>
        <w:ind w:left="993" w:right="179" w:hanging="426"/>
        <w:jc w:val="both"/>
      </w:pPr>
      <w:r w:rsidRPr="00472578">
        <w:t>(b)</w:t>
      </w:r>
      <w:r w:rsidRPr="00472578">
        <w:tab/>
      </w:r>
      <w:r w:rsidR="000E04F9" w:rsidRPr="00472578">
        <w:t xml:space="preserve">buffers or links ecosystems, habitats and areas of significance that contribute to ecological corridors, </w:t>
      </w:r>
      <w:r w:rsidR="000E04F9" w:rsidRPr="00472578">
        <w:rPr>
          <w:strike/>
        </w:rPr>
        <w:t>or</w:t>
      </w:r>
    </w:p>
    <w:p w14:paraId="5917D3E1" w14:textId="3ADF6F52" w:rsidR="000E04F9" w:rsidRPr="00472578" w:rsidRDefault="007113CF" w:rsidP="00E92686">
      <w:pPr>
        <w:widowControl w:val="0"/>
        <w:tabs>
          <w:tab w:val="left" w:pos="1253"/>
          <w:tab w:val="left" w:pos="1254"/>
        </w:tabs>
        <w:autoSpaceDE w:val="0"/>
        <w:autoSpaceDN w:val="0"/>
        <w:spacing w:before="41"/>
        <w:ind w:left="993" w:hanging="426"/>
        <w:jc w:val="both"/>
      </w:pPr>
      <w:r w:rsidRPr="00472578">
        <w:t>(c)</w:t>
      </w:r>
      <w:r w:rsidRPr="00472578">
        <w:tab/>
      </w:r>
      <w:r w:rsidR="000E04F9" w:rsidRPr="00472578">
        <w:t xml:space="preserve">maintains or enhances the provision of indigenous ecosystem services, </w:t>
      </w:r>
      <w:r w:rsidR="000E04F9" w:rsidRPr="00472578">
        <w:rPr>
          <w:strike/>
        </w:rPr>
        <w:t xml:space="preserve">and </w:t>
      </w:r>
    </w:p>
    <w:p w14:paraId="02283E0D" w14:textId="77777777" w:rsidR="000E04F9" w:rsidRPr="00472578" w:rsidRDefault="000E04F9" w:rsidP="00E92686">
      <w:pPr>
        <w:tabs>
          <w:tab w:val="left" w:pos="1253"/>
          <w:tab w:val="left" w:pos="1254"/>
        </w:tabs>
        <w:spacing w:before="161"/>
        <w:ind w:left="993" w:hanging="426"/>
        <w:jc w:val="both"/>
        <w:rPr>
          <w:u w:val="single"/>
        </w:rPr>
      </w:pPr>
      <w:r w:rsidRPr="00472578">
        <w:rPr>
          <w:u w:val="single"/>
        </w:rPr>
        <w:t>(d)</w:t>
      </w:r>
      <w:r w:rsidRPr="00472578">
        <w:rPr>
          <w:u w:val="single"/>
        </w:rPr>
        <w:tab/>
        <w:t xml:space="preserve">benefits </w:t>
      </w:r>
      <w:r w:rsidRPr="00A00191">
        <w:rPr>
          <w:i/>
          <w:u w:val="single"/>
        </w:rPr>
        <w:t>mahika kai</w:t>
      </w:r>
      <w:r w:rsidRPr="00472578">
        <w:rPr>
          <w:u w:val="single"/>
        </w:rPr>
        <w:t xml:space="preserve"> and kaimoana species or customary fisheries areas, or</w:t>
      </w:r>
      <w:r w:rsidRPr="00472578">
        <w:rPr>
          <w:rStyle w:val="FootnoteReference"/>
        </w:rPr>
        <w:footnoteReference w:id="719"/>
      </w:r>
    </w:p>
    <w:p w14:paraId="5CE12DFF" w14:textId="77777777" w:rsidR="000E04F9" w:rsidRPr="00472578" w:rsidRDefault="000E04F9" w:rsidP="00E92686">
      <w:pPr>
        <w:tabs>
          <w:tab w:val="left" w:pos="1253"/>
          <w:tab w:val="left" w:pos="1254"/>
        </w:tabs>
        <w:spacing w:before="161"/>
        <w:ind w:left="993" w:hanging="426"/>
        <w:jc w:val="both"/>
        <w:rPr>
          <w:u w:val="single"/>
        </w:rPr>
      </w:pPr>
      <w:r w:rsidRPr="00472578">
        <w:rPr>
          <w:u w:val="single"/>
        </w:rPr>
        <w:t>(e)</w:t>
      </w:r>
      <w:r w:rsidRPr="00472578">
        <w:rPr>
          <w:u w:val="single"/>
        </w:rPr>
        <w:tab/>
        <w:t>will lead to the improvement of areas of deteriorated water quality, and</w:t>
      </w:r>
      <w:r w:rsidRPr="00472578">
        <w:rPr>
          <w:rStyle w:val="FootnoteReference"/>
        </w:rPr>
        <w:footnoteReference w:id="720"/>
      </w:r>
      <w:r w:rsidRPr="00472578">
        <w:t xml:space="preserve"> </w:t>
      </w:r>
    </w:p>
    <w:p w14:paraId="4FE8EC4C" w14:textId="59884E1E" w:rsidR="000E04F9" w:rsidRPr="00472578" w:rsidRDefault="007113CF" w:rsidP="00E92686">
      <w:pPr>
        <w:widowControl w:val="0"/>
        <w:tabs>
          <w:tab w:val="left" w:pos="686"/>
          <w:tab w:val="left" w:pos="687"/>
        </w:tabs>
        <w:autoSpaceDE w:val="0"/>
        <w:autoSpaceDN w:val="0"/>
        <w:spacing w:before="159"/>
        <w:ind w:left="567" w:right="176" w:hanging="567"/>
        <w:jc w:val="both"/>
      </w:pPr>
      <w:r w:rsidRPr="00472578">
        <w:t>(10)</w:t>
      </w:r>
      <w:r w:rsidRPr="00472578">
        <w:tab/>
      </w:r>
      <w:r w:rsidR="000E04F9" w:rsidRPr="00472578">
        <w:t xml:space="preserve">bylaws controlling vehicle access to and along the </w:t>
      </w:r>
      <w:r w:rsidR="000E04F9" w:rsidRPr="00472578">
        <w:rPr>
          <w:i/>
        </w:rPr>
        <w:t xml:space="preserve">coastal marine area </w:t>
      </w:r>
      <w:r w:rsidR="000E04F9" w:rsidRPr="00472578">
        <w:t xml:space="preserve">in accordance with </w:t>
      </w:r>
      <w:r w:rsidR="009615A6" w:rsidRPr="00472578">
        <w:t>Policy 20</w:t>
      </w:r>
      <w:r w:rsidR="000E04F9" w:rsidRPr="00472578">
        <w:t xml:space="preserve"> of the NZCPS.</w:t>
      </w:r>
    </w:p>
    <w:p w14:paraId="35BDEDC3" w14:textId="6704586D" w:rsidR="000E04F9" w:rsidRPr="00472578" w:rsidRDefault="007113CF" w:rsidP="00E92686">
      <w:pPr>
        <w:pStyle w:val="Heading4"/>
        <w:jc w:val="both"/>
        <w:rPr>
          <w:u w:val="single"/>
        </w:rPr>
      </w:pPr>
      <w:r w:rsidRPr="00472578">
        <w:rPr>
          <w:u w:val="single"/>
        </w:rPr>
        <w:t>CE-M</w:t>
      </w:r>
      <w:r w:rsidR="000E04F9" w:rsidRPr="00472578">
        <w:rPr>
          <w:u w:val="single"/>
        </w:rPr>
        <w:t xml:space="preserve">6 – Monitoring </w:t>
      </w:r>
    </w:p>
    <w:p w14:paraId="525716A0" w14:textId="77777777" w:rsidR="000E04F9" w:rsidRPr="00472578" w:rsidRDefault="000E04F9" w:rsidP="00E92686">
      <w:pPr>
        <w:spacing w:before="161"/>
        <w:jc w:val="both"/>
        <w:rPr>
          <w:iCs/>
          <w:u w:val="single"/>
        </w:rPr>
      </w:pPr>
      <w:r w:rsidRPr="00472578">
        <w:rPr>
          <w:iCs/>
          <w:u w:val="single"/>
        </w:rPr>
        <w:t xml:space="preserve">Otago Regional Council must: </w:t>
      </w:r>
    </w:p>
    <w:p w14:paraId="720BC838" w14:textId="65126EDF" w:rsidR="000E04F9" w:rsidRPr="00472578" w:rsidRDefault="007113CF" w:rsidP="00E92686">
      <w:pPr>
        <w:widowControl w:val="0"/>
        <w:tabs>
          <w:tab w:val="left" w:pos="686"/>
          <w:tab w:val="left" w:pos="687"/>
        </w:tabs>
        <w:autoSpaceDE w:val="0"/>
        <w:autoSpaceDN w:val="0"/>
        <w:spacing w:before="161"/>
        <w:ind w:left="567" w:right="174" w:hanging="567"/>
        <w:jc w:val="both"/>
        <w:rPr>
          <w:u w:val="single"/>
        </w:rPr>
      </w:pPr>
      <w:r w:rsidRPr="00472578">
        <w:rPr>
          <w:u w:val="single"/>
        </w:rPr>
        <w:t>(1)</w:t>
      </w:r>
      <w:r w:rsidRPr="00472578">
        <w:rPr>
          <w:u w:val="single"/>
        </w:rPr>
        <w:tab/>
      </w:r>
      <w:r w:rsidR="000E04F9" w:rsidRPr="00472578">
        <w:rPr>
          <w:u w:val="single"/>
        </w:rPr>
        <w:t>establish a long-term monitoring programme for coastal waters and coastal ecosystems that incorporates cultural health monitoring,</w:t>
      </w:r>
    </w:p>
    <w:p w14:paraId="490D1337" w14:textId="2E6771E1" w:rsidR="000E04F9" w:rsidRPr="00472578" w:rsidRDefault="007113CF" w:rsidP="00E92686">
      <w:pPr>
        <w:widowControl w:val="0"/>
        <w:tabs>
          <w:tab w:val="left" w:pos="686"/>
          <w:tab w:val="left" w:pos="687"/>
        </w:tabs>
        <w:autoSpaceDE w:val="0"/>
        <w:autoSpaceDN w:val="0"/>
        <w:spacing w:before="161"/>
        <w:ind w:left="567" w:right="174" w:hanging="567"/>
        <w:jc w:val="both"/>
        <w:rPr>
          <w:u w:val="single"/>
        </w:rPr>
      </w:pPr>
      <w:r w:rsidRPr="00472578">
        <w:rPr>
          <w:u w:val="single"/>
        </w:rPr>
        <w:t>(2)</w:t>
      </w:r>
      <w:r w:rsidRPr="00472578">
        <w:rPr>
          <w:u w:val="single"/>
        </w:rPr>
        <w:tab/>
      </w:r>
      <w:r w:rsidR="000E04F9" w:rsidRPr="00472578">
        <w:rPr>
          <w:u w:val="single"/>
        </w:rPr>
        <w:t xml:space="preserve">record information (including monitoring data) about the state of coastal waters and coastal ecosystems and the challenges to their health and well-being, </w:t>
      </w:r>
    </w:p>
    <w:p w14:paraId="15A6FD06" w14:textId="3838A437" w:rsidR="000E04F9" w:rsidRPr="00472578" w:rsidRDefault="007113CF" w:rsidP="00E92686">
      <w:pPr>
        <w:widowControl w:val="0"/>
        <w:tabs>
          <w:tab w:val="left" w:pos="686"/>
          <w:tab w:val="left" w:pos="687"/>
        </w:tabs>
        <w:autoSpaceDE w:val="0"/>
        <w:autoSpaceDN w:val="0"/>
        <w:spacing w:before="161"/>
        <w:ind w:left="567" w:right="174" w:hanging="567"/>
        <w:jc w:val="both"/>
        <w:rPr>
          <w:u w:val="single"/>
        </w:rPr>
      </w:pPr>
      <w:r w:rsidRPr="00472578">
        <w:rPr>
          <w:u w:val="single"/>
        </w:rPr>
        <w:t>(3)</w:t>
      </w:r>
      <w:r w:rsidRPr="00472578">
        <w:rPr>
          <w:u w:val="single"/>
        </w:rPr>
        <w:tab/>
      </w:r>
      <w:r w:rsidR="000E04F9" w:rsidRPr="00472578">
        <w:rPr>
          <w:u w:val="single"/>
        </w:rPr>
        <w:t>regularly prepare reports on the matters in (1) and (2) and publish those reports, and</w:t>
      </w:r>
    </w:p>
    <w:p w14:paraId="4972C0D6" w14:textId="6C1E71F6" w:rsidR="000E04F9" w:rsidRPr="00472578" w:rsidRDefault="007113CF" w:rsidP="00E92686">
      <w:pPr>
        <w:widowControl w:val="0"/>
        <w:tabs>
          <w:tab w:val="left" w:pos="686"/>
          <w:tab w:val="left" w:pos="687"/>
        </w:tabs>
        <w:autoSpaceDE w:val="0"/>
        <w:autoSpaceDN w:val="0"/>
        <w:spacing w:before="161"/>
        <w:ind w:left="567" w:right="174" w:hanging="567"/>
        <w:jc w:val="both"/>
        <w:rPr>
          <w:sz w:val="17"/>
        </w:rPr>
      </w:pPr>
      <w:r w:rsidRPr="00472578">
        <w:rPr>
          <w:u w:val="single"/>
        </w:rPr>
        <w:t>(4)</w:t>
      </w:r>
      <w:r w:rsidRPr="00472578">
        <w:rPr>
          <w:u w:val="single"/>
        </w:rPr>
        <w:tab/>
      </w:r>
      <w:proofErr w:type="gramStart"/>
      <w:r w:rsidR="000E04F9" w:rsidRPr="00472578">
        <w:rPr>
          <w:u w:val="single"/>
        </w:rPr>
        <w:t>take action</w:t>
      </w:r>
      <w:proofErr w:type="gramEnd"/>
      <w:r w:rsidR="000E04F9" w:rsidRPr="00472578">
        <w:rPr>
          <w:u w:val="single"/>
        </w:rPr>
        <w:t xml:space="preserve"> where the results of monitoring show that this is necessary to achieve the objectives of this policy statement.</w:t>
      </w:r>
      <w:r w:rsidR="000E04F9" w:rsidRPr="00472578">
        <w:rPr>
          <w:rStyle w:val="FootnoteReference"/>
        </w:rPr>
        <w:footnoteReference w:id="721"/>
      </w:r>
    </w:p>
    <w:p w14:paraId="473DE6AB" w14:textId="6706CC26" w:rsidR="000E04F9" w:rsidRPr="00472578" w:rsidRDefault="000E04F9" w:rsidP="00E92686">
      <w:pPr>
        <w:pStyle w:val="Heading3"/>
        <w:jc w:val="both"/>
      </w:pPr>
      <w:r w:rsidRPr="00472578">
        <w:lastRenderedPageBreak/>
        <w:t>Explanation</w:t>
      </w:r>
    </w:p>
    <w:p w14:paraId="2CC6FF58" w14:textId="2BD00707" w:rsidR="000E04F9" w:rsidRPr="00472578" w:rsidRDefault="007113CF" w:rsidP="00E92686">
      <w:pPr>
        <w:pStyle w:val="Heading4"/>
        <w:jc w:val="both"/>
      </w:pPr>
      <w:r w:rsidRPr="00472578">
        <w:t>CE-E</w:t>
      </w:r>
      <w:r w:rsidR="000E04F9" w:rsidRPr="00472578">
        <w:t>1 – Explanation</w:t>
      </w:r>
    </w:p>
    <w:p w14:paraId="693EA8E9" w14:textId="77777777" w:rsidR="000E04F9" w:rsidRPr="00472578" w:rsidRDefault="000E04F9" w:rsidP="00E92686">
      <w:pPr>
        <w:pStyle w:val="BodyText"/>
      </w:pPr>
      <w:r w:rsidRPr="00472578">
        <w:t xml:space="preserve">The provisions in this chapter recognise that the coastal environment is a finite resource with a range of values that need to be preserved. The policies within the chapter are designed to protect the coastal environment from inappropriate activities. The coastal environment is also recognised as dynamic and the policies, in association with others in the ORPS, seek to prevent increasing </w:t>
      </w:r>
      <w:r w:rsidRPr="00472578">
        <w:rPr>
          <w:i/>
        </w:rPr>
        <w:t xml:space="preserve">risks </w:t>
      </w:r>
      <w:r w:rsidRPr="00472578">
        <w:t xml:space="preserve">to life, </w:t>
      </w:r>
      <w:r w:rsidRPr="00472578">
        <w:rPr>
          <w:i/>
        </w:rPr>
        <w:t xml:space="preserve">infrastructure </w:t>
      </w:r>
      <w:r w:rsidRPr="00472578">
        <w:t>and property.</w:t>
      </w:r>
    </w:p>
    <w:p w14:paraId="23E2D999" w14:textId="554F7F9D" w:rsidR="000E04F9" w:rsidRPr="00472578" w:rsidRDefault="000E04F9" w:rsidP="00E92686">
      <w:pPr>
        <w:pStyle w:val="BodyText"/>
        <w:rPr>
          <w:u w:val="single"/>
        </w:rPr>
      </w:pPr>
      <w:r w:rsidRPr="00472578">
        <w:t xml:space="preserve">The policies in this chapter require the identification and management of a range of values within the coastal environment. They also set out </w:t>
      </w:r>
      <w:proofErr w:type="gramStart"/>
      <w:r w:rsidRPr="00472578">
        <w:t>a number of</w:t>
      </w:r>
      <w:proofErr w:type="gramEnd"/>
      <w:r w:rsidRPr="00472578">
        <w:t xml:space="preserve"> environmental bottom lines that give effect to the requirements of the NZCPS. Provided these environmental bottom lines are achieved, the chapter also acknowledges that there are a range of activities including port activities, aquaculture, and appropriately designed and located </w:t>
      </w:r>
      <w:r w:rsidRPr="00472578">
        <w:rPr>
          <w:i/>
        </w:rPr>
        <w:t>subdivision</w:t>
      </w:r>
      <w:r w:rsidRPr="00472578">
        <w:t xml:space="preserve">, use and development that can be undertaken within the coastal environment. The policies also provide specific direction on how activities in the coastal environment are to be undertaken. The </w:t>
      </w:r>
      <w:r w:rsidRPr="00472578">
        <w:rPr>
          <w:strike/>
        </w:rPr>
        <w:t>balance</w:t>
      </w:r>
      <w:r w:rsidRPr="00472578">
        <w:t xml:space="preserve"> </w:t>
      </w:r>
      <w:r w:rsidRPr="00472578">
        <w:rPr>
          <w:u w:val="single"/>
        </w:rPr>
        <w:t>combination</w:t>
      </w:r>
      <w:r w:rsidRPr="00472578">
        <w:rPr>
          <w:rStyle w:val="FootnoteReference"/>
        </w:rPr>
        <w:footnoteReference w:id="722"/>
      </w:r>
      <w:r w:rsidRPr="00472578">
        <w:t xml:space="preserve"> of protective and enabling policies within this </w:t>
      </w:r>
      <w:r w:rsidR="009615A6" w:rsidRPr="00472578">
        <w:t>chapter are</w:t>
      </w:r>
      <w:r w:rsidRPr="00472578">
        <w:t xml:space="preserve"> designed to implement the objectives by requiring that activities in the coastal environment are undertaken in a manner that preserves or restores the values of the coastal environment. </w:t>
      </w:r>
    </w:p>
    <w:p w14:paraId="50C28C16" w14:textId="77777777" w:rsidR="000E04F9" w:rsidRPr="00472578" w:rsidRDefault="000E04F9" w:rsidP="00E92686">
      <w:pPr>
        <w:pStyle w:val="BodyText"/>
      </w:pPr>
      <w:r w:rsidRPr="00472578">
        <w:t xml:space="preserve">Kāi Tahu tūpuna had an extensive knowledge of the coastal environment and weather patterns, passed from generation to generation. This knowledge continues to be held by whānau and hapū and is regarded as a taoka. The seasonal lifestyle of Kāi Tahu led to their dependence on the resources of the coast. This enduring relationship with the coastal environment, arising from long whakapapa associations and the use of tikaka to guide resource management practices, is manifested in the rakatirataka and </w:t>
      </w:r>
      <w:r w:rsidRPr="00472578">
        <w:rPr>
          <w:i/>
        </w:rPr>
        <w:t xml:space="preserve">kaitiakitaka </w:t>
      </w:r>
      <w:r w:rsidRPr="00472578">
        <w:t xml:space="preserve">responsibilities that Kāi Tahu hold as </w:t>
      </w:r>
      <w:r w:rsidRPr="00472578">
        <w:rPr>
          <w:i/>
        </w:rPr>
        <w:t>mana whenua</w:t>
      </w:r>
      <w:r w:rsidRPr="00472578">
        <w:t>.</w:t>
      </w:r>
    </w:p>
    <w:p w14:paraId="52850919" w14:textId="77777777" w:rsidR="000E04F9" w:rsidRPr="00472578" w:rsidRDefault="000E04F9" w:rsidP="00E92686">
      <w:pPr>
        <w:pStyle w:val="BodyText"/>
      </w:pPr>
      <w:r w:rsidRPr="00472578">
        <w:t>Coastal waters can be influenced by activities which are undertaken beyond the coastal environment. This interconnectedness between coastal and freshwater environments means provisions contained within the LF – Land and freshwater chapter may also need to be considered to manage the coastal environment.</w:t>
      </w:r>
      <w:r w:rsidRPr="00472578">
        <w:rPr>
          <w:rStyle w:val="FootnoteReference"/>
        </w:rPr>
        <w:footnoteReference w:id="723"/>
      </w:r>
    </w:p>
    <w:p w14:paraId="54BAED81" w14:textId="3D6EA877" w:rsidR="000E04F9" w:rsidRPr="00472578" w:rsidRDefault="000E04F9" w:rsidP="00E92686">
      <w:pPr>
        <w:pStyle w:val="BodyText"/>
      </w:pPr>
      <w:r w:rsidRPr="00472578">
        <w:t xml:space="preserve">Some of the policies in the NZCPS are highly prescriptive and will be most effectively implemented through </w:t>
      </w:r>
      <w:r w:rsidRPr="00472578">
        <w:rPr>
          <w:i/>
        </w:rPr>
        <w:t xml:space="preserve">regional </w:t>
      </w:r>
      <w:r w:rsidR="00D81DFC" w:rsidRPr="00472578">
        <w:rPr>
          <w:i/>
          <w:u w:val="single"/>
        </w:rPr>
        <w:t>plans</w:t>
      </w:r>
      <w:r w:rsidR="00D81DFC" w:rsidRPr="00472578">
        <w:rPr>
          <w:rStyle w:val="FootnoteReference"/>
          <w:iCs/>
        </w:rPr>
        <w:footnoteReference w:id="724"/>
      </w:r>
      <w:r w:rsidR="00DF6CAF" w:rsidRPr="00472578">
        <w:t xml:space="preserve"> a</w:t>
      </w:r>
      <w:r w:rsidRPr="00472578">
        <w:t xml:space="preserve">nd </w:t>
      </w:r>
      <w:r w:rsidRPr="00472578">
        <w:rPr>
          <w:i/>
        </w:rPr>
        <w:t xml:space="preserve">district plans. </w:t>
      </w:r>
      <w:r w:rsidRPr="00472578">
        <w:t xml:space="preserve">In those cases, the policies in this RPS have included additional region-specific context where that is </w:t>
      </w:r>
      <w:proofErr w:type="gramStart"/>
      <w:r w:rsidRPr="00472578">
        <w:t>possible, but</w:t>
      </w:r>
      <w:proofErr w:type="gramEnd"/>
      <w:r w:rsidRPr="00472578">
        <w:t xml:space="preserve"> have not sought to restate the content of NZCPS policies with the expectation that those policies will be implemented by the </w:t>
      </w:r>
      <w:r w:rsidRPr="00472578">
        <w:rPr>
          <w:i/>
        </w:rPr>
        <w:t xml:space="preserve">regional </w:t>
      </w:r>
      <w:r w:rsidR="00A764B3" w:rsidRPr="00472578">
        <w:rPr>
          <w:i/>
          <w:u w:val="single"/>
        </w:rPr>
        <w:t>plan</w:t>
      </w:r>
      <w:r w:rsidR="00E77D53" w:rsidRPr="00472578">
        <w:rPr>
          <w:i/>
          <w:u w:val="single"/>
        </w:rPr>
        <w:t>s</w:t>
      </w:r>
      <w:r w:rsidR="00E77D53" w:rsidRPr="00472578">
        <w:rPr>
          <w:rStyle w:val="FootnoteReference"/>
          <w:iCs/>
        </w:rPr>
        <w:footnoteReference w:id="725"/>
      </w:r>
      <w:r w:rsidR="000C7FDE" w:rsidRPr="00472578">
        <w:t xml:space="preserve"> a</w:t>
      </w:r>
      <w:r w:rsidRPr="00472578">
        <w:t xml:space="preserve">nd </w:t>
      </w:r>
      <w:r w:rsidRPr="00472578">
        <w:rPr>
          <w:i/>
        </w:rPr>
        <w:t>district plans</w:t>
      </w:r>
      <w:r w:rsidRPr="00472578">
        <w:t>.</w:t>
      </w:r>
    </w:p>
    <w:p w14:paraId="22365D82" w14:textId="65DF91CF" w:rsidR="000E04F9" w:rsidRPr="00472578" w:rsidRDefault="000E04F9" w:rsidP="00E92686">
      <w:pPr>
        <w:pStyle w:val="BodyText"/>
        <w:rPr>
          <w:strike/>
        </w:rPr>
      </w:pPr>
      <w:r w:rsidRPr="00472578">
        <w:t xml:space="preserve">In addition to the policies in this chapter, the values of the coastal environment are recognised and provided for in </w:t>
      </w:r>
      <w:proofErr w:type="gramStart"/>
      <w:r w:rsidRPr="00472578">
        <w:rPr>
          <w:u w:val="single"/>
        </w:rPr>
        <w:t>a number of</w:t>
      </w:r>
      <w:proofErr w:type="gramEnd"/>
      <w:r w:rsidRPr="00472578">
        <w:rPr>
          <w:u w:val="single"/>
        </w:rPr>
        <w:t xml:space="preserve"> other</w:t>
      </w:r>
      <w:r w:rsidRPr="00472578">
        <w:t xml:space="preserve"> </w:t>
      </w:r>
      <w:r w:rsidRPr="00472578">
        <w:rPr>
          <w:strike/>
        </w:rPr>
        <w:t>the following</w:t>
      </w:r>
      <w:r w:rsidRPr="00472578">
        <w:t xml:space="preserve"> chapters of the ORPS</w:t>
      </w:r>
      <w:r w:rsidRPr="00472578">
        <w:rPr>
          <w:u w:val="single"/>
        </w:rPr>
        <w:t>, as set out in CE-P1</w:t>
      </w:r>
      <w:r w:rsidRPr="00472578">
        <w:t xml:space="preserve">. </w:t>
      </w:r>
      <w:r w:rsidRPr="00472578">
        <w:rPr>
          <w:strike/>
        </w:rPr>
        <w:t>where they provide direction on the management of the coastal environment or activities within the coastal environment:</w:t>
      </w:r>
    </w:p>
    <w:p w14:paraId="1AAE106E" w14:textId="77777777" w:rsidR="000E04F9" w:rsidRPr="00472578" w:rsidRDefault="000E04F9" w:rsidP="00E92686">
      <w:pPr>
        <w:pStyle w:val="ListParagraph"/>
        <w:widowControl w:val="0"/>
        <w:numPr>
          <w:ilvl w:val="0"/>
          <w:numId w:val="37"/>
        </w:numPr>
        <w:tabs>
          <w:tab w:val="left" w:pos="686"/>
          <w:tab w:val="left" w:pos="687"/>
        </w:tabs>
        <w:autoSpaceDE w:val="0"/>
        <w:autoSpaceDN w:val="0"/>
        <w:spacing w:after="120" w:line="259" w:lineRule="auto"/>
        <w:ind w:left="567"/>
        <w:jc w:val="both"/>
        <w:rPr>
          <w:strike/>
        </w:rPr>
      </w:pPr>
      <w:r w:rsidRPr="00472578">
        <w:rPr>
          <w:strike/>
        </w:rPr>
        <w:t>ECO – Ecosystems and indigenous biodiversity</w:t>
      </w:r>
    </w:p>
    <w:p w14:paraId="22B91B63" w14:textId="77777777" w:rsidR="000E04F9" w:rsidRPr="00472578" w:rsidRDefault="000E04F9" w:rsidP="00E92686">
      <w:pPr>
        <w:pStyle w:val="ListParagraph"/>
        <w:widowControl w:val="0"/>
        <w:numPr>
          <w:ilvl w:val="0"/>
          <w:numId w:val="37"/>
        </w:numPr>
        <w:tabs>
          <w:tab w:val="left" w:pos="686"/>
          <w:tab w:val="left" w:pos="687"/>
        </w:tabs>
        <w:autoSpaceDE w:val="0"/>
        <w:autoSpaceDN w:val="0"/>
        <w:spacing w:after="120" w:line="259" w:lineRule="auto"/>
        <w:ind w:left="567"/>
        <w:jc w:val="both"/>
        <w:rPr>
          <w:strike/>
        </w:rPr>
      </w:pPr>
      <w:r w:rsidRPr="00472578">
        <w:rPr>
          <w:strike/>
        </w:rPr>
        <w:lastRenderedPageBreak/>
        <w:t>LF – Land and freshwater</w:t>
      </w:r>
    </w:p>
    <w:p w14:paraId="325C6D1F" w14:textId="77777777" w:rsidR="000E04F9" w:rsidRPr="00472578" w:rsidRDefault="000E04F9" w:rsidP="00E92686">
      <w:pPr>
        <w:pStyle w:val="ListParagraph"/>
        <w:widowControl w:val="0"/>
        <w:numPr>
          <w:ilvl w:val="0"/>
          <w:numId w:val="37"/>
        </w:numPr>
        <w:tabs>
          <w:tab w:val="left" w:pos="686"/>
          <w:tab w:val="left" w:pos="687"/>
        </w:tabs>
        <w:autoSpaceDE w:val="0"/>
        <w:autoSpaceDN w:val="0"/>
        <w:spacing w:after="120" w:line="259" w:lineRule="auto"/>
        <w:ind w:left="567"/>
        <w:jc w:val="both"/>
        <w:rPr>
          <w:strike/>
        </w:rPr>
      </w:pPr>
      <w:r w:rsidRPr="00472578">
        <w:rPr>
          <w:strike/>
        </w:rPr>
        <w:t xml:space="preserve">EIT – Energy, </w:t>
      </w:r>
      <w:proofErr w:type="gramStart"/>
      <w:r w:rsidRPr="00472578">
        <w:rPr>
          <w:strike/>
        </w:rPr>
        <w:t>infrastructure</w:t>
      </w:r>
      <w:proofErr w:type="gramEnd"/>
      <w:r w:rsidRPr="00472578">
        <w:rPr>
          <w:strike/>
        </w:rPr>
        <w:t xml:space="preserve"> and transport</w:t>
      </w:r>
    </w:p>
    <w:p w14:paraId="1ED31508" w14:textId="77777777" w:rsidR="000E04F9" w:rsidRPr="00472578" w:rsidRDefault="000E04F9" w:rsidP="00E92686">
      <w:pPr>
        <w:pStyle w:val="ListParagraph"/>
        <w:widowControl w:val="0"/>
        <w:numPr>
          <w:ilvl w:val="0"/>
          <w:numId w:val="37"/>
        </w:numPr>
        <w:tabs>
          <w:tab w:val="left" w:pos="686"/>
          <w:tab w:val="left" w:pos="687"/>
        </w:tabs>
        <w:autoSpaceDE w:val="0"/>
        <w:autoSpaceDN w:val="0"/>
        <w:spacing w:after="120" w:line="259" w:lineRule="auto"/>
        <w:ind w:left="567"/>
        <w:jc w:val="both"/>
        <w:rPr>
          <w:strike/>
        </w:rPr>
      </w:pPr>
      <w:r w:rsidRPr="00472578">
        <w:rPr>
          <w:strike/>
        </w:rPr>
        <w:t>HCV – Historical and cultural values</w:t>
      </w:r>
    </w:p>
    <w:p w14:paraId="22DA946C" w14:textId="77777777" w:rsidR="000E04F9" w:rsidRPr="00472578" w:rsidRDefault="000E04F9" w:rsidP="00E92686">
      <w:pPr>
        <w:pStyle w:val="ListParagraph"/>
        <w:widowControl w:val="0"/>
        <w:numPr>
          <w:ilvl w:val="0"/>
          <w:numId w:val="37"/>
        </w:numPr>
        <w:tabs>
          <w:tab w:val="left" w:pos="686"/>
          <w:tab w:val="left" w:pos="687"/>
        </w:tabs>
        <w:autoSpaceDE w:val="0"/>
        <w:autoSpaceDN w:val="0"/>
        <w:spacing w:after="120" w:line="259" w:lineRule="auto"/>
        <w:ind w:left="567"/>
        <w:jc w:val="both"/>
        <w:rPr>
          <w:strike/>
        </w:rPr>
      </w:pPr>
      <w:r w:rsidRPr="00472578">
        <w:rPr>
          <w:strike/>
        </w:rPr>
        <w:t>NFL – Natural features and landscapes</w:t>
      </w:r>
    </w:p>
    <w:p w14:paraId="367CB5C6" w14:textId="77777777" w:rsidR="000E04F9" w:rsidRPr="00472578" w:rsidRDefault="000E04F9" w:rsidP="00E92686">
      <w:pPr>
        <w:pStyle w:val="ListParagraph"/>
        <w:widowControl w:val="0"/>
        <w:numPr>
          <w:ilvl w:val="0"/>
          <w:numId w:val="37"/>
        </w:numPr>
        <w:tabs>
          <w:tab w:val="left" w:pos="686"/>
          <w:tab w:val="left" w:pos="687"/>
        </w:tabs>
        <w:autoSpaceDE w:val="0"/>
        <w:autoSpaceDN w:val="0"/>
        <w:spacing w:after="120" w:line="259" w:lineRule="auto"/>
        <w:ind w:left="567"/>
        <w:jc w:val="both"/>
      </w:pPr>
      <w:r w:rsidRPr="00472578">
        <w:rPr>
          <w:strike/>
        </w:rPr>
        <w:t>HAZ – Hazards and risks</w:t>
      </w:r>
      <w:r w:rsidRPr="00472578">
        <w:rPr>
          <w:rStyle w:val="FootnoteReference"/>
        </w:rPr>
        <w:footnoteReference w:id="726"/>
      </w:r>
    </w:p>
    <w:p w14:paraId="29DAF3CC" w14:textId="77777777" w:rsidR="000E04F9" w:rsidRPr="00472578" w:rsidRDefault="000E04F9" w:rsidP="00E92686">
      <w:pPr>
        <w:pStyle w:val="Heading3"/>
        <w:jc w:val="both"/>
      </w:pPr>
      <w:r w:rsidRPr="00472578">
        <w:t>Principal reasons</w:t>
      </w:r>
    </w:p>
    <w:p w14:paraId="3934BC74" w14:textId="653A2F20" w:rsidR="000E04F9" w:rsidRPr="00472578" w:rsidRDefault="007113CF" w:rsidP="00E92686">
      <w:pPr>
        <w:pStyle w:val="Heading4"/>
        <w:jc w:val="both"/>
      </w:pPr>
      <w:r w:rsidRPr="00472578">
        <w:t>CE-P</w:t>
      </w:r>
      <w:r w:rsidR="000E04F9" w:rsidRPr="00472578">
        <w:t>R1 – Principal reasons</w:t>
      </w:r>
    </w:p>
    <w:p w14:paraId="372E7BB1" w14:textId="1E2E0AE9" w:rsidR="000E04F9" w:rsidRPr="00472578" w:rsidRDefault="000E04F9" w:rsidP="00E92686">
      <w:pPr>
        <w:pStyle w:val="BodyText"/>
      </w:pPr>
      <w:r w:rsidRPr="00472578">
        <w:t xml:space="preserve">The coastal environment includes the </w:t>
      </w:r>
      <w:r w:rsidRPr="00472578">
        <w:rPr>
          <w:i/>
        </w:rPr>
        <w:t>coastal marine area</w:t>
      </w:r>
      <w:r w:rsidRPr="00472578">
        <w:t xml:space="preserve">, islands within the </w:t>
      </w:r>
      <w:r w:rsidRPr="00472578">
        <w:rPr>
          <w:i/>
        </w:rPr>
        <w:t xml:space="preserve">coastal marine area </w:t>
      </w:r>
      <w:r w:rsidRPr="00472578">
        <w:t>and the area landward of the line of mean high-water springs. The landward extent of the coastal environment is determined by the natural and physical elements, features and processes set out in Policy 1(2) of the NZCPS. The importance of the coastal environment is reflected in the statutory resource management framework, particularly as identified in sections 6 and 7 of the RMA</w:t>
      </w:r>
      <w:r w:rsidRPr="0068219A">
        <w:rPr>
          <w:strike/>
        </w:rPr>
        <w:t xml:space="preserve"> 1991</w:t>
      </w:r>
      <w:r w:rsidR="0068219A">
        <w:rPr>
          <w:rStyle w:val="FootnoteReference"/>
        </w:rPr>
        <w:footnoteReference w:id="727"/>
      </w:r>
      <w:r w:rsidRPr="00472578">
        <w:t xml:space="preserve"> and as set out in the NZCPS.</w:t>
      </w:r>
    </w:p>
    <w:p w14:paraId="0D4C0F11" w14:textId="77777777" w:rsidR="000E04F9" w:rsidRPr="00472578" w:rsidRDefault="000E04F9" w:rsidP="00E92686">
      <w:pPr>
        <w:pStyle w:val="BodyText"/>
      </w:pPr>
      <w:proofErr w:type="gramStart"/>
      <w:r w:rsidRPr="00472578">
        <w:t>A number of</w:t>
      </w:r>
      <w:proofErr w:type="gramEnd"/>
      <w:r w:rsidRPr="00472578">
        <w:t xml:space="preserve"> activities occur within or affect the coastal environment including urban development, recreational activities, transport infrastructure, port activities, </w:t>
      </w:r>
      <w:r w:rsidRPr="00472578">
        <w:rPr>
          <w:i/>
        </w:rPr>
        <w:t xml:space="preserve">infrastructure, </w:t>
      </w:r>
      <w:r w:rsidRPr="00472578">
        <w:t xml:space="preserve">energy generation and transmission, food production and other farming activities, </w:t>
      </w:r>
      <w:r w:rsidRPr="00472578">
        <w:rPr>
          <w:i/>
        </w:rPr>
        <w:t>plantation forestry</w:t>
      </w:r>
      <w:r w:rsidRPr="00472578">
        <w:t xml:space="preserve">, rural industry and </w:t>
      </w:r>
      <w:r w:rsidRPr="00472578">
        <w:rPr>
          <w:i/>
        </w:rPr>
        <w:t xml:space="preserve">mineral </w:t>
      </w:r>
      <w:r w:rsidRPr="00472578">
        <w:t xml:space="preserve">extraction. These activities can be important contributors to the existing and future health and well-being of communities. However, poorly </w:t>
      </w:r>
      <w:proofErr w:type="gramStart"/>
      <w:r w:rsidRPr="00472578">
        <w:t>located</w:t>
      </w:r>
      <w:proofErr w:type="gramEnd"/>
      <w:r w:rsidRPr="00472578">
        <w:t xml:space="preserve"> or managed activities can have adverse </w:t>
      </w:r>
      <w:r w:rsidRPr="00472578">
        <w:rPr>
          <w:i/>
        </w:rPr>
        <w:t xml:space="preserve">effects </w:t>
      </w:r>
      <w:r w:rsidRPr="00472578">
        <w:t xml:space="preserve">that compromise the values of the coastal environment such as natural character, biophysical processes, </w:t>
      </w:r>
      <w:r w:rsidRPr="00472578">
        <w:rPr>
          <w:i/>
        </w:rPr>
        <w:t xml:space="preserve">water </w:t>
      </w:r>
      <w:r w:rsidRPr="00472578">
        <w:t xml:space="preserve">quality, </w:t>
      </w:r>
      <w:r w:rsidRPr="00472578">
        <w:rPr>
          <w:i/>
        </w:rPr>
        <w:t>surf breaks</w:t>
      </w:r>
      <w:r w:rsidRPr="00472578">
        <w:t xml:space="preserve">, indigenous </w:t>
      </w:r>
      <w:r w:rsidRPr="00472578">
        <w:rPr>
          <w:i/>
        </w:rPr>
        <w:t xml:space="preserve">biodiversity </w:t>
      </w:r>
      <w:r w:rsidRPr="00472578">
        <w:t>and natural landscapes.</w:t>
      </w:r>
    </w:p>
    <w:p w14:paraId="39EAC9E1" w14:textId="12FED379" w:rsidR="000E04F9" w:rsidRPr="00472578" w:rsidRDefault="000E04F9" w:rsidP="00E92686">
      <w:pPr>
        <w:pStyle w:val="BodyText"/>
      </w:pPr>
      <w:r w:rsidRPr="00472578">
        <w:t xml:space="preserve">The coastal environment is highly valued by Kāi Tahu </w:t>
      </w:r>
      <w:r w:rsidRPr="00472578">
        <w:rPr>
          <w:i/>
        </w:rPr>
        <w:t>mana whenua</w:t>
      </w:r>
      <w:r w:rsidRPr="00472578">
        <w:t xml:space="preserve">, with </w:t>
      </w:r>
      <w:proofErr w:type="gramStart"/>
      <w:r w:rsidRPr="00472578">
        <w:t>a number of</w:t>
      </w:r>
      <w:proofErr w:type="gramEnd"/>
      <w:r w:rsidRPr="00472578">
        <w:t xml:space="preserve"> areas in the coastal environment recognised in statutory acknowledgments in the NTCSA</w:t>
      </w:r>
      <w:r w:rsidR="00F0363C" w:rsidRPr="00EF1863">
        <w:rPr>
          <w:rFonts w:cs="Times New Roman"/>
          <w:strike/>
        </w:rPr>
        <w:t xml:space="preserve"> 1998</w:t>
      </w:r>
      <w:r w:rsidR="00F0363C">
        <w:rPr>
          <w:rStyle w:val="FootnoteReference"/>
          <w:rFonts w:cs="Times New Roman"/>
        </w:rPr>
        <w:footnoteReference w:id="728"/>
      </w:r>
      <w:r w:rsidRPr="00472578">
        <w:t xml:space="preserve">. The marine environment is a moving force, a reminder of the power of Takaroa. The </w:t>
      </w:r>
      <w:r w:rsidRPr="00472578">
        <w:rPr>
          <w:i/>
        </w:rPr>
        <w:t xml:space="preserve">coastal waters </w:t>
      </w:r>
      <w:r w:rsidRPr="00472578">
        <w:t xml:space="preserve">and processes were integral to the way of life tūpuna enjoyed, and the coastal environment supports significant </w:t>
      </w:r>
      <w:r w:rsidRPr="009C237D">
        <w:rPr>
          <w:strike/>
        </w:rPr>
        <w:t>mahika kai</w:t>
      </w:r>
      <w:r w:rsidR="00A00191" w:rsidRPr="00472578">
        <w:t xml:space="preserve"> </w:t>
      </w:r>
      <w:r w:rsidR="00A00191" w:rsidRPr="004B700D">
        <w:rPr>
          <w:i/>
          <w:iCs/>
          <w:u w:val="single"/>
        </w:rPr>
        <w:t>mahika kai</w:t>
      </w:r>
      <w:r w:rsidR="00A00191">
        <w:rPr>
          <w:rStyle w:val="FootnoteReference"/>
        </w:rPr>
        <w:footnoteReference w:id="729"/>
      </w:r>
      <w:r w:rsidRPr="00472578">
        <w:t xml:space="preserve">/kaimoana resources and </w:t>
      </w:r>
      <w:r w:rsidRPr="00472578">
        <w:rPr>
          <w:i/>
        </w:rPr>
        <w:t>wāhi tūpuna</w:t>
      </w:r>
      <w:r w:rsidRPr="00472578">
        <w:t xml:space="preserve">. This environment was traditionally important for settlement and travel and continues to provide for settlement and </w:t>
      </w:r>
      <w:r w:rsidRPr="009C237D">
        <w:rPr>
          <w:strike/>
        </w:rPr>
        <w:t>mahika kai</w:t>
      </w:r>
      <w:r w:rsidRPr="00472578">
        <w:t xml:space="preserve"> </w:t>
      </w:r>
      <w:r w:rsidR="00A00191" w:rsidRPr="004B700D">
        <w:rPr>
          <w:i/>
          <w:iCs/>
          <w:u w:val="single"/>
        </w:rPr>
        <w:t>mahika kai</w:t>
      </w:r>
      <w:r w:rsidR="00A00191">
        <w:rPr>
          <w:rStyle w:val="FootnoteReference"/>
        </w:rPr>
        <w:footnoteReference w:id="730"/>
      </w:r>
      <w:r w:rsidR="00A00191" w:rsidRPr="00472578">
        <w:rPr>
          <w:iCs/>
        </w:rPr>
        <w:t xml:space="preserve"> </w:t>
      </w:r>
      <w:r w:rsidRPr="00472578">
        <w:t xml:space="preserve">and fisheries resources. Kaimoana is essential to coastal iwi and hapū relationships with the </w:t>
      </w:r>
      <w:r w:rsidRPr="00472578">
        <w:rPr>
          <w:i/>
        </w:rPr>
        <w:t xml:space="preserve">environment </w:t>
      </w:r>
      <w:r w:rsidRPr="00472578">
        <w:t xml:space="preserve">and </w:t>
      </w:r>
      <w:proofErr w:type="gramStart"/>
      <w:r w:rsidRPr="00472578">
        <w:t>in particular as</w:t>
      </w:r>
      <w:proofErr w:type="gramEnd"/>
      <w:r w:rsidRPr="00472578">
        <w:t xml:space="preserve"> part of the tikaka of food gathering and as indicators of the health of coastal environments.</w:t>
      </w:r>
    </w:p>
    <w:p w14:paraId="7F4F9A3F" w14:textId="77777777" w:rsidR="000E04F9" w:rsidRPr="00472578" w:rsidRDefault="000E04F9" w:rsidP="00E92686">
      <w:pPr>
        <w:pStyle w:val="BodyText"/>
      </w:pPr>
      <w:r w:rsidRPr="00472578">
        <w:t xml:space="preserve">The </w:t>
      </w:r>
      <w:r w:rsidRPr="00472578">
        <w:rPr>
          <w:i/>
        </w:rPr>
        <w:t xml:space="preserve">coastal waters </w:t>
      </w:r>
      <w:r w:rsidRPr="00472578">
        <w:t xml:space="preserve">are a </w:t>
      </w:r>
      <w:r w:rsidRPr="00472578">
        <w:rPr>
          <w:i/>
        </w:rPr>
        <w:t xml:space="preserve">receiving environment </w:t>
      </w:r>
      <w:r w:rsidRPr="00472578">
        <w:t xml:space="preserve">for </w:t>
      </w:r>
      <w:r w:rsidRPr="00472578">
        <w:rPr>
          <w:i/>
        </w:rPr>
        <w:t>freshwater</w:t>
      </w:r>
      <w:r w:rsidRPr="00472578">
        <w:t xml:space="preserve">, gravels, </w:t>
      </w:r>
      <w:proofErr w:type="gramStart"/>
      <w:r w:rsidRPr="00472578">
        <w:t>sediment</w:t>
      </w:r>
      <w:proofErr w:type="gramEnd"/>
      <w:r w:rsidRPr="00472578">
        <w:t xml:space="preserve"> and </w:t>
      </w:r>
      <w:r w:rsidRPr="00472578">
        <w:rPr>
          <w:i/>
        </w:rPr>
        <w:t xml:space="preserve">contaminants </w:t>
      </w:r>
      <w:r w:rsidRPr="00472578">
        <w:t xml:space="preserve">from the terrestrial landscape - of particular concern are the significant </w:t>
      </w:r>
      <w:r w:rsidRPr="00472578">
        <w:rPr>
          <w:i/>
        </w:rPr>
        <w:t xml:space="preserve">discharges </w:t>
      </w:r>
      <w:r w:rsidRPr="00472578">
        <w:t xml:space="preserve">of sediments, transported by </w:t>
      </w:r>
      <w:r w:rsidRPr="00472578">
        <w:rPr>
          <w:i/>
        </w:rPr>
        <w:t xml:space="preserve">rivers </w:t>
      </w:r>
      <w:r w:rsidRPr="00472578">
        <w:t xml:space="preserve">and waterways, that have a smothering effect on the benthic systems of the coastal area, including the important kelp beds. The interconnection of the </w:t>
      </w:r>
      <w:r w:rsidRPr="00472578">
        <w:rPr>
          <w:i/>
        </w:rPr>
        <w:t xml:space="preserve">land </w:t>
      </w:r>
      <w:r w:rsidRPr="00472578">
        <w:t xml:space="preserve">and sea environments is central to the ki uta ki tai (‘mountains to the sea’) philosophy. This interconnection requires careful consideration in managing the </w:t>
      </w:r>
      <w:r w:rsidRPr="00472578">
        <w:rPr>
          <w:i/>
        </w:rPr>
        <w:t xml:space="preserve">effects </w:t>
      </w:r>
      <w:r w:rsidRPr="00472578">
        <w:t xml:space="preserve">of </w:t>
      </w:r>
      <w:r w:rsidRPr="00472578">
        <w:rPr>
          <w:i/>
        </w:rPr>
        <w:t xml:space="preserve">land </w:t>
      </w:r>
      <w:r w:rsidRPr="00472578">
        <w:t>use activities.</w:t>
      </w:r>
    </w:p>
    <w:p w14:paraId="2BDD571A" w14:textId="77777777" w:rsidR="000E04F9" w:rsidRPr="00472578" w:rsidRDefault="000E04F9" w:rsidP="00E92686">
      <w:pPr>
        <w:pStyle w:val="BodyText"/>
      </w:pPr>
      <w:r w:rsidRPr="00472578">
        <w:lastRenderedPageBreak/>
        <w:t xml:space="preserve">Other chapters of the Regional Policy Statement are also relevant for managing the coastal environment as land-based activities can have a significant </w:t>
      </w:r>
      <w:r w:rsidRPr="00472578">
        <w:rPr>
          <w:i/>
        </w:rPr>
        <w:t xml:space="preserve">effect </w:t>
      </w:r>
      <w:r w:rsidRPr="00472578">
        <w:t xml:space="preserve">on the health of the marine environment. Sediment, </w:t>
      </w:r>
      <w:proofErr w:type="gramStart"/>
      <w:r w:rsidRPr="00472578">
        <w:rPr>
          <w:i/>
        </w:rPr>
        <w:t>contaminants</w:t>
      </w:r>
      <w:proofErr w:type="gramEnd"/>
      <w:r w:rsidRPr="00472578">
        <w:rPr>
          <w:i/>
        </w:rPr>
        <w:t xml:space="preserve"> </w:t>
      </w:r>
      <w:r w:rsidRPr="00472578">
        <w:t xml:space="preserve">and litter that are carried by waterways or pipes into the sea affect </w:t>
      </w:r>
      <w:r w:rsidRPr="00472578">
        <w:rPr>
          <w:i/>
        </w:rPr>
        <w:t xml:space="preserve">water </w:t>
      </w:r>
      <w:r w:rsidRPr="00472578">
        <w:t>quality and the ecological health of the coastal environment.</w:t>
      </w:r>
    </w:p>
    <w:p w14:paraId="65634FCB" w14:textId="5F601A8C" w:rsidR="000E04F9" w:rsidRPr="00472578" w:rsidRDefault="000E04F9" w:rsidP="00E92686">
      <w:pPr>
        <w:pStyle w:val="BodyText"/>
      </w:pPr>
      <w:r w:rsidRPr="00472578">
        <w:t xml:space="preserve">Implementation of the provisions in this chapter will occur primarily through </w:t>
      </w:r>
      <w:r w:rsidRPr="00472578">
        <w:rPr>
          <w:i/>
        </w:rPr>
        <w:t xml:space="preserve">regional </w:t>
      </w:r>
      <w:r w:rsidR="001C0803" w:rsidRPr="00472578">
        <w:rPr>
          <w:i/>
          <w:u w:val="single"/>
        </w:rPr>
        <w:t>plans</w:t>
      </w:r>
      <w:r w:rsidR="001C0803" w:rsidRPr="00472578">
        <w:rPr>
          <w:rStyle w:val="FootnoteReference"/>
        </w:rPr>
        <w:footnoteReference w:id="731"/>
      </w:r>
      <w:r w:rsidR="000C7FDE" w:rsidRPr="00472578">
        <w:t xml:space="preserve"> a</w:t>
      </w:r>
      <w:r w:rsidRPr="00472578">
        <w:t xml:space="preserve">nd </w:t>
      </w:r>
      <w:r w:rsidRPr="00472578">
        <w:rPr>
          <w:i/>
        </w:rPr>
        <w:t xml:space="preserve">district </w:t>
      </w:r>
      <w:r w:rsidR="000C7FDE" w:rsidRPr="00472578">
        <w:rPr>
          <w:i/>
        </w:rPr>
        <w:t xml:space="preserve">plan </w:t>
      </w:r>
      <w:r w:rsidR="000C7FDE" w:rsidRPr="00472578">
        <w:rPr>
          <w:iCs/>
        </w:rPr>
        <w:t>provisions</w:t>
      </w:r>
      <w:r w:rsidRPr="00472578">
        <w:t xml:space="preserve">, however </w:t>
      </w:r>
      <w:r w:rsidRPr="00472578">
        <w:rPr>
          <w:i/>
        </w:rPr>
        <w:t xml:space="preserve">local authorities </w:t>
      </w:r>
      <w:r w:rsidRPr="00472578">
        <w:t>may also choose to adopt additional non-regulatory methods t</w:t>
      </w:r>
      <w:r w:rsidR="00D23717">
        <w:t>o</w:t>
      </w:r>
      <w:r w:rsidRPr="00472578">
        <w:t xml:space="preserve"> support the achievement of the objectives.</w:t>
      </w:r>
    </w:p>
    <w:p w14:paraId="78162AA3" w14:textId="2D0C25D5" w:rsidR="000E04F9" w:rsidRPr="00472578" w:rsidRDefault="000E04F9" w:rsidP="00E92686">
      <w:pPr>
        <w:pStyle w:val="Heading3"/>
        <w:jc w:val="both"/>
      </w:pPr>
      <w:r w:rsidRPr="00472578">
        <w:t>Anticipated environmental results</w:t>
      </w:r>
    </w:p>
    <w:p w14:paraId="056E9BA4" w14:textId="4C1A8BC8" w:rsidR="000E04F9" w:rsidRPr="00472578" w:rsidRDefault="007113CF" w:rsidP="00E92686">
      <w:pPr>
        <w:spacing w:before="117"/>
        <w:ind w:left="2280" w:right="173" w:hanging="2280"/>
        <w:jc w:val="both"/>
      </w:pPr>
      <w:r w:rsidRPr="00472578">
        <w:rPr>
          <w:b/>
          <w:color w:val="1F3863"/>
        </w:rPr>
        <w:t>CE-A</w:t>
      </w:r>
      <w:r w:rsidR="000E04F9" w:rsidRPr="00472578">
        <w:rPr>
          <w:b/>
          <w:color w:val="1F3863"/>
        </w:rPr>
        <w:t>ER1</w:t>
      </w:r>
      <w:r w:rsidR="000E04F9" w:rsidRPr="00472578">
        <w:rPr>
          <w:b/>
          <w:color w:val="1F3863"/>
        </w:rPr>
        <w:tab/>
      </w:r>
      <w:r w:rsidR="000E04F9" w:rsidRPr="00472578">
        <w:t xml:space="preserve">The values of the coastal environment are not adversely affected or lost because of inappropriate uses of the </w:t>
      </w:r>
      <w:r w:rsidR="000E04F9" w:rsidRPr="00472578">
        <w:rPr>
          <w:i/>
        </w:rPr>
        <w:t xml:space="preserve">natural and physical resources </w:t>
      </w:r>
      <w:r w:rsidR="000E04F9" w:rsidRPr="00472578">
        <w:t>in the coastal environment.</w:t>
      </w:r>
    </w:p>
    <w:p w14:paraId="7F558FC2" w14:textId="28690825" w:rsidR="000E04F9" w:rsidRPr="00472578" w:rsidRDefault="007113CF" w:rsidP="00E92686">
      <w:pPr>
        <w:pStyle w:val="BodyText"/>
        <w:ind w:left="2268" w:hanging="2268"/>
      </w:pPr>
      <w:r w:rsidRPr="00472578">
        <w:rPr>
          <w:b/>
          <w:color w:val="1F3863"/>
        </w:rPr>
        <w:t>CE-A</w:t>
      </w:r>
      <w:r w:rsidR="000E04F9" w:rsidRPr="00472578">
        <w:rPr>
          <w:b/>
          <w:color w:val="1F3863"/>
        </w:rPr>
        <w:t>ER2</w:t>
      </w:r>
      <w:r w:rsidR="000E04F9" w:rsidRPr="00472578">
        <w:rPr>
          <w:b/>
          <w:color w:val="1F3863"/>
        </w:rPr>
        <w:tab/>
      </w:r>
      <w:r w:rsidR="000E04F9" w:rsidRPr="00472578">
        <w:t xml:space="preserve">There is no reduction in the extent of identified areas of high and </w:t>
      </w:r>
      <w:r w:rsidR="00D23717">
        <w:t>o</w:t>
      </w:r>
      <w:r w:rsidR="00D23717" w:rsidRPr="00472578">
        <w:t>utstanding natural</w:t>
      </w:r>
      <w:r w:rsidR="000E04F9" w:rsidRPr="00472578">
        <w:t xml:space="preserve"> character in the coastal environment.</w:t>
      </w:r>
    </w:p>
    <w:p w14:paraId="1078F3A0" w14:textId="15B72D1C" w:rsidR="000E04F9" w:rsidRPr="00472578" w:rsidRDefault="007113CF" w:rsidP="00E92686">
      <w:pPr>
        <w:pStyle w:val="BodyText"/>
        <w:ind w:left="2268" w:hanging="2268"/>
      </w:pPr>
      <w:r w:rsidRPr="00472578">
        <w:rPr>
          <w:b/>
          <w:color w:val="1F3863"/>
        </w:rPr>
        <w:t>CE-A</w:t>
      </w:r>
      <w:r w:rsidR="000E04F9" w:rsidRPr="00472578">
        <w:rPr>
          <w:b/>
          <w:color w:val="1F3863"/>
        </w:rPr>
        <w:t>ER3</w:t>
      </w:r>
      <w:r w:rsidR="000E04F9" w:rsidRPr="00472578">
        <w:rPr>
          <w:b/>
          <w:color w:val="1F3863"/>
        </w:rPr>
        <w:tab/>
      </w:r>
      <w:r w:rsidR="000E04F9" w:rsidRPr="00472578">
        <w:t>Areas where natural character has been reduced or lost are restored.</w:t>
      </w:r>
    </w:p>
    <w:p w14:paraId="0B26F534" w14:textId="526E48A4" w:rsidR="000E04F9" w:rsidRPr="00472578" w:rsidRDefault="007113CF" w:rsidP="00E92686">
      <w:pPr>
        <w:pStyle w:val="BodyText"/>
        <w:ind w:left="2268" w:hanging="2268"/>
      </w:pPr>
      <w:r w:rsidRPr="00472578">
        <w:rPr>
          <w:b/>
          <w:color w:val="1F3863"/>
        </w:rPr>
        <w:t>CE-A</w:t>
      </w:r>
      <w:r w:rsidR="000E04F9" w:rsidRPr="00472578">
        <w:rPr>
          <w:b/>
          <w:color w:val="1F3863"/>
        </w:rPr>
        <w:t>ER4</w:t>
      </w:r>
      <w:r w:rsidR="000E04F9" w:rsidRPr="00472578">
        <w:rPr>
          <w:b/>
          <w:color w:val="1F3863"/>
        </w:rPr>
        <w:tab/>
      </w:r>
      <w:r w:rsidR="000E04F9" w:rsidRPr="00472578">
        <w:t xml:space="preserve">There is an improvement in the quality of </w:t>
      </w:r>
      <w:r w:rsidR="000E04F9" w:rsidRPr="00472578">
        <w:rPr>
          <w:i/>
        </w:rPr>
        <w:t xml:space="preserve">water </w:t>
      </w:r>
      <w:r w:rsidR="000E04F9" w:rsidRPr="00472578">
        <w:t xml:space="preserve">in areas identified as having deteriorated </w:t>
      </w:r>
      <w:r w:rsidR="000E04F9" w:rsidRPr="00472578">
        <w:rPr>
          <w:i/>
        </w:rPr>
        <w:t xml:space="preserve">water </w:t>
      </w:r>
      <w:r w:rsidR="000E04F9" w:rsidRPr="00472578">
        <w:t>quality.</w:t>
      </w:r>
    </w:p>
    <w:p w14:paraId="70998894" w14:textId="657ECF0E" w:rsidR="000E04F9" w:rsidRPr="00472578" w:rsidRDefault="007113CF" w:rsidP="00E92686">
      <w:pPr>
        <w:pStyle w:val="BodyText"/>
        <w:ind w:left="2268" w:hanging="2268"/>
      </w:pPr>
      <w:r w:rsidRPr="00472578">
        <w:rPr>
          <w:b/>
          <w:color w:val="1F3863"/>
        </w:rPr>
        <w:t>CE-A</w:t>
      </w:r>
      <w:r w:rsidR="000E04F9" w:rsidRPr="00472578">
        <w:rPr>
          <w:b/>
          <w:color w:val="1F3863"/>
        </w:rPr>
        <w:t>ER5</w:t>
      </w:r>
      <w:r w:rsidR="000E04F9" w:rsidRPr="00472578">
        <w:rPr>
          <w:b/>
          <w:color w:val="1F3863"/>
        </w:rPr>
        <w:tab/>
      </w:r>
      <w:r w:rsidR="000E04F9" w:rsidRPr="00472578">
        <w:t xml:space="preserve">The quality of </w:t>
      </w:r>
      <w:r w:rsidR="000E04F9" w:rsidRPr="00472578">
        <w:rPr>
          <w:i/>
        </w:rPr>
        <w:t xml:space="preserve">coastal water </w:t>
      </w:r>
      <w:r w:rsidR="000E04F9" w:rsidRPr="00472578">
        <w:t>supports healthy coastal ecosystems and provides for contact recreation and customary uses.</w:t>
      </w:r>
    </w:p>
    <w:p w14:paraId="4D199AEA" w14:textId="6827442E" w:rsidR="000E04F9" w:rsidRPr="00472578" w:rsidRDefault="007113CF" w:rsidP="00E92686">
      <w:pPr>
        <w:pStyle w:val="BodyText"/>
        <w:ind w:left="2268" w:hanging="2268"/>
      </w:pPr>
      <w:r w:rsidRPr="00472578">
        <w:rPr>
          <w:b/>
          <w:color w:val="1F3863"/>
        </w:rPr>
        <w:t>CE-A</w:t>
      </w:r>
      <w:r w:rsidR="000E04F9" w:rsidRPr="00472578">
        <w:rPr>
          <w:b/>
          <w:color w:val="1F3863"/>
        </w:rPr>
        <w:t>ER6</w:t>
      </w:r>
      <w:r w:rsidR="000E04F9" w:rsidRPr="00472578">
        <w:rPr>
          <w:b/>
          <w:color w:val="1F3863"/>
        </w:rPr>
        <w:tab/>
      </w:r>
      <w:r w:rsidR="000E04F9" w:rsidRPr="00472578">
        <w:t xml:space="preserve">New building and development in the coastal environment is consistent with the character of the area and avoids </w:t>
      </w:r>
      <w:r w:rsidR="000E04F9" w:rsidRPr="00472578">
        <w:rPr>
          <w:u w:val="single"/>
        </w:rPr>
        <w:t>increasing the</w:t>
      </w:r>
      <w:r w:rsidR="000E04F9" w:rsidRPr="00472578">
        <w:t xml:space="preserve"> </w:t>
      </w:r>
      <w:r w:rsidR="000E04F9" w:rsidRPr="00472578">
        <w:rPr>
          <w:strike/>
        </w:rPr>
        <w:t>or minimises</w:t>
      </w:r>
      <w:r w:rsidR="000E04F9" w:rsidRPr="00472578">
        <w:rPr>
          <w:rStyle w:val="FootnoteReference"/>
        </w:rPr>
        <w:footnoteReference w:id="732"/>
      </w:r>
      <w:r w:rsidR="000E04F9" w:rsidRPr="00472578">
        <w:t xml:space="preserve"> </w:t>
      </w:r>
      <w:r w:rsidR="000E04F9" w:rsidRPr="00472578">
        <w:rPr>
          <w:i/>
        </w:rPr>
        <w:t xml:space="preserve">risks </w:t>
      </w:r>
      <w:r w:rsidR="000E04F9" w:rsidRPr="00472578">
        <w:t xml:space="preserve">from </w:t>
      </w:r>
      <w:r w:rsidR="000E04F9" w:rsidRPr="00472578">
        <w:rPr>
          <w:i/>
        </w:rPr>
        <w:t xml:space="preserve">natural hazards </w:t>
      </w:r>
      <w:r w:rsidR="000E04F9" w:rsidRPr="00472578">
        <w:t>to people and communities.</w:t>
      </w:r>
    </w:p>
    <w:p w14:paraId="6A58D44E" w14:textId="09A414B1" w:rsidR="000E04F9" w:rsidRPr="00472578" w:rsidRDefault="007113CF" w:rsidP="00E92686">
      <w:pPr>
        <w:spacing w:before="160" w:line="256" w:lineRule="auto"/>
        <w:ind w:left="2280" w:right="174" w:hanging="2280"/>
        <w:jc w:val="both"/>
        <w:rPr>
          <w:i/>
        </w:rPr>
      </w:pPr>
      <w:r w:rsidRPr="00472578">
        <w:rPr>
          <w:b/>
          <w:color w:val="1F3863"/>
        </w:rPr>
        <w:t>CE-A</w:t>
      </w:r>
      <w:r w:rsidR="000E04F9" w:rsidRPr="00472578">
        <w:rPr>
          <w:b/>
          <w:color w:val="1F3863"/>
        </w:rPr>
        <w:t>ER7</w:t>
      </w:r>
      <w:r w:rsidR="000E04F9" w:rsidRPr="00472578">
        <w:rPr>
          <w:b/>
          <w:color w:val="1F3863"/>
        </w:rPr>
        <w:tab/>
      </w:r>
      <w:r w:rsidR="000E04F9" w:rsidRPr="00472578">
        <w:t xml:space="preserve">The public have improved access to, along, and adjacent to the </w:t>
      </w:r>
      <w:r w:rsidR="000E04F9" w:rsidRPr="00472578">
        <w:rPr>
          <w:i/>
        </w:rPr>
        <w:t>coastal marine area.</w:t>
      </w:r>
    </w:p>
    <w:p w14:paraId="6CD5913F" w14:textId="38AE3727" w:rsidR="000E04F9" w:rsidRPr="00472578" w:rsidRDefault="007113CF" w:rsidP="00E92686">
      <w:pPr>
        <w:spacing w:before="160" w:line="256" w:lineRule="auto"/>
        <w:ind w:left="2280" w:right="174" w:hanging="2280"/>
        <w:jc w:val="both"/>
        <w:rPr>
          <w:rFonts w:cstheme="minorHAnsi"/>
          <w:u w:val="single"/>
        </w:rPr>
      </w:pPr>
      <w:r w:rsidRPr="00472578">
        <w:rPr>
          <w:b/>
          <w:color w:val="1F3863"/>
          <w:u w:val="single"/>
        </w:rPr>
        <w:t>CE-A</w:t>
      </w:r>
      <w:r w:rsidR="000E04F9" w:rsidRPr="00472578">
        <w:rPr>
          <w:b/>
          <w:color w:val="1F3863"/>
          <w:u w:val="single"/>
        </w:rPr>
        <w:t>ER 8</w:t>
      </w:r>
      <w:r w:rsidR="000E04F9" w:rsidRPr="00472578">
        <w:rPr>
          <w:b/>
          <w:color w:val="1F3863"/>
          <w:u w:val="single"/>
        </w:rPr>
        <w:tab/>
      </w:r>
      <w:r w:rsidR="000E04F9" w:rsidRPr="639E38F9">
        <w:rPr>
          <w:u w:val="single"/>
        </w:rPr>
        <w:t xml:space="preserve">The mauri of the coastal environment is </w:t>
      </w:r>
      <w:proofErr w:type="gramStart"/>
      <w:r w:rsidR="000E04F9" w:rsidRPr="639E38F9">
        <w:rPr>
          <w:u w:val="single"/>
        </w:rPr>
        <w:t>protected</w:t>
      </w:r>
      <w:r w:rsidR="0065573B" w:rsidRPr="639E38F9">
        <w:rPr>
          <w:u w:val="single"/>
        </w:rPr>
        <w:t>,</w:t>
      </w:r>
      <w:r w:rsidR="000E04F9" w:rsidRPr="639E38F9">
        <w:rPr>
          <w:u w:val="single"/>
        </w:rPr>
        <w:t xml:space="preserve"> and</w:t>
      </w:r>
      <w:proofErr w:type="gramEnd"/>
      <w:r w:rsidR="000E04F9" w:rsidRPr="639E38F9">
        <w:rPr>
          <w:u w:val="single"/>
        </w:rPr>
        <w:t xml:space="preserve"> restored where it has been degraded.</w:t>
      </w:r>
      <w:r w:rsidR="000E04F9" w:rsidRPr="639E38F9">
        <w:rPr>
          <w:rStyle w:val="FootnoteReference"/>
        </w:rPr>
        <w:footnoteReference w:id="733"/>
      </w:r>
    </w:p>
    <w:p w14:paraId="583200B7" w14:textId="0E86AF55" w:rsidR="000E04F9" w:rsidRPr="00472578" w:rsidRDefault="007113CF" w:rsidP="00E92686">
      <w:pPr>
        <w:tabs>
          <w:tab w:val="left" w:pos="2280"/>
        </w:tabs>
        <w:spacing w:before="160" w:line="256" w:lineRule="auto"/>
        <w:ind w:left="2280" w:right="174" w:hanging="2280"/>
        <w:jc w:val="both"/>
        <w:rPr>
          <w:u w:val="single"/>
        </w:rPr>
      </w:pPr>
      <w:r w:rsidRPr="00472578">
        <w:rPr>
          <w:b/>
          <w:color w:val="1F3863"/>
          <w:u w:val="single"/>
        </w:rPr>
        <w:t>CE-A</w:t>
      </w:r>
      <w:r w:rsidR="000E04F9" w:rsidRPr="00472578">
        <w:rPr>
          <w:b/>
          <w:color w:val="1F3863"/>
          <w:u w:val="single"/>
        </w:rPr>
        <w:t>ER 9</w:t>
      </w:r>
      <w:r w:rsidR="000E04F9" w:rsidRPr="00472578">
        <w:rPr>
          <w:u w:val="single"/>
        </w:rPr>
        <w:tab/>
        <w:t xml:space="preserve">Customary uses, including practices associated with </w:t>
      </w:r>
      <w:r w:rsidR="000E04F9" w:rsidRPr="00A00191">
        <w:rPr>
          <w:i/>
          <w:u w:val="single"/>
        </w:rPr>
        <w:t>mahika kai</w:t>
      </w:r>
      <w:r w:rsidR="000E04F9" w:rsidRPr="00472578">
        <w:rPr>
          <w:u w:val="single"/>
        </w:rPr>
        <w:t xml:space="preserve"> and kaimoana, are supported, and mana whenua exercise their kaitiaki role within the coastal environment.</w:t>
      </w:r>
      <w:r w:rsidR="000E04F9" w:rsidRPr="00472578">
        <w:rPr>
          <w:rStyle w:val="FootnoteReference"/>
        </w:rPr>
        <w:footnoteReference w:id="734"/>
      </w:r>
    </w:p>
    <w:p w14:paraId="7D5BE76B" w14:textId="77777777" w:rsidR="00EF1563" w:rsidRPr="00472578" w:rsidRDefault="00EF1563" w:rsidP="00E92686">
      <w:pPr>
        <w:jc w:val="both"/>
      </w:pPr>
      <w:r w:rsidRPr="00472578">
        <w:br w:type="page"/>
      </w:r>
    </w:p>
    <w:p w14:paraId="1C386FDB" w14:textId="77777777" w:rsidR="009E3814" w:rsidRPr="00472578" w:rsidRDefault="009E3814" w:rsidP="00E92686">
      <w:pPr>
        <w:pStyle w:val="Heading2"/>
        <w:jc w:val="both"/>
      </w:pPr>
      <w:bookmarkStart w:id="144" w:name="_Toc49763506"/>
      <w:bookmarkStart w:id="145" w:name="_Toc52435140"/>
      <w:bookmarkStart w:id="146" w:name="_Toc73105361"/>
      <w:bookmarkStart w:id="147" w:name="_Toc102551282"/>
      <w:bookmarkStart w:id="148" w:name="_Hlk67652689"/>
      <w:r w:rsidRPr="00472578">
        <w:lastRenderedPageBreak/>
        <w:t xml:space="preserve">LF – </w:t>
      </w:r>
      <w:r w:rsidRPr="00472578">
        <w:rPr>
          <w:i/>
        </w:rPr>
        <w:t>Land</w:t>
      </w:r>
      <w:r w:rsidRPr="00472578">
        <w:t xml:space="preserve"> and </w:t>
      </w:r>
      <w:r w:rsidRPr="00472578">
        <w:rPr>
          <w:i/>
        </w:rPr>
        <w:t>freshwater</w:t>
      </w:r>
      <w:bookmarkEnd w:id="144"/>
      <w:bookmarkEnd w:id="145"/>
      <w:bookmarkEnd w:id="146"/>
      <w:bookmarkEnd w:id="147"/>
    </w:p>
    <w:p w14:paraId="3C27DB68" w14:textId="5395D15E" w:rsidR="009E3814" w:rsidRPr="00472578" w:rsidRDefault="009E3814" w:rsidP="00E92686">
      <w:pPr>
        <w:pStyle w:val="Heading3"/>
        <w:jc w:val="both"/>
        <w:rPr>
          <w:b w:val="0"/>
        </w:rPr>
      </w:pPr>
      <w:bookmarkStart w:id="149" w:name="_Toc49763508"/>
      <w:r w:rsidRPr="00472578">
        <w:t>LF</w:t>
      </w:r>
      <w:r w:rsidR="00F9704F" w:rsidRPr="00472578">
        <w:t>-</w:t>
      </w:r>
      <w:r w:rsidRPr="00472578">
        <w:t xml:space="preserve">WAI – </w:t>
      </w:r>
      <w:r w:rsidRPr="00472578">
        <w:rPr>
          <w:i/>
        </w:rPr>
        <w:t>Te Mana o te Wai</w:t>
      </w:r>
    </w:p>
    <w:p w14:paraId="6018FD1F" w14:textId="77777777" w:rsidR="009E3814" w:rsidRPr="00472578" w:rsidRDefault="009E3814" w:rsidP="00E92686">
      <w:pPr>
        <w:pStyle w:val="Heading4"/>
        <w:jc w:val="both"/>
        <w:rPr>
          <w:b w:val="0"/>
          <w:iCs w:val="0"/>
        </w:rPr>
      </w:pPr>
      <w:r w:rsidRPr="00472578">
        <w:t>Objectives</w:t>
      </w:r>
    </w:p>
    <w:p w14:paraId="39B36E05" w14:textId="77777777" w:rsidR="009E3814" w:rsidRPr="00472578" w:rsidRDefault="009E3814" w:rsidP="00E92686">
      <w:pPr>
        <w:pStyle w:val="Heading5"/>
        <w:jc w:val="both"/>
        <w:rPr>
          <w:b w:val="0"/>
        </w:rPr>
      </w:pPr>
      <w:r w:rsidRPr="00472578">
        <w:t>LF-WAI-</w:t>
      </w:r>
      <w:r w:rsidRPr="00784714">
        <w:t xml:space="preserve">O1 – </w:t>
      </w:r>
      <w:r w:rsidRPr="00784714">
        <w:rPr>
          <w:i/>
        </w:rPr>
        <w:t>Te Mana o te Wai</w:t>
      </w:r>
    </w:p>
    <w:p w14:paraId="339094E7" w14:textId="06D43126" w:rsidR="009E3814" w:rsidRPr="00472578" w:rsidRDefault="009E3814" w:rsidP="00E92686">
      <w:pPr>
        <w:spacing w:line="254" w:lineRule="auto"/>
        <w:jc w:val="both"/>
        <w:rPr>
          <w:rFonts w:ascii="Calibri" w:eastAsia="Calibri" w:hAnsi="Calibri" w:cs="Times New Roman"/>
        </w:rPr>
      </w:pPr>
      <w:r w:rsidRPr="00472578">
        <w:rPr>
          <w:rFonts w:ascii="Calibri" w:eastAsia="Calibri" w:hAnsi="Calibri" w:cs="Times New Roman"/>
        </w:rPr>
        <w:t xml:space="preserve">The mauri of Otago’s </w:t>
      </w:r>
      <w:r w:rsidRPr="00472578">
        <w:rPr>
          <w:rFonts w:ascii="Calibri" w:eastAsia="Calibri" w:hAnsi="Calibri" w:cs="Times New Roman"/>
          <w:i/>
        </w:rPr>
        <w:t>water bodies</w:t>
      </w:r>
      <w:r w:rsidRPr="00472578">
        <w:rPr>
          <w:rFonts w:ascii="Calibri" w:eastAsia="Calibri" w:hAnsi="Calibri" w:cs="Times New Roman"/>
        </w:rPr>
        <w:t xml:space="preserve"> and their health and well-being is protected, and </w:t>
      </w:r>
      <w:r w:rsidRPr="00472578">
        <w:rPr>
          <w:rFonts w:ascii="Calibri" w:eastAsia="Calibri" w:hAnsi="Calibri" w:cs="Times New Roman"/>
          <w:strike/>
        </w:rPr>
        <w:t>restored</w:t>
      </w:r>
      <w:r w:rsidRPr="00472578">
        <w:rPr>
          <w:rFonts w:ascii="Calibri" w:eastAsia="Calibri" w:hAnsi="Calibri" w:cs="Times New Roman"/>
        </w:rPr>
        <w:t xml:space="preserve"> </w:t>
      </w:r>
      <w:r w:rsidRPr="00472578">
        <w:rPr>
          <w:rFonts w:ascii="Calibri" w:eastAsia="Calibri" w:hAnsi="Calibri" w:cs="Times New Roman"/>
          <w:u w:val="single"/>
        </w:rPr>
        <w:t>improved</w:t>
      </w:r>
      <w:r w:rsidR="00F9704F" w:rsidRPr="00472578">
        <w:rPr>
          <w:rFonts w:eastAsia="Calibri" w:cs="Times New Roman"/>
          <w:vertAlign w:val="superscript"/>
        </w:rPr>
        <w:footnoteReference w:id="735"/>
      </w:r>
      <w:r w:rsidRPr="00472578">
        <w:rPr>
          <w:rFonts w:ascii="Calibri" w:eastAsia="Calibri" w:hAnsi="Calibri" w:cs="Times New Roman"/>
        </w:rPr>
        <w:t xml:space="preserve"> where it is </w:t>
      </w:r>
      <w:r w:rsidRPr="00472578">
        <w:rPr>
          <w:rFonts w:ascii="Calibri" w:eastAsia="Calibri" w:hAnsi="Calibri" w:cs="Times New Roman"/>
          <w:i/>
        </w:rPr>
        <w:t>degraded</w:t>
      </w:r>
      <w:r w:rsidRPr="00472578">
        <w:rPr>
          <w:rFonts w:ascii="Calibri" w:eastAsia="Calibri" w:hAnsi="Calibri" w:cs="Times New Roman"/>
        </w:rPr>
        <w:t xml:space="preserve">, and the management of </w:t>
      </w:r>
      <w:r w:rsidRPr="00472578">
        <w:rPr>
          <w:rFonts w:ascii="Calibri" w:eastAsia="Calibri" w:hAnsi="Calibri" w:cs="Times New Roman"/>
          <w:i/>
        </w:rPr>
        <w:t>land</w:t>
      </w:r>
      <w:r w:rsidRPr="00472578">
        <w:rPr>
          <w:rFonts w:ascii="Calibri" w:eastAsia="Calibri" w:hAnsi="Calibri" w:cs="Times New Roman"/>
        </w:rPr>
        <w:t xml:space="preserve"> and </w:t>
      </w:r>
      <w:r w:rsidRPr="00472578">
        <w:rPr>
          <w:rFonts w:ascii="Calibri" w:eastAsia="Calibri" w:hAnsi="Calibri" w:cs="Times New Roman"/>
          <w:i/>
        </w:rPr>
        <w:t>water</w:t>
      </w:r>
      <w:r w:rsidRPr="00472578">
        <w:rPr>
          <w:rFonts w:ascii="Calibri" w:eastAsia="Calibri" w:hAnsi="Calibri" w:cs="Times New Roman"/>
        </w:rPr>
        <w:t xml:space="preserve"> recognises and reflects that:</w:t>
      </w:r>
    </w:p>
    <w:p w14:paraId="4CAD28A6"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(1)</w:t>
      </w:r>
      <w:r w:rsidRPr="00472578">
        <w:rPr>
          <w:rFonts w:ascii="Calibri" w:hAnsi="Calibri" w:cs="Calibri"/>
          <w:i/>
        </w:rPr>
        <w:tab/>
        <w:t>water</w:t>
      </w:r>
      <w:r w:rsidRPr="00472578">
        <w:rPr>
          <w:rFonts w:ascii="Calibri" w:hAnsi="Calibri" w:cs="Calibri"/>
        </w:rPr>
        <w:t xml:space="preserve"> is the foundation and source of all life – na te wai ko te hauora o ngā mea katoa,</w:t>
      </w:r>
    </w:p>
    <w:p w14:paraId="29FD5421"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(2)</w:t>
      </w:r>
      <w:r w:rsidRPr="00472578">
        <w:rPr>
          <w:rFonts w:ascii="Calibri" w:hAnsi="Calibri" w:cs="Calibri"/>
        </w:rPr>
        <w:tab/>
      </w:r>
      <w:bookmarkStart w:id="150" w:name="_Hlk90287732"/>
      <w:r w:rsidRPr="00472578">
        <w:rPr>
          <w:rFonts w:ascii="Calibri" w:hAnsi="Calibri" w:cs="Calibri"/>
        </w:rPr>
        <w:t>there is an integral kinship relationship between water and Kāi Tahu whānui, and this relationship endures through time, connecting past, present and future,</w:t>
      </w:r>
      <w:bookmarkEnd w:id="150"/>
    </w:p>
    <w:p w14:paraId="76913812"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(3)</w:t>
      </w:r>
      <w:r w:rsidRPr="00472578">
        <w:rPr>
          <w:rFonts w:ascii="Calibri" w:hAnsi="Calibri" w:cs="Calibri"/>
        </w:rPr>
        <w:tab/>
        <w:t xml:space="preserve">each </w:t>
      </w:r>
      <w:r w:rsidRPr="00472578">
        <w:rPr>
          <w:rFonts w:ascii="Calibri" w:hAnsi="Calibri" w:cs="Calibri"/>
          <w:i/>
        </w:rPr>
        <w:t>water body</w:t>
      </w:r>
      <w:r w:rsidRPr="00472578">
        <w:rPr>
          <w:rFonts w:ascii="Calibri" w:hAnsi="Calibri" w:cs="Calibri"/>
        </w:rPr>
        <w:t xml:space="preserve"> has a unique whakapapa and characteristics,</w:t>
      </w:r>
    </w:p>
    <w:p w14:paraId="3C2112AF"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(4)</w:t>
      </w:r>
      <w:r w:rsidRPr="00472578">
        <w:rPr>
          <w:rFonts w:ascii="Calibri" w:hAnsi="Calibri" w:cs="Calibri"/>
        </w:rPr>
        <w:tab/>
      </w:r>
      <w:r w:rsidRPr="00472578">
        <w:rPr>
          <w:rFonts w:ascii="Calibri" w:hAnsi="Calibri" w:cs="Calibri"/>
          <w:i/>
          <w:u w:val="single"/>
        </w:rPr>
        <w:t>fresh</w:t>
      </w:r>
      <w:r w:rsidRPr="00472578">
        <w:rPr>
          <w:rFonts w:ascii="Calibri" w:hAnsi="Calibri" w:cs="Calibri"/>
        </w:rPr>
        <w:t xml:space="preserve"> </w:t>
      </w:r>
      <w:r w:rsidRPr="00472578">
        <w:rPr>
          <w:rFonts w:ascii="Calibri" w:hAnsi="Calibri" w:cs="Calibri"/>
          <w:i/>
        </w:rPr>
        <w:t>water</w:t>
      </w:r>
      <w:r w:rsidRPr="00472578">
        <w:rPr>
          <w:rFonts w:ascii="Calibri" w:hAnsi="Calibri" w:cs="Calibri"/>
          <w:u w:val="single"/>
        </w:rPr>
        <w:t>,</w:t>
      </w:r>
      <w:r w:rsidRPr="00472578">
        <w:rPr>
          <w:rFonts w:ascii="Calibri" w:hAnsi="Calibri" w:cs="Calibri"/>
        </w:rPr>
        <w:t xml:space="preserve"> </w:t>
      </w:r>
      <w:r w:rsidRPr="00472578">
        <w:rPr>
          <w:rFonts w:ascii="Calibri" w:hAnsi="Calibri" w:cs="Calibri"/>
          <w:strike/>
        </w:rPr>
        <w:t>and</w:t>
      </w:r>
      <w:r w:rsidRPr="00472578">
        <w:rPr>
          <w:rFonts w:ascii="Calibri" w:hAnsi="Calibri" w:cs="Calibri"/>
        </w:rPr>
        <w:t xml:space="preserve"> </w:t>
      </w:r>
      <w:r w:rsidRPr="00472578">
        <w:rPr>
          <w:rFonts w:ascii="Calibri" w:hAnsi="Calibri" w:cs="Calibri"/>
          <w:i/>
        </w:rPr>
        <w:t>land</w:t>
      </w:r>
      <w:r w:rsidRPr="00472578">
        <w:rPr>
          <w:rFonts w:ascii="Calibri" w:hAnsi="Calibri" w:cs="Calibri"/>
        </w:rPr>
        <w:t xml:space="preserve"> </w:t>
      </w:r>
      <w:r w:rsidRPr="00472578">
        <w:rPr>
          <w:rFonts w:ascii="Calibri" w:hAnsi="Calibri" w:cs="Calibri"/>
          <w:u w:val="single"/>
        </w:rPr>
        <w:t>and coastal water</w:t>
      </w:r>
      <w:r w:rsidRPr="00472578">
        <w:rPr>
          <w:vertAlign w:val="superscript"/>
        </w:rPr>
        <w:footnoteReference w:id="736"/>
      </w:r>
      <w:r w:rsidRPr="00472578">
        <w:rPr>
          <w:rFonts w:ascii="Calibri" w:hAnsi="Calibri" w:cs="Calibri"/>
        </w:rPr>
        <w:t xml:space="preserve"> have a connectedness that supports and perpetuates life, </w:t>
      </w:r>
      <w:r w:rsidRPr="00472578">
        <w:rPr>
          <w:rFonts w:ascii="Calibri" w:hAnsi="Calibri" w:cs="Calibri"/>
          <w:strike/>
        </w:rPr>
        <w:t>and</w:t>
      </w:r>
    </w:p>
    <w:p w14:paraId="5BD69F0F" w14:textId="66AFD818"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u w:val="single"/>
        </w:rPr>
        <w:t>(4</w:t>
      </w:r>
      <w:r w:rsidR="004D1981" w:rsidRPr="00472578">
        <w:rPr>
          <w:rFonts w:ascii="Calibri" w:hAnsi="Calibri" w:cs="Calibri"/>
          <w:u w:val="single"/>
        </w:rPr>
        <w:t>A</w:t>
      </w:r>
      <w:r w:rsidRPr="00472578">
        <w:rPr>
          <w:rFonts w:ascii="Calibri" w:hAnsi="Calibri" w:cs="Calibri"/>
          <w:u w:val="single"/>
        </w:rPr>
        <w:t>)</w:t>
      </w:r>
      <w:r w:rsidRPr="00472578">
        <w:tab/>
      </w:r>
      <w:r w:rsidRPr="00472578">
        <w:rPr>
          <w:rFonts w:ascii="Calibri" w:hAnsi="Calibri" w:cs="Calibri"/>
          <w:u w:val="single"/>
        </w:rPr>
        <w:t>protecting the health and well-being of water protects the wider environment and the mauri of water,</w:t>
      </w:r>
      <w:r w:rsidRPr="00472578">
        <w:rPr>
          <w:vertAlign w:val="superscript"/>
        </w:rPr>
        <w:footnoteReference w:id="737"/>
      </w:r>
    </w:p>
    <w:p w14:paraId="53A0FA55" w14:textId="77777777"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rPr>
        <w:t>(5)</w:t>
      </w:r>
      <w:r w:rsidRPr="00472578">
        <w:tab/>
      </w:r>
      <w:bookmarkStart w:id="151" w:name="_Hlk90287761"/>
      <w:r w:rsidRPr="00472578">
        <w:rPr>
          <w:rFonts w:ascii="Calibri" w:hAnsi="Calibri" w:cs="Calibri"/>
        </w:rPr>
        <w:t xml:space="preserve">Kāi Tahu exercise rakatirataka, manaakitaka and their </w:t>
      </w:r>
      <w:r w:rsidRPr="00472578">
        <w:rPr>
          <w:rFonts w:ascii="Calibri" w:hAnsi="Calibri" w:cs="Calibri"/>
          <w:i/>
        </w:rPr>
        <w:t>kaitiakitaka</w:t>
      </w:r>
      <w:r w:rsidRPr="00472578">
        <w:rPr>
          <w:rFonts w:ascii="Calibri" w:hAnsi="Calibri" w:cs="Calibri"/>
        </w:rPr>
        <w:t xml:space="preserve"> duty of care and attention over wai and all the life it supports</w:t>
      </w:r>
      <w:r w:rsidRPr="00472578">
        <w:rPr>
          <w:rFonts w:ascii="Calibri" w:hAnsi="Calibri" w:cs="Calibri"/>
          <w:strike/>
        </w:rPr>
        <w:t>.</w:t>
      </w:r>
      <w:r w:rsidRPr="00472578">
        <w:rPr>
          <w:rFonts w:ascii="Calibri" w:hAnsi="Calibri" w:cs="Calibri"/>
        </w:rPr>
        <w:t xml:space="preserve"> </w:t>
      </w:r>
      <w:r w:rsidRPr="00472578">
        <w:rPr>
          <w:rFonts w:ascii="Calibri" w:hAnsi="Calibri" w:cs="Calibri"/>
          <w:u w:val="single"/>
        </w:rPr>
        <w:t>and</w:t>
      </w:r>
    </w:p>
    <w:p w14:paraId="61B080B1" w14:textId="77777777"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u w:val="single"/>
        </w:rPr>
        <w:t>(6)</w:t>
      </w:r>
      <w:r w:rsidRPr="00472578">
        <w:rPr>
          <w:rFonts w:ascii="Calibri" w:hAnsi="Calibri" w:cs="Calibri"/>
          <w:u w:val="single"/>
        </w:rPr>
        <w:tab/>
        <w:t xml:space="preserve">all people and communities have a responsibility to exercise stewardship, care, and respect in the management of </w:t>
      </w:r>
      <w:r w:rsidRPr="00472578">
        <w:rPr>
          <w:rFonts w:ascii="Calibri" w:hAnsi="Calibri" w:cs="Calibri"/>
          <w:i/>
          <w:u w:val="single"/>
        </w:rPr>
        <w:t>fresh water</w:t>
      </w:r>
      <w:r w:rsidRPr="00472578">
        <w:rPr>
          <w:rFonts w:ascii="Calibri" w:hAnsi="Calibri" w:cs="Calibri"/>
          <w:u w:val="single"/>
        </w:rPr>
        <w:t>.</w:t>
      </w:r>
      <w:r w:rsidRPr="00472578">
        <w:rPr>
          <w:vertAlign w:val="superscript"/>
        </w:rPr>
        <w:footnoteReference w:id="738"/>
      </w:r>
      <w:bookmarkEnd w:id="151"/>
    </w:p>
    <w:p w14:paraId="4B460322" w14:textId="77777777" w:rsidR="009E3814" w:rsidRPr="00472578" w:rsidRDefault="009E3814" w:rsidP="00E92686">
      <w:pPr>
        <w:pStyle w:val="Heading4"/>
        <w:jc w:val="both"/>
        <w:rPr>
          <w:b w:val="0"/>
          <w:iCs w:val="0"/>
        </w:rPr>
      </w:pPr>
      <w:r w:rsidRPr="00472578">
        <w:t>Policies</w:t>
      </w:r>
    </w:p>
    <w:p w14:paraId="57F2FA5B" w14:textId="77777777" w:rsidR="009E3814" w:rsidRPr="00472578" w:rsidRDefault="009E3814" w:rsidP="00E92686">
      <w:pPr>
        <w:pStyle w:val="Heading5"/>
        <w:jc w:val="both"/>
        <w:rPr>
          <w:b w:val="0"/>
        </w:rPr>
      </w:pPr>
      <w:r w:rsidRPr="00472578">
        <w:t>LF-WAI-P1 – Prioritisation</w:t>
      </w:r>
    </w:p>
    <w:p w14:paraId="1F7B4815" w14:textId="77777777" w:rsidR="009E3814" w:rsidRPr="00472578" w:rsidRDefault="009E3814" w:rsidP="00E92686">
      <w:pPr>
        <w:spacing w:line="254" w:lineRule="auto"/>
        <w:jc w:val="both"/>
        <w:rPr>
          <w:rFonts w:ascii="Calibri" w:eastAsia="Calibri" w:hAnsi="Calibri" w:cs="Times New Roman"/>
        </w:rPr>
      </w:pPr>
      <w:r w:rsidRPr="00472578">
        <w:rPr>
          <w:rFonts w:ascii="Calibri" w:eastAsia="Calibri" w:hAnsi="Calibri" w:cs="Times New Roman"/>
        </w:rPr>
        <w:t xml:space="preserve">In all </w:t>
      </w:r>
      <w:r w:rsidRPr="00472578">
        <w:rPr>
          <w:rFonts w:ascii="Calibri" w:eastAsia="Calibri" w:hAnsi="Calibri" w:cs="Times New Roman"/>
          <w:strike/>
        </w:rPr>
        <w:t>management of</w:t>
      </w:r>
      <w:r w:rsidRPr="00472578">
        <w:rPr>
          <w:rFonts w:ascii="Calibri" w:eastAsia="Calibri" w:hAnsi="Calibri" w:cs="Times New Roman"/>
        </w:rPr>
        <w:t xml:space="preserve"> </w:t>
      </w:r>
      <w:r w:rsidRPr="00472578">
        <w:rPr>
          <w:rFonts w:ascii="Calibri" w:eastAsia="Calibri" w:hAnsi="Calibri" w:cs="Times New Roman"/>
          <w:u w:val="single"/>
        </w:rPr>
        <w:t>decision-making affecting</w:t>
      </w:r>
      <w:r w:rsidRPr="00472578">
        <w:rPr>
          <w:rFonts w:eastAsia="Calibri" w:cs="Times New Roman"/>
          <w:vertAlign w:val="superscript"/>
        </w:rPr>
        <w:footnoteReference w:id="739"/>
      </w:r>
      <w:r w:rsidRPr="00472578">
        <w:rPr>
          <w:rFonts w:ascii="Calibri" w:eastAsia="Calibri" w:hAnsi="Calibri" w:cs="Times New Roman"/>
        </w:rPr>
        <w:t xml:space="preserve"> </w:t>
      </w:r>
      <w:r w:rsidRPr="00472578">
        <w:rPr>
          <w:rFonts w:ascii="Calibri" w:eastAsia="Calibri" w:hAnsi="Calibri" w:cs="Times New Roman"/>
          <w:i/>
        </w:rPr>
        <w:t>fresh water</w:t>
      </w:r>
      <w:r w:rsidRPr="00472578">
        <w:rPr>
          <w:rFonts w:ascii="Calibri" w:eastAsia="Calibri" w:hAnsi="Calibri" w:cs="Times New Roman"/>
        </w:rPr>
        <w:t xml:space="preserve"> in Otago, prioritise:</w:t>
      </w:r>
    </w:p>
    <w:p w14:paraId="57890AFE" w14:textId="7463512F" w:rsidR="009E3814" w:rsidRPr="00472578" w:rsidRDefault="009E3814"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first, the health and well-being of </w:t>
      </w:r>
      <w:r w:rsidRPr="00472578">
        <w:rPr>
          <w:rFonts w:eastAsia="National-Book" w:cs="Times New Roman"/>
          <w:i/>
        </w:rPr>
        <w:t>water</w:t>
      </w:r>
      <w:r w:rsidRPr="00472578">
        <w:rPr>
          <w:rFonts w:eastAsia="National-Book" w:cs="Times New Roman"/>
        </w:rPr>
        <w:t xml:space="preserve"> </w:t>
      </w:r>
      <w:r w:rsidRPr="00472578">
        <w:rPr>
          <w:rFonts w:eastAsia="National-Book" w:cs="Times New Roman"/>
          <w:i/>
        </w:rPr>
        <w:t>bodies,</w:t>
      </w:r>
      <w:r w:rsidRPr="00472578">
        <w:rPr>
          <w:rFonts w:eastAsia="National-Book" w:cs="Times New Roman"/>
        </w:rPr>
        <w:t xml:space="preserve"> </w:t>
      </w:r>
      <w:r w:rsidRPr="00472578">
        <w:rPr>
          <w:rFonts w:eastAsia="National-Book" w:cs="Times New Roman"/>
          <w:i/>
        </w:rPr>
        <w:t>freshwater</w:t>
      </w:r>
      <w:r w:rsidRPr="00472578">
        <w:rPr>
          <w:rFonts w:eastAsia="National-Book" w:cs="Times New Roman"/>
        </w:rPr>
        <w:t xml:space="preserve"> ecosystems</w:t>
      </w:r>
      <w:r w:rsidRPr="00472578">
        <w:rPr>
          <w:rFonts w:eastAsia="National-Book" w:cs="Times New Roman"/>
          <w:strike/>
        </w:rPr>
        <w:t>,</w:t>
      </w:r>
      <w:r w:rsidRPr="00472578">
        <w:rPr>
          <w:rFonts w:eastAsia="National-Book" w:cs="Times New Roman"/>
        </w:rPr>
        <w:t xml:space="preserve"> </w:t>
      </w:r>
      <w:r w:rsidRPr="00472578">
        <w:rPr>
          <w:rFonts w:eastAsia="National-Book" w:cs="Times New Roman"/>
          <w:u w:val="single"/>
        </w:rPr>
        <w:t>and</w:t>
      </w:r>
      <w:r w:rsidRPr="00472578">
        <w:rPr>
          <w:rFonts w:eastAsia="National-Book" w:cs="Times New Roman"/>
        </w:rPr>
        <w:t xml:space="preserve"> te hauora o te wai</w:t>
      </w:r>
      <w:r w:rsidRPr="00472578">
        <w:rPr>
          <w:rFonts w:eastAsia="National-Book" w:cs="Times New Roman"/>
          <w:u w:val="single"/>
        </w:rPr>
        <w:t>,</w:t>
      </w:r>
      <w:r w:rsidRPr="00472578">
        <w:rPr>
          <w:rFonts w:eastAsia="National-Book" w:cs="Times New Roman"/>
        </w:rPr>
        <w:t xml:space="preserve"> </w:t>
      </w:r>
      <w:r w:rsidRPr="00472578">
        <w:rPr>
          <w:rFonts w:eastAsia="National-Book" w:cs="Times New Roman"/>
          <w:strike/>
        </w:rPr>
        <w:t>and te hauora o te taiao, and</w:t>
      </w:r>
      <w:r w:rsidRPr="00472578">
        <w:rPr>
          <w:rFonts w:eastAsia="National-Book" w:cs="Times New Roman"/>
        </w:rPr>
        <w:t xml:space="preserve"> </w:t>
      </w:r>
      <w:r w:rsidRPr="00472578">
        <w:rPr>
          <w:rFonts w:eastAsia="National-Book" w:cs="Times New Roman"/>
          <w:u w:val="single"/>
        </w:rPr>
        <w:t>as well as</w:t>
      </w:r>
      <w:r w:rsidRPr="00472578">
        <w:rPr>
          <w:rFonts w:eastAsia="National-Book" w:cs="Times New Roman"/>
        </w:rPr>
        <w:t xml:space="preserve"> the exercise of </w:t>
      </w:r>
      <w:r w:rsidRPr="00472578">
        <w:rPr>
          <w:rFonts w:eastAsia="National-Book" w:cs="Times New Roman"/>
          <w:i/>
        </w:rPr>
        <w:t>mana whenua</w:t>
      </w:r>
      <w:r w:rsidRPr="00472578">
        <w:rPr>
          <w:rFonts w:eastAsia="National-Book" w:cs="Times New Roman"/>
        </w:rPr>
        <w:t xml:space="preserve"> to uphold thes</w:t>
      </w:r>
      <w:r w:rsidR="00784714">
        <w:rPr>
          <w:rFonts w:eastAsia="National-Book" w:cs="Times New Roman"/>
        </w:rPr>
        <w:t>e</w:t>
      </w:r>
      <w:r w:rsidR="00784714" w:rsidRPr="00784714">
        <w:rPr>
          <w:rStyle w:val="FootnoteReference"/>
          <w:rFonts w:eastAsia="National-Book" w:cs="Times New Roman"/>
          <w:shd w:val="clear" w:color="auto" w:fill="D9D9D9" w:themeFill="background1" w:themeFillShade="D9"/>
        </w:rPr>
        <w:footnoteReference w:id="740"/>
      </w:r>
      <w:r w:rsidRPr="00472578">
        <w:rPr>
          <w:rFonts w:eastAsia="National-Book" w:cs="Times New Roman"/>
        </w:rPr>
        <w:t xml:space="preserve"> </w:t>
      </w:r>
      <w:r w:rsidRPr="00472578">
        <w:rPr>
          <w:rFonts w:eastAsia="National-Book" w:cs="Times New Roman"/>
          <w:u w:val="single"/>
        </w:rPr>
        <w:t>and provide for te hauora o te taiao</w:t>
      </w:r>
      <w:r w:rsidRPr="00472578">
        <w:rPr>
          <w:rFonts w:eastAsia="National-Book" w:cs="Times New Roman"/>
        </w:rPr>
        <w:t>,</w:t>
      </w:r>
      <w:r w:rsidRPr="00472578">
        <w:rPr>
          <w:rFonts w:eastAsia="National-Book" w:cs="Times New Roman"/>
          <w:vertAlign w:val="superscript"/>
        </w:rPr>
        <w:footnoteReference w:id="741"/>
      </w:r>
    </w:p>
    <w:p w14:paraId="3F77A969" w14:textId="77777777" w:rsidR="009E3814" w:rsidRPr="00472578" w:rsidRDefault="009E3814" w:rsidP="00E92686">
      <w:pPr>
        <w:ind w:left="567" w:hanging="567"/>
        <w:jc w:val="both"/>
        <w:rPr>
          <w:rFonts w:eastAsia="National-Book" w:cs="Times New Roman"/>
        </w:rPr>
      </w:pPr>
      <w:r w:rsidRPr="00472578">
        <w:rPr>
          <w:rFonts w:eastAsia="National-Book" w:cs="Times New Roman"/>
        </w:rPr>
        <w:t>(2)</w:t>
      </w:r>
      <w:r w:rsidRPr="00472578">
        <w:tab/>
      </w:r>
      <w:r w:rsidRPr="00472578">
        <w:rPr>
          <w:rFonts w:eastAsia="National-Book" w:cs="Times New Roman"/>
        </w:rPr>
        <w:t xml:space="preserve">second, the health and well-being needs of people, te hauora o te </w:t>
      </w:r>
      <w:proofErr w:type="gramStart"/>
      <w:r w:rsidRPr="00472578">
        <w:rPr>
          <w:rFonts w:eastAsia="National-Book" w:cs="Times New Roman"/>
        </w:rPr>
        <w:t>tangata</w:t>
      </w:r>
      <w:r w:rsidRPr="00472578">
        <w:rPr>
          <w:rFonts w:eastAsia="National-Book" w:cs="Times New Roman"/>
          <w:u w:val="single"/>
        </w:rPr>
        <w:t>,</w:t>
      </w:r>
      <w:r w:rsidRPr="00472578">
        <w:rPr>
          <w:rFonts w:eastAsia="National-Book" w:cs="Times New Roman"/>
          <w:strike/>
        </w:rPr>
        <w:t>;</w:t>
      </w:r>
      <w:proofErr w:type="gramEnd"/>
      <w:r w:rsidRPr="00472578">
        <w:rPr>
          <w:rFonts w:eastAsia="National-Book" w:cs="Times New Roman"/>
          <w:strike/>
        </w:rPr>
        <w:t xml:space="preserve"> interacting</w:t>
      </w:r>
      <w:r w:rsidRPr="00472578">
        <w:rPr>
          <w:rFonts w:eastAsia="National-Book" w:cs="Times New Roman"/>
        </w:rPr>
        <w:t xml:space="preserve"> </w:t>
      </w:r>
      <w:r w:rsidRPr="00472578">
        <w:rPr>
          <w:rFonts w:eastAsia="National-Book" w:cs="Times New Roman"/>
          <w:u w:val="single"/>
        </w:rPr>
        <w:t>and their interactions</w:t>
      </w:r>
      <w:r w:rsidRPr="00472578">
        <w:rPr>
          <w:rStyle w:val="FootnoteReference"/>
          <w:rFonts w:eastAsia="National-Book" w:cs="Times New Roman"/>
        </w:rPr>
        <w:footnoteReference w:id="742"/>
      </w:r>
      <w:r w:rsidRPr="00472578">
        <w:rPr>
          <w:rFonts w:eastAsia="National-Book" w:cs="Times New Roman"/>
        </w:rPr>
        <w:t xml:space="preserve"> with </w:t>
      </w:r>
      <w:r w:rsidRPr="00472578">
        <w:rPr>
          <w:rFonts w:eastAsia="National-Book" w:cs="Times New Roman"/>
          <w:i/>
        </w:rPr>
        <w:t>water</w:t>
      </w:r>
      <w:r w:rsidRPr="00472578">
        <w:rPr>
          <w:rFonts w:eastAsia="National-Book" w:cs="Times New Roman"/>
        </w:rPr>
        <w:t xml:space="preserve"> through ingestion (such as </w:t>
      </w:r>
      <w:r w:rsidRPr="00472578">
        <w:rPr>
          <w:rFonts w:eastAsia="National-Book" w:cs="Times New Roman"/>
          <w:i/>
        </w:rPr>
        <w:t>drinking water</w:t>
      </w:r>
      <w:r w:rsidRPr="00472578">
        <w:rPr>
          <w:rFonts w:eastAsia="National-Book" w:cs="Times New Roman"/>
        </w:rPr>
        <w:t xml:space="preserve"> and consuming </w:t>
      </w:r>
      <w:r w:rsidRPr="00472578">
        <w:rPr>
          <w:rFonts w:eastAsia="National-Book" w:cs="Times New Roman"/>
          <w:strike/>
        </w:rPr>
        <w:t>harvested</w:t>
      </w:r>
      <w:r w:rsidRPr="00472578">
        <w:rPr>
          <w:rFonts w:eastAsia="National-Book" w:cs="Times New Roman"/>
        </w:rPr>
        <w:t xml:space="preserve"> </w:t>
      </w:r>
      <w:r w:rsidRPr="00472578">
        <w:rPr>
          <w:rFonts w:eastAsia="National-Book" w:cs="Times New Roman"/>
        </w:rPr>
        <w:lastRenderedPageBreak/>
        <w:t xml:space="preserve">resources </w:t>
      </w:r>
      <w:r w:rsidRPr="00472578">
        <w:rPr>
          <w:rFonts w:eastAsia="National-Book" w:cs="Times New Roman"/>
          <w:u w:val="single"/>
        </w:rPr>
        <w:t>harvested from the water body</w:t>
      </w:r>
      <w:r w:rsidRPr="00472578">
        <w:rPr>
          <w:rFonts w:eastAsia="National-Book" w:cs="Times New Roman"/>
          <w:vertAlign w:val="superscript"/>
        </w:rPr>
        <w:footnoteReference w:id="743"/>
      </w:r>
      <w:r w:rsidRPr="00472578">
        <w:rPr>
          <w:rFonts w:eastAsia="National-Book" w:cs="Times New Roman"/>
        </w:rPr>
        <w:t xml:space="preserve">) and immersive activities (such as harvesting resources and </w:t>
      </w:r>
      <w:r w:rsidRPr="00472578">
        <w:rPr>
          <w:rFonts w:eastAsia="National-Book" w:cs="Times New Roman"/>
          <w:strike/>
        </w:rPr>
        <w:t>bathing</w:t>
      </w:r>
      <w:r w:rsidRPr="00472578">
        <w:rPr>
          <w:rFonts w:eastAsia="National-Book" w:cs="Times New Roman"/>
        </w:rPr>
        <w:t xml:space="preserve"> </w:t>
      </w:r>
      <w:r w:rsidRPr="00472578">
        <w:rPr>
          <w:rFonts w:eastAsia="National-Book" w:cs="Times New Roman"/>
          <w:u w:val="single"/>
        </w:rPr>
        <w:t>primary contact</w:t>
      </w:r>
      <w:r w:rsidRPr="00472578">
        <w:rPr>
          <w:rFonts w:eastAsia="National-Book" w:cs="Times New Roman"/>
          <w:vertAlign w:val="superscript"/>
        </w:rPr>
        <w:footnoteReference w:id="744"/>
      </w:r>
      <w:r w:rsidRPr="00472578">
        <w:rPr>
          <w:rFonts w:eastAsia="National-Book" w:cs="Times New Roman"/>
        </w:rPr>
        <w:t>), and</w:t>
      </w:r>
    </w:p>
    <w:p w14:paraId="6CAAF3A3" w14:textId="77777777" w:rsidR="009E3814" w:rsidRPr="00472578" w:rsidRDefault="009E3814"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 xml:space="preserve">third, the ability of people and communities to provide for their social, economic, and cultural well-being, now and in the future. </w:t>
      </w:r>
    </w:p>
    <w:p w14:paraId="7551B3E4" w14:textId="77777777" w:rsidR="009E3814" w:rsidRPr="00472578" w:rsidRDefault="009E3814" w:rsidP="00E92686">
      <w:pPr>
        <w:pStyle w:val="Heading5"/>
        <w:jc w:val="both"/>
        <w:rPr>
          <w:b w:val="0"/>
        </w:rPr>
      </w:pPr>
      <w:r w:rsidRPr="00472578">
        <w:t>LF-WAI-P2 – Mana whakahaere</w:t>
      </w:r>
    </w:p>
    <w:p w14:paraId="5A6F1F72" w14:textId="77777777" w:rsidR="009E3814" w:rsidRPr="00472578" w:rsidRDefault="009E3814" w:rsidP="00E92686">
      <w:pPr>
        <w:spacing w:line="254" w:lineRule="auto"/>
        <w:jc w:val="both"/>
        <w:rPr>
          <w:rFonts w:ascii="Calibri" w:eastAsia="Calibri" w:hAnsi="Calibri" w:cs="Times New Roman"/>
        </w:rPr>
      </w:pPr>
      <w:r w:rsidRPr="00472578">
        <w:rPr>
          <w:rFonts w:ascii="Calibri" w:eastAsia="Calibri" w:hAnsi="Calibri" w:cs="Times New Roman"/>
        </w:rPr>
        <w:t xml:space="preserve">Recognise and give practical effect to Kāi Tahu rakatirataka in respect of </w:t>
      </w:r>
      <w:r w:rsidRPr="00472578">
        <w:rPr>
          <w:rFonts w:ascii="Calibri" w:eastAsia="Calibri" w:hAnsi="Calibri" w:cs="Times New Roman"/>
          <w:i/>
        </w:rPr>
        <w:t>fresh water</w:t>
      </w:r>
      <w:r w:rsidRPr="00472578">
        <w:rPr>
          <w:rFonts w:ascii="Calibri" w:eastAsia="Calibri" w:hAnsi="Calibri" w:cs="Times New Roman"/>
        </w:rPr>
        <w:t xml:space="preserve"> by:</w:t>
      </w:r>
    </w:p>
    <w:p w14:paraId="74164EB9" w14:textId="77777777" w:rsidR="009E3814" w:rsidRPr="00472578" w:rsidRDefault="009E3814"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facilitating partnership with, and the active involvement of, </w:t>
      </w:r>
      <w:r w:rsidRPr="00472578">
        <w:rPr>
          <w:rFonts w:eastAsia="National-Book" w:cs="Times New Roman"/>
          <w:i/>
        </w:rPr>
        <w:t>mana whenua</w:t>
      </w:r>
      <w:r w:rsidRPr="00472578">
        <w:rPr>
          <w:rFonts w:eastAsia="National-Book" w:cs="Times New Roman"/>
        </w:rPr>
        <w:t xml:space="preserve"> in </w:t>
      </w:r>
      <w:r w:rsidRPr="00472578">
        <w:rPr>
          <w:rFonts w:eastAsia="National-Book" w:cs="Times New Roman"/>
          <w:i/>
        </w:rPr>
        <w:t>freshwater</w:t>
      </w:r>
      <w:r w:rsidRPr="00472578">
        <w:rPr>
          <w:rFonts w:eastAsia="National-Book" w:cs="Times New Roman"/>
        </w:rPr>
        <w:t xml:space="preserve"> management and decision-making processes, </w:t>
      </w:r>
    </w:p>
    <w:p w14:paraId="16D70825" w14:textId="77777777" w:rsidR="009E3814" w:rsidRPr="00472578" w:rsidRDefault="009E3814"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sustaining the </w:t>
      </w:r>
      <w:r w:rsidRPr="00472578">
        <w:rPr>
          <w:rFonts w:eastAsia="National-Book" w:cs="Times New Roman"/>
          <w:strike/>
        </w:rPr>
        <w:t xml:space="preserve">environmental, social, </w:t>
      </w:r>
      <w:proofErr w:type="gramStart"/>
      <w:r w:rsidRPr="00472578">
        <w:rPr>
          <w:rFonts w:eastAsia="National-Book" w:cs="Times New Roman"/>
          <w:strike/>
        </w:rPr>
        <w:t>cultural</w:t>
      </w:r>
      <w:proofErr w:type="gramEnd"/>
      <w:r w:rsidRPr="00472578">
        <w:rPr>
          <w:rFonts w:eastAsia="National-Book" w:cs="Times New Roman"/>
          <w:strike/>
        </w:rPr>
        <w:t xml:space="preserve"> and economic</w:t>
      </w:r>
      <w:r w:rsidRPr="00472578">
        <w:rPr>
          <w:rFonts w:eastAsia="National-Book" w:cs="Times New Roman"/>
          <w:vertAlign w:val="superscript"/>
        </w:rPr>
        <w:footnoteReference w:id="745"/>
      </w:r>
      <w:r w:rsidRPr="00472578">
        <w:rPr>
          <w:rFonts w:eastAsia="National-Book" w:cs="Times New Roman"/>
        </w:rPr>
        <w:t xml:space="preserve"> relationships of Kāi Tahu with </w:t>
      </w:r>
      <w:r w:rsidRPr="00472578">
        <w:rPr>
          <w:rFonts w:eastAsia="National-Book" w:cs="Times New Roman"/>
          <w:i/>
        </w:rPr>
        <w:t>water bodies</w:t>
      </w:r>
      <w:r w:rsidRPr="00472578">
        <w:rPr>
          <w:rFonts w:eastAsia="National-Book" w:cs="Times New Roman"/>
        </w:rPr>
        <w:t xml:space="preserve">, </w:t>
      </w:r>
    </w:p>
    <w:p w14:paraId="52602D83" w14:textId="04DCC789" w:rsidR="009E3814" w:rsidRPr="00472578" w:rsidRDefault="009E3814"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 xml:space="preserve">providing for a range of customary uses, including </w:t>
      </w:r>
      <w:r w:rsidRPr="009C237D">
        <w:rPr>
          <w:strike/>
        </w:rPr>
        <w:t>mahika kai</w:t>
      </w:r>
      <w:r w:rsidR="00A00191" w:rsidRPr="00472578">
        <w:t xml:space="preserve"> </w:t>
      </w:r>
      <w:r w:rsidR="00A00191" w:rsidRPr="004B700D">
        <w:rPr>
          <w:i/>
          <w:iCs/>
          <w:u w:val="single"/>
        </w:rPr>
        <w:t>mahika kai</w:t>
      </w:r>
      <w:r w:rsidR="004B700D" w:rsidRPr="004B700D">
        <w:rPr>
          <w:i/>
          <w:iCs/>
        </w:rPr>
        <w:t>,</w:t>
      </w:r>
      <w:r w:rsidR="00A00191">
        <w:rPr>
          <w:rStyle w:val="FootnoteReference"/>
        </w:rPr>
        <w:footnoteReference w:id="746"/>
      </w:r>
      <w:r w:rsidRPr="00472578">
        <w:rPr>
          <w:rFonts w:eastAsia="National-Book" w:cs="Times New Roman"/>
        </w:rPr>
        <w:t xml:space="preserve"> specific to each </w:t>
      </w:r>
      <w:r w:rsidRPr="00472578">
        <w:rPr>
          <w:rFonts w:eastAsia="National-Book" w:cs="Times New Roman"/>
          <w:i/>
        </w:rPr>
        <w:t>water body</w:t>
      </w:r>
      <w:r w:rsidRPr="00472578">
        <w:rPr>
          <w:rFonts w:eastAsia="National-Book" w:cs="Times New Roman"/>
        </w:rPr>
        <w:t xml:space="preserve">, </w:t>
      </w:r>
      <w:r w:rsidRPr="00472578">
        <w:rPr>
          <w:rFonts w:eastAsia="National-Book" w:cs="Times New Roman"/>
          <w:strike/>
        </w:rPr>
        <w:t>and</w:t>
      </w:r>
    </w:p>
    <w:p w14:paraId="4EBECBA9" w14:textId="0A6FC929" w:rsidR="009E3814" w:rsidRPr="00472578" w:rsidRDefault="009E3814" w:rsidP="00E92686">
      <w:pPr>
        <w:ind w:left="567" w:hanging="567"/>
        <w:jc w:val="both"/>
        <w:rPr>
          <w:rFonts w:eastAsia="National-Book" w:cs="Times New Roman"/>
        </w:rPr>
      </w:pPr>
      <w:r w:rsidRPr="00472578">
        <w:rPr>
          <w:rFonts w:eastAsia="National-Book" w:cs="Times New Roman"/>
        </w:rPr>
        <w:t>(4)</w:t>
      </w:r>
      <w:r w:rsidRPr="00472578">
        <w:rPr>
          <w:rFonts w:eastAsia="National-Book" w:cs="Times New Roman"/>
        </w:rPr>
        <w:tab/>
        <w:t>incorporating mātauraka into decision making, management and monitoring processes</w:t>
      </w:r>
      <w:r w:rsidRPr="00472578">
        <w:rPr>
          <w:rFonts w:eastAsia="National-Book" w:cs="Times New Roman"/>
          <w:strike/>
        </w:rPr>
        <w:t>.</w:t>
      </w:r>
      <w:r w:rsidR="00CE4B68">
        <w:rPr>
          <w:rFonts w:eastAsia="National-Book" w:cs="Times New Roman"/>
          <w:u w:val="single"/>
        </w:rPr>
        <w:t>,</w:t>
      </w:r>
      <w:r w:rsidRPr="00472578">
        <w:rPr>
          <w:rFonts w:eastAsia="National-Book" w:cs="Times New Roman"/>
          <w:u w:val="single"/>
        </w:rPr>
        <w:t xml:space="preserve"> and</w:t>
      </w:r>
    </w:p>
    <w:p w14:paraId="089800C5" w14:textId="77777777" w:rsidR="009E3814" w:rsidRPr="00472578" w:rsidRDefault="009E3814" w:rsidP="00E92686">
      <w:pPr>
        <w:ind w:left="567" w:hanging="567"/>
        <w:jc w:val="both"/>
        <w:rPr>
          <w:rFonts w:eastAsia="National-Book" w:cs="Times New Roman"/>
          <w:u w:val="single"/>
        </w:rPr>
      </w:pPr>
      <w:r w:rsidRPr="00472578">
        <w:rPr>
          <w:rFonts w:eastAsia="National-Book" w:cs="Times New Roman"/>
          <w:u w:val="single"/>
        </w:rPr>
        <w:t>(5)</w:t>
      </w:r>
      <w:r w:rsidRPr="00472578">
        <w:rPr>
          <w:rFonts w:eastAsia="National-Book" w:cs="Times New Roman"/>
          <w:u w:val="single"/>
        </w:rPr>
        <w:tab/>
        <w:t>managing wai and its connections with whenua in a holistic and interconnected way – ki uta ki tai.</w:t>
      </w:r>
      <w:r w:rsidRPr="00472578">
        <w:rPr>
          <w:rFonts w:eastAsia="National-Book" w:cs="Times New Roman"/>
          <w:vertAlign w:val="superscript"/>
        </w:rPr>
        <w:footnoteReference w:id="747"/>
      </w:r>
    </w:p>
    <w:p w14:paraId="4A622808" w14:textId="77777777" w:rsidR="009E3814" w:rsidRPr="00472578" w:rsidRDefault="009E3814" w:rsidP="00E92686">
      <w:pPr>
        <w:pStyle w:val="Heading5"/>
        <w:jc w:val="both"/>
        <w:rPr>
          <w:b w:val="0"/>
        </w:rPr>
      </w:pPr>
      <w:r w:rsidRPr="00472578">
        <w:t>LF-WAI-P3 – Integrated management/ki uta ki tai</w:t>
      </w:r>
    </w:p>
    <w:p w14:paraId="32A6AA07" w14:textId="41324AD0" w:rsidR="009E3814" w:rsidRPr="00472578" w:rsidRDefault="009E3814" w:rsidP="00E92686">
      <w:pPr>
        <w:spacing w:line="254" w:lineRule="auto"/>
        <w:jc w:val="both"/>
        <w:rPr>
          <w:rFonts w:ascii="Calibri" w:eastAsia="Calibri" w:hAnsi="Calibri" w:cs="Times New Roman"/>
        </w:rPr>
      </w:pPr>
      <w:r w:rsidRPr="00472578">
        <w:rPr>
          <w:rFonts w:ascii="Calibri" w:eastAsia="Calibri" w:hAnsi="Calibri" w:cs="Times New Roman"/>
        </w:rPr>
        <w:t xml:space="preserve">Manage the use of </w:t>
      </w:r>
      <w:r w:rsidRPr="00472578">
        <w:rPr>
          <w:rFonts w:ascii="Calibri" w:eastAsia="Calibri" w:hAnsi="Calibri" w:cs="Times New Roman"/>
          <w:i/>
        </w:rPr>
        <w:t>freshwater</w:t>
      </w:r>
      <w:r w:rsidRPr="00472578">
        <w:rPr>
          <w:rFonts w:ascii="Calibri" w:eastAsia="Calibri" w:hAnsi="Calibri" w:cs="Times New Roman"/>
        </w:rPr>
        <w:t xml:space="preserve"> and </w:t>
      </w:r>
      <w:r w:rsidRPr="00472578">
        <w:rPr>
          <w:rFonts w:ascii="Calibri" w:eastAsia="Calibri" w:hAnsi="Calibri" w:cs="Times New Roman"/>
          <w:i/>
        </w:rPr>
        <w:t>land</w:t>
      </w:r>
      <w:r w:rsidRPr="00472578">
        <w:rPr>
          <w:rFonts w:ascii="Calibri" w:eastAsia="Calibri" w:hAnsi="Calibri" w:cs="Times New Roman"/>
        </w:rPr>
        <w:t>, in accordance with tikanga and kawa, using an integrated approach that:</w:t>
      </w:r>
    </w:p>
    <w:p w14:paraId="3ED59055" w14:textId="77777777" w:rsidR="009E3814" w:rsidRPr="00472578" w:rsidRDefault="009E3814" w:rsidP="00E92686">
      <w:pPr>
        <w:ind w:left="567" w:hanging="567"/>
        <w:jc w:val="both"/>
      </w:pPr>
      <w:r w:rsidRPr="00472578" w:rsidDel="00575E51">
        <w:rPr>
          <w:rFonts w:eastAsia="National-Book" w:cs="Times New Roman"/>
        </w:rPr>
        <w:t xml:space="preserve"> </w:t>
      </w:r>
      <w:r w:rsidRPr="00472578">
        <w:rPr>
          <w:rFonts w:eastAsia="National-Book" w:cs="Times New Roman"/>
        </w:rPr>
        <w:t>(1)</w:t>
      </w:r>
      <w:r w:rsidRPr="00472578">
        <w:rPr>
          <w:rFonts w:eastAsia="National-Book" w:cs="Times New Roman"/>
        </w:rPr>
        <w:tab/>
      </w:r>
      <w:bookmarkStart w:id="152" w:name="_Hlk68851420"/>
      <w:r w:rsidRPr="00472578">
        <w:rPr>
          <w:rFonts w:eastAsia="National-Book" w:cs="Times New Roman"/>
        </w:rPr>
        <w:t>recognises</w:t>
      </w:r>
      <w:r w:rsidRPr="00472578">
        <w:rPr>
          <w:rFonts w:eastAsia="National-Book" w:cs="Times New Roman"/>
          <w:u w:val="single"/>
        </w:rPr>
        <w:t>,</w:t>
      </w:r>
      <w:r w:rsidRPr="00472578">
        <w:t xml:space="preserve"> </w:t>
      </w:r>
      <w:r w:rsidRPr="00472578">
        <w:rPr>
          <w:strike/>
        </w:rPr>
        <w:t>and</w:t>
      </w:r>
      <w:r w:rsidRPr="00472578">
        <w:t xml:space="preserve"> sustains </w:t>
      </w:r>
      <w:bookmarkEnd w:id="152"/>
      <w:r w:rsidRPr="00472578">
        <w:rPr>
          <w:u w:val="single"/>
        </w:rPr>
        <w:t>and, where degraded or lost, restores</w:t>
      </w:r>
      <w:r w:rsidRPr="00472578">
        <w:rPr>
          <w:vertAlign w:val="superscript"/>
        </w:rPr>
        <w:footnoteReference w:id="748"/>
      </w:r>
      <w:r w:rsidRPr="00472578">
        <w:t xml:space="preserve"> the </w:t>
      </w:r>
      <w:r w:rsidRPr="00472578">
        <w:rPr>
          <w:u w:val="single"/>
        </w:rPr>
        <w:t>natural</w:t>
      </w:r>
      <w:r w:rsidRPr="00472578">
        <w:rPr>
          <w:vertAlign w:val="superscript"/>
        </w:rPr>
        <w:footnoteReference w:id="749"/>
      </w:r>
      <w:r w:rsidRPr="00472578">
        <w:t xml:space="preserve"> connections and interactions between </w:t>
      </w:r>
      <w:r w:rsidRPr="00472578">
        <w:rPr>
          <w:i/>
          <w:iCs/>
        </w:rPr>
        <w:t>water bodies</w:t>
      </w:r>
      <w:r w:rsidRPr="00472578">
        <w:t xml:space="preserve"> (large and small, surface and ground, fresh and coastal, permanently flowing, intermittent and ephemeral),</w:t>
      </w:r>
    </w:p>
    <w:p w14:paraId="220ED2CA" w14:textId="77777777" w:rsidR="009E3814" w:rsidRPr="00472578" w:rsidRDefault="009E3814"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sustains and, </w:t>
      </w:r>
      <w:r w:rsidRPr="00472578">
        <w:rPr>
          <w:rFonts w:eastAsia="National-Book" w:cs="Times New Roman"/>
          <w:strike/>
        </w:rPr>
        <w:t>wherever possible</w:t>
      </w:r>
      <w:r w:rsidRPr="00472578">
        <w:rPr>
          <w:rFonts w:eastAsia="National-Book" w:cs="Times New Roman"/>
        </w:rPr>
        <w:t xml:space="preserve"> </w:t>
      </w:r>
      <w:r w:rsidRPr="00472578">
        <w:rPr>
          <w:rFonts w:eastAsia="National-Book" w:cs="Times New Roman"/>
          <w:u w:val="single"/>
        </w:rPr>
        <w:t>where degraded or lost</w:t>
      </w:r>
      <w:r w:rsidRPr="00472578">
        <w:rPr>
          <w:rFonts w:eastAsia="National-Book" w:cs="Times New Roman"/>
        </w:rPr>
        <w:t xml:space="preserve">, restores </w:t>
      </w:r>
      <w:bookmarkStart w:id="153" w:name="_Hlk68851439"/>
      <w:r w:rsidRPr="00472578">
        <w:rPr>
          <w:rFonts w:eastAsia="National-Book" w:cs="Times New Roman"/>
        </w:rPr>
        <w:t xml:space="preserve">the </w:t>
      </w:r>
      <w:r w:rsidRPr="00472578">
        <w:rPr>
          <w:rFonts w:eastAsia="National-Book" w:cs="Times New Roman"/>
          <w:u w:val="single"/>
        </w:rPr>
        <w:t>natural</w:t>
      </w:r>
      <w:r w:rsidRPr="00472578">
        <w:rPr>
          <w:vertAlign w:val="superscript"/>
        </w:rPr>
        <w:footnoteReference w:id="750"/>
      </w:r>
      <w:r w:rsidRPr="00472578">
        <w:rPr>
          <w:rFonts w:eastAsia="National-Book" w:cs="Times New Roman"/>
        </w:rPr>
        <w:t xml:space="preserve"> connections and interactions between </w:t>
      </w:r>
      <w:r w:rsidRPr="00472578">
        <w:rPr>
          <w:rFonts w:eastAsia="National-Book" w:cs="Times New Roman"/>
          <w:i/>
        </w:rPr>
        <w:t xml:space="preserve">land </w:t>
      </w:r>
      <w:r w:rsidRPr="00472578">
        <w:rPr>
          <w:rFonts w:eastAsia="National-Book" w:cs="Times New Roman"/>
        </w:rPr>
        <w:t xml:space="preserve">and </w:t>
      </w:r>
      <w:r w:rsidRPr="00472578">
        <w:rPr>
          <w:rFonts w:eastAsia="National-Book" w:cs="Times New Roman"/>
          <w:i/>
        </w:rPr>
        <w:t xml:space="preserve">water, </w:t>
      </w:r>
      <w:r w:rsidRPr="00472578">
        <w:rPr>
          <w:rFonts w:eastAsia="National-Book" w:cs="Times New Roman"/>
        </w:rPr>
        <w:t>from the mountains to the sea</w:t>
      </w:r>
      <w:bookmarkEnd w:id="153"/>
      <w:r w:rsidRPr="00472578">
        <w:rPr>
          <w:rFonts w:eastAsia="National-Book" w:cs="Times New Roman"/>
        </w:rPr>
        <w:t>,</w:t>
      </w:r>
    </w:p>
    <w:p w14:paraId="2DB954EB" w14:textId="158AF56F" w:rsidR="009E3814" w:rsidRPr="00472578" w:rsidRDefault="009E3814"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 xml:space="preserve">sustains and, wherever possible, restores the habitats of </w:t>
      </w:r>
      <w:r w:rsidRPr="009C237D">
        <w:rPr>
          <w:strike/>
        </w:rPr>
        <w:t>mahika kai</w:t>
      </w:r>
      <w:r w:rsidRPr="00472578">
        <w:t xml:space="preserve"> </w:t>
      </w:r>
      <w:r w:rsidR="00A00191" w:rsidRPr="004B700D">
        <w:rPr>
          <w:i/>
          <w:iCs/>
          <w:u w:val="single"/>
        </w:rPr>
        <w:t>mahika kai</w:t>
      </w:r>
      <w:r w:rsidR="00A00191">
        <w:rPr>
          <w:rStyle w:val="FootnoteReference"/>
        </w:rPr>
        <w:footnoteReference w:id="751"/>
      </w:r>
      <w:r w:rsidR="00A00191" w:rsidRPr="00472578">
        <w:rPr>
          <w:iCs/>
        </w:rPr>
        <w:t xml:space="preserve"> </w:t>
      </w:r>
      <w:r w:rsidRPr="00472578">
        <w:rPr>
          <w:rFonts w:eastAsia="National-Book" w:cs="Times New Roman"/>
        </w:rPr>
        <w:t xml:space="preserve">and indigenous species, including taoka species associated with the </w:t>
      </w:r>
      <w:r w:rsidRPr="00472578">
        <w:rPr>
          <w:rFonts w:eastAsia="National-Book" w:cs="Times New Roman"/>
          <w:i/>
        </w:rPr>
        <w:t xml:space="preserve">water </w:t>
      </w:r>
      <w:r w:rsidRPr="00472578">
        <w:rPr>
          <w:rFonts w:eastAsia="National-Book" w:cs="Times New Roman"/>
          <w:strike/>
        </w:rPr>
        <w:t>body</w:t>
      </w:r>
      <w:r w:rsidRPr="00472578">
        <w:rPr>
          <w:rFonts w:eastAsia="National-Book" w:cs="Times New Roman"/>
        </w:rPr>
        <w:t xml:space="preserve"> </w:t>
      </w:r>
      <w:r w:rsidRPr="00472578">
        <w:rPr>
          <w:rFonts w:eastAsia="National-Book" w:cs="Times New Roman"/>
          <w:i/>
          <w:u w:val="single"/>
        </w:rPr>
        <w:t>bodies</w:t>
      </w:r>
      <w:r w:rsidRPr="00472578">
        <w:rPr>
          <w:rFonts w:eastAsia="National-Book" w:cs="Times New Roman"/>
        </w:rPr>
        <w:t>,</w:t>
      </w:r>
      <w:r w:rsidRPr="00472578">
        <w:rPr>
          <w:rFonts w:eastAsia="National-Book" w:cs="Times New Roman"/>
          <w:vertAlign w:val="superscript"/>
        </w:rPr>
        <w:footnoteReference w:id="752"/>
      </w:r>
    </w:p>
    <w:p w14:paraId="39FB846D" w14:textId="77777777" w:rsidR="009E3814" w:rsidRPr="00472578" w:rsidRDefault="009E3814" w:rsidP="00E92686">
      <w:pPr>
        <w:ind w:left="567" w:hanging="567"/>
        <w:jc w:val="both"/>
        <w:rPr>
          <w:rFonts w:eastAsia="National-Book" w:cs="Times New Roman"/>
        </w:rPr>
      </w:pPr>
      <w:r w:rsidRPr="00472578">
        <w:rPr>
          <w:rFonts w:eastAsia="National-Book" w:cs="Times New Roman"/>
        </w:rPr>
        <w:t>(4)</w:t>
      </w:r>
      <w:r w:rsidRPr="00472578">
        <w:rPr>
          <w:rFonts w:eastAsia="National-Book" w:cs="Times New Roman"/>
        </w:rPr>
        <w:tab/>
        <w:t xml:space="preserve">manages the </w:t>
      </w:r>
      <w:r w:rsidRPr="00472578">
        <w:rPr>
          <w:rFonts w:eastAsia="National-Book" w:cs="Times New Roman"/>
          <w:i/>
        </w:rPr>
        <w:t>effects</w:t>
      </w:r>
      <w:r w:rsidRPr="00472578">
        <w:rPr>
          <w:rFonts w:eastAsia="National-Book" w:cs="Times New Roman"/>
        </w:rPr>
        <w:t xml:space="preserve"> of the use and development of </w:t>
      </w:r>
      <w:r w:rsidRPr="00472578">
        <w:rPr>
          <w:rFonts w:eastAsia="National-Book" w:cs="Times New Roman"/>
          <w:i/>
        </w:rPr>
        <w:t>land</w:t>
      </w:r>
      <w:r w:rsidRPr="00472578">
        <w:rPr>
          <w:rFonts w:eastAsia="National-Book" w:cs="Times New Roman"/>
        </w:rPr>
        <w:t xml:space="preserve"> to maintain or enhance the health and well-being of </w:t>
      </w:r>
      <w:r w:rsidRPr="00472578">
        <w:rPr>
          <w:rFonts w:eastAsia="National-Book" w:cs="Times New Roman"/>
          <w:i/>
        </w:rPr>
        <w:t>freshwater</w:t>
      </w:r>
      <w:r w:rsidRPr="00472578">
        <w:rPr>
          <w:rFonts w:eastAsia="National-Book" w:cs="Times New Roman"/>
          <w:u w:val="single"/>
        </w:rPr>
        <w:t>,</w:t>
      </w:r>
      <w:r w:rsidRPr="00472578">
        <w:rPr>
          <w:rFonts w:eastAsia="National-Book" w:cs="Times New Roman"/>
          <w:i/>
        </w:rPr>
        <w:t xml:space="preserve"> </w:t>
      </w:r>
      <w:r w:rsidRPr="00472578">
        <w:rPr>
          <w:rFonts w:eastAsia="National-Book" w:cs="Times New Roman"/>
          <w:strike/>
        </w:rPr>
        <w:t>and</w:t>
      </w:r>
      <w:r w:rsidRPr="00472578">
        <w:rPr>
          <w:rFonts w:eastAsia="National-Book" w:cs="Times New Roman"/>
        </w:rPr>
        <w:t xml:space="preserve"> </w:t>
      </w:r>
      <w:r w:rsidRPr="00472578">
        <w:rPr>
          <w:rFonts w:eastAsia="National-Book" w:cs="Times New Roman"/>
          <w:i/>
        </w:rPr>
        <w:t xml:space="preserve">coastal water </w:t>
      </w:r>
      <w:r w:rsidRPr="00472578">
        <w:rPr>
          <w:rFonts w:eastAsia="National-Book" w:cs="Times New Roman"/>
          <w:u w:val="single"/>
        </w:rPr>
        <w:t>and associated ecosystems</w:t>
      </w:r>
      <w:r w:rsidRPr="00472578">
        <w:rPr>
          <w:rFonts w:eastAsia="National-Book" w:cs="Times New Roman"/>
        </w:rPr>
        <w:t>,</w:t>
      </w:r>
      <w:r w:rsidRPr="00472578">
        <w:rPr>
          <w:rFonts w:eastAsia="National-Book" w:cs="Times New Roman"/>
          <w:vertAlign w:val="superscript"/>
        </w:rPr>
        <w:footnoteReference w:id="753"/>
      </w:r>
    </w:p>
    <w:p w14:paraId="01142743" w14:textId="77777777" w:rsidR="009E3814" w:rsidRPr="00472578" w:rsidRDefault="009E3814" w:rsidP="00E92686">
      <w:pPr>
        <w:ind w:left="567" w:hanging="567"/>
        <w:jc w:val="both"/>
        <w:rPr>
          <w:rFonts w:eastAsia="National-Book" w:cs="Times New Roman"/>
        </w:rPr>
      </w:pPr>
      <w:r w:rsidRPr="00472578">
        <w:rPr>
          <w:rFonts w:eastAsia="National-Book" w:cs="Times New Roman"/>
        </w:rPr>
        <w:t>(5)</w:t>
      </w:r>
      <w:r w:rsidRPr="00472578">
        <w:rPr>
          <w:rFonts w:eastAsia="National-Book" w:cs="Times New Roman"/>
        </w:rPr>
        <w:tab/>
        <w:t>encourages the coordination and sequencing of regional or urban growth to ensure it is sustainable,</w:t>
      </w:r>
    </w:p>
    <w:p w14:paraId="7D32EAC3" w14:textId="77777777" w:rsidR="009E3814" w:rsidRPr="00472578" w:rsidRDefault="009E3814" w:rsidP="00E92686">
      <w:pPr>
        <w:ind w:left="567" w:hanging="567"/>
        <w:jc w:val="both"/>
        <w:rPr>
          <w:rFonts w:eastAsia="National-Book" w:cs="Times New Roman"/>
        </w:rPr>
      </w:pPr>
      <w:r w:rsidRPr="00472578">
        <w:rPr>
          <w:rFonts w:eastAsia="National-Book" w:cs="Times New Roman"/>
        </w:rPr>
        <w:lastRenderedPageBreak/>
        <w:t>(6)</w:t>
      </w:r>
      <w:r w:rsidRPr="00472578">
        <w:rPr>
          <w:rFonts w:eastAsia="National-Book" w:cs="Times New Roman"/>
        </w:rPr>
        <w:tab/>
        <w:t xml:space="preserve">has regard to foreseeable </w:t>
      </w:r>
      <w:r w:rsidRPr="00472578">
        <w:rPr>
          <w:rFonts w:eastAsia="National-Book" w:cs="Times New Roman"/>
          <w:i/>
        </w:rPr>
        <w:t>climate change</w:t>
      </w:r>
      <w:r w:rsidRPr="00472578">
        <w:rPr>
          <w:rFonts w:eastAsia="National-Book" w:cs="Times New Roman"/>
        </w:rPr>
        <w:t xml:space="preserve"> risks </w:t>
      </w:r>
      <w:r w:rsidRPr="00472578">
        <w:rPr>
          <w:rFonts w:eastAsia="National-Book" w:cs="Times New Roman"/>
          <w:u w:val="single"/>
        </w:rPr>
        <w:t>and the potential effects of climate change on water bodies</w:t>
      </w:r>
      <w:r w:rsidRPr="00472578">
        <w:rPr>
          <w:rFonts w:eastAsia="National-Book" w:cs="Times New Roman"/>
        </w:rPr>
        <w:t>,</w:t>
      </w:r>
      <w:r w:rsidRPr="00472578">
        <w:rPr>
          <w:rFonts w:eastAsia="National-Book" w:cs="Times New Roman"/>
          <w:vertAlign w:val="superscript"/>
        </w:rPr>
        <w:footnoteReference w:id="754"/>
      </w:r>
      <w:r w:rsidRPr="00472578">
        <w:rPr>
          <w:rFonts w:eastAsia="National-Book" w:cs="Times New Roman"/>
        </w:rPr>
        <w:t xml:space="preserve"> </w:t>
      </w:r>
      <w:r w:rsidRPr="00472578">
        <w:rPr>
          <w:rFonts w:eastAsia="National-Book" w:cs="Times New Roman"/>
          <w:strike/>
        </w:rPr>
        <w:t>and</w:t>
      </w:r>
    </w:p>
    <w:p w14:paraId="2565283D" w14:textId="77777777" w:rsidR="009E3814" w:rsidRPr="00472578" w:rsidRDefault="009E3814" w:rsidP="00E92686">
      <w:pPr>
        <w:ind w:left="567" w:hanging="567"/>
        <w:jc w:val="both"/>
        <w:rPr>
          <w:rFonts w:eastAsia="National-Book" w:cs="Times New Roman"/>
        </w:rPr>
      </w:pPr>
      <w:r w:rsidRPr="00472578">
        <w:rPr>
          <w:rFonts w:eastAsia="National-Book" w:cs="Times New Roman"/>
        </w:rPr>
        <w:t>(7)</w:t>
      </w:r>
      <w:r w:rsidRPr="00472578">
        <w:rPr>
          <w:rFonts w:eastAsia="National-Book" w:cs="Times New Roman"/>
        </w:rPr>
        <w:tab/>
        <w:t xml:space="preserve">has regard to cumulative </w:t>
      </w:r>
      <w:r w:rsidRPr="00472578">
        <w:rPr>
          <w:rFonts w:eastAsia="National-Book" w:cs="Times New Roman"/>
          <w:i/>
        </w:rPr>
        <w:t>effects</w:t>
      </w:r>
      <w:r w:rsidRPr="00472578">
        <w:rPr>
          <w:rFonts w:eastAsia="National-Book" w:cs="Times New Roman"/>
          <w:u w:val="single"/>
        </w:rPr>
        <w:t>,</w:t>
      </w:r>
      <w:r w:rsidRPr="00472578">
        <w:rPr>
          <w:rFonts w:eastAsia="National-Book" w:cs="Times New Roman"/>
        </w:rPr>
        <w:t xml:space="preserve"> and </w:t>
      </w:r>
    </w:p>
    <w:p w14:paraId="34C572AB" w14:textId="77777777" w:rsidR="009E3814" w:rsidRPr="00472578" w:rsidRDefault="009E3814" w:rsidP="00E92686">
      <w:pPr>
        <w:ind w:left="567" w:hanging="567"/>
        <w:jc w:val="both"/>
        <w:rPr>
          <w:rFonts w:eastAsia="National-Book" w:cs="Times New Roman"/>
        </w:rPr>
      </w:pPr>
      <w:r w:rsidRPr="00472578">
        <w:rPr>
          <w:rFonts w:eastAsia="National-Book" w:cs="Times New Roman"/>
          <w:u w:val="single"/>
        </w:rPr>
        <w:t>(8)</w:t>
      </w:r>
      <w:r w:rsidRPr="00472578">
        <w:rPr>
          <w:rFonts w:eastAsia="National-Book" w:cs="Times New Roman"/>
          <w:vertAlign w:val="superscript"/>
        </w:rPr>
        <w:footnoteReference w:id="755"/>
      </w:r>
      <w:r w:rsidRPr="00472578">
        <w:rPr>
          <w:rFonts w:eastAsia="National-Book" w:cs="Times New Roman"/>
        </w:rPr>
        <w:tab/>
      </w:r>
      <w:r w:rsidRPr="00472578">
        <w:rPr>
          <w:rFonts w:eastAsia="National-Book" w:cs="Times New Roman"/>
          <w:strike/>
        </w:rPr>
        <w:t>the need to apply</w:t>
      </w:r>
      <w:r w:rsidRPr="00472578">
        <w:rPr>
          <w:rFonts w:eastAsia="National-Book" w:cs="Times New Roman"/>
        </w:rPr>
        <w:t xml:space="preserve"> </w:t>
      </w:r>
      <w:r w:rsidRPr="00472578">
        <w:rPr>
          <w:rFonts w:eastAsia="National-Book" w:cs="Times New Roman"/>
          <w:u w:val="single"/>
        </w:rPr>
        <w:t>applies</w:t>
      </w:r>
      <w:r w:rsidRPr="00472578">
        <w:rPr>
          <w:rFonts w:eastAsia="National-Book" w:cs="Times New Roman"/>
          <w:vertAlign w:val="superscript"/>
        </w:rPr>
        <w:footnoteReference w:id="756"/>
      </w:r>
      <w:r w:rsidRPr="00472578">
        <w:rPr>
          <w:rFonts w:eastAsia="National-Book" w:cs="Times New Roman"/>
        </w:rPr>
        <w:t xml:space="preserve"> a precautionary approach where there is limited available information or uncertainty about potential adverse </w:t>
      </w:r>
      <w:r w:rsidRPr="00472578">
        <w:rPr>
          <w:rFonts w:eastAsia="National-Book" w:cs="Times New Roman"/>
          <w:i/>
        </w:rPr>
        <w:t>effects</w:t>
      </w:r>
      <w:r w:rsidRPr="00472578">
        <w:rPr>
          <w:rFonts w:eastAsia="National-Book" w:cs="Times New Roman"/>
        </w:rPr>
        <w:t>.</w:t>
      </w:r>
      <w:r w:rsidRPr="00472578">
        <w:rPr>
          <w:rFonts w:eastAsia="National-Book" w:cs="Times New Roman"/>
          <w:vertAlign w:val="superscript"/>
        </w:rPr>
        <w:footnoteReference w:id="757"/>
      </w:r>
    </w:p>
    <w:p w14:paraId="15CCE10A" w14:textId="77777777" w:rsidR="009E3814" w:rsidRPr="00472578" w:rsidRDefault="009E3814" w:rsidP="00E92686">
      <w:pPr>
        <w:pStyle w:val="Heading5"/>
        <w:jc w:val="both"/>
        <w:rPr>
          <w:b w:val="0"/>
        </w:rPr>
      </w:pPr>
      <w:r w:rsidRPr="00472578">
        <w:t xml:space="preserve">LF-WAI-P4 – Giving effect to </w:t>
      </w:r>
      <w:r w:rsidRPr="00472578">
        <w:rPr>
          <w:bCs w:val="0"/>
          <w:i/>
        </w:rPr>
        <w:t>Te Mana o te Wai</w:t>
      </w:r>
    </w:p>
    <w:p w14:paraId="6FE20B15" w14:textId="77777777" w:rsidR="009E3814" w:rsidRPr="00472578" w:rsidRDefault="009E3814" w:rsidP="00E92686">
      <w:pPr>
        <w:jc w:val="both"/>
        <w:rPr>
          <w:rFonts w:eastAsia="National-Book" w:cs="Times New Roman"/>
        </w:rPr>
      </w:pPr>
      <w:r w:rsidRPr="00472578">
        <w:rPr>
          <w:rFonts w:eastAsia="National-Book" w:cs="Times New Roman"/>
        </w:rPr>
        <w:t xml:space="preserve">All persons exercising functions and powers under this regional policy statement and all persons who use, </w:t>
      </w:r>
      <w:proofErr w:type="gramStart"/>
      <w:r w:rsidRPr="00472578">
        <w:rPr>
          <w:rFonts w:eastAsia="National-Book" w:cs="Times New Roman"/>
        </w:rPr>
        <w:t>develop</w:t>
      </w:r>
      <w:proofErr w:type="gramEnd"/>
      <w:r w:rsidRPr="00472578">
        <w:rPr>
          <w:rFonts w:eastAsia="National-Book" w:cs="Times New Roman"/>
        </w:rPr>
        <w:t xml:space="preserve"> or protect resources to which this regional policy statement applies must </w:t>
      </w:r>
      <w:r w:rsidRPr="00472578" w:rsidDel="000F65DB">
        <w:rPr>
          <w:rFonts w:eastAsia="National-Book" w:cs="Times New Roman"/>
        </w:rPr>
        <w:t>recognise that</w:t>
      </w:r>
      <w:r w:rsidRPr="00472578">
        <w:rPr>
          <w:rFonts w:eastAsia="National-Book" w:cs="Times New Roman"/>
        </w:rPr>
        <w:t xml:space="preserve"> LF-WAI-O1, LF-WAI-P1, LF-WAI-P2 and LF-WAI-P3 </w:t>
      </w:r>
      <w:r w:rsidRPr="00472578" w:rsidDel="00BA7378">
        <w:rPr>
          <w:rFonts w:eastAsia="National-Book" w:cs="Times New Roman"/>
        </w:rPr>
        <w:t xml:space="preserve">are fundamental to </w:t>
      </w:r>
      <w:r w:rsidRPr="00472578">
        <w:rPr>
          <w:rFonts w:eastAsia="National-Book" w:cs="Times New Roman"/>
        </w:rPr>
        <w:t xml:space="preserve">upholding </w:t>
      </w:r>
      <w:r w:rsidRPr="00472578">
        <w:rPr>
          <w:rFonts w:eastAsia="National-Book" w:cs="Times New Roman"/>
          <w:i/>
        </w:rPr>
        <w:t>Te Mana o te Wai</w:t>
      </w:r>
      <w:r w:rsidRPr="00472578">
        <w:rPr>
          <w:rFonts w:eastAsia="National-Book" w:cs="Times New Roman"/>
        </w:rPr>
        <w:t xml:space="preserve">, </w:t>
      </w:r>
      <w:r w:rsidRPr="00472578" w:rsidDel="000F65DB">
        <w:rPr>
          <w:rFonts w:eastAsia="National-Book" w:cs="Times New Roman"/>
        </w:rPr>
        <w:t>and must be given effect to</w:t>
      </w:r>
      <w:r w:rsidRPr="00472578" w:rsidDel="00BA7378">
        <w:rPr>
          <w:rFonts w:eastAsia="National-Book" w:cs="Times New Roman"/>
        </w:rPr>
        <w:t xml:space="preserve"> </w:t>
      </w:r>
      <w:r w:rsidRPr="00472578">
        <w:rPr>
          <w:rFonts w:eastAsia="National-Book" w:cs="Times New Roman"/>
        </w:rPr>
        <w:t xml:space="preserve">when making decisions affecting </w:t>
      </w:r>
      <w:r w:rsidRPr="00472578">
        <w:rPr>
          <w:rFonts w:eastAsia="National-Book" w:cs="Times New Roman"/>
          <w:i/>
        </w:rPr>
        <w:t xml:space="preserve">freshwater, </w:t>
      </w:r>
      <w:r w:rsidRPr="00472578">
        <w:rPr>
          <w:rFonts w:eastAsia="National-Book" w:cs="Times New Roman"/>
        </w:rPr>
        <w:t>including when interpreting and applying the provisions of the LF chapter.</w:t>
      </w:r>
    </w:p>
    <w:p w14:paraId="4DD00549" w14:textId="77777777" w:rsidR="009E3814" w:rsidRPr="00472578" w:rsidRDefault="009E3814" w:rsidP="00E92686">
      <w:pPr>
        <w:pStyle w:val="Heading4"/>
        <w:jc w:val="both"/>
        <w:rPr>
          <w:b w:val="0"/>
          <w:iCs w:val="0"/>
        </w:rPr>
      </w:pPr>
      <w:r w:rsidRPr="00472578">
        <w:t>Methods</w:t>
      </w:r>
    </w:p>
    <w:p w14:paraId="4067A7A6" w14:textId="77777777" w:rsidR="009E3814" w:rsidRPr="00472578" w:rsidRDefault="009E3814" w:rsidP="00E92686">
      <w:pPr>
        <w:pStyle w:val="Heading5"/>
        <w:jc w:val="both"/>
        <w:rPr>
          <w:b w:val="0"/>
        </w:rPr>
      </w:pPr>
      <w:r w:rsidRPr="00472578">
        <w:t xml:space="preserve">LF-WAI-M1 – </w:t>
      </w:r>
      <w:r w:rsidRPr="00472578">
        <w:rPr>
          <w:i/>
          <w:strike/>
        </w:rPr>
        <w:t>Mana whenua</w:t>
      </w:r>
      <w:r w:rsidRPr="00472578">
        <w:rPr>
          <w:strike/>
        </w:rPr>
        <w:t xml:space="preserve"> involvement</w:t>
      </w:r>
      <w:r w:rsidRPr="00472578">
        <w:t xml:space="preserve"> </w:t>
      </w:r>
      <w:r w:rsidRPr="00472578">
        <w:rPr>
          <w:u w:val="single"/>
        </w:rPr>
        <w:t>Kāi Tahu rakatirataka</w:t>
      </w:r>
      <w:r w:rsidRPr="00472578">
        <w:rPr>
          <w:b w:val="0"/>
          <w:vertAlign w:val="superscript"/>
        </w:rPr>
        <w:footnoteReference w:id="758"/>
      </w:r>
    </w:p>
    <w:p w14:paraId="639754E2" w14:textId="77777777" w:rsidR="009E3814" w:rsidRPr="00472578" w:rsidRDefault="009E3814" w:rsidP="00E92686">
      <w:pPr>
        <w:jc w:val="both"/>
      </w:pPr>
      <w:r w:rsidRPr="00472578">
        <w:t>Otago Regional Council must partner with K</w:t>
      </w:r>
      <w:r w:rsidRPr="00472578">
        <w:rPr>
          <w:rFonts w:cstheme="minorHAnsi"/>
        </w:rPr>
        <w:t>ā</w:t>
      </w:r>
      <w:r w:rsidRPr="00472578">
        <w:t xml:space="preserve">i Tahu in </w:t>
      </w:r>
      <w:r w:rsidRPr="00472578">
        <w:rPr>
          <w:i/>
          <w:iCs/>
        </w:rPr>
        <w:t>freshwater</w:t>
      </w:r>
      <w:r w:rsidRPr="00472578">
        <w:t xml:space="preserve"> management by:</w:t>
      </w:r>
    </w:p>
    <w:p w14:paraId="3FA04A2D" w14:textId="77777777" w:rsidR="009E3814" w:rsidRPr="00472578" w:rsidRDefault="009E3814" w:rsidP="00E92686">
      <w:pPr>
        <w:ind w:left="567" w:hanging="567"/>
        <w:jc w:val="both"/>
        <w:rPr>
          <w:rFonts w:eastAsia="National-Book" w:cs="Times New Roman"/>
        </w:rPr>
      </w:pPr>
      <w:r w:rsidRPr="00472578">
        <w:rPr>
          <w:rFonts w:eastAsia="National-Book" w:cs="Times New Roman"/>
        </w:rPr>
        <w:t>(1)</w:t>
      </w:r>
      <w:r w:rsidRPr="00472578">
        <w:tab/>
      </w:r>
      <w:r w:rsidRPr="00472578">
        <w:rPr>
          <w:rFonts w:eastAsia="National-Book" w:cs="Times New Roman"/>
        </w:rPr>
        <w:t>implementing the actions in MW-M3 and MW-M4,</w:t>
      </w:r>
    </w:p>
    <w:p w14:paraId="034A85A8" w14:textId="6F828037" w:rsidR="009E3814" w:rsidRPr="00472578" w:rsidRDefault="009E3814" w:rsidP="00E92686">
      <w:pPr>
        <w:ind w:left="567" w:hanging="567"/>
        <w:jc w:val="both"/>
      </w:pPr>
      <w:r w:rsidRPr="00472578">
        <w:rPr>
          <w:rFonts w:eastAsia="National-Book" w:cs="Times New Roman"/>
        </w:rPr>
        <w:t>(2)</w:t>
      </w:r>
      <w:r w:rsidRPr="00472578">
        <w:rPr>
          <w:rFonts w:eastAsia="National-Book" w:cs="Times New Roman"/>
        </w:rPr>
        <w:tab/>
      </w:r>
      <w:r w:rsidRPr="639E38F9">
        <w:t xml:space="preserve">actively identifying and pursuing opportunities for </w:t>
      </w:r>
      <w:r w:rsidRPr="639E38F9">
        <w:rPr>
          <w:i/>
        </w:rPr>
        <w:t>mana whenua</w:t>
      </w:r>
      <w:r w:rsidRPr="639E38F9">
        <w:t xml:space="preserve"> to be involved in </w:t>
      </w:r>
      <w:r w:rsidRPr="639E38F9">
        <w:rPr>
          <w:i/>
        </w:rPr>
        <w:t>freshwater</w:t>
      </w:r>
      <w:r w:rsidRPr="639E38F9">
        <w:t xml:space="preserve"> governance, including through use of available mechanisms such as transfers of functions (under section 33 of the RMA</w:t>
      </w:r>
      <w:r w:rsidRPr="639E38F9">
        <w:rPr>
          <w:strike/>
        </w:rPr>
        <w:t xml:space="preserve"> 1991</w:t>
      </w:r>
      <w:r w:rsidRPr="639E38F9">
        <w:t>)</w:t>
      </w:r>
      <w:r w:rsidR="0068219A" w:rsidRPr="639E38F9">
        <w:rPr>
          <w:rStyle w:val="FootnoteReference"/>
        </w:rPr>
        <w:footnoteReference w:id="759"/>
      </w:r>
      <w:r w:rsidRPr="639E38F9">
        <w:t xml:space="preserve"> and supporting the establishment of </w:t>
      </w:r>
      <w:r w:rsidRPr="639E38F9">
        <w:rPr>
          <w:i/>
        </w:rPr>
        <w:t>freshwater</w:t>
      </w:r>
      <w:r w:rsidRPr="639E38F9">
        <w:t xml:space="preserve"> mātaitai,</w:t>
      </w:r>
    </w:p>
    <w:p w14:paraId="5CF62152" w14:textId="77777777" w:rsidR="009E3814" w:rsidRPr="00472578" w:rsidRDefault="009E3814" w:rsidP="00E92686">
      <w:pPr>
        <w:ind w:left="567" w:hanging="567"/>
        <w:jc w:val="both"/>
      </w:pPr>
      <w:r w:rsidRPr="00472578">
        <w:rPr>
          <w:rFonts w:eastAsia="National-Book" w:cs="Times New Roman"/>
        </w:rPr>
        <w:t>(3)</w:t>
      </w:r>
      <w:r w:rsidRPr="00472578">
        <w:rPr>
          <w:rFonts w:eastAsia="National-Book" w:cs="Times New Roman"/>
        </w:rPr>
        <w:tab/>
        <w:t>implementing</w:t>
      </w:r>
      <w:r w:rsidRPr="00472578">
        <w:t xml:space="preserve"> actions to foster the development of </w:t>
      </w:r>
      <w:r w:rsidRPr="00472578">
        <w:rPr>
          <w:i/>
        </w:rPr>
        <w:t>mana whenua</w:t>
      </w:r>
      <w:r w:rsidRPr="00472578">
        <w:t xml:space="preserve"> capacity to contribute to the Council’s decision-making processes, including resourcing, </w:t>
      </w:r>
    </w:p>
    <w:p w14:paraId="696935D5" w14:textId="77777777" w:rsidR="009E3814" w:rsidRPr="00472578" w:rsidRDefault="009E3814" w:rsidP="00E92686">
      <w:pPr>
        <w:ind w:left="567" w:hanging="567"/>
        <w:jc w:val="both"/>
      </w:pPr>
      <w:r w:rsidRPr="00472578">
        <w:t>(4)</w:t>
      </w:r>
      <w:r w:rsidRPr="00472578">
        <w:tab/>
        <w:t xml:space="preserve">supporting </w:t>
      </w:r>
      <w:r w:rsidRPr="00472578">
        <w:rPr>
          <w:i/>
          <w:iCs/>
        </w:rPr>
        <w:t>mana whenua</w:t>
      </w:r>
      <w:r w:rsidRPr="00472578">
        <w:t xml:space="preserve"> initiatives that contribute to maintaining or improving the health and well-being of </w:t>
      </w:r>
      <w:r w:rsidRPr="00472578">
        <w:rPr>
          <w:i/>
          <w:iCs/>
        </w:rPr>
        <w:t>water bodies</w:t>
      </w:r>
      <w:r w:rsidRPr="00472578">
        <w:t xml:space="preserve">, </w:t>
      </w:r>
      <w:r w:rsidRPr="00472578">
        <w:rPr>
          <w:strike/>
        </w:rPr>
        <w:t>and</w:t>
      </w:r>
    </w:p>
    <w:p w14:paraId="04432491" w14:textId="77777777" w:rsidR="009E3814" w:rsidRPr="00472578" w:rsidRDefault="009E3814" w:rsidP="00E92686">
      <w:pPr>
        <w:ind w:left="567" w:hanging="567"/>
        <w:jc w:val="both"/>
        <w:rPr>
          <w:u w:val="single"/>
        </w:rPr>
      </w:pPr>
      <w:r w:rsidRPr="00472578">
        <w:rPr>
          <w:rFonts w:eastAsia="National-Book" w:cs="Times New Roman"/>
        </w:rPr>
        <w:t>(5)</w:t>
      </w:r>
      <w:r w:rsidRPr="00472578">
        <w:rPr>
          <w:rFonts w:eastAsia="National-Book" w:cs="Times New Roman"/>
        </w:rPr>
        <w:tab/>
        <w:t>providing</w:t>
      </w:r>
      <w:r w:rsidRPr="00472578">
        <w:t xml:space="preserve"> relevant information to </w:t>
      </w:r>
      <w:r w:rsidRPr="00472578">
        <w:rPr>
          <w:i/>
        </w:rPr>
        <w:t>mana whenua</w:t>
      </w:r>
      <w:r w:rsidRPr="00472578">
        <w:t xml:space="preserve"> for the purposes of (1), (2), (3) and (4)</w:t>
      </w:r>
      <w:r w:rsidRPr="00472578">
        <w:rPr>
          <w:strike/>
        </w:rPr>
        <w:t>.</w:t>
      </w:r>
      <w:r w:rsidRPr="00472578">
        <w:rPr>
          <w:u w:val="single"/>
        </w:rPr>
        <w:t>, and</w:t>
      </w:r>
    </w:p>
    <w:p w14:paraId="1EDE8FA4" w14:textId="77777777" w:rsidR="009E3814" w:rsidRPr="00472578" w:rsidRDefault="009E3814" w:rsidP="00E92686">
      <w:pPr>
        <w:ind w:left="567" w:hanging="567"/>
        <w:jc w:val="both"/>
      </w:pPr>
      <w:r w:rsidRPr="00472578">
        <w:rPr>
          <w:u w:val="single"/>
        </w:rPr>
        <w:t>(6)</w:t>
      </w:r>
      <w:r w:rsidRPr="00472578">
        <w:rPr>
          <w:u w:val="single"/>
        </w:rPr>
        <w:tab/>
      </w:r>
      <w:r w:rsidRPr="00472578">
        <w:rPr>
          <w:u w:val="single"/>
          <w:lang w:val="en-US"/>
        </w:rPr>
        <w:t xml:space="preserve">developing a kaupapa Kāi Tahu monitoring programme and facilitating the use of mātauraka to inform freshwater management decision-making processes, </w:t>
      </w:r>
      <w:proofErr w:type="gramStart"/>
      <w:r w:rsidRPr="00472578">
        <w:rPr>
          <w:u w:val="single"/>
          <w:lang w:val="en-US"/>
        </w:rPr>
        <w:t>methods</w:t>
      </w:r>
      <w:proofErr w:type="gramEnd"/>
      <w:r w:rsidRPr="00472578">
        <w:rPr>
          <w:u w:val="single"/>
          <w:lang w:val="en-US"/>
        </w:rPr>
        <w:t xml:space="preserve"> and outcomes, in combination with environmental science.</w:t>
      </w:r>
      <w:r w:rsidRPr="00472578">
        <w:rPr>
          <w:vertAlign w:val="superscript"/>
          <w:lang w:val="en-US"/>
        </w:rPr>
        <w:footnoteReference w:id="760"/>
      </w:r>
    </w:p>
    <w:p w14:paraId="5B394C8F" w14:textId="77777777" w:rsidR="009E3814" w:rsidRPr="00472578" w:rsidRDefault="009E3814" w:rsidP="00E92686">
      <w:pPr>
        <w:pStyle w:val="Heading5"/>
        <w:jc w:val="both"/>
        <w:rPr>
          <w:b w:val="0"/>
        </w:rPr>
      </w:pPr>
      <w:r w:rsidRPr="00472578">
        <w:t xml:space="preserve">LF-WAI-M2 – Other methods </w:t>
      </w:r>
    </w:p>
    <w:p w14:paraId="403AFCD1" w14:textId="77777777" w:rsidR="009E3814" w:rsidRPr="00472578" w:rsidRDefault="009E3814" w:rsidP="00E92686">
      <w:pPr>
        <w:jc w:val="both"/>
      </w:pPr>
      <w:r w:rsidRPr="00472578">
        <w:t>In addition to method LF-WAI-M1, the methods in the LF-VM, LF-FW, and LF-LS sections are also applicable.</w:t>
      </w:r>
    </w:p>
    <w:p w14:paraId="3201A2DC" w14:textId="77777777" w:rsidR="009E3814" w:rsidRPr="00472578" w:rsidRDefault="009E3814" w:rsidP="00E92686">
      <w:pPr>
        <w:pStyle w:val="Heading4"/>
        <w:jc w:val="both"/>
        <w:rPr>
          <w:b w:val="0"/>
          <w:iCs w:val="0"/>
        </w:rPr>
      </w:pPr>
      <w:r w:rsidRPr="00472578">
        <w:lastRenderedPageBreak/>
        <w:t>Explanation</w:t>
      </w:r>
    </w:p>
    <w:p w14:paraId="03D1AFF6" w14:textId="77777777" w:rsidR="009E3814" w:rsidRPr="00472578" w:rsidRDefault="009E3814" w:rsidP="00E92686">
      <w:pPr>
        <w:pStyle w:val="Heading5"/>
        <w:jc w:val="both"/>
        <w:rPr>
          <w:b w:val="0"/>
        </w:rPr>
      </w:pPr>
      <w:r w:rsidRPr="00472578">
        <w:t>LF-WAI-E1 – Explanation</w:t>
      </w:r>
    </w:p>
    <w:p w14:paraId="1E582246" w14:textId="5BF48F89" w:rsidR="009E3814" w:rsidRPr="00472578" w:rsidRDefault="009E3814" w:rsidP="00E92686">
      <w:pPr>
        <w:jc w:val="both"/>
      </w:pPr>
      <w:bookmarkStart w:id="154" w:name="_Hlk72410325"/>
      <w:r w:rsidRPr="00472578">
        <w:t xml:space="preserve">Water is a central element in Kāi Tahu creation traditions. It was present very early in the whakapapa of the world: in the beginning there was total darkness, followed by the emergence of light and a great void of nothingness. In time Maku mated with Mahoronuiatea which resulted in great expanses of water, then </w:t>
      </w:r>
      <w:r w:rsidRPr="00472578">
        <w:rPr>
          <w:strike/>
        </w:rPr>
        <w:t>Papatūanuku</w:t>
      </w:r>
      <w:r w:rsidRPr="00472578">
        <w:t xml:space="preserve"> </w:t>
      </w:r>
      <w:r w:rsidRPr="00472578">
        <w:rPr>
          <w:u w:val="single"/>
        </w:rPr>
        <w:t>Papat</w:t>
      </w:r>
      <w:r w:rsidRPr="639E38F9">
        <w:rPr>
          <w:u w:val="single"/>
        </w:rPr>
        <w:t>ūānuku</w:t>
      </w:r>
      <w:r w:rsidRPr="639E38F9">
        <w:rPr>
          <w:rStyle w:val="FootnoteReference"/>
        </w:rPr>
        <w:footnoteReference w:id="761"/>
      </w:r>
      <w:r w:rsidRPr="00472578">
        <w:t xml:space="preserve"> and Takaroa met and had children after which Takaroa took a long absence. </w:t>
      </w:r>
      <w:r w:rsidRPr="00472578">
        <w:rPr>
          <w:strike/>
        </w:rPr>
        <w:t>Papatūanuku</w:t>
      </w:r>
      <w:r w:rsidRPr="00472578">
        <w:t xml:space="preserve"> </w:t>
      </w:r>
      <w:r w:rsidRPr="00472578">
        <w:rPr>
          <w:u w:val="single"/>
        </w:rPr>
        <w:t>Papat</w:t>
      </w:r>
      <w:r w:rsidRPr="639E38F9">
        <w:rPr>
          <w:u w:val="single"/>
        </w:rPr>
        <w:t>ūānuku</w:t>
      </w:r>
      <w:r w:rsidRPr="639E38F9">
        <w:rPr>
          <w:rStyle w:val="FootnoteReference"/>
        </w:rPr>
        <w:footnoteReference w:id="762"/>
      </w:r>
      <w:r w:rsidRPr="00472578">
        <w:t xml:space="preserve"> met Rakinui and they had many children who conspired to force their parents’ coupled bodies apart to let the light in. They were also responsible for creating many of the elements that constitute our world today - the mountains, rivers, forests and seas, and all fish, </w:t>
      </w:r>
      <w:proofErr w:type="gramStart"/>
      <w:r w:rsidRPr="00472578">
        <w:t>bird</w:t>
      </w:r>
      <w:proofErr w:type="gramEnd"/>
      <w:r w:rsidRPr="00472578">
        <w:t xml:space="preserve"> and animal life.</w:t>
      </w:r>
      <w:r w:rsidR="005B577C">
        <w:t xml:space="preserve"> </w:t>
      </w:r>
      <w:r w:rsidRPr="00472578">
        <w:t>T</w:t>
      </w:r>
      <w:r w:rsidRPr="00472578">
        <w:rPr>
          <w:u w:val="single"/>
        </w:rPr>
        <w:t>o Kāi Tahu, t</w:t>
      </w:r>
      <w:r w:rsidRPr="00472578">
        <w:t>he</w:t>
      </w:r>
      <w:r w:rsidRPr="00472578">
        <w:rPr>
          <w:vertAlign w:val="superscript"/>
        </w:rPr>
        <w:footnoteReference w:id="763"/>
      </w:r>
      <w:r w:rsidRPr="00472578">
        <w:t xml:space="preserve"> whakapapa and spiritual source of </w:t>
      </w:r>
      <w:r w:rsidRPr="00472578">
        <w:rPr>
          <w:i/>
        </w:rPr>
        <w:t>water</w:t>
      </w:r>
      <w:r w:rsidRPr="00472578">
        <w:t xml:space="preserve"> and </w:t>
      </w:r>
      <w:r w:rsidRPr="00472578">
        <w:rPr>
          <w:i/>
        </w:rPr>
        <w:t>land</w:t>
      </w:r>
      <w:r w:rsidRPr="00472578">
        <w:t xml:space="preserve"> are connected, and </w:t>
      </w:r>
      <w:r w:rsidRPr="00472578">
        <w:rPr>
          <w:i/>
        </w:rPr>
        <w:t>water bodies</w:t>
      </w:r>
      <w:r w:rsidRPr="00472578">
        <w:t xml:space="preserve"> are the central unifying feature that connects our landscapes together. The spiritual essence of </w:t>
      </w:r>
      <w:r w:rsidRPr="00472578">
        <w:rPr>
          <w:i/>
        </w:rPr>
        <w:t>water</w:t>
      </w:r>
      <w:r w:rsidRPr="00472578">
        <w:t xml:space="preserve"> derives from the atua and the life it exudes </w:t>
      </w:r>
      <w:proofErr w:type="gramStart"/>
      <w:r w:rsidRPr="00472578">
        <w:t>is a reflection of</w:t>
      </w:r>
      <w:proofErr w:type="gramEnd"/>
      <w:r w:rsidRPr="00472578">
        <w:t xml:space="preserve"> the atua. </w:t>
      </w:r>
    </w:p>
    <w:p w14:paraId="362789DB" w14:textId="4E273D08" w:rsidR="009E3814" w:rsidRPr="00472578" w:rsidRDefault="009E3814" w:rsidP="00E92686">
      <w:pPr>
        <w:jc w:val="both"/>
        <w:rPr>
          <w:rFonts w:cstheme="minorHAnsi"/>
        </w:rPr>
      </w:pPr>
      <w:r w:rsidRPr="639E38F9">
        <w:t>T</w:t>
      </w:r>
      <w:r w:rsidRPr="639E38F9">
        <w:rPr>
          <w:u w:val="single"/>
        </w:rPr>
        <w:t>o Kāi Tahu, t</w:t>
      </w:r>
      <w:r w:rsidRPr="639E38F9">
        <w:t>he</w:t>
      </w:r>
      <w:r w:rsidRPr="639E38F9">
        <w:rPr>
          <w:vertAlign w:val="superscript"/>
        </w:rPr>
        <w:footnoteReference w:id="764"/>
      </w:r>
      <w:r w:rsidRPr="639E38F9">
        <w:t xml:space="preserve"> whakapapa of </w:t>
      </w:r>
      <w:r w:rsidRPr="639E38F9">
        <w:rPr>
          <w:i/>
        </w:rPr>
        <w:t>mana whenua</w:t>
      </w:r>
      <w:r w:rsidRPr="639E38F9">
        <w:t xml:space="preserve"> and water are also integrally connected. There is a close kinship relationship, and </w:t>
      </w:r>
      <w:r w:rsidRPr="639E38F9">
        <w:rPr>
          <w:i/>
        </w:rPr>
        <w:t>mana whenua</w:t>
      </w:r>
      <w:r w:rsidRPr="639E38F9">
        <w:t xml:space="preserve"> and the wai </w:t>
      </w:r>
      <w:r w:rsidRPr="639E38F9">
        <w:rPr>
          <w:u w:val="single"/>
        </w:rPr>
        <w:t>(water)</w:t>
      </w:r>
      <w:r w:rsidRPr="00472578">
        <w:rPr>
          <w:rStyle w:val="FootnoteReference"/>
        </w:rPr>
        <w:footnoteReference w:id="765"/>
      </w:r>
      <w:r w:rsidRPr="639E38F9">
        <w:t xml:space="preserve"> cannot be separated. The tūpuna relationship with water, and the different uses made of the </w:t>
      </w:r>
      <w:r w:rsidRPr="639E38F9">
        <w:rPr>
          <w:i/>
        </w:rPr>
        <w:t>water</w:t>
      </w:r>
      <w:r w:rsidRPr="639E38F9">
        <w:t xml:space="preserve">, provide a daily reminder of greater powers – of both the atua </w:t>
      </w:r>
      <w:r w:rsidRPr="639E38F9">
        <w:rPr>
          <w:u w:val="single"/>
        </w:rPr>
        <w:t>(gods)</w:t>
      </w:r>
      <w:r w:rsidRPr="00472578">
        <w:rPr>
          <w:rStyle w:val="FootnoteReference"/>
        </w:rPr>
        <w:footnoteReference w:id="766"/>
      </w:r>
      <w:r w:rsidRPr="639E38F9">
        <w:t xml:space="preserve"> and tūpuna </w:t>
      </w:r>
      <w:r w:rsidRPr="639E38F9">
        <w:rPr>
          <w:u w:val="single"/>
        </w:rPr>
        <w:t>(ancestors)</w:t>
      </w:r>
      <w:r w:rsidRPr="639E38F9">
        <w:t>.</w:t>
      </w:r>
      <w:r w:rsidRPr="00472578">
        <w:rPr>
          <w:rStyle w:val="FootnoteReference"/>
        </w:rPr>
        <w:footnoteReference w:id="767"/>
      </w:r>
      <w:r w:rsidRPr="639E38F9">
        <w:t xml:space="preserve"> This relationship continues into the present and future and is central to the identity of Kāi Tahu. The mana of wai is sourced from the time of creation and the work of kā Atua, invoking a reciprocal relationship with </w:t>
      </w:r>
      <w:r w:rsidRPr="639E38F9">
        <w:rPr>
          <w:i/>
        </w:rPr>
        <w:t>mana whenua</w:t>
      </w:r>
      <w:r w:rsidRPr="639E38F9">
        <w:t xml:space="preserve"> based in kawa, tika</w:t>
      </w:r>
      <w:r w:rsidR="00B547D8" w:rsidRPr="639E38F9">
        <w:t>k</w:t>
      </w:r>
      <w:r w:rsidRPr="639E38F9">
        <w:t xml:space="preserve">a </w:t>
      </w:r>
      <w:r w:rsidRPr="639E38F9">
        <w:rPr>
          <w:u w:val="single"/>
        </w:rPr>
        <w:t>(customary practices or values)</w:t>
      </w:r>
      <w:r w:rsidRPr="00472578">
        <w:rPr>
          <w:rStyle w:val="FootnoteReference"/>
        </w:rPr>
        <w:footnoteReference w:id="768"/>
      </w:r>
      <w:r w:rsidRPr="639E38F9">
        <w:t xml:space="preserve"> and respect for </w:t>
      </w:r>
      <w:r w:rsidRPr="639E38F9">
        <w:rPr>
          <w:i/>
        </w:rPr>
        <w:t>water’s</w:t>
      </w:r>
      <w:r w:rsidRPr="639E38F9">
        <w:t xml:space="preserve"> life-giving powers and its sanctity.</w:t>
      </w:r>
    </w:p>
    <w:p w14:paraId="25E079C4" w14:textId="489E738E" w:rsidR="009E3814" w:rsidRPr="00472578" w:rsidRDefault="009E3814" w:rsidP="00E92686">
      <w:pPr>
        <w:jc w:val="both"/>
        <w:rPr>
          <w:rFonts w:cstheme="minorHAnsi"/>
        </w:rPr>
      </w:pPr>
      <w:r w:rsidRPr="639E38F9">
        <w:t xml:space="preserve">The kinship connection engenders a range of rights and responsibilities for </w:t>
      </w:r>
      <w:r w:rsidRPr="639E38F9">
        <w:rPr>
          <w:i/>
        </w:rPr>
        <w:t>mana whenua</w:t>
      </w:r>
      <w:r w:rsidRPr="639E38F9">
        <w:t xml:space="preserve">, including rakatirataka rights and the responsibility of kaitiakitaka. Kaitiakitaka encompasses a high duty to uphold and maintain the mauri </w:t>
      </w:r>
      <w:r w:rsidRPr="639E38F9">
        <w:rPr>
          <w:u w:val="single"/>
        </w:rPr>
        <w:t>(life-force)</w:t>
      </w:r>
      <w:r w:rsidRPr="00472578">
        <w:rPr>
          <w:rStyle w:val="FootnoteReference"/>
        </w:rPr>
        <w:footnoteReference w:id="769"/>
      </w:r>
      <w:r w:rsidRPr="639E38F9">
        <w:t xml:space="preserve"> of the wai. If the mauri is degraded it has an impact not only on the mana of the wai but also on the kinship relationship and on </w:t>
      </w:r>
      <w:r w:rsidRPr="639E38F9">
        <w:rPr>
          <w:i/>
        </w:rPr>
        <w:t>mana whenua</w:t>
      </w:r>
      <w:r w:rsidRPr="639E38F9">
        <w:t xml:space="preserve">. The mauri expresses mana and connection, which can only be defined by </w:t>
      </w:r>
      <w:r w:rsidRPr="639E38F9">
        <w:rPr>
          <w:i/>
        </w:rPr>
        <w:t>mana whenua</w:t>
      </w:r>
      <w:r w:rsidRPr="639E38F9">
        <w:t>.</w:t>
      </w:r>
      <w:r w:rsidR="005B577C" w:rsidRPr="639E38F9">
        <w:t xml:space="preserve"> </w:t>
      </w:r>
      <w:r w:rsidRPr="639E38F9">
        <w:t xml:space="preserve">Recognising rakatirataka enables </w:t>
      </w:r>
      <w:r w:rsidRPr="639E38F9">
        <w:rPr>
          <w:i/>
        </w:rPr>
        <w:t>mana whenua</w:t>
      </w:r>
      <w:r w:rsidRPr="639E38F9">
        <w:t xml:space="preserve"> to enjoy their rights over </w:t>
      </w:r>
      <w:r w:rsidRPr="639E38F9">
        <w:rPr>
          <w:i/>
        </w:rPr>
        <w:t>water bodies</w:t>
      </w:r>
      <w:r w:rsidRPr="639E38F9">
        <w:t xml:space="preserve"> and fulfil their responsibilities to care for the wai and the communities it sustains.</w:t>
      </w:r>
    </w:p>
    <w:p w14:paraId="2FAC1A90" w14:textId="6102BC51" w:rsidR="009E3814" w:rsidRPr="00472578" w:rsidRDefault="009E3814" w:rsidP="00E92686">
      <w:pPr>
        <w:jc w:val="both"/>
        <w:rPr>
          <w:rFonts w:cstheme="minorHAnsi"/>
        </w:rPr>
      </w:pPr>
      <w:r w:rsidRPr="639E38F9">
        <w:t xml:space="preserve">The condition of </w:t>
      </w:r>
      <w:r w:rsidRPr="639E38F9">
        <w:rPr>
          <w:i/>
        </w:rPr>
        <w:t>water</w:t>
      </w:r>
      <w:r w:rsidRPr="639E38F9">
        <w:t xml:space="preserve"> is seen as a reflection of the condition of the people - when the wai is healthy, so are the people. Kawa and tikaka have been developed over the generations, based on customs and values associated with the Māori world view that span the generations</w:t>
      </w:r>
      <w:r w:rsidRPr="639E38F9">
        <w:rPr>
          <w:u w:val="single"/>
        </w:rPr>
        <w:t>.</w:t>
      </w:r>
      <w:r w:rsidRPr="639E38F9">
        <w:rPr>
          <w:strike/>
        </w:rPr>
        <w:t xml:space="preserve">, recognising and honouring </w:t>
      </w:r>
      <w:r w:rsidRPr="639E38F9">
        <w:rPr>
          <w:u w:val="single"/>
        </w:rPr>
        <w:t>Implementing</w:t>
      </w:r>
      <w:r w:rsidRPr="639E38F9">
        <w:t xml:space="preserve"> </w:t>
      </w:r>
      <w:r w:rsidRPr="639E38F9">
        <w:rPr>
          <w:strike/>
        </w:rPr>
        <w:t>t</w:t>
      </w:r>
      <w:r w:rsidRPr="639E38F9">
        <w:t xml:space="preserve">e </w:t>
      </w:r>
      <w:r w:rsidRPr="639E38F9">
        <w:rPr>
          <w:strike/>
        </w:rPr>
        <w:t>mana</w:t>
      </w:r>
      <w:r w:rsidR="00C175A6" w:rsidRPr="639E38F9">
        <w:rPr>
          <w:strike/>
        </w:rPr>
        <w:t xml:space="preserve"> </w:t>
      </w:r>
      <w:r w:rsidRPr="639E38F9">
        <w:rPr>
          <w:u w:val="single"/>
        </w:rPr>
        <w:t>Te Mana</w:t>
      </w:r>
      <w:r w:rsidRPr="639E38F9">
        <w:t xml:space="preserve"> o te </w:t>
      </w:r>
      <w:r w:rsidRPr="639E38F9">
        <w:rPr>
          <w:strike/>
        </w:rPr>
        <w:t>wai</w:t>
      </w:r>
      <w:r w:rsidR="00C175A6" w:rsidRPr="639E38F9">
        <w:t xml:space="preserve"> </w:t>
      </w:r>
      <w:r w:rsidRPr="639E38F9">
        <w:rPr>
          <w:u w:val="single"/>
        </w:rPr>
        <w:t>Wai</w:t>
      </w:r>
      <w:r w:rsidRPr="639E38F9">
        <w:t xml:space="preserve"> </w:t>
      </w:r>
      <w:r w:rsidRPr="639E38F9">
        <w:rPr>
          <w:strike/>
        </w:rPr>
        <w:t>and upholding</w:t>
      </w:r>
      <w:r w:rsidR="00C175A6" w:rsidRPr="639E38F9">
        <w:t xml:space="preserve"> </w:t>
      </w:r>
      <w:r w:rsidRPr="639E38F9">
        <w:rPr>
          <w:u w:val="single"/>
        </w:rPr>
        <w:t>uphold</w:t>
      </w:r>
      <w:r w:rsidR="00C175A6" w:rsidRPr="639E38F9">
        <w:rPr>
          <w:u w:val="single"/>
        </w:rPr>
        <w:t>s</w:t>
      </w:r>
      <w:r w:rsidRPr="639E38F9">
        <w:t xml:space="preserve"> the mauri of the wai </w:t>
      </w:r>
      <w:r w:rsidRPr="639E38F9">
        <w:rPr>
          <w:u w:val="single"/>
        </w:rPr>
        <w:t>and</w:t>
      </w:r>
      <w:r w:rsidRPr="639E38F9">
        <w:t xml:space="preserve"> is consistent with this value base.</w:t>
      </w:r>
      <w:r w:rsidRPr="639E38F9">
        <w:rPr>
          <w:vertAlign w:val="superscript"/>
        </w:rPr>
        <w:footnoteReference w:id="770"/>
      </w:r>
    </w:p>
    <w:p w14:paraId="7883CF4A" w14:textId="01C3EB6D" w:rsidR="009E3814" w:rsidRPr="00472578" w:rsidRDefault="009E3814" w:rsidP="00E92686">
      <w:pPr>
        <w:jc w:val="both"/>
        <w:rPr>
          <w:rFonts w:cstheme="minorHAnsi"/>
        </w:rPr>
      </w:pPr>
      <w:r w:rsidRPr="639E38F9">
        <w:rPr>
          <w:u w:val="single"/>
        </w:rPr>
        <w:lastRenderedPageBreak/>
        <w:t>To Kāi Tahu,</w:t>
      </w:r>
      <w:r w:rsidRPr="639E38F9">
        <w:t xml:space="preserve"> </w:t>
      </w:r>
      <w:proofErr w:type="gramStart"/>
      <w:r w:rsidRPr="639E38F9">
        <w:rPr>
          <w:strike/>
        </w:rPr>
        <w:t>Each</w:t>
      </w:r>
      <w:proofErr w:type="gramEnd"/>
      <w:r w:rsidR="00E55F25" w:rsidRPr="639E38F9">
        <w:t xml:space="preserve"> </w:t>
      </w:r>
      <w:r w:rsidRPr="639E38F9">
        <w:rPr>
          <w:u w:val="single"/>
        </w:rPr>
        <w:t>each</w:t>
      </w:r>
      <w:r w:rsidRPr="639E38F9">
        <w:rPr>
          <w:vertAlign w:val="superscript"/>
        </w:rPr>
        <w:footnoteReference w:id="771"/>
      </w:r>
      <w:r w:rsidRPr="639E38F9">
        <w:t xml:space="preserve"> </w:t>
      </w:r>
      <w:r w:rsidRPr="639E38F9">
        <w:rPr>
          <w:i/>
        </w:rPr>
        <w:t>water body</w:t>
      </w:r>
      <w:r w:rsidRPr="639E38F9">
        <w:t xml:space="preserve"> is unique. This </w:t>
      </w:r>
      <w:proofErr w:type="gramStart"/>
      <w:r w:rsidRPr="639E38F9">
        <w:t>is a reflection of</w:t>
      </w:r>
      <w:proofErr w:type="gramEnd"/>
      <w:r w:rsidRPr="639E38F9">
        <w:t xml:space="preserve"> its unique whakapapa and characteristics, and it means that each </w:t>
      </w:r>
      <w:r w:rsidRPr="639E38F9">
        <w:rPr>
          <w:i/>
        </w:rPr>
        <w:t>water body</w:t>
      </w:r>
      <w:r w:rsidRPr="639E38F9">
        <w:t xml:space="preserve"> has different needs. Management and use must recognise and reflect this.</w:t>
      </w:r>
    </w:p>
    <w:p w14:paraId="73B446EF" w14:textId="77777777" w:rsidR="009E3814" w:rsidRPr="00472578" w:rsidRDefault="009E3814" w:rsidP="00E92686">
      <w:pPr>
        <w:jc w:val="both"/>
        <w:rPr>
          <w:rFonts w:cstheme="minorHAnsi"/>
          <w:u w:val="single"/>
        </w:rPr>
      </w:pPr>
      <w:r w:rsidRPr="639E38F9">
        <w:rPr>
          <w:u w:val="single"/>
        </w:rPr>
        <w:t xml:space="preserve">The concept of </w:t>
      </w:r>
      <w:r w:rsidRPr="639E38F9">
        <w:rPr>
          <w:i/>
          <w:u w:val="single"/>
        </w:rPr>
        <w:t>Te Mana o te Wai</w:t>
      </w:r>
      <w:r w:rsidRPr="639E38F9">
        <w:rPr>
          <w:u w:val="single"/>
        </w:rPr>
        <w:t xml:space="preserve"> aligns closely with the Kāi Tahu approach to </w:t>
      </w:r>
      <w:r w:rsidRPr="639E38F9">
        <w:rPr>
          <w:i/>
          <w:u w:val="single"/>
        </w:rPr>
        <w:t>freshwater</w:t>
      </w:r>
      <w:r w:rsidRPr="639E38F9">
        <w:rPr>
          <w:u w:val="single"/>
        </w:rPr>
        <w:t xml:space="preserve"> management, but it is not confined to Kāi Tahu.</w:t>
      </w:r>
      <w:r w:rsidRPr="639E38F9">
        <w:rPr>
          <w:vertAlign w:val="superscript"/>
        </w:rPr>
        <w:footnoteReference w:id="772"/>
      </w:r>
      <w:r w:rsidRPr="639E38F9">
        <w:t xml:space="preserve"> </w:t>
      </w:r>
      <w:r w:rsidRPr="639E38F9">
        <w:rPr>
          <w:i/>
          <w:u w:val="single"/>
        </w:rPr>
        <w:t>Water</w:t>
      </w:r>
      <w:r w:rsidRPr="639E38F9">
        <w:rPr>
          <w:u w:val="single"/>
        </w:rPr>
        <w:t xml:space="preserve"> is valued by the community.</w:t>
      </w:r>
      <w:r w:rsidRPr="639E38F9">
        <w:rPr>
          <w:vertAlign w:val="superscript"/>
        </w:rPr>
        <w:footnoteReference w:id="773"/>
      </w:r>
      <w:r w:rsidRPr="639E38F9">
        <w:t xml:space="preserve"> </w:t>
      </w:r>
      <w:r w:rsidRPr="639E38F9">
        <w:rPr>
          <w:u w:val="single"/>
        </w:rPr>
        <w:t xml:space="preserve">The life-giving qualities of </w:t>
      </w:r>
      <w:r w:rsidRPr="639E38F9">
        <w:rPr>
          <w:i/>
          <w:u w:val="single"/>
        </w:rPr>
        <w:t>freshwater</w:t>
      </w:r>
      <w:r w:rsidRPr="639E38F9">
        <w:rPr>
          <w:u w:val="single"/>
        </w:rPr>
        <w:t xml:space="preserve"> support the health and well-being of the whole community and all people have a shared responsibility to respect and care for the health and well-being of </w:t>
      </w:r>
      <w:r w:rsidRPr="639E38F9">
        <w:rPr>
          <w:i/>
          <w:u w:val="single"/>
        </w:rPr>
        <w:t>freshwater bodies</w:t>
      </w:r>
      <w:r w:rsidRPr="639E38F9">
        <w:rPr>
          <w:u w:val="single"/>
        </w:rPr>
        <w:t>.</w:t>
      </w:r>
      <w:r w:rsidRPr="639E38F9">
        <w:rPr>
          <w:vertAlign w:val="superscript"/>
        </w:rPr>
        <w:footnoteReference w:id="774"/>
      </w:r>
      <w:r w:rsidRPr="639E38F9">
        <w:rPr>
          <w:u w:val="single"/>
        </w:rPr>
        <w:t xml:space="preserve"> Access to </w:t>
      </w:r>
      <w:r w:rsidRPr="639E38F9">
        <w:rPr>
          <w:i/>
          <w:u w:val="single"/>
        </w:rPr>
        <w:t>water</w:t>
      </w:r>
      <w:r w:rsidRPr="639E38F9">
        <w:rPr>
          <w:u w:val="single"/>
        </w:rPr>
        <w:t>, within appropriate environmental limits, is an important contributor achieving social, cultural and economic well-being within Otago</w:t>
      </w:r>
      <w:r w:rsidRPr="639E38F9">
        <w:t>.</w:t>
      </w:r>
      <w:r w:rsidRPr="639E38F9">
        <w:rPr>
          <w:vertAlign w:val="superscript"/>
        </w:rPr>
        <w:footnoteReference w:id="775"/>
      </w:r>
    </w:p>
    <w:bookmarkEnd w:id="154"/>
    <w:p w14:paraId="6612452B" w14:textId="77777777" w:rsidR="009E3814" w:rsidRPr="00472578" w:rsidRDefault="009E3814" w:rsidP="00E92686">
      <w:pPr>
        <w:pStyle w:val="Heading4"/>
        <w:jc w:val="both"/>
        <w:rPr>
          <w:b w:val="0"/>
          <w:iCs w:val="0"/>
        </w:rPr>
      </w:pPr>
      <w:r w:rsidRPr="00472578">
        <w:t>Principal reasons</w:t>
      </w:r>
    </w:p>
    <w:p w14:paraId="65F476AF" w14:textId="77777777" w:rsidR="009E3814" w:rsidRPr="00472578" w:rsidRDefault="009E3814" w:rsidP="00E92686">
      <w:pPr>
        <w:pStyle w:val="Heading5"/>
        <w:jc w:val="both"/>
        <w:rPr>
          <w:b w:val="0"/>
        </w:rPr>
      </w:pPr>
      <w:r w:rsidRPr="00472578">
        <w:t>LF-WAI-PR1 – Principal reasons</w:t>
      </w:r>
    </w:p>
    <w:p w14:paraId="6E79FF46" w14:textId="77777777" w:rsidR="009E3814" w:rsidRPr="00472578" w:rsidRDefault="009E3814" w:rsidP="00E92686">
      <w:pPr>
        <w:jc w:val="both"/>
        <w:rPr>
          <w:rFonts w:cstheme="minorHAnsi"/>
        </w:rPr>
      </w:pPr>
      <w:r w:rsidRPr="639E38F9">
        <w:t xml:space="preserve">In accordance with the NPSFM, councils are required to implement a framework for managing </w:t>
      </w:r>
      <w:r w:rsidRPr="639E38F9">
        <w:rPr>
          <w:i/>
        </w:rPr>
        <w:t>freshwater</w:t>
      </w:r>
      <w:r w:rsidRPr="639E38F9">
        <w:t xml:space="preserve"> that gives effect to </w:t>
      </w:r>
      <w:r w:rsidRPr="639E38F9">
        <w:rPr>
          <w:i/>
        </w:rPr>
        <w:t>Te Mana o te Wai</w:t>
      </w:r>
      <w:r w:rsidRPr="639E38F9">
        <w:t xml:space="preserve">. This places the mauri (life-force) of the </w:t>
      </w:r>
      <w:r w:rsidRPr="639E38F9">
        <w:rPr>
          <w:i/>
        </w:rPr>
        <w:t>water</w:t>
      </w:r>
      <w:r w:rsidRPr="639E38F9">
        <w:t xml:space="preserve"> at the forefront of decision-making, recognising </w:t>
      </w:r>
      <w:r w:rsidRPr="639E38F9">
        <w:rPr>
          <w:u w:val="single"/>
        </w:rPr>
        <w:t>that</w:t>
      </w:r>
      <w:r w:rsidRPr="639E38F9">
        <w:rPr>
          <w:vertAlign w:val="superscript"/>
        </w:rPr>
        <w:footnoteReference w:id="776"/>
      </w:r>
      <w:r w:rsidRPr="639E38F9">
        <w:t xml:space="preserve"> te hauora o te wai (the health of the </w:t>
      </w:r>
      <w:r w:rsidRPr="639E38F9">
        <w:rPr>
          <w:i/>
        </w:rPr>
        <w:t>water</w:t>
      </w:r>
      <w:r w:rsidRPr="639E38F9">
        <w:t xml:space="preserve">) is the </w:t>
      </w:r>
      <w:proofErr w:type="gramStart"/>
      <w:r w:rsidRPr="639E38F9">
        <w:t>first priority</w:t>
      </w:r>
      <w:proofErr w:type="gramEnd"/>
      <w:r w:rsidRPr="639E38F9">
        <w:t xml:space="preserve">, and supports te hauora o te taiao (the health of the environment) and te hauora o te takata (the health of the people). It is only after the health of the </w:t>
      </w:r>
      <w:r w:rsidRPr="639E38F9">
        <w:rPr>
          <w:i/>
        </w:rPr>
        <w:t>water</w:t>
      </w:r>
      <w:r w:rsidRPr="639E38F9">
        <w:t xml:space="preserve"> is sustained that water can be used for economic purposes. Giving effect to </w:t>
      </w:r>
      <w:r w:rsidRPr="639E38F9">
        <w:rPr>
          <w:i/>
        </w:rPr>
        <w:t>Te Mana o te Wai</w:t>
      </w:r>
      <w:r w:rsidRPr="639E38F9">
        <w:t xml:space="preserve"> requires actively involving </w:t>
      </w:r>
      <w:r w:rsidRPr="639E38F9">
        <w:rPr>
          <w:i/>
          <w:strike/>
        </w:rPr>
        <w:t>takata</w:t>
      </w:r>
      <w:r w:rsidRPr="639E38F9">
        <w:rPr>
          <w:i/>
        </w:rPr>
        <w:t xml:space="preserve"> </w:t>
      </w:r>
      <w:r w:rsidRPr="639E38F9">
        <w:rPr>
          <w:i/>
          <w:u w:val="single"/>
        </w:rPr>
        <w:t>mana</w:t>
      </w:r>
      <w:r w:rsidRPr="639E38F9">
        <w:rPr>
          <w:vertAlign w:val="superscript"/>
        </w:rPr>
        <w:footnoteReference w:id="777"/>
      </w:r>
      <w:r w:rsidRPr="639E38F9">
        <w:t xml:space="preserve"> </w:t>
      </w:r>
      <w:r w:rsidRPr="639E38F9">
        <w:rPr>
          <w:i/>
        </w:rPr>
        <w:t>whenua</w:t>
      </w:r>
      <w:r w:rsidRPr="639E38F9">
        <w:t xml:space="preserve"> in </w:t>
      </w:r>
      <w:r w:rsidRPr="639E38F9">
        <w:rPr>
          <w:i/>
        </w:rPr>
        <w:t>freshwater</w:t>
      </w:r>
      <w:r w:rsidRPr="639E38F9">
        <w:t xml:space="preserve"> planning and management.</w:t>
      </w:r>
    </w:p>
    <w:p w14:paraId="59430941" w14:textId="29E7B89E" w:rsidR="009E3814" w:rsidRPr="00472578" w:rsidRDefault="009E3814" w:rsidP="00E92686">
      <w:pPr>
        <w:jc w:val="both"/>
        <w:rPr>
          <w:rFonts w:cstheme="minorHAnsi"/>
        </w:rPr>
      </w:pPr>
      <w:r w:rsidRPr="639E38F9">
        <w:t xml:space="preserve">The NZCPS also recognises the interconnectedness of </w:t>
      </w:r>
      <w:r w:rsidRPr="639E38F9">
        <w:rPr>
          <w:i/>
        </w:rPr>
        <w:t>land</w:t>
      </w:r>
      <w:r w:rsidRPr="639E38F9">
        <w:t xml:space="preserve"> and </w:t>
      </w:r>
      <w:r w:rsidRPr="639E38F9">
        <w:rPr>
          <w:i/>
        </w:rPr>
        <w:t>water</w:t>
      </w:r>
      <w:r w:rsidRPr="639E38F9">
        <w:t xml:space="preserve">. It notes inland activities can have a significant impact on </w:t>
      </w:r>
      <w:r w:rsidRPr="639E38F9">
        <w:rPr>
          <w:i/>
        </w:rPr>
        <w:t>coastal water</w:t>
      </w:r>
      <w:r w:rsidRPr="639E38F9">
        <w:t xml:space="preserve"> quality which, in many areas around New Zealand, is in decline. This is a consequence of point and diffuse sources of contamination which can have environmental, social, </w:t>
      </w:r>
      <w:proofErr w:type="gramStart"/>
      <w:r w:rsidRPr="639E38F9">
        <w:t>cultural</w:t>
      </w:r>
      <w:proofErr w:type="gramEnd"/>
      <w:r w:rsidRPr="639E38F9">
        <w:t xml:space="preserve"> and economic implications. For example, poor </w:t>
      </w:r>
      <w:r w:rsidRPr="639E38F9">
        <w:rPr>
          <w:i/>
        </w:rPr>
        <w:t>water</w:t>
      </w:r>
      <w:r w:rsidRPr="639E38F9">
        <w:t xml:space="preserve"> quality adversely effects aquatic life and opportunities for </w:t>
      </w:r>
      <w:r w:rsidRPr="009C237D">
        <w:rPr>
          <w:strike/>
        </w:rPr>
        <w:t>mahika kai</w:t>
      </w:r>
      <w:r w:rsidRPr="00472578">
        <w:t xml:space="preserve"> </w:t>
      </w:r>
      <w:r w:rsidR="00A00191" w:rsidRPr="004B700D">
        <w:rPr>
          <w:i/>
          <w:iCs/>
          <w:u w:val="single"/>
        </w:rPr>
        <w:t>mahika kai</w:t>
      </w:r>
      <w:r w:rsidR="00A00191">
        <w:rPr>
          <w:rStyle w:val="FootnoteReference"/>
        </w:rPr>
        <w:footnoteReference w:id="778"/>
      </w:r>
      <w:r w:rsidR="00A00191" w:rsidRPr="00472578">
        <w:rPr>
          <w:iCs/>
        </w:rPr>
        <w:t xml:space="preserve"> </w:t>
      </w:r>
      <w:r w:rsidRPr="639E38F9">
        <w:t>gathering and recreational uses such as swimming and kayaking.</w:t>
      </w:r>
    </w:p>
    <w:p w14:paraId="7BC6E0F2" w14:textId="77777777" w:rsidR="009E3814" w:rsidRPr="00472578" w:rsidRDefault="009E3814" w:rsidP="00E92686">
      <w:pPr>
        <w:pStyle w:val="Heading4"/>
        <w:jc w:val="both"/>
        <w:rPr>
          <w:b w:val="0"/>
          <w:iCs w:val="0"/>
        </w:rPr>
      </w:pPr>
      <w:r w:rsidRPr="00472578">
        <w:t>Anticipated environmental results</w:t>
      </w:r>
    </w:p>
    <w:p w14:paraId="17B0980E" w14:textId="77777777" w:rsidR="009E3814" w:rsidRPr="00472578" w:rsidRDefault="009E3814" w:rsidP="00E92686">
      <w:pPr>
        <w:spacing w:before="240" w:line="252" w:lineRule="auto"/>
        <w:ind w:left="2268" w:hanging="2268"/>
        <w:jc w:val="both"/>
        <w:rPr>
          <w:rFonts w:ascii="Calibri" w:eastAsia="Calibri" w:hAnsi="Calibri" w:cs="Times New Roman"/>
          <w:b/>
          <w:strike/>
        </w:rPr>
      </w:pPr>
      <w:r w:rsidRPr="00472578">
        <w:rPr>
          <w:rFonts w:ascii="Calibri" w:eastAsia="Calibri" w:hAnsi="Calibri" w:cs="Times New Roman"/>
          <w:b/>
          <w:color w:val="1F3864" w:themeColor="accent1" w:themeShade="80"/>
        </w:rPr>
        <w:t xml:space="preserve">LF-WAI-AER2 </w:t>
      </w:r>
      <w:r w:rsidRPr="00472578">
        <w:rPr>
          <w:rFonts w:ascii="Calibri" w:eastAsia="Calibri" w:hAnsi="Calibri" w:cs="Times New Roman"/>
          <w:b/>
          <w:color w:val="1F3864" w:themeColor="accent1" w:themeShade="80"/>
        </w:rPr>
        <w:tab/>
      </w:r>
      <w:r w:rsidRPr="00472578">
        <w:rPr>
          <w:rFonts w:ascii="Calibri" w:eastAsia="Calibri" w:hAnsi="Calibri" w:cs="Times New Roman"/>
          <w:strike/>
        </w:rPr>
        <w:t xml:space="preserve">The mauri of Otago’s </w:t>
      </w:r>
      <w:r w:rsidRPr="00472578">
        <w:rPr>
          <w:rFonts w:ascii="Calibri" w:eastAsia="Calibri" w:hAnsi="Calibri" w:cs="Times New Roman"/>
          <w:i/>
          <w:strike/>
        </w:rPr>
        <w:t>water bodies</w:t>
      </w:r>
      <w:r w:rsidRPr="00472578">
        <w:rPr>
          <w:rFonts w:ascii="Calibri" w:eastAsia="Calibri" w:hAnsi="Calibri" w:cs="Times New Roman"/>
          <w:strike/>
        </w:rPr>
        <w:t xml:space="preserve"> and their health and well-being is protected.</w:t>
      </w:r>
      <w:r w:rsidRPr="00472578">
        <w:t xml:space="preserve"> </w:t>
      </w:r>
      <w:bookmarkStart w:id="155" w:name="_Hlk90307267"/>
      <w:r w:rsidRPr="00472578">
        <w:rPr>
          <w:rFonts w:ascii="Calibri" w:eastAsia="Calibri" w:hAnsi="Calibri" w:cs="Times New Roman"/>
          <w:u w:val="single"/>
        </w:rPr>
        <w:t>The mauri and the health and well-being of the environment and people is protected because the health and well-being of Otago’s water bodies and their ecosystems are protected and, where degraded, restored.</w:t>
      </w:r>
      <w:r w:rsidRPr="00472578">
        <w:rPr>
          <w:rFonts w:eastAsia="Calibri" w:cs="Times New Roman"/>
          <w:vertAlign w:val="superscript"/>
        </w:rPr>
        <w:footnoteReference w:id="779"/>
      </w:r>
    </w:p>
    <w:bookmarkEnd w:id="155"/>
    <w:p w14:paraId="6CC6198A" w14:textId="77777777" w:rsidR="009E3814" w:rsidRPr="00472578" w:rsidRDefault="009E3814" w:rsidP="00E92686">
      <w:pPr>
        <w:spacing w:before="240" w:line="252" w:lineRule="auto"/>
        <w:ind w:left="2268" w:hanging="2268"/>
        <w:jc w:val="both"/>
        <w:rPr>
          <w:rFonts w:ascii="Calibri" w:eastAsia="Calibri" w:hAnsi="Calibri" w:cs="Times New Roman"/>
        </w:rPr>
      </w:pPr>
      <w:r w:rsidRPr="00472578">
        <w:rPr>
          <w:rFonts w:ascii="Calibri" w:eastAsia="Calibri" w:hAnsi="Calibri" w:cs="Times New Roman"/>
          <w:b/>
          <w:color w:val="1F3864" w:themeColor="accent1" w:themeShade="80"/>
        </w:rPr>
        <w:t xml:space="preserve">LF-WAI-AER1 </w:t>
      </w:r>
      <w:r w:rsidRPr="00472578">
        <w:rPr>
          <w:rFonts w:ascii="Calibri" w:eastAsia="Calibri" w:hAnsi="Calibri" w:cs="Times New Roman"/>
          <w:b/>
        </w:rPr>
        <w:tab/>
      </w:r>
      <w:r w:rsidRPr="00472578">
        <w:rPr>
          <w:rFonts w:ascii="Calibri" w:eastAsia="Calibri" w:hAnsi="Calibri" w:cs="Times New Roman"/>
        </w:rPr>
        <w:t>Kāi Tahu are actively involved in the management of freshwater and able to effectively exercise their rakatirataka</w:t>
      </w:r>
      <w:r w:rsidRPr="00472578">
        <w:rPr>
          <w:rFonts w:ascii="Calibri" w:eastAsia="Calibri" w:hAnsi="Calibri" w:cs="Times New Roman"/>
          <w:i/>
        </w:rPr>
        <w:t xml:space="preserve">, </w:t>
      </w:r>
      <w:r w:rsidRPr="00472578">
        <w:rPr>
          <w:rFonts w:ascii="Calibri" w:eastAsia="Calibri" w:hAnsi="Calibri" w:cs="Times New Roman"/>
        </w:rPr>
        <w:t>manaakitaka</w:t>
      </w:r>
      <w:r w:rsidRPr="00472578">
        <w:rPr>
          <w:rFonts w:ascii="Calibri" w:eastAsia="Calibri" w:hAnsi="Calibri" w:cs="Times New Roman"/>
          <w:i/>
        </w:rPr>
        <w:t xml:space="preserve"> </w:t>
      </w:r>
      <w:r w:rsidRPr="00472578">
        <w:rPr>
          <w:rFonts w:ascii="Calibri" w:eastAsia="Calibri" w:hAnsi="Calibri" w:cs="Times New Roman"/>
        </w:rPr>
        <w:t>and</w:t>
      </w:r>
      <w:r w:rsidRPr="00472578">
        <w:rPr>
          <w:rFonts w:ascii="Calibri" w:eastAsia="Calibri" w:hAnsi="Calibri" w:cs="Times New Roman"/>
          <w:i/>
        </w:rPr>
        <w:t xml:space="preserve"> kaitiakitaka</w:t>
      </w:r>
      <w:r w:rsidRPr="00472578">
        <w:rPr>
          <w:rFonts w:ascii="Calibri" w:eastAsia="Calibri" w:hAnsi="Calibri" w:cs="Times New Roman"/>
        </w:rPr>
        <w:t>.</w:t>
      </w:r>
    </w:p>
    <w:bookmarkEnd w:id="148"/>
    <w:bookmarkEnd w:id="149"/>
    <w:p w14:paraId="06CEB5C7" w14:textId="77777777" w:rsidR="009E3814" w:rsidRPr="00472578" w:rsidRDefault="009E3814" w:rsidP="00E92686">
      <w:pPr>
        <w:jc w:val="both"/>
        <w:rPr>
          <w:rFonts w:eastAsia="National-Book" w:cstheme="majorBidi"/>
          <w:b/>
          <w:color w:val="1F3864" w:themeColor="accent1" w:themeShade="80"/>
          <w:sz w:val="28"/>
          <w:szCs w:val="24"/>
        </w:rPr>
      </w:pPr>
    </w:p>
    <w:p w14:paraId="43204379" w14:textId="77777777" w:rsidR="009E3814" w:rsidRPr="00472578" w:rsidRDefault="009E3814" w:rsidP="00E92686">
      <w:pPr>
        <w:pStyle w:val="Heading3"/>
        <w:jc w:val="both"/>
        <w:rPr>
          <w:rFonts w:eastAsia="National-Book"/>
          <w:b w:val="0"/>
        </w:rPr>
      </w:pPr>
      <w:r w:rsidRPr="00472578">
        <w:t>LF-VM – Visions and management</w:t>
      </w:r>
    </w:p>
    <w:p w14:paraId="47C94AEE" w14:textId="77777777" w:rsidR="009E3814" w:rsidRPr="00472578" w:rsidRDefault="009E3814" w:rsidP="00E92686">
      <w:pPr>
        <w:pStyle w:val="Heading4"/>
        <w:jc w:val="both"/>
        <w:rPr>
          <w:rFonts w:eastAsia="National-Book"/>
          <w:b w:val="0"/>
        </w:rPr>
      </w:pPr>
      <w:r w:rsidRPr="00472578">
        <w:t>Objectives</w:t>
      </w:r>
    </w:p>
    <w:p w14:paraId="104C5B5D" w14:textId="77777777" w:rsidR="009E3814" w:rsidRPr="00472578" w:rsidRDefault="009E3814" w:rsidP="00E92686">
      <w:pPr>
        <w:pStyle w:val="Heading5"/>
        <w:jc w:val="both"/>
        <w:rPr>
          <w:b w:val="0"/>
        </w:rPr>
      </w:pPr>
      <w:bookmarkStart w:id="156" w:name="_Hlk90030020"/>
      <w:bookmarkStart w:id="157" w:name="_Hlk90905048"/>
      <w:r w:rsidRPr="00472578">
        <w:t xml:space="preserve">LF-VM-O2 – Clutha Mata-au </w:t>
      </w:r>
      <w:r w:rsidRPr="00472578">
        <w:rPr>
          <w:i/>
        </w:rPr>
        <w:t>FMU</w:t>
      </w:r>
      <w:r w:rsidRPr="00472578">
        <w:t xml:space="preserve"> vision</w:t>
      </w:r>
    </w:p>
    <w:p w14:paraId="5C59BC86"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 xml:space="preserve">In the Clutha Mata-au </w:t>
      </w:r>
      <w:r w:rsidRPr="00472578">
        <w:rPr>
          <w:rFonts w:ascii="Calibri" w:hAnsi="Calibri" w:cs="Calibri"/>
          <w:i/>
        </w:rPr>
        <w:t>FMU</w:t>
      </w:r>
      <w:r w:rsidRPr="00472578">
        <w:rPr>
          <w:rFonts w:ascii="Calibri" w:hAnsi="Calibri" w:cs="Calibri"/>
        </w:rPr>
        <w:t>:</w:t>
      </w:r>
    </w:p>
    <w:p w14:paraId="79A2544A"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(1)</w:t>
      </w:r>
      <w:r w:rsidRPr="00472578">
        <w:rPr>
          <w:rFonts w:ascii="Calibri" w:hAnsi="Calibri" w:cs="Calibri"/>
        </w:rPr>
        <w:tab/>
        <w:t xml:space="preserve">management of the </w:t>
      </w:r>
      <w:r w:rsidRPr="00472578">
        <w:rPr>
          <w:rFonts w:ascii="Calibri" w:hAnsi="Calibri" w:cs="Calibri"/>
          <w:i/>
        </w:rPr>
        <w:t>FMU</w:t>
      </w:r>
      <w:r w:rsidRPr="00472578">
        <w:rPr>
          <w:rFonts w:ascii="Calibri" w:hAnsi="Calibri" w:cs="Calibri"/>
        </w:rPr>
        <w:t xml:space="preserve"> recognises that: </w:t>
      </w:r>
    </w:p>
    <w:p w14:paraId="6388A580" w14:textId="77777777" w:rsidR="009E3814" w:rsidRPr="00472578" w:rsidRDefault="009E3814" w:rsidP="00E92686">
      <w:pPr>
        <w:spacing w:line="240" w:lineRule="auto"/>
        <w:ind w:left="1134" w:hanging="567"/>
        <w:jc w:val="both"/>
        <w:rPr>
          <w:rFonts w:ascii="Calibri" w:hAnsi="Calibri" w:cs="Calibri"/>
        </w:rPr>
      </w:pPr>
      <w:r w:rsidRPr="00472578">
        <w:rPr>
          <w:rFonts w:ascii="Calibri" w:hAnsi="Calibri" w:cs="Calibri"/>
        </w:rPr>
        <w:t>(a)</w:t>
      </w:r>
      <w:r w:rsidRPr="00472578">
        <w:rPr>
          <w:rFonts w:ascii="Calibri" w:hAnsi="Calibri" w:cs="Calibri"/>
        </w:rPr>
        <w:tab/>
        <w:t xml:space="preserve">the Clutha Mata-au is a single connected system ki uta ki tai, and </w:t>
      </w:r>
    </w:p>
    <w:p w14:paraId="0C41FAD7" w14:textId="29FEB2A7" w:rsidR="009E3814" w:rsidRPr="00472578" w:rsidRDefault="009E3814" w:rsidP="00E92686">
      <w:pPr>
        <w:spacing w:line="240" w:lineRule="auto"/>
        <w:ind w:left="1134" w:hanging="567"/>
        <w:jc w:val="both"/>
        <w:rPr>
          <w:rFonts w:ascii="Calibri" w:hAnsi="Calibri" w:cs="Calibri"/>
        </w:rPr>
      </w:pPr>
      <w:r w:rsidRPr="00472578">
        <w:rPr>
          <w:rFonts w:ascii="Calibri" w:hAnsi="Calibri" w:cs="Calibri"/>
        </w:rPr>
        <w:t>(b)</w:t>
      </w:r>
      <w:r w:rsidRPr="00472578">
        <w:rPr>
          <w:rFonts w:ascii="Calibri" w:hAnsi="Calibri" w:cs="Calibri"/>
        </w:rPr>
        <w:tab/>
        <w:t xml:space="preserve">the source of the wai is pure, coming directly from </w:t>
      </w:r>
      <w:r w:rsidRPr="00472578">
        <w:rPr>
          <w:rFonts w:ascii="Calibri" w:hAnsi="Calibri" w:cs="Calibri"/>
          <w:strike/>
        </w:rPr>
        <w:t>T</w:t>
      </w:r>
      <w:r w:rsidR="00430BE4" w:rsidRPr="00472578">
        <w:rPr>
          <w:rFonts w:ascii="Calibri" w:hAnsi="Calibri" w:cs="Calibri"/>
          <w:strike/>
        </w:rPr>
        <w:t>a</w:t>
      </w:r>
      <w:r w:rsidRPr="00472578">
        <w:rPr>
          <w:rFonts w:ascii="Calibri" w:hAnsi="Calibri" w:cs="Calibri"/>
          <w:strike/>
        </w:rPr>
        <w:t>whirim</w:t>
      </w:r>
      <w:r w:rsidR="00430BE4" w:rsidRPr="00472578">
        <w:rPr>
          <w:rFonts w:ascii="Calibri" w:hAnsi="Calibri" w:cs="Calibri"/>
          <w:strike/>
        </w:rPr>
        <w:t>a</w:t>
      </w:r>
      <w:r w:rsidRPr="00472578">
        <w:rPr>
          <w:rFonts w:ascii="Calibri" w:hAnsi="Calibri" w:cs="Calibri"/>
          <w:strike/>
        </w:rPr>
        <w:t>tea</w:t>
      </w:r>
      <w:r w:rsidRPr="00472578">
        <w:rPr>
          <w:rFonts w:ascii="Calibri" w:hAnsi="Calibri" w:cs="Calibri"/>
        </w:rPr>
        <w:t xml:space="preserve"> </w:t>
      </w:r>
      <w:r w:rsidRPr="00472578">
        <w:rPr>
          <w:rFonts w:ascii="Calibri" w:hAnsi="Calibri" w:cs="Calibri"/>
          <w:u w:val="single"/>
        </w:rPr>
        <w:t>Tāwhirimātea</w:t>
      </w:r>
      <w:r w:rsidRPr="00472578">
        <w:rPr>
          <w:vertAlign w:val="superscript"/>
        </w:rPr>
        <w:footnoteReference w:id="780"/>
      </w:r>
      <w:r w:rsidRPr="00472578">
        <w:rPr>
          <w:rFonts w:ascii="Calibri" w:hAnsi="Calibri" w:cs="Calibri"/>
        </w:rPr>
        <w:t xml:space="preserve"> to the top of the mauka and into the awa,</w:t>
      </w:r>
    </w:p>
    <w:p w14:paraId="5A40CDB1" w14:textId="77777777" w:rsidR="009E3814" w:rsidRPr="00472578" w:rsidRDefault="009E3814" w:rsidP="00E92686">
      <w:pPr>
        <w:spacing w:line="240" w:lineRule="auto"/>
        <w:ind w:left="567" w:hanging="567"/>
        <w:jc w:val="both"/>
        <w:rPr>
          <w:rFonts w:ascii="Calibri" w:hAnsi="Calibri" w:cs="Calibri"/>
        </w:rPr>
      </w:pPr>
      <w:bookmarkStart w:id="158" w:name="_Hlk89963518"/>
      <w:r w:rsidRPr="00472578">
        <w:rPr>
          <w:rFonts w:ascii="Calibri" w:hAnsi="Calibri" w:cs="Calibri"/>
        </w:rPr>
        <w:t>(2)</w:t>
      </w:r>
      <w:r w:rsidRPr="00472578">
        <w:rPr>
          <w:rFonts w:ascii="Calibri" w:hAnsi="Calibri" w:cs="Calibri"/>
        </w:rPr>
        <w:tab/>
      </w:r>
      <w:r w:rsidRPr="00472578">
        <w:rPr>
          <w:rFonts w:ascii="Calibri" w:hAnsi="Calibri" w:cs="Calibri"/>
          <w:i/>
        </w:rPr>
        <w:t>fresh water</w:t>
      </w:r>
      <w:r w:rsidRPr="00472578">
        <w:rPr>
          <w:rFonts w:ascii="Calibri" w:hAnsi="Calibri" w:cs="Calibri"/>
        </w:rPr>
        <w:t xml:space="preserve"> is managed in accordance with the LF – WAI objectives and policies,</w:t>
      </w:r>
    </w:p>
    <w:p w14:paraId="031FD300"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(3)</w:t>
      </w:r>
      <w:r w:rsidRPr="00472578">
        <w:rPr>
          <w:rFonts w:ascii="Calibri" w:hAnsi="Calibri" w:cs="Calibri"/>
        </w:rPr>
        <w:tab/>
        <w:t xml:space="preserve">the ongoing relationship of Kāi Tahu with </w:t>
      </w:r>
      <w:r w:rsidRPr="00472578">
        <w:rPr>
          <w:rFonts w:ascii="Calibri" w:hAnsi="Calibri" w:cs="Calibri"/>
          <w:i/>
        </w:rPr>
        <w:t>wāhi tūpuna</w:t>
      </w:r>
      <w:r w:rsidRPr="00472578">
        <w:rPr>
          <w:rFonts w:ascii="Calibri" w:hAnsi="Calibri" w:cs="Calibri"/>
        </w:rPr>
        <w:t xml:space="preserve"> is sustained</w:t>
      </w:r>
      <w:r w:rsidRPr="00472578">
        <w:rPr>
          <w:rFonts w:ascii="Calibri" w:hAnsi="Calibri" w:cs="Calibri"/>
          <w:u w:val="single"/>
        </w:rPr>
        <w:t xml:space="preserve"> and, where degraded or lost, restored</w:t>
      </w:r>
      <w:r w:rsidRPr="00472578">
        <w:rPr>
          <w:rFonts w:ascii="Calibri" w:hAnsi="Calibri" w:cs="Calibri"/>
        </w:rPr>
        <w:t>,</w:t>
      </w:r>
      <w:r w:rsidRPr="00472578">
        <w:rPr>
          <w:vertAlign w:val="superscript"/>
        </w:rPr>
        <w:footnoteReference w:id="781"/>
      </w:r>
    </w:p>
    <w:p w14:paraId="76EE565A" w14:textId="1C331F39"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(4)</w:t>
      </w:r>
      <w:r w:rsidRPr="00472578">
        <w:rPr>
          <w:rFonts w:ascii="Calibri" w:hAnsi="Calibri" w:cs="Calibri"/>
        </w:rPr>
        <w:tab/>
      </w:r>
      <w:r w:rsidRPr="00472578">
        <w:rPr>
          <w:rFonts w:ascii="Calibri" w:hAnsi="Calibri" w:cs="Calibri"/>
          <w:i/>
        </w:rPr>
        <w:t>water bodies</w:t>
      </w:r>
      <w:r w:rsidRPr="00472578">
        <w:rPr>
          <w:rFonts w:ascii="Calibri" w:hAnsi="Calibri" w:cs="Calibri"/>
        </w:rPr>
        <w:t xml:space="preserve"> support thriving </w:t>
      </w:r>
      <w:r w:rsidRPr="009C237D">
        <w:rPr>
          <w:strike/>
        </w:rPr>
        <w:t>mahika kai</w:t>
      </w:r>
      <w:r w:rsidRPr="00472578">
        <w:t xml:space="preserve"> </w:t>
      </w:r>
      <w:r w:rsidR="00A00191" w:rsidRPr="004B700D">
        <w:rPr>
          <w:i/>
          <w:iCs/>
          <w:u w:val="single"/>
        </w:rPr>
        <w:t>mahika kai</w:t>
      </w:r>
      <w:r w:rsidR="00A00191">
        <w:rPr>
          <w:rStyle w:val="FootnoteReference"/>
        </w:rPr>
        <w:footnoteReference w:id="782"/>
      </w:r>
      <w:r w:rsidR="00A00191" w:rsidRPr="00472578">
        <w:rPr>
          <w:iCs/>
        </w:rPr>
        <w:t xml:space="preserve"> </w:t>
      </w:r>
      <w:r w:rsidRPr="00472578">
        <w:rPr>
          <w:rFonts w:ascii="Calibri" w:hAnsi="Calibri" w:cs="Calibri"/>
          <w:u w:val="single"/>
        </w:rPr>
        <w:t>that are safe for consumption</w:t>
      </w:r>
      <w:r w:rsidRPr="00472578">
        <w:rPr>
          <w:vertAlign w:val="superscript"/>
        </w:rPr>
        <w:footnoteReference w:id="783"/>
      </w:r>
      <w:r w:rsidRPr="00472578">
        <w:rPr>
          <w:rFonts w:ascii="Calibri" w:hAnsi="Calibri" w:cs="Calibri"/>
        </w:rPr>
        <w:t xml:space="preserve"> and Kāi Tahu whānui have access to </w:t>
      </w:r>
      <w:r w:rsidRPr="009C237D">
        <w:rPr>
          <w:strike/>
        </w:rPr>
        <w:t>mahika kai</w:t>
      </w:r>
      <w:r w:rsidR="00A00191" w:rsidRPr="00472578">
        <w:t xml:space="preserve"> </w:t>
      </w:r>
      <w:r w:rsidR="00A00191" w:rsidRPr="004B700D">
        <w:rPr>
          <w:i/>
          <w:iCs/>
          <w:u w:val="single"/>
        </w:rPr>
        <w:t>mahika kai</w:t>
      </w:r>
      <w:r w:rsidR="00A00191">
        <w:rPr>
          <w:rStyle w:val="FootnoteReference"/>
        </w:rPr>
        <w:footnoteReference w:id="784"/>
      </w:r>
      <w:r w:rsidRPr="00472578">
        <w:rPr>
          <w:rFonts w:ascii="Calibri" w:hAnsi="Calibri" w:cs="Calibri"/>
        </w:rPr>
        <w:t>,</w:t>
      </w:r>
    </w:p>
    <w:p w14:paraId="3073B31C"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(5)</w:t>
      </w:r>
      <w:r w:rsidRPr="00472578">
        <w:rPr>
          <w:rFonts w:ascii="Calibri" w:hAnsi="Calibri" w:cs="Calibri"/>
        </w:rPr>
        <w:tab/>
        <w:t xml:space="preserve">indigenous species migrate easily and as naturally as possible along and within the </w:t>
      </w:r>
      <w:r w:rsidRPr="00472578">
        <w:rPr>
          <w:rFonts w:ascii="Calibri" w:hAnsi="Calibri" w:cs="Calibri"/>
          <w:i/>
        </w:rPr>
        <w:t>river</w:t>
      </w:r>
      <w:r w:rsidRPr="00472578">
        <w:rPr>
          <w:rFonts w:ascii="Calibri" w:hAnsi="Calibri" w:cs="Calibri"/>
        </w:rPr>
        <w:t xml:space="preserve"> system,</w:t>
      </w:r>
    </w:p>
    <w:p w14:paraId="61AAFFAD" w14:textId="4BA74A77"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u w:val="single"/>
        </w:rPr>
        <w:t>(5</w:t>
      </w:r>
      <w:r w:rsidR="005D26FF" w:rsidRPr="00472578">
        <w:rPr>
          <w:rFonts w:ascii="Calibri" w:hAnsi="Calibri" w:cs="Calibri"/>
          <w:u w:val="single"/>
        </w:rPr>
        <w:t>A</w:t>
      </w:r>
      <w:r w:rsidRPr="00472578">
        <w:rPr>
          <w:rFonts w:ascii="Calibri" w:hAnsi="Calibri" w:cs="Calibri"/>
          <w:u w:val="single"/>
        </w:rPr>
        <w:t>)</w:t>
      </w:r>
      <w:r w:rsidRPr="00472578">
        <w:rPr>
          <w:rFonts w:ascii="Calibri" w:hAnsi="Calibri" w:cs="Calibri"/>
          <w:u w:val="single"/>
        </w:rPr>
        <w:tab/>
        <w:t>the ecosystem connections between freshwater, wetlands, and the coastal environment are preserved and, wherever possible, restored,</w:t>
      </w:r>
      <w:r w:rsidRPr="00472578">
        <w:rPr>
          <w:vertAlign w:val="superscript"/>
        </w:rPr>
        <w:footnoteReference w:id="785"/>
      </w:r>
    </w:p>
    <w:p w14:paraId="781F8D20" w14:textId="20F6738A"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u w:val="single"/>
        </w:rPr>
        <w:t>(5</w:t>
      </w:r>
      <w:r w:rsidR="005D26FF" w:rsidRPr="00472578">
        <w:rPr>
          <w:rFonts w:ascii="Calibri" w:hAnsi="Calibri" w:cs="Calibri"/>
          <w:u w:val="single"/>
        </w:rPr>
        <w:t>B</w:t>
      </w:r>
      <w:r w:rsidRPr="00472578">
        <w:rPr>
          <w:rFonts w:ascii="Calibri" w:hAnsi="Calibri" w:cs="Calibri"/>
          <w:u w:val="single"/>
        </w:rPr>
        <w:t>)</w:t>
      </w:r>
      <w:r w:rsidRPr="00472578">
        <w:rPr>
          <w:rFonts w:ascii="Calibri" w:hAnsi="Calibri" w:cs="Calibri"/>
          <w:u w:val="single"/>
        </w:rPr>
        <w:tab/>
        <w:t>environmental flows and levels in water bodies sustain and, wherever possible, restore the natural form and function of main stems and tributaries to support Kāi Tahu values and practices,</w:t>
      </w:r>
      <w:r w:rsidRPr="00472578">
        <w:rPr>
          <w:vertAlign w:val="superscript"/>
        </w:rPr>
        <w:footnoteReference w:id="786"/>
      </w:r>
    </w:p>
    <w:p w14:paraId="6D75F970" w14:textId="02358DFF"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u w:val="single"/>
        </w:rPr>
        <w:t>(5</w:t>
      </w:r>
      <w:r w:rsidR="0009257A" w:rsidRPr="00472578">
        <w:rPr>
          <w:rFonts w:ascii="Calibri" w:hAnsi="Calibri" w:cs="Calibri"/>
          <w:u w:val="single"/>
        </w:rPr>
        <w:t>C</w:t>
      </w:r>
      <w:r w:rsidRPr="00472578">
        <w:rPr>
          <w:rFonts w:ascii="Calibri" w:hAnsi="Calibri" w:cs="Calibri"/>
          <w:u w:val="single"/>
        </w:rPr>
        <w:t>)</w:t>
      </w:r>
      <w:r w:rsidRPr="00472578">
        <w:rPr>
          <w:rFonts w:ascii="Calibri" w:hAnsi="Calibri" w:cs="Calibri"/>
          <w:u w:val="single"/>
        </w:rPr>
        <w:tab/>
        <w:t xml:space="preserve">food production in the area is supported by innovative and sustainable </w:t>
      </w:r>
      <w:r w:rsidRPr="00472578">
        <w:rPr>
          <w:rFonts w:ascii="Calibri" w:hAnsi="Calibri" w:cs="Calibri"/>
          <w:i/>
          <w:u w:val="single"/>
        </w:rPr>
        <w:t>land</w:t>
      </w:r>
      <w:r w:rsidRPr="00472578">
        <w:rPr>
          <w:rFonts w:ascii="Calibri" w:hAnsi="Calibri" w:cs="Calibri"/>
          <w:u w:val="single"/>
        </w:rPr>
        <w:t xml:space="preserve"> and </w:t>
      </w:r>
      <w:r w:rsidRPr="00472578">
        <w:rPr>
          <w:rFonts w:ascii="Calibri" w:hAnsi="Calibri" w:cs="Calibri"/>
          <w:i/>
          <w:u w:val="single"/>
        </w:rPr>
        <w:t>water</w:t>
      </w:r>
      <w:r w:rsidRPr="00472578">
        <w:rPr>
          <w:rFonts w:ascii="Calibri" w:hAnsi="Calibri" w:cs="Calibri"/>
          <w:u w:val="single"/>
        </w:rPr>
        <w:t xml:space="preserve"> management practices that reduce </w:t>
      </w:r>
      <w:r w:rsidRPr="00472578">
        <w:rPr>
          <w:rFonts w:ascii="Calibri" w:hAnsi="Calibri" w:cs="Calibri"/>
          <w:i/>
          <w:u w:val="single"/>
        </w:rPr>
        <w:t>discharges</w:t>
      </w:r>
      <w:r w:rsidRPr="00472578">
        <w:rPr>
          <w:rFonts w:ascii="Calibri" w:hAnsi="Calibri" w:cs="Calibri"/>
          <w:u w:val="single"/>
        </w:rPr>
        <w:t xml:space="preserve"> of nutrients and other </w:t>
      </w:r>
      <w:r w:rsidRPr="00472578">
        <w:rPr>
          <w:rFonts w:ascii="Calibri" w:hAnsi="Calibri" w:cs="Calibri"/>
          <w:i/>
          <w:u w:val="single"/>
        </w:rPr>
        <w:t>contaminants</w:t>
      </w:r>
      <w:r w:rsidRPr="00472578">
        <w:rPr>
          <w:rFonts w:ascii="Calibri" w:hAnsi="Calibri" w:cs="Calibri"/>
          <w:u w:val="single"/>
        </w:rPr>
        <w:t xml:space="preserve"> to </w:t>
      </w:r>
      <w:r w:rsidRPr="00472578">
        <w:rPr>
          <w:rFonts w:ascii="Calibri" w:hAnsi="Calibri" w:cs="Calibri"/>
          <w:i/>
          <w:u w:val="single"/>
        </w:rPr>
        <w:t>water bodies</w:t>
      </w:r>
      <w:r w:rsidRPr="00472578">
        <w:rPr>
          <w:rFonts w:ascii="Calibri" w:hAnsi="Calibri" w:cs="Calibri"/>
          <w:u w:val="single"/>
        </w:rPr>
        <w:t xml:space="preserve"> where required to ensure that they are safe for human contact</w:t>
      </w:r>
      <w:r w:rsidRPr="00472578">
        <w:rPr>
          <w:rFonts w:ascii="Calibri" w:hAnsi="Calibri" w:cs="Calibri"/>
        </w:rPr>
        <w:t>,</w:t>
      </w:r>
      <w:r w:rsidRPr="00472578">
        <w:rPr>
          <w:vertAlign w:val="superscript"/>
        </w:rPr>
        <w:footnoteReference w:id="787"/>
      </w:r>
    </w:p>
    <w:p w14:paraId="61EF1E6B" w14:textId="02265016"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u w:val="single"/>
        </w:rPr>
        <w:t>(5</w:t>
      </w:r>
      <w:r w:rsidR="0009257A" w:rsidRPr="00472578">
        <w:rPr>
          <w:rFonts w:ascii="Calibri" w:hAnsi="Calibri" w:cs="Calibri"/>
          <w:u w:val="single"/>
        </w:rPr>
        <w:t>D</w:t>
      </w:r>
      <w:r w:rsidRPr="00472578">
        <w:rPr>
          <w:rFonts w:ascii="Calibri" w:hAnsi="Calibri" w:cs="Calibri"/>
          <w:u w:val="single"/>
        </w:rPr>
        <w:t>)</w:t>
      </w:r>
      <w:r w:rsidRPr="00472578">
        <w:rPr>
          <w:rFonts w:ascii="Calibri" w:hAnsi="Calibri" w:cs="Calibri"/>
          <w:u w:val="single"/>
        </w:rPr>
        <w:tab/>
        <w:t xml:space="preserve">there are no direct </w:t>
      </w:r>
      <w:r w:rsidRPr="00472578">
        <w:rPr>
          <w:rFonts w:ascii="Calibri" w:hAnsi="Calibri" w:cs="Calibri"/>
          <w:i/>
          <w:u w:val="single"/>
        </w:rPr>
        <w:t>discharges</w:t>
      </w:r>
      <w:r w:rsidRPr="00472578">
        <w:rPr>
          <w:rFonts w:ascii="Calibri" w:hAnsi="Calibri" w:cs="Calibri"/>
          <w:u w:val="single"/>
        </w:rPr>
        <w:t xml:space="preserve"> of </w:t>
      </w:r>
      <w:r w:rsidRPr="00472578">
        <w:rPr>
          <w:rFonts w:ascii="Calibri" w:hAnsi="Calibri" w:cs="Calibri"/>
          <w:i/>
          <w:u w:val="single"/>
        </w:rPr>
        <w:t>wastewater</w:t>
      </w:r>
      <w:r w:rsidRPr="00472578">
        <w:rPr>
          <w:rFonts w:ascii="Calibri" w:hAnsi="Calibri" w:cs="Calibri"/>
          <w:u w:val="single"/>
        </w:rPr>
        <w:t xml:space="preserve"> containing </w:t>
      </w:r>
      <w:r w:rsidRPr="00472578">
        <w:rPr>
          <w:rFonts w:ascii="Calibri" w:hAnsi="Calibri" w:cs="Calibri"/>
          <w:i/>
          <w:u w:val="single"/>
        </w:rPr>
        <w:t>sewage</w:t>
      </w:r>
      <w:r w:rsidRPr="00472578">
        <w:rPr>
          <w:rFonts w:ascii="Calibri" w:hAnsi="Calibri" w:cs="Calibri"/>
          <w:u w:val="single"/>
        </w:rPr>
        <w:t xml:space="preserve"> to </w:t>
      </w:r>
      <w:r w:rsidRPr="00472578">
        <w:rPr>
          <w:rFonts w:ascii="Calibri" w:hAnsi="Calibri" w:cs="Calibri"/>
          <w:i/>
          <w:u w:val="single"/>
        </w:rPr>
        <w:t>water bodies</w:t>
      </w:r>
      <w:r w:rsidRPr="00472578">
        <w:rPr>
          <w:rFonts w:ascii="Calibri" w:hAnsi="Calibri" w:cs="Calibri"/>
          <w:u w:val="single"/>
        </w:rPr>
        <w:t>,</w:t>
      </w:r>
      <w:r w:rsidRPr="00472578">
        <w:rPr>
          <w:vertAlign w:val="superscript"/>
        </w:rPr>
        <w:footnoteReference w:id="788"/>
      </w:r>
    </w:p>
    <w:bookmarkEnd w:id="158"/>
    <w:p w14:paraId="2D6EDBE5"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(6)</w:t>
      </w:r>
      <w:r w:rsidRPr="00472578">
        <w:rPr>
          <w:rFonts w:ascii="Calibri" w:hAnsi="Calibri" w:cs="Calibri"/>
        </w:rPr>
        <w:tab/>
        <w:t xml:space="preserve">the national significance of the Clutha hydro-electricity generation scheme is recognised, </w:t>
      </w:r>
    </w:p>
    <w:bookmarkEnd w:id="156"/>
    <w:p w14:paraId="10F69EAF"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(7)</w:t>
      </w:r>
      <w:r w:rsidRPr="00472578">
        <w:rPr>
          <w:rFonts w:ascii="Calibri" w:hAnsi="Calibri" w:cs="Calibri"/>
        </w:rPr>
        <w:tab/>
        <w:t>in addition to (1) to (6) above:</w:t>
      </w:r>
    </w:p>
    <w:p w14:paraId="603265C8" w14:textId="77777777" w:rsidR="009E3814" w:rsidRPr="00472578" w:rsidRDefault="009E3814" w:rsidP="00E92686">
      <w:pPr>
        <w:spacing w:line="240" w:lineRule="auto"/>
        <w:ind w:left="1134" w:hanging="567"/>
        <w:jc w:val="both"/>
        <w:rPr>
          <w:rFonts w:ascii="Calibri" w:hAnsi="Calibri" w:cs="Calibri"/>
        </w:rPr>
      </w:pPr>
      <w:r w:rsidRPr="00472578">
        <w:rPr>
          <w:rFonts w:ascii="Calibri" w:hAnsi="Calibri" w:cs="Calibri"/>
        </w:rPr>
        <w:t>(a)</w:t>
      </w:r>
      <w:r w:rsidRPr="00472578">
        <w:rPr>
          <w:rFonts w:ascii="Calibri" w:hAnsi="Calibri" w:cs="Calibri"/>
        </w:rPr>
        <w:tab/>
        <w:t xml:space="preserve">in the Upper Lakes rohe, the </w:t>
      </w:r>
      <w:proofErr w:type="gramStart"/>
      <w:r w:rsidRPr="00472578">
        <w:rPr>
          <w:rFonts w:ascii="Calibri" w:hAnsi="Calibri" w:cs="Calibri"/>
        </w:rPr>
        <w:t>high quality</w:t>
      </w:r>
      <w:proofErr w:type="gramEnd"/>
      <w:r w:rsidRPr="00472578">
        <w:rPr>
          <w:rFonts w:ascii="Calibri" w:hAnsi="Calibri" w:cs="Calibri"/>
        </w:rPr>
        <w:t xml:space="preserve"> </w:t>
      </w:r>
      <w:r w:rsidRPr="00472578">
        <w:rPr>
          <w:rFonts w:ascii="Calibri" w:hAnsi="Calibri" w:cs="Calibri"/>
          <w:i/>
        </w:rPr>
        <w:t>waters</w:t>
      </w:r>
      <w:r w:rsidRPr="00472578">
        <w:rPr>
          <w:rFonts w:ascii="Calibri" w:hAnsi="Calibri" w:cs="Calibri"/>
        </w:rPr>
        <w:t xml:space="preserve"> of the </w:t>
      </w:r>
      <w:r w:rsidRPr="00472578">
        <w:rPr>
          <w:rFonts w:ascii="Calibri" w:hAnsi="Calibri" w:cs="Calibri"/>
          <w:i/>
        </w:rPr>
        <w:t>lakes</w:t>
      </w:r>
      <w:r w:rsidRPr="00472578">
        <w:rPr>
          <w:rFonts w:ascii="Calibri" w:hAnsi="Calibri" w:cs="Calibri"/>
        </w:rPr>
        <w:t xml:space="preserve"> and their tributaries are protected, </w:t>
      </w:r>
      <w:r w:rsidRPr="00472578">
        <w:rPr>
          <w:rFonts w:ascii="Calibri" w:hAnsi="Calibri" w:cs="Calibri"/>
          <w:u w:val="single"/>
        </w:rPr>
        <w:t>and if degraded are improved,</w:t>
      </w:r>
      <w:r w:rsidRPr="00472578">
        <w:rPr>
          <w:vertAlign w:val="superscript"/>
        </w:rPr>
        <w:footnoteReference w:id="789"/>
      </w:r>
      <w:r w:rsidRPr="00472578">
        <w:rPr>
          <w:rFonts w:ascii="Calibri" w:hAnsi="Calibri" w:cs="Calibri"/>
        </w:rPr>
        <w:t xml:space="preserve"> recognising the significance of the purity of these </w:t>
      </w:r>
      <w:r w:rsidRPr="00472578">
        <w:rPr>
          <w:rFonts w:ascii="Calibri" w:hAnsi="Calibri" w:cs="Calibri"/>
          <w:i/>
        </w:rPr>
        <w:t>waters</w:t>
      </w:r>
      <w:r w:rsidRPr="00472578">
        <w:rPr>
          <w:rFonts w:ascii="Calibri" w:hAnsi="Calibri" w:cs="Calibri"/>
        </w:rPr>
        <w:t xml:space="preserve"> to Kāi Tahu and to the wider community,</w:t>
      </w:r>
    </w:p>
    <w:p w14:paraId="08778B11" w14:textId="77777777" w:rsidR="009E3814" w:rsidRPr="00472578" w:rsidRDefault="009E3814" w:rsidP="00E92686">
      <w:pPr>
        <w:spacing w:line="240" w:lineRule="auto"/>
        <w:ind w:left="1134" w:hanging="567"/>
        <w:jc w:val="both"/>
        <w:rPr>
          <w:rFonts w:ascii="Calibri" w:hAnsi="Calibri" w:cs="Calibri"/>
          <w:strike/>
        </w:rPr>
      </w:pPr>
      <w:r w:rsidRPr="00472578">
        <w:rPr>
          <w:rFonts w:ascii="Calibri" w:hAnsi="Calibri" w:cs="Calibri"/>
          <w:strike/>
        </w:rPr>
        <w:t>(b)</w:t>
      </w:r>
      <w:r w:rsidRPr="00472578">
        <w:rPr>
          <w:rFonts w:ascii="Calibri" w:hAnsi="Calibri" w:cs="Calibri"/>
          <w:strike/>
        </w:rPr>
        <w:tab/>
        <w:t>in the Dunstan, Manuherekia and Roxburgh rohe:</w:t>
      </w:r>
    </w:p>
    <w:p w14:paraId="6D1EC3BF" w14:textId="77777777" w:rsidR="009E3814" w:rsidRPr="00472578" w:rsidRDefault="009E3814" w:rsidP="00E92686">
      <w:pPr>
        <w:spacing w:line="240" w:lineRule="auto"/>
        <w:ind w:left="1701" w:hanging="567"/>
        <w:jc w:val="both"/>
        <w:rPr>
          <w:rFonts w:ascii="Calibri" w:hAnsi="Calibri" w:cs="Calibri"/>
          <w:strike/>
        </w:rPr>
      </w:pPr>
      <w:r w:rsidRPr="00472578">
        <w:rPr>
          <w:rFonts w:ascii="Calibri" w:hAnsi="Calibri" w:cs="Calibri"/>
          <w:strike/>
        </w:rPr>
        <w:lastRenderedPageBreak/>
        <w:t>(i)</w:t>
      </w:r>
      <w:r w:rsidRPr="00472578">
        <w:rPr>
          <w:rFonts w:ascii="Calibri" w:hAnsi="Calibri" w:cs="Calibri"/>
          <w:strike/>
        </w:rPr>
        <w:tab/>
        <w:t xml:space="preserve">flows in </w:t>
      </w:r>
      <w:r w:rsidRPr="00472578">
        <w:rPr>
          <w:rFonts w:ascii="Calibri" w:hAnsi="Calibri" w:cs="Calibri"/>
          <w:i/>
          <w:strike/>
        </w:rPr>
        <w:t>water bodies</w:t>
      </w:r>
      <w:r w:rsidRPr="00472578">
        <w:rPr>
          <w:rFonts w:ascii="Calibri" w:hAnsi="Calibri" w:cs="Calibri"/>
          <w:strike/>
        </w:rPr>
        <w:t xml:space="preserve"> sustain and, wherever possible, restore the natural form and function of main stems and tributaries to support Kāi Tahu values and practices, and</w:t>
      </w:r>
      <w:r w:rsidRPr="00472578">
        <w:rPr>
          <w:vertAlign w:val="superscript"/>
        </w:rPr>
        <w:footnoteReference w:id="790"/>
      </w:r>
    </w:p>
    <w:p w14:paraId="5048558C" w14:textId="77777777" w:rsidR="009E3814" w:rsidRPr="00472578" w:rsidRDefault="009E3814" w:rsidP="00E92686">
      <w:pPr>
        <w:spacing w:line="240" w:lineRule="auto"/>
        <w:ind w:left="1701" w:hanging="567"/>
        <w:jc w:val="both"/>
        <w:rPr>
          <w:rFonts w:ascii="Calibri" w:hAnsi="Calibri" w:cs="Calibri"/>
        </w:rPr>
      </w:pPr>
      <w:bookmarkStart w:id="159" w:name="_Hlk90898510"/>
      <w:r w:rsidRPr="00472578">
        <w:rPr>
          <w:rFonts w:ascii="Calibri" w:hAnsi="Calibri" w:cs="Calibri"/>
          <w:strike/>
        </w:rPr>
        <w:t>(ii)</w:t>
      </w:r>
      <w:r w:rsidRPr="00472578">
        <w:rPr>
          <w:rFonts w:ascii="Calibri" w:hAnsi="Calibri" w:cs="Calibri"/>
          <w:strike/>
        </w:rPr>
        <w:tab/>
        <w:t xml:space="preserve">innovative and sustainable </w:t>
      </w:r>
      <w:r w:rsidRPr="00472578">
        <w:rPr>
          <w:rFonts w:ascii="Calibri" w:hAnsi="Calibri" w:cs="Calibri"/>
          <w:i/>
          <w:strike/>
        </w:rPr>
        <w:t>land</w:t>
      </w:r>
      <w:r w:rsidRPr="00472578">
        <w:rPr>
          <w:rFonts w:ascii="Calibri" w:hAnsi="Calibri" w:cs="Calibri"/>
          <w:strike/>
        </w:rPr>
        <w:t xml:space="preserve"> and </w:t>
      </w:r>
      <w:r w:rsidRPr="00472578">
        <w:rPr>
          <w:rFonts w:ascii="Calibri" w:hAnsi="Calibri" w:cs="Calibri"/>
          <w:i/>
          <w:strike/>
        </w:rPr>
        <w:t>water</w:t>
      </w:r>
      <w:r w:rsidRPr="00472578">
        <w:rPr>
          <w:rFonts w:ascii="Calibri" w:hAnsi="Calibri" w:cs="Calibri"/>
          <w:strike/>
        </w:rPr>
        <w:t xml:space="preserve"> management practices support food production in the area and reduce discharges of nutrients and other </w:t>
      </w:r>
      <w:r w:rsidRPr="00472578">
        <w:rPr>
          <w:rFonts w:ascii="Calibri" w:hAnsi="Calibri" w:cs="Calibri"/>
          <w:i/>
          <w:strike/>
        </w:rPr>
        <w:t>contaminants</w:t>
      </w:r>
      <w:r w:rsidRPr="00472578">
        <w:rPr>
          <w:rFonts w:ascii="Calibri" w:hAnsi="Calibri" w:cs="Calibri"/>
          <w:strike/>
        </w:rPr>
        <w:t xml:space="preserve"> to </w:t>
      </w:r>
      <w:r w:rsidRPr="00472578">
        <w:rPr>
          <w:rFonts w:ascii="Calibri" w:hAnsi="Calibri" w:cs="Calibri"/>
          <w:i/>
          <w:strike/>
        </w:rPr>
        <w:t>water bodies</w:t>
      </w:r>
      <w:r w:rsidRPr="00472578">
        <w:rPr>
          <w:rFonts w:ascii="Calibri" w:hAnsi="Calibri" w:cs="Calibri"/>
          <w:strike/>
        </w:rPr>
        <w:t xml:space="preserve"> so that they are safe for human contact, and</w:t>
      </w:r>
      <w:r w:rsidRPr="00472578">
        <w:rPr>
          <w:vertAlign w:val="superscript"/>
        </w:rPr>
        <w:footnoteReference w:id="791"/>
      </w:r>
    </w:p>
    <w:bookmarkEnd w:id="159"/>
    <w:p w14:paraId="0206A9B7" w14:textId="77777777" w:rsidR="009E3814" w:rsidRPr="00472578" w:rsidRDefault="009E3814" w:rsidP="00E92686">
      <w:pPr>
        <w:spacing w:line="240" w:lineRule="auto"/>
        <w:ind w:left="1701" w:hanging="567"/>
        <w:jc w:val="both"/>
        <w:rPr>
          <w:rFonts w:ascii="Calibri" w:hAnsi="Calibri" w:cs="Calibri"/>
          <w:strike/>
        </w:rPr>
      </w:pPr>
      <w:r w:rsidRPr="00472578">
        <w:rPr>
          <w:rFonts w:ascii="Calibri" w:hAnsi="Calibri" w:cs="Calibri"/>
          <w:strike/>
        </w:rPr>
        <w:t>(iii)</w:t>
      </w:r>
      <w:r w:rsidRPr="00472578">
        <w:rPr>
          <w:rFonts w:ascii="Calibri" w:hAnsi="Calibri" w:cs="Calibri"/>
          <w:strike/>
        </w:rPr>
        <w:tab/>
        <w:t xml:space="preserve">sustainable abstraction occurs from main stems or </w:t>
      </w:r>
      <w:r w:rsidRPr="00472578">
        <w:rPr>
          <w:rFonts w:ascii="Calibri" w:hAnsi="Calibri" w:cs="Calibri"/>
          <w:i/>
          <w:strike/>
        </w:rPr>
        <w:t>groundwater</w:t>
      </w:r>
      <w:r w:rsidRPr="00472578">
        <w:rPr>
          <w:rFonts w:ascii="Calibri" w:hAnsi="Calibri" w:cs="Calibri"/>
          <w:strike/>
        </w:rPr>
        <w:t xml:space="preserve"> in preference to tributaries,</w:t>
      </w:r>
      <w:r w:rsidRPr="00472578">
        <w:rPr>
          <w:vertAlign w:val="superscript"/>
        </w:rPr>
        <w:footnoteReference w:id="792"/>
      </w:r>
    </w:p>
    <w:p w14:paraId="54A97A64" w14:textId="77777777" w:rsidR="009E3814" w:rsidRPr="00472578" w:rsidRDefault="009E3814" w:rsidP="00E92686">
      <w:pPr>
        <w:spacing w:line="240" w:lineRule="auto"/>
        <w:ind w:left="1134" w:hanging="567"/>
        <w:jc w:val="both"/>
        <w:rPr>
          <w:rFonts w:ascii="Calibri" w:hAnsi="Calibri" w:cs="Calibri"/>
        </w:rPr>
      </w:pPr>
      <w:r w:rsidRPr="00472578">
        <w:rPr>
          <w:rFonts w:ascii="Calibri" w:hAnsi="Calibri" w:cs="Calibri"/>
        </w:rPr>
        <w:t>(c)</w:t>
      </w:r>
      <w:r w:rsidRPr="00472578">
        <w:rPr>
          <w:rFonts w:ascii="Calibri" w:hAnsi="Calibri" w:cs="Calibri"/>
        </w:rPr>
        <w:tab/>
        <w:t xml:space="preserve">in the </w:t>
      </w:r>
      <w:r w:rsidRPr="00472578">
        <w:rPr>
          <w:rFonts w:ascii="Calibri" w:hAnsi="Calibri" w:cs="Calibri"/>
          <w:u w:val="single"/>
        </w:rPr>
        <w:t>Upper Lakes and</w:t>
      </w:r>
      <w:r w:rsidRPr="00472578">
        <w:rPr>
          <w:vertAlign w:val="superscript"/>
        </w:rPr>
        <w:footnoteReference w:id="793"/>
      </w:r>
      <w:r w:rsidRPr="00472578">
        <w:rPr>
          <w:rFonts w:ascii="Calibri" w:hAnsi="Calibri" w:cs="Calibri"/>
        </w:rPr>
        <w:t xml:space="preserve"> Lower Clutha rohe</w:t>
      </w:r>
      <w:r w:rsidRPr="00472578">
        <w:rPr>
          <w:rFonts w:ascii="Calibri" w:hAnsi="Calibri" w:cs="Calibri"/>
          <w:strike/>
        </w:rPr>
        <w:t>:</w:t>
      </w:r>
    </w:p>
    <w:p w14:paraId="04C92EEB" w14:textId="77777777" w:rsidR="009E3814" w:rsidRPr="00472578" w:rsidRDefault="009E3814" w:rsidP="00E92686">
      <w:pPr>
        <w:spacing w:line="240" w:lineRule="auto"/>
        <w:ind w:left="1701" w:hanging="567"/>
        <w:jc w:val="both"/>
        <w:rPr>
          <w:rFonts w:ascii="Calibri" w:hAnsi="Calibri" w:cs="Calibri"/>
          <w:u w:val="single"/>
        </w:rPr>
      </w:pPr>
      <w:r w:rsidRPr="00472578">
        <w:rPr>
          <w:rFonts w:ascii="Calibri" w:hAnsi="Calibri" w:cs="Calibri"/>
          <w:strike/>
        </w:rPr>
        <w:t>(i)</w:t>
      </w:r>
      <w:r w:rsidRPr="00472578">
        <w:rPr>
          <w:rFonts w:ascii="Calibri" w:hAnsi="Calibri" w:cs="Calibri"/>
          <w:strike/>
        </w:rPr>
        <w:tab/>
        <w:t>there is no further</w:t>
      </w:r>
      <w:r w:rsidRPr="00472578">
        <w:rPr>
          <w:rFonts w:ascii="Calibri" w:hAnsi="Calibri" w:cs="Calibri"/>
        </w:rPr>
        <w:t xml:space="preserve"> </w:t>
      </w:r>
      <w:r w:rsidRPr="00472578">
        <w:rPr>
          <w:rFonts w:ascii="Calibri" w:hAnsi="Calibri" w:cs="Calibri"/>
          <w:u w:val="single"/>
        </w:rPr>
        <w:t>minimise</w:t>
      </w:r>
      <w:r w:rsidRPr="00472578">
        <w:rPr>
          <w:rStyle w:val="FootnoteReference"/>
        </w:rPr>
        <w:footnoteReference w:id="794"/>
      </w:r>
      <w:r w:rsidRPr="00472578">
        <w:rPr>
          <w:rFonts w:ascii="Calibri" w:hAnsi="Calibri" w:cs="Calibri"/>
        </w:rPr>
        <w:t xml:space="preserve"> modification of the shape and behaviour of the </w:t>
      </w:r>
      <w:r w:rsidRPr="00472578">
        <w:rPr>
          <w:rFonts w:ascii="Calibri" w:hAnsi="Calibri" w:cs="Calibri"/>
          <w:i/>
        </w:rPr>
        <w:t>water bodies</w:t>
      </w:r>
      <w:r w:rsidRPr="00472578">
        <w:rPr>
          <w:rFonts w:ascii="Calibri" w:hAnsi="Calibri" w:cs="Calibri"/>
        </w:rPr>
        <w:t xml:space="preserve"> and </w:t>
      </w:r>
      <w:r w:rsidRPr="00472578">
        <w:rPr>
          <w:rFonts w:ascii="Calibri" w:hAnsi="Calibri" w:cs="Calibri"/>
          <w:u w:val="single"/>
        </w:rPr>
        <w:t>promote</w:t>
      </w:r>
      <w:r w:rsidRPr="00472578">
        <w:rPr>
          <w:rFonts w:ascii="Calibri" w:hAnsi="Calibri" w:cs="Calibri"/>
        </w:rPr>
        <w:t xml:space="preserve"> opportunities to restore the natural form and function of </w:t>
      </w:r>
      <w:r w:rsidRPr="00472578">
        <w:rPr>
          <w:rFonts w:ascii="Calibri" w:hAnsi="Calibri" w:cs="Calibri"/>
          <w:i/>
        </w:rPr>
        <w:t>water bodies</w:t>
      </w:r>
      <w:r w:rsidRPr="00472578">
        <w:rPr>
          <w:rFonts w:ascii="Calibri" w:hAnsi="Calibri" w:cs="Calibri"/>
        </w:rPr>
        <w:t xml:space="preserve"> </w:t>
      </w:r>
      <w:r w:rsidRPr="00472578">
        <w:rPr>
          <w:rFonts w:ascii="Calibri" w:hAnsi="Calibri" w:cs="Calibri"/>
          <w:strike/>
        </w:rPr>
        <w:t>are promoted</w:t>
      </w:r>
      <w:r w:rsidRPr="00472578">
        <w:rPr>
          <w:rFonts w:ascii="Calibri" w:hAnsi="Calibri" w:cs="Calibri"/>
        </w:rPr>
        <w:t xml:space="preserve"> </w:t>
      </w:r>
      <w:r w:rsidRPr="00472578">
        <w:rPr>
          <w:rStyle w:val="FootnoteReference"/>
          <w:rFonts w:ascii="Calibri" w:hAnsi="Calibri" w:cs="Calibri"/>
        </w:rPr>
        <w:footnoteReference w:id="795"/>
      </w:r>
      <w:r w:rsidRPr="00472578">
        <w:rPr>
          <w:rFonts w:ascii="Calibri" w:hAnsi="Calibri" w:cs="Calibri"/>
        </w:rPr>
        <w:t xml:space="preserve">wherever possible, </w:t>
      </w:r>
      <w:r w:rsidRPr="00472578">
        <w:rPr>
          <w:rFonts w:ascii="Calibri" w:hAnsi="Calibri" w:cs="Calibri"/>
          <w:u w:val="single"/>
        </w:rPr>
        <w:t>and</w:t>
      </w:r>
    </w:p>
    <w:p w14:paraId="351996A8" w14:textId="77777777" w:rsidR="009E3814" w:rsidRPr="00472578" w:rsidRDefault="009E3814" w:rsidP="00E92686">
      <w:pPr>
        <w:spacing w:line="240" w:lineRule="auto"/>
        <w:ind w:left="1701" w:hanging="567"/>
        <w:jc w:val="both"/>
        <w:rPr>
          <w:rFonts w:ascii="Calibri" w:hAnsi="Calibri" w:cs="Calibri"/>
          <w:strike/>
        </w:rPr>
      </w:pPr>
      <w:r w:rsidRPr="00472578">
        <w:rPr>
          <w:rFonts w:ascii="Calibri" w:hAnsi="Calibri" w:cs="Calibri"/>
          <w:strike/>
        </w:rPr>
        <w:t>(ii)</w:t>
      </w:r>
      <w:r w:rsidRPr="00472578">
        <w:rPr>
          <w:rFonts w:ascii="Calibri" w:hAnsi="Calibri" w:cs="Calibri"/>
          <w:strike/>
        </w:rPr>
        <w:tab/>
        <w:t xml:space="preserve">the ecosystem connections between </w:t>
      </w:r>
      <w:r w:rsidRPr="00472578">
        <w:rPr>
          <w:rFonts w:ascii="Calibri" w:hAnsi="Calibri" w:cs="Calibri"/>
          <w:i/>
          <w:strike/>
        </w:rPr>
        <w:t>freshwater</w:t>
      </w:r>
      <w:r w:rsidRPr="00472578">
        <w:rPr>
          <w:rFonts w:ascii="Calibri" w:hAnsi="Calibri" w:cs="Calibri"/>
          <w:strike/>
        </w:rPr>
        <w:t xml:space="preserve">, </w:t>
      </w:r>
      <w:r w:rsidRPr="00472578">
        <w:rPr>
          <w:rFonts w:ascii="Calibri" w:hAnsi="Calibri" w:cs="Calibri"/>
          <w:i/>
          <w:strike/>
        </w:rPr>
        <w:t>wetlands</w:t>
      </w:r>
      <w:r w:rsidRPr="00472578">
        <w:rPr>
          <w:rFonts w:ascii="Calibri" w:hAnsi="Calibri" w:cs="Calibri"/>
          <w:strike/>
        </w:rPr>
        <w:t xml:space="preserve"> and the coastal environment are preserved and, wherever possible, restored, </w:t>
      </w:r>
    </w:p>
    <w:p w14:paraId="31B58818" w14:textId="77777777" w:rsidR="009E3814" w:rsidRPr="00472578" w:rsidRDefault="009E3814" w:rsidP="00E92686">
      <w:pPr>
        <w:spacing w:line="240" w:lineRule="auto"/>
        <w:ind w:left="1701" w:hanging="567"/>
        <w:jc w:val="both"/>
        <w:rPr>
          <w:rFonts w:ascii="Calibri" w:hAnsi="Calibri" w:cs="Calibri"/>
          <w:strike/>
        </w:rPr>
      </w:pPr>
      <w:r w:rsidRPr="00472578">
        <w:rPr>
          <w:rFonts w:ascii="Calibri" w:hAnsi="Calibri" w:cs="Calibri"/>
          <w:strike/>
        </w:rPr>
        <w:t>(iii)</w:t>
      </w:r>
      <w:r w:rsidRPr="00472578">
        <w:rPr>
          <w:rFonts w:ascii="Calibri" w:hAnsi="Calibri" w:cs="Calibri"/>
          <w:strike/>
        </w:rPr>
        <w:tab/>
      </w:r>
      <w:r w:rsidRPr="00472578">
        <w:rPr>
          <w:rFonts w:ascii="Calibri" w:hAnsi="Calibri" w:cs="Calibri"/>
          <w:i/>
          <w:strike/>
        </w:rPr>
        <w:t>land</w:t>
      </w:r>
      <w:r w:rsidRPr="00472578">
        <w:rPr>
          <w:rFonts w:ascii="Calibri" w:hAnsi="Calibri" w:cs="Calibri"/>
          <w:strike/>
        </w:rPr>
        <w:t xml:space="preserve"> management practices reduce discharges of nutrients and other </w:t>
      </w:r>
      <w:r w:rsidRPr="00472578">
        <w:rPr>
          <w:rFonts w:ascii="Calibri" w:hAnsi="Calibri" w:cs="Calibri"/>
          <w:i/>
          <w:strike/>
        </w:rPr>
        <w:t>contaminants</w:t>
      </w:r>
      <w:r w:rsidRPr="00472578">
        <w:rPr>
          <w:rFonts w:ascii="Calibri" w:hAnsi="Calibri" w:cs="Calibri"/>
          <w:strike/>
        </w:rPr>
        <w:t xml:space="preserve"> to </w:t>
      </w:r>
      <w:r w:rsidRPr="00472578">
        <w:rPr>
          <w:rFonts w:ascii="Calibri" w:hAnsi="Calibri" w:cs="Calibri"/>
          <w:i/>
          <w:strike/>
        </w:rPr>
        <w:t>water bodies</w:t>
      </w:r>
      <w:r w:rsidRPr="00472578">
        <w:rPr>
          <w:rFonts w:ascii="Calibri" w:hAnsi="Calibri" w:cs="Calibri"/>
          <w:strike/>
        </w:rPr>
        <w:t xml:space="preserve"> so that they are safe for human contact, and</w:t>
      </w:r>
    </w:p>
    <w:p w14:paraId="1C32CB20" w14:textId="77777777" w:rsidR="009E3814" w:rsidRPr="00472578" w:rsidRDefault="009E3814" w:rsidP="00E92686">
      <w:pPr>
        <w:spacing w:line="240" w:lineRule="auto"/>
        <w:ind w:left="1701" w:hanging="567"/>
        <w:jc w:val="both"/>
        <w:rPr>
          <w:rFonts w:ascii="Calibri" w:hAnsi="Calibri" w:cs="Calibri"/>
          <w:strike/>
        </w:rPr>
      </w:pPr>
      <w:r w:rsidRPr="00472578">
        <w:rPr>
          <w:rFonts w:ascii="Calibri" w:hAnsi="Calibri" w:cs="Calibri"/>
          <w:strike/>
        </w:rPr>
        <w:t>(iv)</w:t>
      </w:r>
      <w:r w:rsidRPr="00472578">
        <w:rPr>
          <w:rFonts w:ascii="Calibri" w:hAnsi="Calibri" w:cs="Calibri"/>
          <w:strike/>
        </w:rPr>
        <w:tab/>
        <w:t xml:space="preserve">there are no direct </w:t>
      </w:r>
      <w:r w:rsidRPr="00472578">
        <w:rPr>
          <w:rFonts w:ascii="Calibri" w:hAnsi="Calibri" w:cs="Calibri"/>
          <w:i/>
          <w:strike/>
        </w:rPr>
        <w:t>discharges</w:t>
      </w:r>
      <w:r w:rsidRPr="00472578">
        <w:rPr>
          <w:rFonts w:ascii="Calibri" w:hAnsi="Calibri" w:cs="Calibri"/>
          <w:strike/>
        </w:rPr>
        <w:t xml:space="preserve"> of </w:t>
      </w:r>
      <w:r w:rsidRPr="00472578">
        <w:rPr>
          <w:rFonts w:ascii="Calibri" w:hAnsi="Calibri" w:cs="Calibri"/>
          <w:i/>
          <w:strike/>
        </w:rPr>
        <w:t>wastewater</w:t>
      </w:r>
      <w:r w:rsidRPr="00472578">
        <w:rPr>
          <w:rFonts w:ascii="Calibri" w:hAnsi="Calibri" w:cs="Calibri"/>
          <w:strike/>
        </w:rPr>
        <w:t xml:space="preserve"> to </w:t>
      </w:r>
      <w:r w:rsidRPr="00472578">
        <w:rPr>
          <w:rFonts w:ascii="Calibri" w:hAnsi="Calibri" w:cs="Calibri"/>
          <w:i/>
          <w:strike/>
        </w:rPr>
        <w:t>water bodies</w:t>
      </w:r>
      <w:r w:rsidRPr="00472578">
        <w:rPr>
          <w:rFonts w:ascii="Calibri" w:hAnsi="Calibri" w:cs="Calibri"/>
          <w:strike/>
        </w:rPr>
        <w:t>, and</w:t>
      </w:r>
      <w:r w:rsidRPr="00472578">
        <w:rPr>
          <w:vertAlign w:val="superscript"/>
        </w:rPr>
        <w:footnoteReference w:id="796"/>
      </w:r>
    </w:p>
    <w:p w14:paraId="63A74C43"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(8)</w:t>
      </w:r>
      <w:r w:rsidRPr="00472578">
        <w:rPr>
          <w:rFonts w:ascii="Calibri" w:hAnsi="Calibri" w:cs="Calibri"/>
        </w:rPr>
        <w:tab/>
      </w:r>
      <w:bookmarkStart w:id="160" w:name="_Hlk90041158"/>
      <w:r w:rsidRPr="00472578">
        <w:rPr>
          <w:rFonts w:ascii="Calibri" w:hAnsi="Calibri" w:cs="Calibri"/>
        </w:rPr>
        <w:t>the outcomes sought in (7) are to be achieved within the following timeframes:</w:t>
      </w:r>
    </w:p>
    <w:p w14:paraId="242584AD" w14:textId="77777777" w:rsidR="009E3814" w:rsidRPr="00472578" w:rsidRDefault="009E3814" w:rsidP="00E92686">
      <w:pPr>
        <w:spacing w:line="240" w:lineRule="auto"/>
        <w:ind w:left="1134" w:hanging="567"/>
        <w:jc w:val="both"/>
        <w:rPr>
          <w:rFonts w:ascii="Calibri" w:hAnsi="Calibri" w:cs="Calibri"/>
          <w:u w:val="single"/>
        </w:rPr>
      </w:pPr>
      <w:r w:rsidRPr="00472578">
        <w:rPr>
          <w:rFonts w:ascii="Calibri" w:hAnsi="Calibri" w:cs="Calibri"/>
        </w:rPr>
        <w:t>(a)</w:t>
      </w:r>
      <w:r w:rsidRPr="00472578">
        <w:rPr>
          <w:rFonts w:ascii="Calibri" w:hAnsi="Calibri" w:cs="Calibri"/>
        </w:rPr>
        <w:tab/>
        <w:t xml:space="preserve">by 2030 in the Upper Lakes rohe, </w:t>
      </w:r>
      <w:r w:rsidRPr="00472578">
        <w:rPr>
          <w:rFonts w:ascii="Calibri" w:hAnsi="Calibri" w:cs="Calibri"/>
          <w:u w:val="single"/>
        </w:rPr>
        <w:t>and</w:t>
      </w:r>
    </w:p>
    <w:p w14:paraId="4E5FAE9F" w14:textId="77777777" w:rsidR="009E3814" w:rsidRPr="00472578" w:rsidRDefault="009E3814" w:rsidP="00E92686">
      <w:pPr>
        <w:spacing w:line="240" w:lineRule="auto"/>
        <w:ind w:left="1134" w:hanging="567"/>
        <w:jc w:val="both"/>
        <w:rPr>
          <w:rFonts w:ascii="Calibri" w:hAnsi="Calibri" w:cs="Calibri"/>
          <w:strike/>
        </w:rPr>
      </w:pPr>
      <w:r w:rsidRPr="00472578">
        <w:rPr>
          <w:rFonts w:ascii="Calibri" w:hAnsi="Calibri" w:cs="Calibri"/>
        </w:rPr>
        <w:t>(b)</w:t>
      </w:r>
      <w:r w:rsidRPr="00472578">
        <w:rPr>
          <w:rFonts w:ascii="Calibri" w:hAnsi="Calibri" w:cs="Calibri"/>
        </w:rPr>
        <w:tab/>
        <w:t xml:space="preserve">by 2045 in the Dunstan, </w:t>
      </w:r>
      <w:r w:rsidRPr="00472578">
        <w:rPr>
          <w:rFonts w:ascii="Calibri" w:hAnsi="Calibri" w:cs="Calibri"/>
          <w:u w:val="single"/>
        </w:rPr>
        <w:t xml:space="preserve">Manuherekia, </w:t>
      </w:r>
      <w:r w:rsidRPr="00472578">
        <w:rPr>
          <w:rFonts w:ascii="Calibri" w:hAnsi="Calibri" w:cs="Calibri"/>
        </w:rPr>
        <w:t>Roxburgh and Lower Clutha rohe</w:t>
      </w:r>
      <w:r w:rsidRPr="00472578">
        <w:rPr>
          <w:rFonts w:ascii="Calibri" w:hAnsi="Calibri" w:cs="Calibri"/>
          <w:u w:val="single"/>
        </w:rPr>
        <w:t>.</w:t>
      </w:r>
      <w:r w:rsidRPr="00472578">
        <w:rPr>
          <w:rFonts w:ascii="Calibri" w:hAnsi="Calibri" w:cs="Calibri"/>
          <w:strike/>
        </w:rPr>
        <w:t>, and</w:t>
      </w:r>
    </w:p>
    <w:p w14:paraId="47BAF86E" w14:textId="77777777" w:rsidR="009E3814" w:rsidRPr="00472578" w:rsidRDefault="009E3814" w:rsidP="00E92686">
      <w:pPr>
        <w:spacing w:line="240" w:lineRule="auto"/>
        <w:ind w:left="1134" w:hanging="567"/>
        <w:jc w:val="both"/>
        <w:rPr>
          <w:rFonts w:ascii="Calibri" w:hAnsi="Calibri" w:cs="Calibri"/>
          <w:strike/>
        </w:rPr>
      </w:pPr>
      <w:r w:rsidRPr="00472578">
        <w:rPr>
          <w:rFonts w:ascii="Calibri" w:hAnsi="Calibri" w:cs="Calibri"/>
          <w:strike/>
        </w:rPr>
        <w:t>(c)</w:t>
      </w:r>
      <w:r w:rsidRPr="00472578">
        <w:rPr>
          <w:rFonts w:ascii="Calibri" w:hAnsi="Calibri" w:cs="Calibri"/>
          <w:strike/>
        </w:rPr>
        <w:tab/>
        <w:t>by 2050 in the Manuherekia rohe.</w:t>
      </w:r>
      <w:r w:rsidRPr="00472578">
        <w:rPr>
          <w:vertAlign w:val="superscript"/>
        </w:rPr>
        <w:footnoteReference w:id="797"/>
      </w:r>
    </w:p>
    <w:bookmarkEnd w:id="157"/>
    <w:bookmarkEnd w:id="160"/>
    <w:p w14:paraId="6AD978AA" w14:textId="77777777" w:rsidR="009E3814" w:rsidRPr="00472578" w:rsidRDefault="009E3814" w:rsidP="00E92686">
      <w:pPr>
        <w:pStyle w:val="Heading5"/>
        <w:jc w:val="both"/>
        <w:rPr>
          <w:b w:val="0"/>
        </w:rPr>
      </w:pPr>
      <w:r w:rsidRPr="00472578">
        <w:t xml:space="preserve">LF-VM-O3 – North Otago </w:t>
      </w:r>
      <w:r w:rsidRPr="00472578">
        <w:rPr>
          <w:i/>
        </w:rPr>
        <w:t>FMU</w:t>
      </w:r>
      <w:r w:rsidRPr="00472578">
        <w:t xml:space="preserve"> vision</w:t>
      </w:r>
    </w:p>
    <w:p w14:paraId="33F6F065"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 xml:space="preserve">By 2050 in the North Otago </w:t>
      </w:r>
      <w:r w:rsidRPr="00472578">
        <w:rPr>
          <w:rFonts w:ascii="Calibri" w:hAnsi="Calibri" w:cs="Calibri"/>
          <w:i/>
        </w:rPr>
        <w:t>FMU</w:t>
      </w:r>
      <w:r w:rsidRPr="00472578">
        <w:rPr>
          <w:rFonts w:ascii="Calibri" w:hAnsi="Calibri" w:cs="Calibri"/>
        </w:rPr>
        <w:t>:</w:t>
      </w:r>
    </w:p>
    <w:p w14:paraId="2371160E"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(1)</w:t>
      </w:r>
      <w:r w:rsidRPr="00472578">
        <w:rPr>
          <w:rFonts w:ascii="Calibri" w:hAnsi="Calibri" w:cs="Calibri"/>
        </w:rPr>
        <w:tab/>
      </w:r>
      <w:r w:rsidRPr="00472578">
        <w:rPr>
          <w:rFonts w:ascii="Calibri" w:hAnsi="Calibri" w:cs="Calibri"/>
          <w:i/>
        </w:rPr>
        <w:t>fresh water</w:t>
      </w:r>
      <w:r w:rsidRPr="00472578">
        <w:rPr>
          <w:rFonts w:ascii="Calibri" w:hAnsi="Calibri" w:cs="Calibri"/>
        </w:rPr>
        <w:t xml:space="preserve"> is managed in accordance with the LF – WAI objectives and policies, while recognising that the Waitaki River is influenced in part by catchment areas within the Canterbury region, </w:t>
      </w:r>
    </w:p>
    <w:p w14:paraId="4467D5E0"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(2)</w:t>
      </w:r>
      <w:r w:rsidRPr="00472578">
        <w:rPr>
          <w:rFonts w:ascii="Calibri" w:hAnsi="Calibri" w:cs="Calibri"/>
        </w:rPr>
        <w:tab/>
        <w:t xml:space="preserve">the ongoing relationship of Kāi Tahu with </w:t>
      </w:r>
      <w:r w:rsidRPr="00472578">
        <w:rPr>
          <w:rFonts w:ascii="Calibri" w:hAnsi="Calibri" w:cs="Calibri"/>
          <w:i/>
        </w:rPr>
        <w:t>wāhi tūpuna</w:t>
      </w:r>
      <w:r w:rsidRPr="00472578">
        <w:rPr>
          <w:rFonts w:ascii="Calibri" w:hAnsi="Calibri" w:cs="Calibri"/>
        </w:rPr>
        <w:t xml:space="preserve"> is sustained and Kāi Tahu maintain their connection with and use of the </w:t>
      </w:r>
      <w:r w:rsidRPr="00472578">
        <w:rPr>
          <w:rFonts w:ascii="Calibri" w:hAnsi="Calibri" w:cs="Calibri"/>
          <w:i/>
        </w:rPr>
        <w:t>water bodies</w:t>
      </w:r>
      <w:r w:rsidRPr="00472578">
        <w:rPr>
          <w:rFonts w:ascii="Calibri" w:hAnsi="Calibri" w:cs="Calibri"/>
        </w:rPr>
        <w:t>,</w:t>
      </w:r>
    </w:p>
    <w:p w14:paraId="5E84D474" w14:textId="4B36284C"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(3)</w:t>
      </w:r>
      <w:r w:rsidRPr="00472578">
        <w:rPr>
          <w:rFonts w:ascii="Calibri" w:hAnsi="Calibri" w:cs="Calibri"/>
        </w:rPr>
        <w:tab/>
        <w:t xml:space="preserve">healthy riparian margins, </w:t>
      </w:r>
      <w:r w:rsidRPr="00472578">
        <w:rPr>
          <w:rFonts w:ascii="Calibri" w:hAnsi="Calibri" w:cs="Calibri"/>
          <w:i/>
        </w:rPr>
        <w:t>wetlands</w:t>
      </w:r>
      <w:r w:rsidRPr="00472578">
        <w:rPr>
          <w:rFonts w:ascii="Calibri" w:hAnsi="Calibri" w:cs="Calibri"/>
        </w:rPr>
        <w:t xml:space="preserve">, </w:t>
      </w:r>
      <w:proofErr w:type="gramStart"/>
      <w:r w:rsidRPr="00472578">
        <w:rPr>
          <w:rFonts w:ascii="Calibri" w:hAnsi="Calibri" w:cs="Calibri"/>
        </w:rPr>
        <w:t>estuaries</w:t>
      </w:r>
      <w:proofErr w:type="gramEnd"/>
      <w:r w:rsidRPr="00472578">
        <w:rPr>
          <w:rFonts w:ascii="Calibri" w:hAnsi="Calibri" w:cs="Calibri"/>
        </w:rPr>
        <w:t xml:space="preserve"> and lagoons support thriving </w:t>
      </w:r>
      <w:r w:rsidRPr="009C237D">
        <w:rPr>
          <w:strike/>
        </w:rPr>
        <w:t>mahika kai</w:t>
      </w:r>
      <w:r w:rsidR="00A00191" w:rsidRPr="00472578">
        <w:t xml:space="preserve"> </w:t>
      </w:r>
      <w:r w:rsidR="00A00191" w:rsidRPr="004B700D">
        <w:rPr>
          <w:i/>
          <w:iCs/>
          <w:u w:val="single"/>
        </w:rPr>
        <w:t>mahika kai</w:t>
      </w:r>
      <w:r w:rsidR="00A00191">
        <w:rPr>
          <w:rStyle w:val="FootnoteReference"/>
        </w:rPr>
        <w:footnoteReference w:id="798"/>
      </w:r>
      <w:r w:rsidRPr="00472578">
        <w:rPr>
          <w:rFonts w:ascii="Calibri" w:hAnsi="Calibri" w:cs="Calibri"/>
        </w:rPr>
        <w:t>, indigenous habitats and downstream coastal ecosystems,</w:t>
      </w:r>
    </w:p>
    <w:p w14:paraId="28D75D6E"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(4)</w:t>
      </w:r>
      <w:r w:rsidRPr="00472578">
        <w:rPr>
          <w:rFonts w:ascii="Calibri" w:hAnsi="Calibri" w:cs="Calibri"/>
        </w:rPr>
        <w:tab/>
        <w:t xml:space="preserve">indigenous species can migrate easily and as naturally as possible to and from the coastal environment </w:t>
      </w:r>
      <w:r w:rsidRPr="00472578">
        <w:rPr>
          <w:rFonts w:ascii="Calibri" w:hAnsi="Calibri" w:cs="Calibri"/>
          <w:u w:val="single"/>
        </w:rPr>
        <w:t>and populations of threatened indigenous fish are stable or increasing</w:t>
      </w:r>
      <w:r w:rsidRPr="00472578">
        <w:rPr>
          <w:rFonts w:ascii="Calibri" w:hAnsi="Calibri" w:cs="Calibri"/>
        </w:rPr>
        <w:t>,</w:t>
      </w:r>
      <w:r w:rsidRPr="00472578">
        <w:rPr>
          <w:vertAlign w:val="superscript"/>
        </w:rPr>
        <w:footnoteReference w:id="799"/>
      </w:r>
    </w:p>
    <w:p w14:paraId="6927FF07"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lastRenderedPageBreak/>
        <w:t>(5)</w:t>
      </w:r>
      <w:r w:rsidRPr="00472578">
        <w:rPr>
          <w:rFonts w:ascii="Calibri" w:hAnsi="Calibri" w:cs="Calibri"/>
        </w:rPr>
        <w:tab/>
      </w:r>
      <w:r w:rsidRPr="00472578">
        <w:rPr>
          <w:rFonts w:ascii="Calibri" w:hAnsi="Calibri" w:cs="Calibri"/>
          <w:i/>
          <w:strike/>
        </w:rPr>
        <w:t>land</w:t>
      </w:r>
      <w:r w:rsidRPr="00472578">
        <w:rPr>
          <w:rFonts w:ascii="Calibri" w:hAnsi="Calibri" w:cs="Calibri"/>
          <w:strike/>
        </w:rPr>
        <w:t xml:space="preserve"> management practices reduce</w:t>
      </w:r>
      <w:r w:rsidRPr="00472578">
        <w:rPr>
          <w:vertAlign w:val="superscript"/>
        </w:rPr>
        <w:footnoteReference w:id="800"/>
      </w:r>
      <w:r w:rsidRPr="00472578">
        <w:rPr>
          <w:rFonts w:ascii="Calibri" w:hAnsi="Calibri" w:cs="Calibri"/>
        </w:rPr>
        <w:t xml:space="preserve"> </w:t>
      </w:r>
      <w:r w:rsidRPr="00472578">
        <w:rPr>
          <w:rFonts w:ascii="Calibri" w:hAnsi="Calibri" w:cs="Calibri"/>
          <w:i/>
        </w:rPr>
        <w:t>discharges</w:t>
      </w:r>
      <w:r w:rsidRPr="00472578">
        <w:rPr>
          <w:rFonts w:ascii="Calibri" w:hAnsi="Calibri" w:cs="Calibri"/>
        </w:rPr>
        <w:t xml:space="preserve"> of nutrients and other </w:t>
      </w:r>
      <w:r w:rsidRPr="00472578">
        <w:rPr>
          <w:rFonts w:ascii="Calibri" w:hAnsi="Calibri" w:cs="Calibri"/>
          <w:i/>
        </w:rPr>
        <w:t>contaminants</w:t>
      </w:r>
      <w:r w:rsidRPr="00472578">
        <w:rPr>
          <w:rFonts w:ascii="Calibri" w:hAnsi="Calibri" w:cs="Calibri"/>
        </w:rPr>
        <w:t xml:space="preserve"> to </w:t>
      </w:r>
      <w:r w:rsidRPr="00472578">
        <w:rPr>
          <w:rFonts w:ascii="Calibri" w:hAnsi="Calibri" w:cs="Calibri"/>
          <w:i/>
        </w:rPr>
        <w:t>water bodies</w:t>
      </w:r>
      <w:r w:rsidRPr="00472578">
        <w:rPr>
          <w:rFonts w:ascii="Calibri" w:hAnsi="Calibri" w:cs="Calibri"/>
        </w:rPr>
        <w:t xml:space="preserve"> </w:t>
      </w:r>
      <w:r w:rsidRPr="00472578">
        <w:rPr>
          <w:rFonts w:ascii="Calibri" w:hAnsi="Calibri" w:cs="Calibri"/>
          <w:u w:val="single"/>
        </w:rPr>
        <w:t>are reduced</w:t>
      </w:r>
      <w:r w:rsidRPr="00472578">
        <w:rPr>
          <w:vertAlign w:val="superscript"/>
        </w:rPr>
        <w:footnoteReference w:id="801"/>
      </w:r>
      <w:r w:rsidRPr="00472578">
        <w:rPr>
          <w:rFonts w:ascii="Calibri" w:hAnsi="Calibri" w:cs="Calibri"/>
        </w:rPr>
        <w:t xml:space="preserve"> </w:t>
      </w:r>
      <w:r w:rsidRPr="00472578">
        <w:rPr>
          <w:rFonts w:ascii="Calibri" w:hAnsi="Calibri" w:cs="Calibri"/>
          <w:strike/>
        </w:rPr>
        <w:t>so</w:t>
      </w:r>
      <w:r w:rsidRPr="00472578">
        <w:rPr>
          <w:rFonts w:ascii="Calibri" w:hAnsi="Calibri" w:cs="Calibri"/>
        </w:rPr>
        <w:t xml:space="preserve"> </w:t>
      </w:r>
      <w:r w:rsidRPr="00472578">
        <w:rPr>
          <w:rFonts w:ascii="Calibri" w:hAnsi="Calibri" w:cs="Calibri"/>
          <w:u w:val="single"/>
        </w:rPr>
        <w:t>where required to ensure</w:t>
      </w:r>
      <w:r w:rsidRPr="00472578">
        <w:rPr>
          <w:vertAlign w:val="superscript"/>
        </w:rPr>
        <w:footnoteReference w:id="802"/>
      </w:r>
      <w:r w:rsidRPr="00472578">
        <w:rPr>
          <w:rFonts w:ascii="Calibri" w:hAnsi="Calibri" w:cs="Calibri"/>
        </w:rPr>
        <w:t xml:space="preserve"> that </w:t>
      </w:r>
      <w:r w:rsidRPr="00472578">
        <w:rPr>
          <w:rFonts w:ascii="Calibri" w:hAnsi="Calibri" w:cs="Calibri"/>
          <w:strike/>
        </w:rPr>
        <w:t>they</w:t>
      </w:r>
      <w:r w:rsidRPr="00472578">
        <w:rPr>
          <w:rFonts w:ascii="Calibri" w:hAnsi="Calibri" w:cs="Calibri"/>
        </w:rPr>
        <w:t xml:space="preserve"> </w:t>
      </w:r>
      <w:r w:rsidRPr="00472578">
        <w:rPr>
          <w:rFonts w:ascii="Calibri" w:hAnsi="Calibri" w:cs="Calibri"/>
          <w:u w:val="single"/>
        </w:rPr>
        <w:t>water bodies</w:t>
      </w:r>
      <w:r w:rsidRPr="00472578">
        <w:rPr>
          <w:vertAlign w:val="superscript"/>
        </w:rPr>
        <w:footnoteReference w:id="803"/>
      </w:r>
      <w:r w:rsidRPr="00472578">
        <w:rPr>
          <w:rFonts w:ascii="Calibri" w:hAnsi="Calibri" w:cs="Calibri"/>
        </w:rPr>
        <w:t xml:space="preserve"> are safe for human contact </w:t>
      </w:r>
      <w:r w:rsidRPr="00472578">
        <w:rPr>
          <w:rFonts w:ascii="Calibri" w:hAnsi="Calibri" w:cs="Calibri"/>
          <w:u w:val="single"/>
        </w:rPr>
        <w:t xml:space="preserve">and </w:t>
      </w:r>
      <w:r w:rsidRPr="00A00191">
        <w:rPr>
          <w:rFonts w:ascii="Calibri" w:hAnsi="Calibri" w:cs="Calibri"/>
          <w:i/>
          <w:u w:val="single"/>
        </w:rPr>
        <w:t>mahika kai</w:t>
      </w:r>
      <w:r w:rsidRPr="00472578">
        <w:rPr>
          <w:rFonts w:ascii="Calibri" w:hAnsi="Calibri" w:cs="Calibri"/>
          <w:u w:val="single"/>
        </w:rPr>
        <w:t xml:space="preserve"> species are safe for consumption</w:t>
      </w:r>
      <w:r w:rsidRPr="00472578">
        <w:rPr>
          <w:rFonts w:ascii="Calibri" w:hAnsi="Calibri" w:cs="Calibri"/>
        </w:rPr>
        <w:t>,</w:t>
      </w:r>
      <w:r w:rsidRPr="00472578">
        <w:rPr>
          <w:vertAlign w:val="superscript"/>
        </w:rPr>
        <w:footnoteReference w:id="804"/>
      </w:r>
      <w:r w:rsidRPr="00472578">
        <w:rPr>
          <w:rFonts w:ascii="Calibri" w:hAnsi="Calibri" w:cs="Calibri"/>
        </w:rPr>
        <w:t xml:space="preserve"> and</w:t>
      </w:r>
    </w:p>
    <w:p w14:paraId="3E6FA6FB" w14:textId="00C472CC" w:rsidR="009E3814" w:rsidRPr="00472578" w:rsidRDefault="009E3814" w:rsidP="00E92686">
      <w:pPr>
        <w:spacing w:line="240" w:lineRule="auto"/>
        <w:ind w:left="567" w:hanging="567"/>
        <w:jc w:val="both"/>
        <w:rPr>
          <w:rFonts w:cstheme="minorHAnsi"/>
        </w:rPr>
      </w:pPr>
      <w:r w:rsidRPr="00472578">
        <w:rPr>
          <w:rFonts w:ascii="Calibri" w:hAnsi="Calibri" w:cs="Calibri"/>
        </w:rPr>
        <w:t>(6)</w:t>
      </w:r>
      <w:r w:rsidRPr="00472578">
        <w:rPr>
          <w:rFonts w:ascii="Calibri" w:hAnsi="Calibri" w:cs="Calibri"/>
        </w:rPr>
        <w:tab/>
      </w:r>
      <w:r w:rsidRPr="00472578">
        <w:rPr>
          <w:rFonts w:ascii="Calibri" w:hAnsi="Calibri" w:cs="Calibri"/>
          <w:u w:val="single"/>
        </w:rPr>
        <w:t>food production in the area is supported by</w:t>
      </w:r>
      <w:r w:rsidRPr="639E38F9">
        <w:rPr>
          <w:vertAlign w:val="superscript"/>
        </w:rPr>
        <w:footnoteReference w:id="805"/>
      </w:r>
      <w:r w:rsidRPr="00472578">
        <w:rPr>
          <w:rFonts w:ascii="Calibri" w:hAnsi="Calibri" w:cs="Calibri"/>
        </w:rPr>
        <w:t xml:space="preserve"> </w:t>
      </w:r>
      <w:r w:rsidRPr="639E38F9">
        <w:t xml:space="preserve">innovative and sustainable </w:t>
      </w:r>
      <w:r w:rsidRPr="639E38F9">
        <w:rPr>
          <w:i/>
        </w:rPr>
        <w:t>land</w:t>
      </w:r>
      <w:r w:rsidRPr="639E38F9">
        <w:t xml:space="preserve"> and </w:t>
      </w:r>
      <w:r w:rsidRPr="639E38F9">
        <w:rPr>
          <w:i/>
        </w:rPr>
        <w:t>water</w:t>
      </w:r>
      <w:r w:rsidRPr="639E38F9">
        <w:t xml:space="preserve"> management practices </w:t>
      </w:r>
      <w:r w:rsidRPr="639E38F9">
        <w:rPr>
          <w:strike/>
        </w:rPr>
        <w:t xml:space="preserve">support food production in the area and </w:t>
      </w:r>
      <w:r w:rsidRPr="639E38F9">
        <w:rPr>
          <w:u w:val="single"/>
        </w:rPr>
        <w:t>that</w:t>
      </w:r>
      <w:r w:rsidRPr="639E38F9">
        <w:rPr>
          <w:vertAlign w:val="superscript"/>
        </w:rPr>
        <w:footnoteReference w:id="806"/>
      </w:r>
      <w:r w:rsidRPr="639E38F9">
        <w:t xml:space="preserve"> improve resilience to the </w:t>
      </w:r>
      <w:r w:rsidRPr="639E38F9">
        <w:rPr>
          <w:i/>
        </w:rPr>
        <w:t>effects</w:t>
      </w:r>
      <w:r w:rsidRPr="639E38F9">
        <w:t xml:space="preserve"> of </w:t>
      </w:r>
      <w:r w:rsidRPr="639E38F9">
        <w:rPr>
          <w:i/>
        </w:rPr>
        <w:t xml:space="preserve">climate change </w:t>
      </w:r>
      <w:r w:rsidRPr="639E38F9">
        <w:rPr>
          <w:u w:val="single"/>
        </w:rPr>
        <w:t>and recognise the dryland nature of much of this FMU</w:t>
      </w:r>
      <w:r w:rsidRPr="639E38F9">
        <w:t>.</w:t>
      </w:r>
      <w:r w:rsidRPr="639E38F9">
        <w:rPr>
          <w:vertAlign w:val="superscript"/>
        </w:rPr>
        <w:footnoteReference w:id="807"/>
      </w:r>
    </w:p>
    <w:p w14:paraId="5C65B330" w14:textId="293CC3F4" w:rsidR="009E3814" w:rsidRPr="00472578" w:rsidRDefault="009E3814" w:rsidP="00E92686">
      <w:pPr>
        <w:pStyle w:val="Heading5"/>
        <w:jc w:val="both"/>
        <w:rPr>
          <w:b w:val="0"/>
        </w:rPr>
      </w:pPr>
      <w:r w:rsidRPr="00472578">
        <w:t xml:space="preserve">LF-VM-O4 – </w:t>
      </w:r>
      <w:r w:rsidRPr="00472578">
        <w:rPr>
          <w:strike/>
        </w:rPr>
        <w:t>Taieri</w:t>
      </w:r>
      <w:r w:rsidR="00346C90" w:rsidRPr="005B577C">
        <w:rPr>
          <w:rFonts w:cs="Calibri"/>
        </w:rPr>
        <w:t xml:space="preserve"> </w:t>
      </w:r>
      <w:r w:rsidRPr="00472578">
        <w:rPr>
          <w:u w:val="single"/>
        </w:rPr>
        <w:t>Taiari</w:t>
      </w:r>
      <w:r w:rsidR="00E63FA1" w:rsidRPr="00472578">
        <w:rPr>
          <w:rStyle w:val="FootnoteReference"/>
          <w:b w:val="0"/>
          <w:bCs w:val="0"/>
          <w:color w:val="auto"/>
        </w:rPr>
        <w:footnoteReference w:id="808"/>
      </w:r>
      <w:r w:rsidRPr="00472578">
        <w:rPr>
          <w:b w:val="0"/>
          <w:bCs w:val="0"/>
          <w:color w:val="auto"/>
        </w:rPr>
        <w:t xml:space="preserve"> </w:t>
      </w:r>
      <w:r w:rsidRPr="00472578">
        <w:rPr>
          <w:i/>
        </w:rPr>
        <w:t>FMU</w:t>
      </w:r>
      <w:r w:rsidRPr="00472578">
        <w:t xml:space="preserve"> vision</w:t>
      </w:r>
    </w:p>
    <w:p w14:paraId="449827A2" w14:textId="4B37B0CF"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 xml:space="preserve">By 2050 in the </w:t>
      </w:r>
      <w:r w:rsidRPr="00472578">
        <w:rPr>
          <w:rFonts w:ascii="Calibri" w:hAnsi="Calibri" w:cs="Calibri"/>
          <w:strike/>
        </w:rPr>
        <w:t>Taieri</w:t>
      </w:r>
      <w:r w:rsidR="00346C90" w:rsidRPr="005B577C">
        <w:rPr>
          <w:rFonts w:ascii="Calibri" w:hAnsi="Calibri" w:cs="Calibri"/>
        </w:rPr>
        <w:t xml:space="preserve"> </w:t>
      </w:r>
      <w:r w:rsidRPr="00472578">
        <w:rPr>
          <w:rFonts w:ascii="Calibri" w:hAnsi="Calibri" w:cs="Calibri"/>
          <w:u w:val="single"/>
        </w:rPr>
        <w:t>Taiari</w:t>
      </w:r>
      <w:r w:rsidR="00E63FA1" w:rsidRPr="00472578">
        <w:rPr>
          <w:rStyle w:val="FootnoteReference"/>
        </w:rPr>
        <w:footnoteReference w:id="809"/>
      </w:r>
      <w:r w:rsidRPr="00472578">
        <w:rPr>
          <w:rFonts w:ascii="Calibri" w:hAnsi="Calibri" w:cs="Calibri"/>
        </w:rPr>
        <w:t xml:space="preserve"> </w:t>
      </w:r>
      <w:r w:rsidRPr="00472578">
        <w:rPr>
          <w:rFonts w:ascii="Calibri" w:hAnsi="Calibri" w:cs="Calibri"/>
          <w:i/>
        </w:rPr>
        <w:t>FMU</w:t>
      </w:r>
      <w:r w:rsidRPr="00472578">
        <w:rPr>
          <w:rFonts w:ascii="Calibri" w:hAnsi="Calibri" w:cs="Calibri"/>
        </w:rPr>
        <w:t>:</w:t>
      </w:r>
    </w:p>
    <w:p w14:paraId="1C353A9C"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(1)</w:t>
      </w:r>
      <w:r w:rsidRPr="00472578">
        <w:rPr>
          <w:rFonts w:ascii="Calibri" w:hAnsi="Calibri" w:cs="Calibri"/>
        </w:rPr>
        <w:tab/>
      </w:r>
      <w:r w:rsidRPr="00472578">
        <w:rPr>
          <w:rFonts w:ascii="Calibri" w:hAnsi="Calibri" w:cs="Calibri"/>
          <w:i/>
        </w:rPr>
        <w:t>fresh water</w:t>
      </w:r>
      <w:r w:rsidRPr="00472578">
        <w:rPr>
          <w:rFonts w:ascii="Calibri" w:hAnsi="Calibri" w:cs="Calibri"/>
        </w:rPr>
        <w:t xml:space="preserve"> is managed in accordance with the LF–WAI objectives and policies, </w:t>
      </w:r>
    </w:p>
    <w:p w14:paraId="41163476"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(2)</w:t>
      </w:r>
      <w:r w:rsidRPr="00472578">
        <w:rPr>
          <w:rFonts w:ascii="Calibri" w:hAnsi="Calibri" w:cs="Calibri"/>
        </w:rPr>
        <w:tab/>
        <w:t xml:space="preserve">the ongoing relationship of Kāi Tahu with </w:t>
      </w:r>
      <w:r w:rsidRPr="00472578">
        <w:rPr>
          <w:rFonts w:ascii="Calibri" w:hAnsi="Calibri" w:cs="Calibri"/>
          <w:i/>
        </w:rPr>
        <w:t>wāhi tūpuna</w:t>
      </w:r>
      <w:r w:rsidRPr="00472578">
        <w:rPr>
          <w:rFonts w:ascii="Calibri" w:hAnsi="Calibri" w:cs="Calibri"/>
        </w:rPr>
        <w:t xml:space="preserve"> is sustained, </w:t>
      </w:r>
    </w:p>
    <w:p w14:paraId="0BE758C7" w14:textId="1FE5A817"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u w:val="single"/>
        </w:rPr>
        <w:t>(3</w:t>
      </w:r>
      <w:r w:rsidR="00417F52" w:rsidRPr="00472578">
        <w:rPr>
          <w:rFonts w:ascii="Calibri" w:hAnsi="Calibri" w:cs="Calibri"/>
          <w:u w:val="single"/>
        </w:rPr>
        <w:t>A</w:t>
      </w:r>
      <w:r w:rsidRPr="00472578">
        <w:rPr>
          <w:rFonts w:ascii="Calibri" w:hAnsi="Calibri" w:cs="Calibri"/>
          <w:u w:val="single"/>
        </w:rPr>
        <w:t>)</w:t>
      </w:r>
      <w:r w:rsidRPr="00472578">
        <w:rPr>
          <w:rFonts w:ascii="Calibri" w:hAnsi="Calibri" w:cs="Calibri"/>
          <w:u w:val="single"/>
        </w:rPr>
        <w:tab/>
        <w:t xml:space="preserve">water bodies support thriving </w:t>
      </w:r>
      <w:r w:rsidRPr="00A00191">
        <w:rPr>
          <w:rFonts w:ascii="Calibri" w:hAnsi="Calibri" w:cs="Calibri"/>
          <w:i/>
          <w:u w:val="single"/>
        </w:rPr>
        <w:t>mahika kai</w:t>
      </w:r>
      <w:r w:rsidRPr="00472578">
        <w:rPr>
          <w:rFonts w:ascii="Calibri" w:hAnsi="Calibri" w:cs="Calibri"/>
          <w:u w:val="single"/>
        </w:rPr>
        <w:t xml:space="preserve"> that are safe for consumption and Kāi Tahu wh</w:t>
      </w:r>
      <w:r w:rsidR="00B83798" w:rsidRPr="00472578">
        <w:rPr>
          <w:rFonts w:ascii="Calibri" w:hAnsi="Calibri" w:cs="Calibri"/>
          <w:u w:val="single"/>
        </w:rPr>
        <w:t>ā</w:t>
      </w:r>
      <w:r w:rsidRPr="00472578">
        <w:rPr>
          <w:rFonts w:ascii="Calibri" w:hAnsi="Calibri" w:cs="Calibri"/>
          <w:u w:val="single"/>
        </w:rPr>
        <w:t xml:space="preserve">nui have access to </w:t>
      </w:r>
      <w:r w:rsidRPr="00A00191">
        <w:rPr>
          <w:rFonts w:ascii="Calibri" w:hAnsi="Calibri" w:cs="Calibri"/>
          <w:i/>
          <w:u w:val="single"/>
        </w:rPr>
        <w:t>mahika kai</w:t>
      </w:r>
      <w:r w:rsidRPr="00472578">
        <w:rPr>
          <w:rFonts w:ascii="Calibri" w:hAnsi="Calibri" w:cs="Calibri"/>
          <w:u w:val="single"/>
        </w:rPr>
        <w:t>,</w:t>
      </w:r>
      <w:r w:rsidRPr="00472578">
        <w:rPr>
          <w:vertAlign w:val="superscript"/>
        </w:rPr>
        <w:footnoteReference w:id="810"/>
      </w:r>
    </w:p>
    <w:p w14:paraId="45458FD4" w14:textId="663A2481" w:rsidR="009E3814" w:rsidRPr="00472578" w:rsidRDefault="009E3814" w:rsidP="00E92686">
      <w:pPr>
        <w:spacing w:line="240" w:lineRule="auto"/>
        <w:ind w:left="567" w:hanging="567"/>
        <w:jc w:val="both"/>
        <w:rPr>
          <w:rFonts w:ascii="Calibri" w:hAnsi="Calibri" w:cs="Calibri"/>
          <w:u w:val="single"/>
        </w:rPr>
      </w:pPr>
      <w:r w:rsidRPr="00472578">
        <w:rPr>
          <w:rFonts w:ascii="Calibri" w:hAnsi="Calibri" w:cs="Calibri"/>
        </w:rPr>
        <w:t>(3)</w:t>
      </w:r>
      <w:r w:rsidRPr="00472578">
        <w:rPr>
          <w:rFonts w:ascii="Calibri" w:hAnsi="Calibri" w:cs="Calibri"/>
        </w:rPr>
        <w:tab/>
      </w:r>
      <w:r w:rsidRPr="00472578">
        <w:rPr>
          <w:rFonts w:ascii="Calibri" w:hAnsi="Calibri" w:cs="Calibri"/>
          <w:strike/>
        </w:rPr>
        <w:t xml:space="preserve">healthy </w:t>
      </w:r>
      <w:r w:rsidRPr="00472578">
        <w:rPr>
          <w:rFonts w:ascii="Calibri" w:hAnsi="Calibri" w:cs="Calibri"/>
          <w:i/>
          <w:strike/>
        </w:rPr>
        <w:t>wetlands</w:t>
      </w:r>
      <w:r w:rsidRPr="00472578">
        <w:rPr>
          <w:rFonts w:ascii="Calibri" w:hAnsi="Calibri" w:cs="Calibri"/>
          <w:strike/>
        </w:rPr>
        <w:t xml:space="preserve"> are restored in</w:t>
      </w:r>
      <w:r w:rsidRPr="00472578">
        <w:rPr>
          <w:vertAlign w:val="superscript"/>
        </w:rPr>
        <w:footnoteReference w:id="811"/>
      </w:r>
      <w:r w:rsidRPr="00472578">
        <w:rPr>
          <w:rFonts w:ascii="Calibri" w:hAnsi="Calibri" w:cs="Calibri"/>
        </w:rPr>
        <w:t xml:space="preserve"> the upper and lower catchment </w:t>
      </w:r>
      <w:r w:rsidRPr="00472578">
        <w:rPr>
          <w:rFonts w:ascii="Calibri" w:hAnsi="Calibri" w:cs="Calibri"/>
          <w:i/>
        </w:rPr>
        <w:t>wetland</w:t>
      </w:r>
      <w:r w:rsidRPr="00472578">
        <w:rPr>
          <w:rFonts w:ascii="Calibri" w:hAnsi="Calibri" w:cs="Calibri"/>
        </w:rPr>
        <w:t xml:space="preserve"> complexes, including the </w:t>
      </w:r>
      <w:r w:rsidRPr="00472578">
        <w:rPr>
          <w:rFonts w:ascii="Calibri" w:hAnsi="Calibri" w:cs="Calibri"/>
          <w:strike/>
        </w:rPr>
        <w:t>Waipori</w:t>
      </w:r>
      <w:r w:rsidR="005B577C" w:rsidRPr="005B577C">
        <w:rPr>
          <w:rFonts w:ascii="Calibri" w:hAnsi="Calibri" w:cs="Calibri"/>
        </w:rPr>
        <w:t xml:space="preserve"> </w:t>
      </w:r>
      <w:r w:rsidRPr="00472578">
        <w:rPr>
          <w:rFonts w:ascii="Calibri" w:hAnsi="Calibri" w:cs="Calibri"/>
          <w:u w:val="single"/>
        </w:rPr>
        <w:t>Waipoūri</w:t>
      </w:r>
      <w:r w:rsidRPr="00472578">
        <w:rPr>
          <w:rFonts w:ascii="Calibri" w:hAnsi="Calibri" w:cs="Calibri"/>
        </w:rPr>
        <w:t xml:space="preserve">/Waihola Wetlands, Tunaheketaka/Lake </w:t>
      </w:r>
      <w:r w:rsidR="00346C90" w:rsidRPr="00472578">
        <w:rPr>
          <w:rFonts w:ascii="Calibri" w:hAnsi="Calibri" w:cs="Calibri"/>
          <w:strike/>
        </w:rPr>
        <w:t>Taieri</w:t>
      </w:r>
      <w:r w:rsidR="00346C90" w:rsidRPr="005B577C">
        <w:rPr>
          <w:rFonts w:ascii="Calibri" w:hAnsi="Calibri" w:cs="Calibri"/>
        </w:rPr>
        <w:t xml:space="preserve"> </w:t>
      </w:r>
      <w:r w:rsidR="00346C90" w:rsidRPr="00472578">
        <w:rPr>
          <w:rFonts w:ascii="Calibri" w:hAnsi="Calibri" w:cs="Calibri"/>
          <w:u w:val="single"/>
        </w:rPr>
        <w:t>Taiari</w:t>
      </w:r>
      <w:r w:rsidRPr="00472578">
        <w:rPr>
          <w:rFonts w:ascii="Calibri" w:hAnsi="Calibri" w:cs="Calibri"/>
        </w:rPr>
        <w:t>,</w:t>
      </w:r>
      <w:r w:rsidR="00DE73D9" w:rsidRPr="00472578">
        <w:rPr>
          <w:rStyle w:val="FootnoteReference"/>
        </w:rPr>
        <w:footnoteReference w:id="812"/>
      </w:r>
      <w:r w:rsidR="00F14557">
        <w:rPr>
          <w:rFonts w:ascii="Calibri" w:hAnsi="Calibri" w:cs="Calibri"/>
        </w:rPr>
        <w:t xml:space="preserve"> </w:t>
      </w:r>
      <w:r w:rsidRPr="00472578">
        <w:rPr>
          <w:rFonts w:ascii="Calibri" w:hAnsi="Calibri" w:cs="Calibri"/>
        </w:rPr>
        <w:t xml:space="preserve">scroll plain, and tussock areas, </w:t>
      </w:r>
      <w:r w:rsidRPr="00472578">
        <w:rPr>
          <w:rFonts w:ascii="Calibri" w:hAnsi="Calibri" w:cs="Calibri"/>
          <w:u w:val="single"/>
        </w:rPr>
        <w:t>are restored</w:t>
      </w:r>
      <w:r w:rsidRPr="00472578">
        <w:rPr>
          <w:u w:val="single"/>
          <w:vertAlign w:val="superscript"/>
        </w:rPr>
        <w:footnoteReference w:id="813"/>
      </w:r>
      <w:r w:rsidRPr="00472578">
        <w:rPr>
          <w:rFonts w:ascii="Calibri" w:hAnsi="Calibri" w:cs="Calibri"/>
          <w:u w:val="single"/>
        </w:rPr>
        <w:t xml:space="preserve"> or enhanced where they have been degraded, </w:t>
      </w:r>
      <w:proofErr w:type="gramStart"/>
      <w:r w:rsidRPr="00472578">
        <w:rPr>
          <w:rFonts w:ascii="Calibri" w:hAnsi="Calibri" w:cs="Calibri"/>
          <w:u w:val="single"/>
        </w:rPr>
        <w:t>lost</w:t>
      </w:r>
      <w:proofErr w:type="gramEnd"/>
      <w:r w:rsidRPr="00472578">
        <w:rPr>
          <w:rFonts w:ascii="Calibri" w:hAnsi="Calibri" w:cs="Calibri"/>
          <w:u w:val="single"/>
        </w:rPr>
        <w:t xml:space="preserve"> or reduced in size</w:t>
      </w:r>
      <w:r w:rsidR="00FC6069" w:rsidRPr="00472578">
        <w:rPr>
          <w:rFonts w:ascii="Calibri" w:hAnsi="Calibri" w:cs="Calibri"/>
          <w:u w:val="single"/>
        </w:rPr>
        <w:t>,</w:t>
      </w:r>
      <w:r w:rsidRPr="00472578">
        <w:rPr>
          <w:vertAlign w:val="superscript"/>
        </w:rPr>
        <w:footnoteReference w:id="814"/>
      </w:r>
    </w:p>
    <w:p w14:paraId="18AB8113" w14:textId="20920F16"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(4)</w:t>
      </w:r>
      <w:r w:rsidRPr="00472578">
        <w:rPr>
          <w:rFonts w:ascii="Calibri" w:hAnsi="Calibri" w:cs="Calibri"/>
        </w:rPr>
        <w:tab/>
        <w:t xml:space="preserve">the gravel </w:t>
      </w:r>
      <w:r w:rsidRPr="00472578">
        <w:rPr>
          <w:rFonts w:ascii="Calibri" w:hAnsi="Calibri" w:cs="Calibri"/>
          <w:i/>
        </w:rPr>
        <w:t>bed</w:t>
      </w:r>
      <w:r w:rsidRPr="00472578">
        <w:rPr>
          <w:rFonts w:ascii="Calibri" w:hAnsi="Calibri" w:cs="Calibri"/>
        </w:rPr>
        <w:t xml:space="preserve"> of the lower </w:t>
      </w:r>
      <w:r w:rsidRPr="00472578">
        <w:rPr>
          <w:rFonts w:ascii="Calibri" w:hAnsi="Calibri" w:cs="Calibri"/>
          <w:strike/>
        </w:rPr>
        <w:t>Taieri</w:t>
      </w:r>
      <w:r w:rsidR="005B577C" w:rsidRPr="005B577C">
        <w:rPr>
          <w:rFonts w:ascii="Calibri" w:hAnsi="Calibri" w:cs="Calibri"/>
        </w:rPr>
        <w:t xml:space="preserve"> </w:t>
      </w:r>
      <w:r w:rsidRPr="00472578">
        <w:rPr>
          <w:rFonts w:ascii="Calibri" w:hAnsi="Calibri" w:cs="Calibri"/>
          <w:u w:val="single"/>
        </w:rPr>
        <w:t>Taiari</w:t>
      </w:r>
      <w:r w:rsidR="00FC6069" w:rsidRPr="00472578">
        <w:rPr>
          <w:rStyle w:val="FootnoteReference"/>
        </w:rPr>
        <w:footnoteReference w:id="815"/>
      </w:r>
      <w:r w:rsidRPr="00472578">
        <w:rPr>
          <w:rFonts w:ascii="Calibri" w:hAnsi="Calibri" w:cs="Calibri"/>
        </w:rPr>
        <w:t xml:space="preserve"> is restored and sedimentation of the </w:t>
      </w:r>
      <w:r w:rsidRPr="00472578">
        <w:rPr>
          <w:rFonts w:ascii="Calibri" w:hAnsi="Calibri" w:cs="Calibri"/>
          <w:strike/>
        </w:rPr>
        <w:t xml:space="preserve">Waipori </w:t>
      </w:r>
      <w:r w:rsidRPr="00472578">
        <w:rPr>
          <w:rFonts w:ascii="Calibri" w:hAnsi="Calibri" w:cs="Calibri"/>
          <w:u w:val="single"/>
        </w:rPr>
        <w:t>Waipoūri</w:t>
      </w:r>
      <w:r w:rsidRPr="00472578">
        <w:rPr>
          <w:rFonts w:ascii="Calibri" w:hAnsi="Calibri" w:cs="Calibri"/>
        </w:rPr>
        <w:t>/Waihola complex is reduced,</w:t>
      </w:r>
    </w:p>
    <w:p w14:paraId="06836D34"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(5)</w:t>
      </w:r>
      <w:r w:rsidRPr="00472578">
        <w:rPr>
          <w:rFonts w:ascii="Calibri" w:hAnsi="Calibri" w:cs="Calibri"/>
        </w:rPr>
        <w:tab/>
        <w:t>creative ecological approaches contribute to reduced occurrence of didymo,</w:t>
      </w:r>
    </w:p>
    <w:p w14:paraId="7B011950" w14:textId="02E10F65"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(6)</w:t>
      </w:r>
      <w:r w:rsidRPr="00472578">
        <w:rPr>
          <w:rFonts w:ascii="Calibri" w:hAnsi="Calibri" w:cs="Calibri"/>
        </w:rPr>
        <w:tab/>
      </w:r>
      <w:r w:rsidRPr="00472578">
        <w:rPr>
          <w:rFonts w:ascii="Calibri" w:hAnsi="Calibri" w:cs="Calibri"/>
          <w:i/>
        </w:rPr>
        <w:t>water bodies</w:t>
      </w:r>
      <w:r w:rsidRPr="00472578">
        <w:rPr>
          <w:rFonts w:ascii="Calibri" w:hAnsi="Calibri" w:cs="Calibri"/>
        </w:rPr>
        <w:t xml:space="preserve"> support healthy populations of </w:t>
      </w:r>
      <w:r w:rsidRPr="00472578">
        <w:rPr>
          <w:rFonts w:ascii="Calibri" w:hAnsi="Calibri" w:cs="Calibri"/>
          <w:u w:val="single"/>
        </w:rPr>
        <w:t>indigenous freshwater species, including</w:t>
      </w:r>
      <w:r w:rsidRPr="00472578">
        <w:rPr>
          <w:vertAlign w:val="superscript"/>
        </w:rPr>
        <w:footnoteReference w:id="816"/>
      </w:r>
      <w:r w:rsidRPr="00472578">
        <w:rPr>
          <w:rFonts w:ascii="Calibri" w:hAnsi="Calibri" w:cs="Calibri"/>
        </w:rPr>
        <w:t xml:space="preserve"> </w:t>
      </w:r>
      <w:r w:rsidRPr="00472578">
        <w:rPr>
          <w:rFonts w:ascii="Calibri" w:hAnsi="Calibri" w:cs="Calibri"/>
          <w:i/>
        </w:rPr>
        <w:t>galaxiid</w:t>
      </w:r>
      <w:r w:rsidRPr="00472578">
        <w:rPr>
          <w:rFonts w:ascii="Calibri" w:hAnsi="Calibri" w:cs="Calibri"/>
        </w:rPr>
        <w:t xml:space="preserve"> species, </w:t>
      </w:r>
    </w:p>
    <w:p w14:paraId="7434FF74"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(7)</w:t>
      </w:r>
      <w:r w:rsidRPr="00472578">
        <w:rPr>
          <w:rFonts w:ascii="Calibri" w:hAnsi="Calibri" w:cs="Calibri"/>
        </w:rPr>
        <w:tab/>
        <w:t xml:space="preserve">there are no direct </w:t>
      </w:r>
      <w:r w:rsidRPr="00472578">
        <w:rPr>
          <w:rFonts w:ascii="Calibri" w:hAnsi="Calibri" w:cs="Calibri"/>
          <w:i/>
        </w:rPr>
        <w:t>discharges</w:t>
      </w:r>
      <w:r w:rsidRPr="00472578">
        <w:rPr>
          <w:rFonts w:ascii="Calibri" w:hAnsi="Calibri" w:cs="Calibri"/>
        </w:rPr>
        <w:t xml:space="preserve"> of </w:t>
      </w:r>
      <w:r w:rsidRPr="00472578">
        <w:rPr>
          <w:rFonts w:ascii="Calibri" w:hAnsi="Calibri" w:cs="Calibri"/>
          <w:i/>
        </w:rPr>
        <w:t>wastewater</w:t>
      </w:r>
      <w:r w:rsidRPr="00472578">
        <w:rPr>
          <w:rFonts w:ascii="Calibri" w:hAnsi="Calibri" w:cs="Calibri"/>
        </w:rPr>
        <w:t xml:space="preserve"> </w:t>
      </w:r>
      <w:r w:rsidRPr="00472578">
        <w:rPr>
          <w:rFonts w:ascii="Calibri" w:hAnsi="Calibri" w:cs="Calibri"/>
          <w:u w:val="single"/>
        </w:rPr>
        <w:t xml:space="preserve">containing </w:t>
      </w:r>
      <w:r w:rsidRPr="00472578">
        <w:rPr>
          <w:rFonts w:ascii="Calibri" w:hAnsi="Calibri" w:cs="Calibri"/>
          <w:i/>
          <w:u w:val="single"/>
        </w:rPr>
        <w:t>sewage</w:t>
      </w:r>
      <w:r w:rsidRPr="00472578">
        <w:rPr>
          <w:vertAlign w:val="superscript"/>
        </w:rPr>
        <w:footnoteReference w:id="817"/>
      </w:r>
      <w:r w:rsidRPr="00472578">
        <w:rPr>
          <w:rFonts w:ascii="Calibri" w:hAnsi="Calibri" w:cs="Calibri"/>
          <w:i/>
        </w:rPr>
        <w:t xml:space="preserve"> </w:t>
      </w:r>
      <w:r w:rsidRPr="00472578">
        <w:rPr>
          <w:rFonts w:ascii="Calibri" w:hAnsi="Calibri" w:cs="Calibri"/>
        </w:rPr>
        <w:t xml:space="preserve">to </w:t>
      </w:r>
      <w:r w:rsidRPr="00472578">
        <w:rPr>
          <w:rFonts w:ascii="Calibri" w:hAnsi="Calibri" w:cs="Calibri"/>
          <w:i/>
        </w:rPr>
        <w:t>water bodies</w:t>
      </w:r>
      <w:r w:rsidRPr="00472578">
        <w:rPr>
          <w:rFonts w:ascii="Calibri" w:hAnsi="Calibri" w:cs="Calibri"/>
        </w:rPr>
        <w:t>, and</w:t>
      </w:r>
    </w:p>
    <w:p w14:paraId="30390CD6"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(8)</w:t>
      </w:r>
      <w:r w:rsidRPr="00472578">
        <w:rPr>
          <w:rFonts w:ascii="Calibri" w:hAnsi="Calibri" w:cs="Calibri"/>
        </w:rPr>
        <w:tab/>
      </w:r>
      <w:r w:rsidRPr="00472578">
        <w:rPr>
          <w:rFonts w:ascii="Calibri" w:hAnsi="Calibri" w:cs="Calibri"/>
          <w:u w:val="single"/>
        </w:rPr>
        <w:t>food production in the area is supported by</w:t>
      </w:r>
      <w:r w:rsidRPr="00472578">
        <w:rPr>
          <w:vertAlign w:val="superscript"/>
        </w:rPr>
        <w:footnoteReference w:id="818"/>
      </w:r>
      <w:r w:rsidRPr="00472578">
        <w:t xml:space="preserve"> </w:t>
      </w:r>
      <w:r w:rsidRPr="639E38F9">
        <w:t xml:space="preserve">innovative and sustainable </w:t>
      </w:r>
      <w:r w:rsidRPr="639E38F9">
        <w:rPr>
          <w:i/>
        </w:rPr>
        <w:t>land</w:t>
      </w:r>
      <w:r w:rsidRPr="639E38F9">
        <w:t xml:space="preserve"> and </w:t>
      </w:r>
      <w:r w:rsidRPr="639E38F9">
        <w:rPr>
          <w:i/>
        </w:rPr>
        <w:t>water</w:t>
      </w:r>
      <w:r w:rsidRPr="639E38F9">
        <w:t xml:space="preserve"> management practices </w:t>
      </w:r>
      <w:r w:rsidRPr="639E38F9">
        <w:rPr>
          <w:strike/>
        </w:rPr>
        <w:t xml:space="preserve">support food production in the area and </w:t>
      </w:r>
      <w:r w:rsidRPr="639E38F9">
        <w:rPr>
          <w:u w:val="single"/>
        </w:rPr>
        <w:t>that</w:t>
      </w:r>
      <w:r w:rsidRPr="00472578">
        <w:rPr>
          <w:vertAlign w:val="superscript"/>
        </w:rPr>
        <w:footnoteReference w:id="819"/>
      </w:r>
      <w:r w:rsidRPr="639E38F9">
        <w:t xml:space="preserve"> improve resilience to the </w:t>
      </w:r>
      <w:r w:rsidRPr="639E38F9">
        <w:rPr>
          <w:i/>
        </w:rPr>
        <w:t>effects</w:t>
      </w:r>
      <w:r w:rsidRPr="639E38F9">
        <w:t xml:space="preserve"> of </w:t>
      </w:r>
      <w:r w:rsidRPr="639E38F9">
        <w:rPr>
          <w:i/>
        </w:rPr>
        <w:t>climate change</w:t>
      </w:r>
      <w:r w:rsidRPr="639E38F9">
        <w:rPr>
          <w:u w:val="single"/>
        </w:rPr>
        <w:t>, including flooding</w:t>
      </w:r>
      <w:r w:rsidRPr="00472578">
        <w:rPr>
          <w:rFonts w:ascii="Calibri" w:hAnsi="Calibri" w:cs="Calibri"/>
        </w:rPr>
        <w:t>.</w:t>
      </w:r>
      <w:r w:rsidRPr="00472578">
        <w:rPr>
          <w:vertAlign w:val="superscript"/>
        </w:rPr>
        <w:footnoteReference w:id="820"/>
      </w:r>
    </w:p>
    <w:p w14:paraId="17AE45C9" w14:textId="77777777" w:rsidR="009E3814" w:rsidRPr="00472578" w:rsidRDefault="009E3814" w:rsidP="00E92686">
      <w:pPr>
        <w:pStyle w:val="Heading5"/>
        <w:jc w:val="both"/>
        <w:rPr>
          <w:b w:val="0"/>
        </w:rPr>
      </w:pPr>
      <w:r w:rsidRPr="00472578">
        <w:t xml:space="preserve">LF-VM-O5 – Dunedin &amp; Coast </w:t>
      </w:r>
      <w:r w:rsidRPr="00472578">
        <w:rPr>
          <w:i/>
        </w:rPr>
        <w:t xml:space="preserve">FMU </w:t>
      </w:r>
      <w:r w:rsidRPr="00472578">
        <w:t>vision</w:t>
      </w:r>
    </w:p>
    <w:p w14:paraId="13B7F3E8"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lastRenderedPageBreak/>
        <w:t xml:space="preserve">By 2040 in the Dunedin &amp; Coast </w:t>
      </w:r>
      <w:r w:rsidRPr="00472578">
        <w:rPr>
          <w:rFonts w:ascii="Calibri" w:hAnsi="Calibri" w:cs="Calibri"/>
          <w:i/>
        </w:rPr>
        <w:t>FMU</w:t>
      </w:r>
      <w:r w:rsidRPr="00472578">
        <w:rPr>
          <w:rFonts w:ascii="Calibri" w:hAnsi="Calibri" w:cs="Calibri"/>
        </w:rPr>
        <w:t>:</w:t>
      </w:r>
    </w:p>
    <w:p w14:paraId="1314D47D"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(1)</w:t>
      </w:r>
      <w:r w:rsidRPr="00472578">
        <w:rPr>
          <w:rFonts w:ascii="Calibri" w:hAnsi="Calibri" w:cs="Calibri"/>
        </w:rPr>
        <w:tab/>
      </w:r>
      <w:r w:rsidRPr="00472578">
        <w:rPr>
          <w:rFonts w:ascii="Calibri" w:hAnsi="Calibri" w:cs="Calibri"/>
          <w:i/>
        </w:rPr>
        <w:t>fresh water</w:t>
      </w:r>
      <w:r w:rsidRPr="00472578">
        <w:rPr>
          <w:rFonts w:ascii="Calibri" w:hAnsi="Calibri" w:cs="Calibri"/>
        </w:rPr>
        <w:t xml:space="preserve"> is managed in accordance with the LF-WAI objectives and policies, </w:t>
      </w:r>
    </w:p>
    <w:p w14:paraId="212884A5"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(2)</w:t>
      </w:r>
      <w:r w:rsidRPr="00472578">
        <w:rPr>
          <w:rFonts w:ascii="Calibri" w:hAnsi="Calibri" w:cs="Calibri"/>
        </w:rPr>
        <w:tab/>
        <w:t xml:space="preserve">the ongoing relationship of Kāi Tahu with </w:t>
      </w:r>
      <w:r w:rsidRPr="00472578">
        <w:rPr>
          <w:rFonts w:ascii="Calibri" w:hAnsi="Calibri" w:cs="Calibri"/>
          <w:i/>
        </w:rPr>
        <w:t>wāhi tūpuna</w:t>
      </w:r>
      <w:r w:rsidRPr="00472578">
        <w:rPr>
          <w:rFonts w:ascii="Calibri" w:hAnsi="Calibri" w:cs="Calibri"/>
        </w:rPr>
        <w:t xml:space="preserve"> is sustained </w:t>
      </w:r>
      <w:r w:rsidRPr="00472578">
        <w:rPr>
          <w:rFonts w:ascii="Calibri" w:hAnsi="Calibri" w:cs="Calibri"/>
          <w:u w:val="single"/>
        </w:rPr>
        <w:t>and Kāi Tahu maintain their connection with and use of the water bodies</w:t>
      </w:r>
      <w:r w:rsidRPr="00472578">
        <w:rPr>
          <w:rFonts w:ascii="Calibri" w:hAnsi="Calibri" w:cs="Calibri"/>
        </w:rPr>
        <w:t>,</w:t>
      </w:r>
      <w:r w:rsidRPr="00472578">
        <w:rPr>
          <w:vertAlign w:val="superscript"/>
        </w:rPr>
        <w:footnoteReference w:id="821"/>
      </w:r>
    </w:p>
    <w:p w14:paraId="2A75817D" w14:textId="1F55B399"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(3)</w:t>
      </w:r>
      <w:r w:rsidRPr="00472578">
        <w:rPr>
          <w:rFonts w:ascii="Calibri" w:hAnsi="Calibri" w:cs="Calibri"/>
        </w:rPr>
        <w:tab/>
        <w:t xml:space="preserve">healthy estuaries, lagoons and </w:t>
      </w:r>
      <w:r w:rsidRPr="00472578">
        <w:rPr>
          <w:rFonts w:ascii="Calibri" w:hAnsi="Calibri" w:cs="Calibri"/>
          <w:i/>
        </w:rPr>
        <w:t>coastal waters</w:t>
      </w:r>
      <w:r w:rsidRPr="00472578">
        <w:rPr>
          <w:rFonts w:ascii="Calibri" w:hAnsi="Calibri" w:cs="Calibri"/>
        </w:rPr>
        <w:t xml:space="preserve"> support thriving </w:t>
      </w:r>
      <w:r w:rsidRPr="009C237D">
        <w:rPr>
          <w:strike/>
        </w:rPr>
        <w:t>mahika kai</w:t>
      </w:r>
      <w:r w:rsidRPr="00472578">
        <w:t xml:space="preserve"> </w:t>
      </w:r>
      <w:r w:rsidR="00A00191" w:rsidRPr="004B700D">
        <w:rPr>
          <w:i/>
          <w:iCs/>
          <w:u w:val="single"/>
        </w:rPr>
        <w:t>mahika kai</w:t>
      </w:r>
      <w:r w:rsidR="00A00191">
        <w:rPr>
          <w:rStyle w:val="FootnoteReference"/>
        </w:rPr>
        <w:footnoteReference w:id="822"/>
      </w:r>
      <w:r w:rsidR="00A00191" w:rsidRPr="00472578">
        <w:rPr>
          <w:iCs/>
        </w:rPr>
        <w:t xml:space="preserve"> </w:t>
      </w:r>
      <w:r w:rsidRPr="00472578">
        <w:rPr>
          <w:rFonts w:ascii="Calibri" w:hAnsi="Calibri" w:cs="Calibri"/>
        </w:rPr>
        <w:t>and downstream coastal ecosystems, and indigenous species can migrate easily and as naturally as possible to and from these areas,</w:t>
      </w:r>
    </w:p>
    <w:p w14:paraId="78F56030"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(4)</w:t>
      </w:r>
      <w:r w:rsidRPr="00472578">
        <w:rPr>
          <w:rFonts w:ascii="Calibri" w:hAnsi="Calibri" w:cs="Calibri"/>
        </w:rPr>
        <w:tab/>
      </w:r>
      <w:r w:rsidRPr="00472578">
        <w:rPr>
          <w:rFonts w:ascii="Calibri" w:hAnsi="Calibri" w:cs="Calibri"/>
          <w:strike/>
        </w:rPr>
        <w:t>there is no further</w:t>
      </w:r>
      <w:r w:rsidRPr="00472578">
        <w:rPr>
          <w:rFonts w:ascii="Calibri" w:hAnsi="Calibri" w:cs="Calibri"/>
        </w:rPr>
        <w:t xml:space="preserve"> </w:t>
      </w:r>
      <w:r w:rsidRPr="00472578">
        <w:rPr>
          <w:rFonts w:ascii="Calibri" w:hAnsi="Calibri" w:cs="Calibri"/>
          <w:u w:val="single"/>
        </w:rPr>
        <w:t>minimise</w:t>
      </w:r>
      <w:r w:rsidRPr="00472578">
        <w:rPr>
          <w:rStyle w:val="FootnoteReference"/>
        </w:rPr>
        <w:footnoteReference w:id="823"/>
      </w:r>
      <w:r w:rsidRPr="00472578">
        <w:rPr>
          <w:rFonts w:ascii="Calibri" w:hAnsi="Calibri" w:cs="Calibri"/>
        </w:rPr>
        <w:t xml:space="preserve"> modification of the shape and behaviour of the </w:t>
      </w:r>
      <w:r w:rsidRPr="00472578">
        <w:rPr>
          <w:rFonts w:ascii="Calibri" w:hAnsi="Calibri" w:cs="Calibri"/>
          <w:i/>
        </w:rPr>
        <w:t>water bodies</w:t>
      </w:r>
      <w:r w:rsidRPr="00472578">
        <w:rPr>
          <w:rFonts w:ascii="Calibri" w:hAnsi="Calibri" w:cs="Calibri"/>
        </w:rPr>
        <w:t xml:space="preserve"> and </w:t>
      </w:r>
      <w:r w:rsidRPr="00472578">
        <w:rPr>
          <w:rFonts w:ascii="Calibri" w:hAnsi="Calibri" w:cs="Calibri"/>
          <w:u w:val="single"/>
        </w:rPr>
        <w:t>promote</w:t>
      </w:r>
      <w:r w:rsidRPr="00472578">
        <w:rPr>
          <w:rFonts w:ascii="Calibri" w:hAnsi="Calibri" w:cs="Calibri"/>
        </w:rPr>
        <w:t xml:space="preserve"> opportunities to restore the natural form and function of </w:t>
      </w:r>
      <w:r w:rsidRPr="00472578">
        <w:rPr>
          <w:rFonts w:ascii="Calibri" w:hAnsi="Calibri" w:cs="Calibri"/>
          <w:i/>
        </w:rPr>
        <w:t>water bodies</w:t>
      </w:r>
      <w:r w:rsidRPr="00472578">
        <w:rPr>
          <w:rFonts w:ascii="Calibri" w:hAnsi="Calibri" w:cs="Calibri"/>
        </w:rPr>
        <w:t xml:space="preserve"> </w:t>
      </w:r>
      <w:r w:rsidRPr="00472578">
        <w:rPr>
          <w:rFonts w:ascii="Calibri" w:hAnsi="Calibri" w:cs="Calibri"/>
          <w:strike/>
        </w:rPr>
        <w:t>are promoted</w:t>
      </w:r>
      <w:r w:rsidRPr="00472578">
        <w:rPr>
          <w:rStyle w:val="FootnoteReference"/>
          <w:rFonts w:ascii="Calibri" w:hAnsi="Calibri" w:cs="Calibri"/>
        </w:rPr>
        <w:footnoteReference w:id="824"/>
      </w:r>
      <w:r w:rsidRPr="00472578">
        <w:rPr>
          <w:rFonts w:ascii="Calibri" w:hAnsi="Calibri" w:cs="Calibri"/>
        </w:rPr>
        <w:t xml:space="preserve"> wherever possible, and</w:t>
      </w:r>
    </w:p>
    <w:p w14:paraId="78781216" w14:textId="77777777" w:rsidR="009E3814" w:rsidRPr="00472578" w:rsidRDefault="009E3814" w:rsidP="00E92686">
      <w:pPr>
        <w:spacing w:line="240" w:lineRule="auto"/>
        <w:ind w:left="567" w:hanging="567"/>
        <w:jc w:val="both"/>
        <w:rPr>
          <w:vertAlign w:val="superscript"/>
        </w:rPr>
      </w:pPr>
      <w:r w:rsidRPr="00472578">
        <w:rPr>
          <w:rFonts w:ascii="Calibri" w:hAnsi="Calibri" w:cs="Calibri"/>
        </w:rPr>
        <w:t>(5)</w:t>
      </w:r>
      <w:r w:rsidRPr="00472578">
        <w:rPr>
          <w:rFonts w:ascii="Calibri" w:hAnsi="Calibri" w:cs="Calibri"/>
        </w:rPr>
        <w:tab/>
      </w:r>
      <w:r w:rsidRPr="00472578">
        <w:rPr>
          <w:rFonts w:ascii="Calibri" w:hAnsi="Calibri" w:cs="Calibri"/>
          <w:i/>
        </w:rPr>
        <w:t>discharges</w:t>
      </w:r>
      <w:r w:rsidRPr="00472578">
        <w:rPr>
          <w:rFonts w:ascii="Calibri" w:hAnsi="Calibri" w:cs="Calibri"/>
        </w:rPr>
        <w:t xml:space="preserve"> of </w:t>
      </w:r>
      <w:r w:rsidRPr="00472578">
        <w:rPr>
          <w:rFonts w:ascii="Calibri" w:hAnsi="Calibri" w:cs="Calibri"/>
          <w:i/>
        </w:rPr>
        <w:t>contaminants</w:t>
      </w:r>
      <w:r w:rsidRPr="00472578">
        <w:rPr>
          <w:rFonts w:ascii="Calibri" w:hAnsi="Calibri" w:cs="Calibri"/>
        </w:rPr>
        <w:t xml:space="preserve"> </w:t>
      </w:r>
      <w:r w:rsidRPr="00472578">
        <w:rPr>
          <w:rFonts w:ascii="Calibri" w:hAnsi="Calibri" w:cs="Calibri"/>
          <w:strike/>
        </w:rPr>
        <w:t>from urban environments</w:t>
      </w:r>
      <w:r w:rsidRPr="00472578">
        <w:rPr>
          <w:vertAlign w:val="superscript"/>
        </w:rPr>
        <w:footnoteReference w:id="825"/>
      </w:r>
      <w:r w:rsidRPr="00472578">
        <w:rPr>
          <w:rFonts w:ascii="Calibri" w:hAnsi="Calibri" w:cs="Calibri"/>
        </w:rPr>
        <w:t xml:space="preserve"> are reduced so that </w:t>
      </w:r>
      <w:r w:rsidRPr="00472578">
        <w:rPr>
          <w:rFonts w:ascii="Calibri" w:hAnsi="Calibri" w:cs="Calibri"/>
          <w:i/>
        </w:rPr>
        <w:t>water bodies</w:t>
      </w:r>
      <w:r w:rsidRPr="00472578">
        <w:rPr>
          <w:rFonts w:ascii="Calibri" w:hAnsi="Calibri" w:cs="Calibri"/>
        </w:rPr>
        <w:t xml:space="preserve"> are safe for human contact </w:t>
      </w:r>
      <w:r w:rsidRPr="00472578">
        <w:rPr>
          <w:rFonts w:ascii="Calibri" w:hAnsi="Calibri" w:cs="Calibri"/>
          <w:u w:val="single"/>
        </w:rPr>
        <w:t xml:space="preserve">and </w:t>
      </w:r>
      <w:r w:rsidRPr="00A00191">
        <w:rPr>
          <w:rFonts w:ascii="Calibri" w:hAnsi="Calibri" w:cs="Calibri"/>
          <w:i/>
          <w:u w:val="single"/>
        </w:rPr>
        <w:t>mahika kai</w:t>
      </w:r>
      <w:r w:rsidRPr="00472578">
        <w:rPr>
          <w:rFonts w:ascii="Calibri" w:hAnsi="Calibri" w:cs="Calibri"/>
          <w:u w:val="single"/>
        </w:rPr>
        <w:t xml:space="preserve"> species are safe for consumption</w:t>
      </w:r>
      <w:r w:rsidRPr="00472578">
        <w:rPr>
          <w:rFonts w:ascii="Calibri" w:hAnsi="Calibri" w:cs="Calibri"/>
        </w:rPr>
        <w:t>.</w:t>
      </w:r>
      <w:r w:rsidRPr="00472578">
        <w:rPr>
          <w:vertAlign w:val="superscript"/>
        </w:rPr>
        <w:t xml:space="preserve"> </w:t>
      </w:r>
      <w:r w:rsidRPr="00472578">
        <w:rPr>
          <w:vertAlign w:val="superscript"/>
        </w:rPr>
        <w:footnoteReference w:id="826"/>
      </w:r>
    </w:p>
    <w:p w14:paraId="0425D5EF" w14:textId="77777777" w:rsidR="009E3814" w:rsidRPr="00472578" w:rsidRDefault="009E3814" w:rsidP="00E92686">
      <w:pPr>
        <w:pStyle w:val="Heading5"/>
        <w:jc w:val="both"/>
        <w:rPr>
          <w:b w:val="0"/>
        </w:rPr>
      </w:pPr>
      <w:r w:rsidRPr="00472578">
        <w:t xml:space="preserve">LF-VM-O6 – Catlins </w:t>
      </w:r>
      <w:r w:rsidRPr="00472578">
        <w:rPr>
          <w:i/>
        </w:rPr>
        <w:t>FMU</w:t>
      </w:r>
      <w:r w:rsidRPr="00472578">
        <w:t xml:space="preserve"> vision</w:t>
      </w:r>
    </w:p>
    <w:p w14:paraId="3A8CDEC8"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 xml:space="preserve">By 2030 in the Catlins </w:t>
      </w:r>
      <w:r w:rsidRPr="00472578">
        <w:rPr>
          <w:rFonts w:ascii="Calibri" w:hAnsi="Calibri" w:cs="Calibri"/>
          <w:i/>
        </w:rPr>
        <w:t>FMU</w:t>
      </w:r>
      <w:r w:rsidRPr="00472578">
        <w:rPr>
          <w:rFonts w:ascii="Calibri" w:hAnsi="Calibri" w:cs="Calibri"/>
        </w:rPr>
        <w:t>:</w:t>
      </w:r>
    </w:p>
    <w:p w14:paraId="494B77E5"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(1)</w:t>
      </w:r>
      <w:r w:rsidRPr="00472578">
        <w:rPr>
          <w:rFonts w:ascii="Calibri" w:hAnsi="Calibri" w:cs="Calibri"/>
        </w:rPr>
        <w:tab/>
      </w:r>
      <w:r w:rsidRPr="00472578">
        <w:rPr>
          <w:rFonts w:ascii="Calibri" w:hAnsi="Calibri" w:cs="Calibri"/>
          <w:i/>
        </w:rPr>
        <w:t>fresh water</w:t>
      </w:r>
      <w:r w:rsidRPr="00472578">
        <w:rPr>
          <w:rFonts w:ascii="Calibri" w:hAnsi="Calibri" w:cs="Calibri"/>
        </w:rPr>
        <w:t xml:space="preserve"> is managed in accordance with the LF-WAI objectives and policies,</w:t>
      </w:r>
    </w:p>
    <w:p w14:paraId="6F4372D7"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(2)</w:t>
      </w:r>
      <w:r w:rsidRPr="00472578">
        <w:rPr>
          <w:rFonts w:ascii="Calibri" w:hAnsi="Calibri" w:cs="Calibri"/>
        </w:rPr>
        <w:tab/>
        <w:t xml:space="preserve">the ongoing relationship of Kāi Tahu with </w:t>
      </w:r>
      <w:r w:rsidRPr="00472578">
        <w:rPr>
          <w:rFonts w:ascii="Calibri" w:hAnsi="Calibri" w:cs="Calibri"/>
          <w:i/>
        </w:rPr>
        <w:t xml:space="preserve">wāhi tūpuna </w:t>
      </w:r>
      <w:r w:rsidRPr="00472578">
        <w:rPr>
          <w:rFonts w:ascii="Calibri" w:hAnsi="Calibri" w:cs="Calibri"/>
        </w:rPr>
        <w:t xml:space="preserve">is sustained </w:t>
      </w:r>
      <w:r w:rsidRPr="00472578">
        <w:rPr>
          <w:rFonts w:ascii="Calibri" w:hAnsi="Calibri" w:cs="Calibri"/>
          <w:u w:val="single"/>
        </w:rPr>
        <w:t>and, where degraded or lost, restored</w:t>
      </w:r>
      <w:r w:rsidRPr="00472578">
        <w:rPr>
          <w:rFonts w:ascii="Calibri" w:hAnsi="Calibri" w:cs="Calibri"/>
        </w:rPr>
        <w:t>,</w:t>
      </w:r>
      <w:r w:rsidRPr="00472578">
        <w:rPr>
          <w:vertAlign w:val="superscript"/>
        </w:rPr>
        <w:footnoteReference w:id="827"/>
      </w:r>
    </w:p>
    <w:p w14:paraId="09999C78" w14:textId="2F11C535"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(3)</w:t>
      </w:r>
      <w:r w:rsidRPr="00472578">
        <w:rPr>
          <w:rFonts w:ascii="Calibri" w:hAnsi="Calibri" w:cs="Calibri"/>
        </w:rPr>
        <w:tab/>
      </w:r>
      <w:r w:rsidRPr="00472578">
        <w:rPr>
          <w:rFonts w:ascii="Calibri" w:hAnsi="Calibri" w:cs="Calibri"/>
          <w:i/>
        </w:rPr>
        <w:t xml:space="preserve">water bodies </w:t>
      </w:r>
      <w:r w:rsidRPr="00472578">
        <w:rPr>
          <w:rFonts w:ascii="Calibri" w:hAnsi="Calibri" w:cs="Calibri"/>
        </w:rPr>
        <w:t xml:space="preserve">support thriving </w:t>
      </w:r>
      <w:r w:rsidRPr="009C237D">
        <w:rPr>
          <w:strike/>
        </w:rPr>
        <w:t>mahika kai</w:t>
      </w:r>
      <w:r w:rsidRPr="00472578">
        <w:t xml:space="preserve"> </w:t>
      </w:r>
      <w:r w:rsidR="00A00191" w:rsidRPr="004B700D">
        <w:rPr>
          <w:i/>
          <w:iCs/>
          <w:u w:val="single"/>
        </w:rPr>
        <w:t>mahika kai</w:t>
      </w:r>
      <w:r w:rsidR="00A00191">
        <w:rPr>
          <w:rStyle w:val="FootnoteReference"/>
        </w:rPr>
        <w:footnoteReference w:id="828"/>
      </w:r>
      <w:r w:rsidR="00A00191" w:rsidRPr="00472578">
        <w:rPr>
          <w:iCs/>
        </w:rPr>
        <w:t xml:space="preserve"> </w:t>
      </w:r>
      <w:r w:rsidRPr="00472578">
        <w:rPr>
          <w:rFonts w:ascii="Calibri" w:hAnsi="Calibri" w:cs="Calibri"/>
          <w:u w:val="single"/>
        </w:rPr>
        <w:t>that are safe for consumption</w:t>
      </w:r>
      <w:r w:rsidRPr="00472578">
        <w:rPr>
          <w:vertAlign w:val="superscript"/>
        </w:rPr>
        <w:footnoteReference w:id="829"/>
      </w:r>
      <w:r w:rsidRPr="00472578">
        <w:rPr>
          <w:rFonts w:ascii="Calibri" w:hAnsi="Calibri" w:cs="Calibri"/>
        </w:rPr>
        <w:t xml:space="preserve"> and </w:t>
      </w:r>
      <w:r w:rsidRPr="00472578">
        <w:rPr>
          <w:rFonts w:ascii="Calibri" w:hAnsi="Calibri" w:cs="Calibri"/>
          <w:strike/>
        </w:rPr>
        <w:t>access of</w:t>
      </w:r>
      <w:r w:rsidRPr="00472578">
        <w:rPr>
          <w:vertAlign w:val="superscript"/>
        </w:rPr>
        <w:footnoteReference w:id="830"/>
      </w:r>
      <w:r w:rsidRPr="00472578">
        <w:rPr>
          <w:rFonts w:ascii="Calibri" w:hAnsi="Calibri" w:cs="Calibri"/>
        </w:rPr>
        <w:t xml:space="preserve"> Kāi Tahu whānui </w:t>
      </w:r>
      <w:r w:rsidRPr="00472578">
        <w:rPr>
          <w:rFonts w:ascii="Calibri" w:hAnsi="Calibri" w:cs="Calibri"/>
          <w:u w:val="single"/>
        </w:rPr>
        <w:t>have access</w:t>
      </w:r>
      <w:r w:rsidRPr="00472578">
        <w:rPr>
          <w:vertAlign w:val="superscript"/>
        </w:rPr>
        <w:footnoteReference w:id="831"/>
      </w:r>
      <w:r w:rsidRPr="00472578">
        <w:rPr>
          <w:rFonts w:ascii="Calibri" w:hAnsi="Calibri" w:cs="Calibri"/>
        </w:rPr>
        <w:t xml:space="preserve"> to </w:t>
      </w:r>
      <w:r w:rsidRPr="009C237D">
        <w:rPr>
          <w:strike/>
        </w:rPr>
        <w:t>mahika kai</w:t>
      </w:r>
      <w:r w:rsidR="00A00191" w:rsidRPr="00472578">
        <w:t xml:space="preserve"> </w:t>
      </w:r>
      <w:r w:rsidR="00A00191" w:rsidRPr="004B700D">
        <w:rPr>
          <w:i/>
          <w:iCs/>
          <w:u w:val="single"/>
        </w:rPr>
        <w:t>mahika kai</w:t>
      </w:r>
      <w:r w:rsidR="00A00191">
        <w:rPr>
          <w:i/>
          <w:iCs/>
        </w:rPr>
        <w:t>,</w:t>
      </w:r>
      <w:r w:rsidR="00A00191">
        <w:rPr>
          <w:rStyle w:val="FootnoteReference"/>
        </w:rPr>
        <w:footnoteReference w:id="832"/>
      </w:r>
    </w:p>
    <w:p w14:paraId="65144C88"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(4)</w:t>
      </w:r>
      <w:r w:rsidRPr="00472578">
        <w:rPr>
          <w:rFonts w:ascii="Calibri" w:hAnsi="Calibri" w:cs="Calibri"/>
        </w:rPr>
        <w:tab/>
        <w:t xml:space="preserve">the high degree of naturalness and ecosystem connections between the forests, </w:t>
      </w:r>
      <w:r w:rsidRPr="00472578">
        <w:rPr>
          <w:rFonts w:ascii="Calibri" w:hAnsi="Calibri" w:cs="Calibri"/>
          <w:i/>
        </w:rPr>
        <w:t>freshwater</w:t>
      </w:r>
      <w:r w:rsidRPr="00472578">
        <w:rPr>
          <w:rFonts w:ascii="Calibri" w:hAnsi="Calibri" w:cs="Calibri"/>
        </w:rPr>
        <w:t xml:space="preserve"> and coastal environment are preserved,</w:t>
      </w:r>
    </w:p>
    <w:p w14:paraId="56C8EC4D"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(5)</w:t>
      </w:r>
      <w:r w:rsidRPr="00472578">
        <w:rPr>
          <w:rFonts w:ascii="Calibri" w:hAnsi="Calibri" w:cs="Calibri"/>
        </w:rPr>
        <w:tab/>
      </w:r>
      <w:r w:rsidRPr="00472578">
        <w:rPr>
          <w:rFonts w:ascii="Calibri" w:hAnsi="Calibri" w:cs="Calibri"/>
          <w:i/>
        </w:rPr>
        <w:t>water bodies</w:t>
      </w:r>
      <w:r w:rsidRPr="00472578">
        <w:rPr>
          <w:rFonts w:ascii="Calibri" w:hAnsi="Calibri" w:cs="Calibri"/>
        </w:rPr>
        <w:t xml:space="preserve"> and their catchment areas support the health and well-being of </w:t>
      </w:r>
      <w:r w:rsidRPr="00472578">
        <w:rPr>
          <w:rFonts w:ascii="Calibri" w:hAnsi="Calibri" w:cs="Calibri"/>
          <w:i/>
        </w:rPr>
        <w:t>coastal water</w:t>
      </w:r>
      <w:r w:rsidRPr="00472578">
        <w:rPr>
          <w:rFonts w:ascii="Calibri" w:hAnsi="Calibri" w:cs="Calibri"/>
        </w:rPr>
        <w:t xml:space="preserve">, </w:t>
      </w:r>
      <w:proofErr w:type="gramStart"/>
      <w:r w:rsidRPr="00472578">
        <w:rPr>
          <w:rFonts w:ascii="Calibri" w:hAnsi="Calibri" w:cs="Calibri"/>
        </w:rPr>
        <w:t>ecosystems</w:t>
      </w:r>
      <w:proofErr w:type="gramEnd"/>
      <w:r w:rsidRPr="00472578">
        <w:rPr>
          <w:rFonts w:ascii="Calibri" w:hAnsi="Calibri" w:cs="Calibri"/>
        </w:rPr>
        <w:t xml:space="preserve"> and indigenous species, including downstream kaimoana, and</w:t>
      </w:r>
    </w:p>
    <w:p w14:paraId="751E1937" w14:textId="77777777" w:rsidR="009E3814" w:rsidRPr="00472578" w:rsidRDefault="009E3814" w:rsidP="00E92686">
      <w:pPr>
        <w:spacing w:line="240" w:lineRule="auto"/>
        <w:ind w:left="567" w:hanging="567"/>
        <w:jc w:val="both"/>
        <w:rPr>
          <w:rFonts w:ascii="Calibri" w:hAnsi="Calibri" w:cs="Calibri"/>
        </w:rPr>
      </w:pPr>
      <w:r w:rsidRPr="00472578">
        <w:rPr>
          <w:rFonts w:ascii="Calibri" w:hAnsi="Calibri" w:cs="Calibri"/>
        </w:rPr>
        <w:t>(6)</w:t>
      </w:r>
      <w:r w:rsidRPr="00472578">
        <w:rPr>
          <w:rFonts w:ascii="Calibri" w:hAnsi="Calibri" w:cs="Calibri"/>
        </w:rPr>
        <w:tab/>
        <w:t xml:space="preserve">healthy, </w:t>
      </w:r>
      <w:proofErr w:type="gramStart"/>
      <w:r w:rsidRPr="00472578">
        <w:rPr>
          <w:rFonts w:ascii="Calibri" w:hAnsi="Calibri" w:cs="Calibri"/>
        </w:rPr>
        <w:t>clear</w:t>
      </w:r>
      <w:proofErr w:type="gramEnd"/>
      <w:r w:rsidRPr="00472578">
        <w:rPr>
          <w:rFonts w:ascii="Calibri" w:hAnsi="Calibri" w:cs="Calibri"/>
        </w:rPr>
        <w:t xml:space="preserve"> and clean </w:t>
      </w:r>
      <w:r w:rsidRPr="00472578">
        <w:rPr>
          <w:rFonts w:ascii="Calibri" w:hAnsi="Calibri" w:cs="Calibri"/>
          <w:i/>
        </w:rPr>
        <w:t>water</w:t>
      </w:r>
      <w:r w:rsidRPr="00472578">
        <w:rPr>
          <w:rFonts w:ascii="Calibri" w:hAnsi="Calibri" w:cs="Calibri"/>
        </w:rPr>
        <w:t xml:space="preserve"> supports opportunities for recreation and sustainable </w:t>
      </w:r>
      <w:r w:rsidRPr="00472578">
        <w:rPr>
          <w:rFonts w:ascii="Calibri" w:hAnsi="Calibri" w:cs="Calibri"/>
          <w:u w:val="single"/>
        </w:rPr>
        <w:t>agriculture, including</w:t>
      </w:r>
      <w:r w:rsidRPr="00472578">
        <w:rPr>
          <w:rFonts w:ascii="Calibri" w:hAnsi="Calibri" w:cs="Calibri"/>
        </w:rPr>
        <w:t xml:space="preserve"> food production</w:t>
      </w:r>
      <w:r w:rsidRPr="00472578">
        <w:rPr>
          <w:rFonts w:ascii="Calibri" w:hAnsi="Calibri" w:cs="Calibri"/>
          <w:u w:val="single"/>
        </w:rPr>
        <w:t>,</w:t>
      </w:r>
      <w:r w:rsidRPr="00472578">
        <w:rPr>
          <w:vertAlign w:val="superscript"/>
        </w:rPr>
        <w:footnoteReference w:id="833"/>
      </w:r>
      <w:r w:rsidRPr="00472578">
        <w:rPr>
          <w:rFonts w:ascii="Calibri" w:hAnsi="Calibri" w:cs="Calibri"/>
        </w:rPr>
        <w:t xml:space="preserve"> for future generations.</w:t>
      </w:r>
    </w:p>
    <w:p w14:paraId="1EBA4B9E" w14:textId="77777777" w:rsidR="009E3814" w:rsidRPr="00472578" w:rsidRDefault="009E3814" w:rsidP="00E92686">
      <w:pPr>
        <w:pStyle w:val="Heading5"/>
        <w:jc w:val="both"/>
        <w:rPr>
          <w:b w:val="0"/>
        </w:rPr>
      </w:pPr>
      <w:r w:rsidRPr="00472578">
        <w:t>LF-VM-O7 – Integrated management</w:t>
      </w:r>
    </w:p>
    <w:p w14:paraId="6BF3B0F5" w14:textId="77777777" w:rsidR="009E3814" w:rsidRPr="00472578" w:rsidRDefault="009E3814" w:rsidP="00E92686">
      <w:pPr>
        <w:spacing w:line="252" w:lineRule="auto"/>
        <w:jc w:val="both"/>
        <w:rPr>
          <w:rFonts w:ascii="Calibri" w:eastAsia="Calibri" w:hAnsi="Calibri" w:cs="Times New Roman"/>
        </w:rPr>
      </w:pPr>
      <w:r w:rsidRPr="00472578">
        <w:rPr>
          <w:rFonts w:ascii="Calibri" w:eastAsia="Calibri" w:hAnsi="Calibri" w:cs="Times New Roman"/>
          <w:i/>
        </w:rPr>
        <w:t>Land</w:t>
      </w:r>
      <w:r w:rsidRPr="00472578">
        <w:rPr>
          <w:rFonts w:ascii="Calibri" w:eastAsia="Calibri" w:hAnsi="Calibri" w:cs="Times New Roman"/>
        </w:rPr>
        <w:t xml:space="preserve"> and </w:t>
      </w:r>
      <w:r w:rsidRPr="00472578">
        <w:rPr>
          <w:rFonts w:ascii="Calibri" w:eastAsia="Calibri" w:hAnsi="Calibri" w:cs="Times New Roman"/>
          <w:i/>
        </w:rPr>
        <w:t>water</w:t>
      </w:r>
      <w:r w:rsidRPr="00472578">
        <w:rPr>
          <w:rFonts w:ascii="Calibri" w:eastAsia="Calibri" w:hAnsi="Calibri" w:cs="Times New Roman"/>
        </w:rPr>
        <w:t xml:space="preserve"> management apply the ethic of ki uta ki tai and are managed as integrated natural resources, recognising the connections and interactions between </w:t>
      </w:r>
      <w:r w:rsidRPr="00472578">
        <w:rPr>
          <w:rFonts w:ascii="Calibri" w:eastAsia="Calibri" w:hAnsi="Calibri" w:cs="Times New Roman"/>
          <w:i/>
        </w:rPr>
        <w:t>fresh water</w:t>
      </w:r>
      <w:r w:rsidRPr="00472578">
        <w:rPr>
          <w:rFonts w:ascii="Calibri" w:eastAsia="Calibri" w:hAnsi="Calibri" w:cs="Times New Roman"/>
        </w:rPr>
        <w:t xml:space="preserve">, </w:t>
      </w:r>
      <w:proofErr w:type="gramStart"/>
      <w:r w:rsidRPr="00472578">
        <w:rPr>
          <w:rFonts w:ascii="Calibri" w:eastAsia="Calibri" w:hAnsi="Calibri" w:cs="Times New Roman"/>
          <w:i/>
        </w:rPr>
        <w:t>land</w:t>
      </w:r>
      <w:proofErr w:type="gramEnd"/>
      <w:r w:rsidRPr="00472578">
        <w:rPr>
          <w:rFonts w:ascii="Calibri" w:eastAsia="Calibri" w:hAnsi="Calibri" w:cs="Times New Roman"/>
        </w:rPr>
        <w:t xml:space="preserve"> and the coastal environment, and between surface water, </w:t>
      </w:r>
      <w:r w:rsidRPr="00472578">
        <w:rPr>
          <w:rFonts w:ascii="Calibri" w:eastAsia="Calibri" w:hAnsi="Calibri" w:cs="Times New Roman"/>
          <w:i/>
        </w:rPr>
        <w:t>groundwater</w:t>
      </w:r>
      <w:r w:rsidRPr="00472578">
        <w:rPr>
          <w:rFonts w:ascii="Calibri" w:eastAsia="Calibri" w:hAnsi="Calibri" w:cs="Times New Roman"/>
        </w:rPr>
        <w:t xml:space="preserve"> and </w:t>
      </w:r>
      <w:r w:rsidRPr="00472578">
        <w:rPr>
          <w:rFonts w:ascii="Calibri" w:eastAsia="Calibri" w:hAnsi="Calibri" w:cs="Times New Roman"/>
          <w:i/>
        </w:rPr>
        <w:t>coastal water</w:t>
      </w:r>
      <w:r w:rsidRPr="00472578">
        <w:rPr>
          <w:rFonts w:ascii="Calibri" w:eastAsia="Calibri" w:hAnsi="Calibri" w:cs="Times New Roman"/>
        </w:rPr>
        <w:t>.</w:t>
      </w:r>
    </w:p>
    <w:p w14:paraId="7ED8888F" w14:textId="77777777" w:rsidR="009E3814" w:rsidRPr="00472578" w:rsidRDefault="009E3814" w:rsidP="00E92686">
      <w:pPr>
        <w:pStyle w:val="Heading4"/>
        <w:jc w:val="both"/>
      </w:pPr>
      <w:r w:rsidRPr="00472578">
        <w:lastRenderedPageBreak/>
        <w:t>Policies</w:t>
      </w:r>
    </w:p>
    <w:p w14:paraId="53FBC2F8" w14:textId="77777777" w:rsidR="009E3814" w:rsidRPr="00472578" w:rsidRDefault="009E3814" w:rsidP="00E92686">
      <w:pPr>
        <w:pStyle w:val="Heading5"/>
        <w:jc w:val="both"/>
      </w:pPr>
      <w:r w:rsidRPr="00472578">
        <w:t xml:space="preserve">LF-VM-P5 – </w:t>
      </w:r>
      <w:r w:rsidRPr="00472578">
        <w:rPr>
          <w:i/>
        </w:rPr>
        <w:t>Freshwater Management Units</w:t>
      </w:r>
      <w:r w:rsidRPr="00472578">
        <w:t xml:space="preserve"> (</w:t>
      </w:r>
      <w:r w:rsidRPr="00472578">
        <w:rPr>
          <w:i/>
        </w:rPr>
        <w:t>FMUs</w:t>
      </w:r>
      <w:r w:rsidRPr="00472578">
        <w:t>) and rohe</w:t>
      </w:r>
    </w:p>
    <w:p w14:paraId="7C738905" w14:textId="77777777" w:rsidR="009E3814" w:rsidRPr="00472578" w:rsidRDefault="009E3814" w:rsidP="00E92686">
      <w:pPr>
        <w:jc w:val="both"/>
        <w:rPr>
          <w:rFonts w:eastAsia="National-Book" w:cs="Times New Roman"/>
        </w:rPr>
      </w:pPr>
      <w:r w:rsidRPr="00472578">
        <w:rPr>
          <w:rFonts w:eastAsia="National-Book" w:cs="Times New Roman"/>
        </w:rPr>
        <w:t xml:space="preserve">Otago’s </w:t>
      </w:r>
      <w:proofErr w:type="gramStart"/>
      <w:r w:rsidRPr="00472578">
        <w:rPr>
          <w:rFonts w:eastAsia="National-Book" w:cs="Times New Roman"/>
          <w:i/>
        </w:rPr>
        <w:t>fresh water</w:t>
      </w:r>
      <w:proofErr w:type="gramEnd"/>
      <w:r w:rsidRPr="00472578">
        <w:rPr>
          <w:rFonts w:eastAsia="National-Book" w:cs="Times New Roman"/>
        </w:rPr>
        <w:t xml:space="preserve"> resources are managed through the following </w:t>
      </w:r>
      <w:r w:rsidRPr="00472578">
        <w:rPr>
          <w:rFonts w:eastAsia="National-Book" w:cs="Times New Roman"/>
          <w:i/>
        </w:rPr>
        <w:t>freshwater management units</w:t>
      </w:r>
      <w:r w:rsidRPr="00472578">
        <w:rPr>
          <w:rFonts w:eastAsia="National-Book" w:cs="Times New Roman"/>
        </w:rPr>
        <w:t xml:space="preserve"> or rohe which are shown on MAP1:</w:t>
      </w:r>
    </w:p>
    <w:p w14:paraId="775C785A" w14:textId="5A87BE68" w:rsidR="009E3814" w:rsidRPr="00472578" w:rsidRDefault="009E3814" w:rsidP="00E92686">
      <w:pPr>
        <w:spacing w:after="200" w:line="240" w:lineRule="auto"/>
        <w:ind w:left="709"/>
        <w:jc w:val="both"/>
        <w:rPr>
          <w:i/>
          <w:iCs/>
          <w:color w:val="44546A" w:themeColor="text2"/>
          <w:sz w:val="18"/>
          <w:szCs w:val="18"/>
        </w:rPr>
      </w:pPr>
      <w:r w:rsidRPr="00472578">
        <w:rPr>
          <w:i/>
          <w:iCs/>
          <w:color w:val="44546A" w:themeColor="text2"/>
          <w:sz w:val="18"/>
          <w:szCs w:val="18"/>
        </w:rPr>
        <w:t xml:space="preserve">Table </w:t>
      </w:r>
      <w:r w:rsidRPr="00472578">
        <w:rPr>
          <w:i/>
          <w:iCs/>
          <w:color w:val="44546A" w:themeColor="text2"/>
          <w:sz w:val="18"/>
          <w:szCs w:val="18"/>
        </w:rPr>
        <w:fldChar w:fldCharType="begin"/>
      </w:r>
      <w:r w:rsidRPr="00472578">
        <w:rPr>
          <w:i/>
          <w:iCs/>
          <w:color w:val="44546A" w:themeColor="text2"/>
          <w:sz w:val="18"/>
          <w:szCs w:val="18"/>
        </w:rPr>
        <w:instrText>SEQ Table \* ARABIC</w:instrText>
      </w:r>
      <w:r w:rsidRPr="00472578">
        <w:rPr>
          <w:i/>
          <w:iCs/>
          <w:color w:val="44546A" w:themeColor="text2"/>
          <w:sz w:val="18"/>
          <w:szCs w:val="18"/>
        </w:rPr>
        <w:fldChar w:fldCharType="separate"/>
      </w:r>
      <w:r w:rsidR="004557BC">
        <w:rPr>
          <w:i/>
          <w:iCs/>
          <w:noProof/>
          <w:color w:val="44546A" w:themeColor="text2"/>
          <w:sz w:val="18"/>
          <w:szCs w:val="18"/>
        </w:rPr>
        <w:t>3</w:t>
      </w:r>
      <w:r w:rsidRPr="00472578">
        <w:rPr>
          <w:i/>
          <w:iCs/>
          <w:color w:val="44546A" w:themeColor="text2"/>
          <w:sz w:val="18"/>
          <w:szCs w:val="18"/>
        </w:rPr>
        <w:fldChar w:fldCharType="end"/>
      </w:r>
      <w:r w:rsidR="00752412">
        <w:rPr>
          <w:i/>
          <w:iCs/>
          <w:color w:val="44546A" w:themeColor="text2"/>
          <w:sz w:val="18"/>
          <w:szCs w:val="18"/>
        </w:rPr>
        <w:t xml:space="preserve"> –</w:t>
      </w:r>
      <w:r w:rsidRPr="00472578">
        <w:rPr>
          <w:i/>
          <w:iCs/>
          <w:color w:val="44546A" w:themeColor="text2"/>
          <w:sz w:val="18"/>
          <w:szCs w:val="18"/>
        </w:rPr>
        <w:t xml:space="preserve"> Freshwater Management Units and rohe</w:t>
      </w:r>
    </w:p>
    <w:tbl>
      <w:tblPr>
        <w:tblStyle w:val="TableGrid"/>
        <w:tblW w:w="0" w:type="auto"/>
        <w:jc w:val="center"/>
        <w:tblLook w:val="04A0" w:firstRow="1" w:lastRow="0" w:firstColumn="1" w:lastColumn="0" w:noHBand="0" w:noVBand="1"/>
      </w:tblPr>
      <w:tblGrid>
        <w:gridCol w:w="3114"/>
        <w:gridCol w:w="2410"/>
      </w:tblGrid>
      <w:tr w:rsidR="009E3814" w:rsidRPr="00472578" w14:paraId="01357E16" w14:textId="77777777" w:rsidTr="00F97946">
        <w:trPr>
          <w:jc w:val="center"/>
        </w:trPr>
        <w:tc>
          <w:tcPr>
            <w:tcW w:w="3114" w:type="dxa"/>
            <w:tcBorders>
              <w:top w:val="single" w:sz="4" w:space="0" w:color="auto"/>
              <w:left w:val="single" w:sz="4" w:space="0" w:color="auto"/>
              <w:bottom w:val="single" w:sz="4" w:space="0" w:color="auto"/>
              <w:right w:val="single" w:sz="4" w:space="0" w:color="auto"/>
            </w:tcBorders>
            <w:hideMark/>
          </w:tcPr>
          <w:p w14:paraId="3182187F" w14:textId="77777777" w:rsidR="009E3814" w:rsidRPr="00472578" w:rsidRDefault="009E3814" w:rsidP="00E92686">
            <w:pPr>
              <w:spacing w:before="40" w:after="40"/>
              <w:jc w:val="both"/>
              <w:rPr>
                <w:b/>
                <w:bCs/>
                <w:i/>
                <w:iCs/>
              </w:rPr>
            </w:pPr>
            <w:r w:rsidRPr="00472578">
              <w:rPr>
                <w:b/>
                <w:bCs/>
                <w:i/>
                <w:iCs/>
              </w:rPr>
              <w:t>Freshwater Management Unit</w:t>
            </w:r>
          </w:p>
        </w:tc>
        <w:tc>
          <w:tcPr>
            <w:tcW w:w="2410" w:type="dxa"/>
            <w:tcBorders>
              <w:top w:val="single" w:sz="4" w:space="0" w:color="auto"/>
              <w:left w:val="single" w:sz="4" w:space="0" w:color="auto"/>
              <w:bottom w:val="single" w:sz="4" w:space="0" w:color="auto"/>
              <w:right w:val="single" w:sz="4" w:space="0" w:color="auto"/>
            </w:tcBorders>
            <w:hideMark/>
          </w:tcPr>
          <w:p w14:paraId="66F28717" w14:textId="77777777" w:rsidR="009E3814" w:rsidRPr="00472578" w:rsidRDefault="009E3814" w:rsidP="00E92686">
            <w:pPr>
              <w:spacing w:before="40" w:after="40"/>
              <w:jc w:val="both"/>
              <w:rPr>
                <w:b/>
                <w:bCs/>
              </w:rPr>
            </w:pPr>
            <w:r w:rsidRPr="00472578">
              <w:rPr>
                <w:b/>
                <w:bCs/>
              </w:rPr>
              <w:t>Rohe</w:t>
            </w:r>
          </w:p>
        </w:tc>
      </w:tr>
      <w:tr w:rsidR="009E3814" w:rsidRPr="00472578" w14:paraId="2DC1E46D" w14:textId="77777777" w:rsidTr="00F97946">
        <w:trPr>
          <w:jc w:val="center"/>
        </w:trPr>
        <w:tc>
          <w:tcPr>
            <w:tcW w:w="3114" w:type="dxa"/>
            <w:tcBorders>
              <w:top w:val="single" w:sz="4" w:space="0" w:color="auto"/>
              <w:left w:val="single" w:sz="4" w:space="0" w:color="auto"/>
              <w:bottom w:val="single" w:sz="4" w:space="0" w:color="auto"/>
              <w:right w:val="single" w:sz="4" w:space="0" w:color="auto"/>
            </w:tcBorders>
            <w:hideMark/>
          </w:tcPr>
          <w:p w14:paraId="7C32C7B6" w14:textId="77777777" w:rsidR="009E3814" w:rsidRPr="00472578" w:rsidRDefault="009E3814" w:rsidP="00E92686">
            <w:pPr>
              <w:spacing w:before="40" w:after="40"/>
              <w:jc w:val="both"/>
            </w:pPr>
            <w:r w:rsidRPr="00472578">
              <w:t>Clutha Mata-au</w:t>
            </w:r>
          </w:p>
        </w:tc>
        <w:tc>
          <w:tcPr>
            <w:tcW w:w="2410" w:type="dxa"/>
            <w:tcBorders>
              <w:top w:val="single" w:sz="4" w:space="0" w:color="auto"/>
              <w:left w:val="single" w:sz="4" w:space="0" w:color="auto"/>
              <w:bottom w:val="single" w:sz="4" w:space="0" w:color="auto"/>
              <w:right w:val="single" w:sz="4" w:space="0" w:color="auto"/>
            </w:tcBorders>
            <w:hideMark/>
          </w:tcPr>
          <w:p w14:paraId="43249A63" w14:textId="77777777" w:rsidR="009E3814" w:rsidRPr="00472578" w:rsidRDefault="009E3814" w:rsidP="00E92686">
            <w:pPr>
              <w:spacing w:before="40" w:after="40"/>
              <w:jc w:val="both"/>
            </w:pPr>
            <w:r w:rsidRPr="00472578">
              <w:t>Upper Lakes</w:t>
            </w:r>
          </w:p>
          <w:p w14:paraId="6E43A459" w14:textId="77777777" w:rsidR="009E3814" w:rsidRPr="00472578" w:rsidRDefault="009E3814" w:rsidP="00E92686">
            <w:pPr>
              <w:spacing w:before="40" w:after="40"/>
              <w:jc w:val="both"/>
            </w:pPr>
            <w:r w:rsidRPr="00472578">
              <w:t>Dunstan</w:t>
            </w:r>
          </w:p>
          <w:p w14:paraId="3404E91D" w14:textId="77777777" w:rsidR="009E3814" w:rsidRPr="00472578" w:rsidRDefault="009E3814" w:rsidP="00E92686">
            <w:pPr>
              <w:spacing w:before="40" w:after="40"/>
              <w:jc w:val="both"/>
            </w:pPr>
            <w:r w:rsidRPr="00472578">
              <w:t>Manuherekia</w:t>
            </w:r>
          </w:p>
          <w:p w14:paraId="3B6FBDE6" w14:textId="77777777" w:rsidR="009E3814" w:rsidRPr="00472578" w:rsidRDefault="009E3814" w:rsidP="00E92686">
            <w:pPr>
              <w:spacing w:before="40" w:after="40"/>
              <w:jc w:val="both"/>
            </w:pPr>
            <w:r w:rsidRPr="00472578">
              <w:t>Roxburgh</w:t>
            </w:r>
          </w:p>
          <w:p w14:paraId="48D4FB84" w14:textId="77777777" w:rsidR="009E3814" w:rsidRPr="00472578" w:rsidRDefault="009E3814" w:rsidP="00E92686">
            <w:pPr>
              <w:spacing w:before="40" w:after="40"/>
              <w:jc w:val="both"/>
            </w:pPr>
            <w:r w:rsidRPr="00472578">
              <w:t>Lower Clutha</w:t>
            </w:r>
          </w:p>
        </w:tc>
      </w:tr>
      <w:tr w:rsidR="009E3814" w:rsidRPr="00472578" w14:paraId="217FFCB2" w14:textId="77777777" w:rsidTr="00F97946">
        <w:trPr>
          <w:jc w:val="center"/>
        </w:trPr>
        <w:tc>
          <w:tcPr>
            <w:tcW w:w="3114" w:type="dxa"/>
            <w:tcBorders>
              <w:top w:val="single" w:sz="4" w:space="0" w:color="auto"/>
              <w:left w:val="single" w:sz="4" w:space="0" w:color="auto"/>
              <w:bottom w:val="single" w:sz="4" w:space="0" w:color="auto"/>
              <w:right w:val="single" w:sz="4" w:space="0" w:color="auto"/>
            </w:tcBorders>
            <w:hideMark/>
          </w:tcPr>
          <w:p w14:paraId="0264EB8A" w14:textId="68F09516" w:rsidR="009E3814" w:rsidRPr="00472578" w:rsidRDefault="009E3814" w:rsidP="00E92686">
            <w:pPr>
              <w:spacing w:before="40" w:after="40"/>
              <w:jc w:val="both"/>
            </w:pPr>
            <w:r w:rsidRPr="00472578">
              <w:rPr>
                <w:strike/>
              </w:rPr>
              <w:t>Taieri</w:t>
            </w:r>
            <w:r w:rsidRPr="00472578">
              <w:rPr>
                <w:u w:val="single"/>
              </w:rPr>
              <w:t>Taiari</w:t>
            </w:r>
            <w:r w:rsidR="00E8447E" w:rsidRPr="00472578">
              <w:rPr>
                <w:rStyle w:val="FootnoteReference"/>
                <w:u w:val="single"/>
              </w:rPr>
              <w:footnoteReference w:id="834"/>
            </w:r>
          </w:p>
        </w:tc>
        <w:tc>
          <w:tcPr>
            <w:tcW w:w="2410" w:type="dxa"/>
            <w:tcBorders>
              <w:top w:val="single" w:sz="4" w:space="0" w:color="auto"/>
              <w:left w:val="single" w:sz="4" w:space="0" w:color="auto"/>
              <w:bottom w:val="single" w:sz="4" w:space="0" w:color="auto"/>
              <w:right w:val="single" w:sz="4" w:space="0" w:color="auto"/>
            </w:tcBorders>
            <w:hideMark/>
          </w:tcPr>
          <w:p w14:paraId="74ACBA9D" w14:textId="77777777" w:rsidR="009E3814" w:rsidRPr="00472578" w:rsidRDefault="009E3814" w:rsidP="00E92686">
            <w:pPr>
              <w:spacing w:before="40" w:after="40"/>
              <w:jc w:val="both"/>
            </w:pPr>
            <w:r w:rsidRPr="00472578">
              <w:t>n/a</w:t>
            </w:r>
          </w:p>
        </w:tc>
      </w:tr>
      <w:tr w:rsidR="009E3814" w:rsidRPr="00472578" w14:paraId="7ED06ADC" w14:textId="77777777" w:rsidTr="00F97946">
        <w:trPr>
          <w:jc w:val="center"/>
        </w:trPr>
        <w:tc>
          <w:tcPr>
            <w:tcW w:w="3114" w:type="dxa"/>
            <w:tcBorders>
              <w:top w:val="single" w:sz="4" w:space="0" w:color="auto"/>
              <w:left w:val="single" w:sz="4" w:space="0" w:color="auto"/>
              <w:bottom w:val="single" w:sz="4" w:space="0" w:color="auto"/>
              <w:right w:val="single" w:sz="4" w:space="0" w:color="auto"/>
            </w:tcBorders>
            <w:hideMark/>
          </w:tcPr>
          <w:p w14:paraId="460DF32F" w14:textId="77777777" w:rsidR="009E3814" w:rsidRPr="00472578" w:rsidRDefault="009E3814" w:rsidP="00E92686">
            <w:pPr>
              <w:spacing w:before="40" w:after="40"/>
              <w:jc w:val="both"/>
            </w:pPr>
            <w:r w:rsidRPr="00472578">
              <w:t>North Otago</w:t>
            </w:r>
          </w:p>
        </w:tc>
        <w:tc>
          <w:tcPr>
            <w:tcW w:w="2410" w:type="dxa"/>
            <w:tcBorders>
              <w:top w:val="single" w:sz="4" w:space="0" w:color="auto"/>
              <w:left w:val="single" w:sz="4" w:space="0" w:color="auto"/>
              <w:bottom w:val="single" w:sz="4" w:space="0" w:color="auto"/>
              <w:right w:val="single" w:sz="4" w:space="0" w:color="auto"/>
            </w:tcBorders>
            <w:hideMark/>
          </w:tcPr>
          <w:p w14:paraId="20372698" w14:textId="77777777" w:rsidR="009E3814" w:rsidRPr="00472578" w:rsidRDefault="009E3814" w:rsidP="00E92686">
            <w:pPr>
              <w:spacing w:before="40" w:after="40"/>
              <w:jc w:val="both"/>
            </w:pPr>
            <w:r w:rsidRPr="00472578">
              <w:t>n/a</w:t>
            </w:r>
          </w:p>
        </w:tc>
      </w:tr>
      <w:tr w:rsidR="009E3814" w:rsidRPr="00472578" w14:paraId="2BB45348" w14:textId="77777777" w:rsidTr="00F97946">
        <w:trPr>
          <w:jc w:val="center"/>
        </w:trPr>
        <w:tc>
          <w:tcPr>
            <w:tcW w:w="3114" w:type="dxa"/>
            <w:tcBorders>
              <w:top w:val="single" w:sz="4" w:space="0" w:color="auto"/>
              <w:left w:val="single" w:sz="4" w:space="0" w:color="auto"/>
              <w:bottom w:val="single" w:sz="4" w:space="0" w:color="auto"/>
              <w:right w:val="single" w:sz="4" w:space="0" w:color="auto"/>
            </w:tcBorders>
            <w:hideMark/>
          </w:tcPr>
          <w:p w14:paraId="1CA06B5E" w14:textId="77777777" w:rsidR="009E3814" w:rsidRPr="00472578" w:rsidRDefault="009E3814" w:rsidP="00E92686">
            <w:pPr>
              <w:spacing w:before="40" w:after="40"/>
              <w:jc w:val="both"/>
            </w:pPr>
            <w:r w:rsidRPr="00472578">
              <w:t>Dunedin &amp; Coast</w:t>
            </w:r>
          </w:p>
        </w:tc>
        <w:tc>
          <w:tcPr>
            <w:tcW w:w="2410" w:type="dxa"/>
            <w:tcBorders>
              <w:top w:val="single" w:sz="4" w:space="0" w:color="auto"/>
              <w:left w:val="single" w:sz="4" w:space="0" w:color="auto"/>
              <w:bottom w:val="single" w:sz="4" w:space="0" w:color="auto"/>
              <w:right w:val="single" w:sz="4" w:space="0" w:color="auto"/>
            </w:tcBorders>
            <w:hideMark/>
          </w:tcPr>
          <w:p w14:paraId="5143A8EC" w14:textId="77777777" w:rsidR="009E3814" w:rsidRPr="00472578" w:rsidRDefault="009E3814" w:rsidP="00E92686">
            <w:pPr>
              <w:spacing w:before="40" w:after="40"/>
              <w:jc w:val="both"/>
            </w:pPr>
            <w:r w:rsidRPr="00472578">
              <w:t>n/a</w:t>
            </w:r>
          </w:p>
        </w:tc>
      </w:tr>
      <w:tr w:rsidR="009E3814" w:rsidRPr="00472578" w14:paraId="2FECB6CD" w14:textId="77777777" w:rsidTr="00F97946">
        <w:trPr>
          <w:jc w:val="center"/>
        </w:trPr>
        <w:tc>
          <w:tcPr>
            <w:tcW w:w="3114" w:type="dxa"/>
            <w:tcBorders>
              <w:top w:val="single" w:sz="4" w:space="0" w:color="auto"/>
              <w:left w:val="single" w:sz="4" w:space="0" w:color="auto"/>
              <w:bottom w:val="single" w:sz="4" w:space="0" w:color="auto"/>
              <w:right w:val="single" w:sz="4" w:space="0" w:color="auto"/>
            </w:tcBorders>
            <w:hideMark/>
          </w:tcPr>
          <w:p w14:paraId="3FEBBA10" w14:textId="77777777" w:rsidR="009E3814" w:rsidRPr="00472578" w:rsidRDefault="009E3814" w:rsidP="00E92686">
            <w:pPr>
              <w:spacing w:before="40" w:after="40"/>
              <w:jc w:val="both"/>
            </w:pPr>
            <w:r w:rsidRPr="00472578">
              <w:t>Catlins</w:t>
            </w:r>
          </w:p>
        </w:tc>
        <w:tc>
          <w:tcPr>
            <w:tcW w:w="2410" w:type="dxa"/>
            <w:tcBorders>
              <w:top w:val="single" w:sz="4" w:space="0" w:color="auto"/>
              <w:left w:val="single" w:sz="4" w:space="0" w:color="auto"/>
              <w:bottom w:val="single" w:sz="4" w:space="0" w:color="auto"/>
              <w:right w:val="single" w:sz="4" w:space="0" w:color="auto"/>
            </w:tcBorders>
            <w:hideMark/>
          </w:tcPr>
          <w:p w14:paraId="514DC789" w14:textId="77777777" w:rsidR="009E3814" w:rsidRPr="00472578" w:rsidRDefault="009E3814" w:rsidP="00E92686">
            <w:pPr>
              <w:spacing w:before="40" w:after="40"/>
              <w:jc w:val="both"/>
            </w:pPr>
            <w:r w:rsidRPr="00472578">
              <w:t>n/a</w:t>
            </w:r>
          </w:p>
        </w:tc>
      </w:tr>
    </w:tbl>
    <w:p w14:paraId="272D9CC2" w14:textId="77777777" w:rsidR="009E3814" w:rsidRPr="00472578" w:rsidRDefault="009E3814" w:rsidP="00E92686">
      <w:pPr>
        <w:widowControl w:val="0"/>
        <w:autoSpaceDE w:val="0"/>
        <w:autoSpaceDN w:val="0"/>
        <w:spacing w:after="0" w:line="240" w:lineRule="auto"/>
        <w:jc w:val="both"/>
        <w:rPr>
          <w:rFonts w:ascii="Calibri" w:eastAsia="Calibri" w:hAnsi="Calibri" w:cs="Calibri"/>
          <w:i/>
          <w:sz w:val="18"/>
        </w:rPr>
      </w:pPr>
    </w:p>
    <w:p w14:paraId="01C5163A" w14:textId="77777777" w:rsidR="009E3814" w:rsidRPr="00472578" w:rsidRDefault="009E3814" w:rsidP="00E92686">
      <w:pPr>
        <w:pStyle w:val="Heading5"/>
        <w:jc w:val="both"/>
        <w:rPr>
          <w:rFonts w:cs="Calibri"/>
        </w:rPr>
      </w:pPr>
      <w:r w:rsidRPr="00472578">
        <w:t>LF-VM-P6 – Relationship</w:t>
      </w:r>
      <w:r w:rsidRPr="00472578">
        <w:rPr>
          <w:rFonts w:cs="Calibri"/>
          <w:color w:val="1F3863"/>
        </w:rPr>
        <w:t xml:space="preserve"> between </w:t>
      </w:r>
      <w:r w:rsidRPr="00472578">
        <w:rPr>
          <w:rFonts w:cs="Calibri"/>
          <w:i/>
          <w:color w:val="1F3863"/>
        </w:rPr>
        <w:t xml:space="preserve">FMUs </w:t>
      </w:r>
      <w:r w:rsidRPr="00472578">
        <w:rPr>
          <w:rFonts w:cs="Calibri"/>
          <w:color w:val="1F3863"/>
        </w:rPr>
        <w:t>and rohe</w:t>
      </w:r>
    </w:p>
    <w:p w14:paraId="00F2683F" w14:textId="77777777" w:rsidR="009E3814" w:rsidRPr="00472578" w:rsidRDefault="009E3814" w:rsidP="00E92686">
      <w:pPr>
        <w:jc w:val="both"/>
        <w:rPr>
          <w:rFonts w:ascii="Calibri" w:eastAsia="Calibri" w:hAnsi="Calibri" w:cs="Calibri"/>
        </w:rPr>
      </w:pPr>
      <w:r w:rsidRPr="00472578">
        <w:rPr>
          <w:rFonts w:ascii="Calibri" w:eastAsia="Calibri" w:hAnsi="Calibri" w:cs="Calibri"/>
        </w:rPr>
        <w:t xml:space="preserve">Where rohe have been defined within </w:t>
      </w:r>
      <w:r w:rsidRPr="00472578">
        <w:rPr>
          <w:rFonts w:ascii="Calibri" w:eastAsia="Calibri" w:hAnsi="Calibri" w:cs="Calibri"/>
          <w:i/>
        </w:rPr>
        <w:t>FMUs</w:t>
      </w:r>
      <w:r w:rsidRPr="00472578">
        <w:rPr>
          <w:rFonts w:ascii="Calibri" w:eastAsia="Calibri" w:hAnsi="Calibri" w:cs="Calibri"/>
        </w:rPr>
        <w:t>:</w:t>
      </w:r>
    </w:p>
    <w:p w14:paraId="6E95DCB4" w14:textId="77777777" w:rsidR="009E3814" w:rsidRPr="00472578" w:rsidRDefault="009E3814" w:rsidP="00E92686">
      <w:pPr>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Pr="00472578">
        <w:rPr>
          <w:rFonts w:ascii="Calibri" w:eastAsia="Calibri" w:hAnsi="Calibri" w:cs="Calibri"/>
          <w:i/>
        </w:rPr>
        <w:t xml:space="preserve">environmental outcomes </w:t>
      </w:r>
      <w:r w:rsidRPr="00472578">
        <w:rPr>
          <w:rFonts w:ascii="Calibri" w:eastAsia="Calibri" w:hAnsi="Calibri" w:cs="Calibri"/>
        </w:rPr>
        <w:t xml:space="preserve">must be developed for the </w:t>
      </w:r>
      <w:r w:rsidRPr="00472578">
        <w:rPr>
          <w:rFonts w:ascii="Calibri" w:eastAsia="Calibri" w:hAnsi="Calibri" w:cs="Calibri"/>
          <w:i/>
        </w:rPr>
        <w:t xml:space="preserve">FMU </w:t>
      </w:r>
      <w:r w:rsidRPr="00472578">
        <w:rPr>
          <w:rFonts w:ascii="Calibri" w:eastAsia="Calibri" w:hAnsi="Calibri" w:cs="Calibri"/>
        </w:rPr>
        <w:t>within which the rohe is located,</w:t>
      </w:r>
    </w:p>
    <w:p w14:paraId="0640CF7D" w14:textId="77777777" w:rsidR="009E3814" w:rsidRPr="00472578" w:rsidRDefault="009E3814" w:rsidP="00E92686">
      <w:pPr>
        <w:ind w:left="567" w:hanging="567"/>
        <w:jc w:val="both"/>
        <w:rPr>
          <w:rFonts w:ascii="Calibri" w:eastAsia="Calibri" w:hAnsi="Calibri" w:cs="Calibri"/>
        </w:rPr>
      </w:pPr>
      <w:r w:rsidRPr="00472578">
        <w:rPr>
          <w:rFonts w:ascii="Calibri" w:eastAsia="Calibri" w:hAnsi="Calibri" w:cs="Calibri"/>
        </w:rPr>
        <w:t>(2)</w:t>
      </w:r>
      <w:r w:rsidRPr="00472578">
        <w:tab/>
      </w:r>
      <w:r w:rsidRPr="00472578">
        <w:rPr>
          <w:rFonts w:ascii="Calibri" w:eastAsia="Calibri" w:hAnsi="Calibri" w:cs="Calibri"/>
          <w:strike/>
        </w:rPr>
        <w:t>if</w:t>
      </w:r>
      <w:r w:rsidRPr="00BB06C2">
        <w:rPr>
          <w:rFonts w:ascii="Calibri" w:eastAsia="Calibri" w:hAnsi="Calibri" w:cs="Calibri"/>
        </w:rPr>
        <w:t xml:space="preserve"> </w:t>
      </w:r>
      <w:r w:rsidRPr="00472578">
        <w:rPr>
          <w:rFonts w:ascii="Calibri" w:eastAsia="Calibri" w:hAnsi="Calibri" w:cs="Calibri"/>
          <w:u w:val="single"/>
        </w:rPr>
        <w:t>any</w:t>
      </w:r>
      <w:r w:rsidRPr="00472578">
        <w:rPr>
          <w:rFonts w:eastAsia="Calibri"/>
          <w:vertAlign w:val="superscript"/>
        </w:rPr>
        <w:footnoteReference w:id="835"/>
      </w:r>
      <w:r w:rsidRPr="00472578">
        <w:rPr>
          <w:rFonts w:ascii="Calibri" w:eastAsia="Calibri" w:hAnsi="Calibri" w:cs="Calibri"/>
        </w:rPr>
        <w:t xml:space="preserve"> additional </w:t>
      </w:r>
      <w:r w:rsidRPr="00472578">
        <w:rPr>
          <w:rFonts w:ascii="Calibri" w:eastAsia="Calibri" w:hAnsi="Calibri" w:cs="Calibri"/>
          <w:u w:val="single"/>
        </w:rPr>
        <w:t>rohe-specific</w:t>
      </w:r>
      <w:r w:rsidRPr="00472578">
        <w:rPr>
          <w:rFonts w:eastAsia="Calibri"/>
          <w:vertAlign w:val="superscript"/>
        </w:rPr>
        <w:footnoteReference w:id="836"/>
      </w:r>
      <w:r w:rsidRPr="00472578">
        <w:rPr>
          <w:rFonts w:ascii="Calibri" w:eastAsia="Calibri" w:hAnsi="Calibri" w:cs="Calibri"/>
        </w:rPr>
        <w:t xml:space="preserve"> </w:t>
      </w:r>
      <w:r w:rsidRPr="00472578">
        <w:rPr>
          <w:rFonts w:ascii="Calibri" w:eastAsia="Calibri" w:hAnsi="Calibri" w:cs="Calibri"/>
          <w:i/>
        </w:rPr>
        <w:t xml:space="preserve">environmental outcomes </w:t>
      </w:r>
      <w:r w:rsidRPr="00472578">
        <w:rPr>
          <w:rFonts w:ascii="Calibri" w:eastAsia="Calibri" w:hAnsi="Calibri" w:cs="Calibri"/>
          <w:strike/>
        </w:rPr>
        <w:t xml:space="preserve">are included for rohe, those </w:t>
      </w:r>
      <w:r w:rsidRPr="00472578">
        <w:rPr>
          <w:rFonts w:ascii="Calibri" w:eastAsia="Calibri" w:hAnsi="Calibri" w:cs="Calibri"/>
          <w:i/>
          <w:strike/>
        </w:rPr>
        <w:t>environmental outcomes</w:t>
      </w:r>
      <w:r w:rsidRPr="00472578">
        <w:rPr>
          <w:rFonts w:ascii="Calibri" w:eastAsia="Calibri" w:hAnsi="Calibri" w:cs="Calibri"/>
        </w:rPr>
        <w:t>:</w:t>
      </w:r>
      <w:r w:rsidRPr="00472578">
        <w:rPr>
          <w:rFonts w:eastAsia="Calibri"/>
          <w:vertAlign w:val="superscript"/>
        </w:rPr>
        <w:footnoteReference w:id="837"/>
      </w:r>
    </w:p>
    <w:p w14:paraId="7F6496A5" w14:textId="77777777" w:rsidR="009E3814" w:rsidRPr="00472578" w:rsidRDefault="009E3814" w:rsidP="00E92686">
      <w:pPr>
        <w:spacing w:line="240" w:lineRule="auto"/>
        <w:ind w:left="1134"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r>
      <w:r w:rsidRPr="00472578">
        <w:rPr>
          <w:rFonts w:ascii="Calibri" w:eastAsia="Calibri" w:hAnsi="Calibri" w:cs="Calibri"/>
          <w:u w:val="single"/>
        </w:rPr>
        <w:t>must</w:t>
      </w:r>
      <w:r w:rsidRPr="00472578">
        <w:rPr>
          <w:rFonts w:eastAsia="Calibri"/>
          <w:vertAlign w:val="superscript"/>
        </w:rPr>
        <w:footnoteReference w:id="838"/>
      </w:r>
      <w:r w:rsidRPr="00472578">
        <w:rPr>
          <w:rFonts w:ascii="Calibri" w:eastAsia="Calibri" w:hAnsi="Calibri" w:cs="Calibri"/>
        </w:rPr>
        <w:t xml:space="preserve"> set target </w:t>
      </w:r>
      <w:r w:rsidRPr="00472578">
        <w:rPr>
          <w:rFonts w:ascii="Calibri" w:eastAsia="Calibri" w:hAnsi="Calibri" w:cs="Calibri"/>
          <w:i/>
        </w:rPr>
        <w:t xml:space="preserve">attribute </w:t>
      </w:r>
      <w:r w:rsidRPr="00472578">
        <w:rPr>
          <w:rFonts w:ascii="Calibri" w:eastAsia="Calibri" w:hAnsi="Calibri" w:cs="Calibri"/>
        </w:rPr>
        <w:t xml:space="preserve">states that are no less stringent than the parent </w:t>
      </w:r>
      <w:r w:rsidRPr="00472578">
        <w:rPr>
          <w:rFonts w:ascii="Calibri" w:eastAsia="Calibri" w:hAnsi="Calibri" w:cs="Calibri"/>
          <w:i/>
        </w:rPr>
        <w:t xml:space="preserve">FMU environmental outcomes </w:t>
      </w:r>
      <w:r w:rsidRPr="00472578">
        <w:rPr>
          <w:rFonts w:ascii="Calibri" w:eastAsia="Calibri" w:hAnsi="Calibri" w:cs="Calibri"/>
        </w:rPr>
        <w:t xml:space="preserve">if the same </w:t>
      </w:r>
      <w:r w:rsidRPr="00472578">
        <w:rPr>
          <w:rFonts w:ascii="Calibri" w:eastAsia="Calibri" w:hAnsi="Calibri" w:cs="Calibri"/>
          <w:i/>
        </w:rPr>
        <w:t xml:space="preserve">attributes </w:t>
      </w:r>
      <w:r w:rsidRPr="00472578">
        <w:rPr>
          <w:rFonts w:ascii="Calibri" w:eastAsia="Calibri" w:hAnsi="Calibri" w:cs="Calibri"/>
        </w:rPr>
        <w:t xml:space="preserve">are adopted in both the rohe and the </w:t>
      </w:r>
      <w:r w:rsidRPr="00472578">
        <w:rPr>
          <w:rFonts w:ascii="Calibri" w:eastAsia="Calibri" w:hAnsi="Calibri" w:cs="Calibri"/>
          <w:i/>
        </w:rPr>
        <w:t>FMU</w:t>
      </w:r>
      <w:r w:rsidRPr="00472578">
        <w:rPr>
          <w:rFonts w:ascii="Calibri" w:eastAsia="Calibri" w:hAnsi="Calibri" w:cs="Calibri"/>
        </w:rPr>
        <w:t>, and</w:t>
      </w:r>
    </w:p>
    <w:p w14:paraId="50F42689" w14:textId="77777777" w:rsidR="009E3814" w:rsidRPr="00472578" w:rsidRDefault="009E3814" w:rsidP="00E92686">
      <w:pPr>
        <w:spacing w:line="240" w:lineRule="auto"/>
        <w:ind w:left="1134"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t xml:space="preserve">may include additional </w:t>
      </w:r>
      <w:r w:rsidRPr="00472578">
        <w:rPr>
          <w:rFonts w:ascii="Calibri" w:eastAsia="Calibri" w:hAnsi="Calibri" w:cs="Calibri"/>
          <w:i/>
        </w:rPr>
        <w:t xml:space="preserve">attributes </w:t>
      </w:r>
      <w:r w:rsidRPr="00472578">
        <w:rPr>
          <w:rFonts w:ascii="Calibri" w:eastAsia="Calibri" w:hAnsi="Calibri" w:cs="Calibri"/>
        </w:rPr>
        <w:t xml:space="preserve">and target </w:t>
      </w:r>
      <w:r w:rsidRPr="00472578">
        <w:rPr>
          <w:rFonts w:ascii="Calibri" w:eastAsia="Calibri" w:hAnsi="Calibri" w:cs="Calibri"/>
          <w:i/>
        </w:rPr>
        <w:t xml:space="preserve">attribute </w:t>
      </w:r>
      <w:r w:rsidRPr="00472578">
        <w:rPr>
          <w:rFonts w:ascii="Calibri" w:eastAsia="Calibri" w:hAnsi="Calibri" w:cs="Calibri"/>
        </w:rPr>
        <w:t xml:space="preserve">states provided that any additional </w:t>
      </w:r>
      <w:r w:rsidRPr="00472578">
        <w:rPr>
          <w:rFonts w:ascii="Calibri" w:eastAsia="Calibri" w:hAnsi="Calibri" w:cs="Calibri"/>
          <w:i/>
        </w:rPr>
        <w:t xml:space="preserve">environmental outcomes </w:t>
      </w:r>
      <w:r w:rsidRPr="00472578">
        <w:rPr>
          <w:rFonts w:ascii="Calibri" w:eastAsia="Calibri" w:hAnsi="Calibri" w:cs="Calibri"/>
        </w:rPr>
        <w:t xml:space="preserve">give effect to the </w:t>
      </w:r>
      <w:r w:rsidRPr="00472578">
        <w:rPr>
          <w:rFonts w:ascii="Calibri" w:eastAsia="Calibri" w:hAnsi="Calibri" w:cs="Calibri"/>
          <w:i/>
        </w:rPr>
        <w:t xml:space="preserve">environmental outcomes </w:t>
      </w:r>
      <w:r w:rsidRPr="00472578">
        <w:rPr>
          <w:rFonts w:ascii="Calibri" w:eastAsia="Calibri" w:hAnsi="Calibri" w:cs="Calibri"/>
        </w:rPr>
        <w:t xml:space="preserve">for the </w:t>
      </w:r>
      <w:r w:rsidRPr="00472578">
        <w:rPr>
          <w:rFonts w:ascii="Calibri" w:eastAsia="Calibri" w:hAnsi="Calibri" w:cs="Calibri"/>
          <w:i/>
        </w:rPr>
        <w:t>FMU</w:t>
      </w:r>
      <w:r w:rsidRPr="00472578">
        <w:rPr>
          <w:rFonts w:ascii="Calibri" w:eastAsia="Calibri" w:hAnsi="Calibri" w:cs="Calibri"/>
        </w:rPr>
        <w:t>,</w:t>
      </w:r>
    </w:p>
    <w:p w14:paraId="41773381" w14:textId="77777777" w:rsidR="009E3814" w:rsidRPr="00472578" w:rsidRDefault="009E3814" w:rsidP="00E92686">
      <w:pPr>
        <w:ind w:left="567"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Pr="00472578">
        <w:rPr>
          <w:rFonts w:ascii="Calibri" w:eastAsia="Calibri" w:hAnsi="Calibri" w:cs="Calibri"/>
          <w:i/>
        </w:rPr>
        <w:t xml:space="preserve">limits </w:t>
      </w:r>
      <w:r w:rsidRPr="00472578">
        <w:rPr>
          <w:rFonts w:ascii="Calibri" w:eastAsia="Calibri" w:hAnsi="Calibri" w:cs="Calibri"/>
        </w:rPr>
        <w:t xml:space="preserve">and action plans to achieve </w:t>
      </w:r>
      <w:r w:rsidRPr="00472578">
        <w:rPr>
          <w:rFonts w:ascii="Calibri" w:eastAsia="Calibri" w:hAnsi="Calibri" w:cs="Calibri"/>
          <w:i/>
        </w:rPr>
        <w:t>environmental outcomes</w:t>
      </w:r>
      <w:r w:rsidRPr="00472578">
        <w:rPr>
          <w:rFonts w:ascii="Calibri" w:eastAsia="Calibri" w:hAnsi="Calibri" w:cs="Calibri"/>
          <w:u w:val="single"/>
        </w:rPr>
        <w:t>, including by achieving target attribute states,</w:t>
      </w:r>
      <w:r w:rsidRPr="00472578">
        <w:rPr>
          <w:rFonts w:eastAsia="Calibri"/>
          <w:vertAlign w:val="superscript"/>
        </w:rPr>
        <w:footnoteReference w:id="839"/>
      </w:r>
      <w:r w:rsidRPr="00472578">
        <w:rPr>
          <w:rFonts w:ascii="Calibri" w:eastAsia="Calibri" w:hAnsi="Calibri" w:cs="Calibri"/>
          <w:i/>
        </w:rPr>
        <w:t xml:space="preserve"> </w:t>
      </w:r>
      <w:r w:rsidRPr="00472578">
        <w:rPr>
          <w:rFonts w:ascii="Calibri" w:eastAsia="Calibri" w:hAnsi="Calibri" w:cs="Calibri"/>
        </w:rPr>
        <w:t xml:space="preserve">may be developed for the </w:t>
      </w:r>
      <w:r w:rsidRPr="00472578">
        <w:rPr>
          <w:rFonts w:ascii="Calibri" w:eastAsia="Calibri" w:hAnsi="Calibri" w:cs="Calibri"/>
          <w:i/>
        </w:rPr>
        <w:t xml:space="preserve">FMU </w:t>
      </w:r>
      <w:r w:rsidRPr="00472578">
        <w:rPr>
          <w:rFonts w:ascii="Calibri" w:eastAsia="Calibri" w:hAnsi="Calibri" w:cs="Calibri"/>
        </w:rPr>
        <w:t>or the rohe or a combination of both,</w:t>
      </w:r>
    </w:p>
    <w:p w14:paraId="14FFBE9F" w14:textId="77777777" w:rsidR="009E3814" w:rsidRPr="00472578" w:rsidRDefault="009E3814" w:rsidP="00E92686">
      <w:pPr>
        <w:ind w:left="567"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t xml:space="preserve">any </w:t>
      </w:r>
      <w:r w:rsidRPr="00472578">
        <w:rPr>
          <w:rFonts w:ascii="Calibri" w:eastAsia="Calibri" w:hAnsi="Calibri" w:cs="Calibri"/>
          <w:i/>
        </w:rPr>
        <w:t xml:space="preserve">limit </w:t>
      </w:r>
      <w:r w:rsidRPr="00472578">
        <w:rPr>
          <w:rFonts w:ascii="Calibri" w:eastAsia="Calibri" w:hAnsi="Calibri" w:cs="Calibri"/>
        </w:rPr>
        <w:t>or action plan developed to apply within a rohe:</w:t>
      </w:r>
    </w:p>
    <w:p w14:paraId="32409CAD" w14:textId="77777777" w:rsidR="009E3814" w:rsidRPr="00472578" w:rsidRDefault="009E3814" w:rsidP="00E92686">
      <w:pPr>
        <w:spacing w:line="240" w:lineRule="auto"/>
        <w:ind w:left="1134"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t xml:space="preserve">prevails over any </w:t>
      </w:r>
      <w:r w:rsidRPr="00472578">
        <w:rPr>
          <w:rFonts w:ascii="Calibri" w:eastAsia="Calibri" w:hAnsi="Calibri" w:cs="Calibri"/>
          <w:i/>
        </w:rPr>
        <w:t xml:space="preserve">limit </w:t>
      </w:r>
      <w:r w:rsidRPr="00472578">
        <w:rPr>
          <w:rFonts w:ascii="Calibri" w:eastAsia="Calibri" w:hAnsi="Calibri" w:cs="Calibri"/>
        </w:rPr>
        <w:t xml:space="preserve">or action plan developed for the </w:t>
      </w:r>
      <w:r w:rsidRPr="00472578">
        <w:rPr>
          <w:rFonts w:ascii="Calibri" w:eastAsia="Calibri" w:hAnsi="Calibri" w:cs="Calibri"/>
          <w:i/>
        </w:rPr>
        <w:t xml:space="preserve">FMU </w:t>
      </w:r>
      <w:r w:rsidRPr="00472578">
        <w:rPr>
          <w:rFonts w:ascii="Calibri" w:eastAsia="Calibri" w:hAnsi="Calibri" w:cs="Calibri"/>
        </w:rPr>
        <w:t xml:space="preserve">for the same </w:t>
      </w:r>
      <w:r w:rsidRPr="00472578">
        <w:rPr>
          <w:rFonts w:ascii="Calibri" w:eastAsia="Calibri" w:hAnsi="Calibri" w:cs="Calibri"/>
          <w:i/>
        </w:rPr>
        <w:t>attribute</w:t>
      </w:r>
      <w:r w:rsidRPr="00472578">
        <w:rPr>
          <w:rFonts w:ascii="Calibri" w:eastAsia="Calibri" w:hAnsi="Calibri" w:cs="Calibri"/>
        </w:rPr>
        <w:t>, unless explicitly stated to the contrary, and</w:t>
      </w:r>
    </w:p>
    <w:p w14:paraId="73C75430" w14:textId="545E4275" w:rsidR="009E3814" w:rsidRPr="00472578" w:rsidRDefault="009E3814" w:rsidP="00E92686">
      <w:pPr>
        <w:spacing w:line="240" w:lineRule="auto"/>
        <w:ind w:left="1134" w:hanging="567"/>
        <w:jc w:val="both"/>
        <w:rPr>
          <w:rFonts w:ascii="Calibri" w:eastAsia="Calibri" w:hAnsi="Calibri" w:cs="Calibri"/>
        </w:rPr>
      </w:pPr>
      <w:r w:rsidRPr="00472578">
        <w:rPr>
          <w:rFonts w:ascii="Calibri" w:eastAsia="Calibri" w:hAnsi="Calibri" w:cs="Calibri"/>
        </w:rPr>
        <w:lastRenderedPageBreak/>
        <w:t>(b)</w:t>
      </w:r>
      <w:r w:rsidRPr="00472578">
        <w:rPr>
          <w:rFonts w:ascii="Calibri" w:eastAsia="Calibri" w:hAnsi="Calibri" w:cs="Calibri"/>
        </w:rPr>
        <w:tab/>
        <w:t xml:space="preserve">must be no less stringent than any </w:t>
      </w:r>
      <w:r w:rsidRPr="00472578">
        <w:rPr>
          <w:rFonts w:ascii="Calibri" w:eastAsia="Calibri" w:hAnsi="Calibri" w:cs="Calibri"/>
          <w:i/>
        </w:rPr>
        <w:t xml:space="preserve">limit </w:t>
      </w:r>
      <w:r w:rsidRPr="00472578">
        <w:rPr>
          <w:rFonts w:ascii="Calibri" w:eastAsia="Calibri" w:hAnsi="Calibri" w:cs="Calibri"/>
          <w:u w:val="single"/>
        </w:rPr>
        <w:t>or action plan</w:t>
      </w:r>
      <w:r w:rsidRPr="00472578">
        <w:rPr>
          <w:rFonts w:eastAsia="Calibri"/>
          <w:vertAlign w:val="superscript"/>
        </w:rPr>
        <w:footnoteReference w:id="840"/>
      </w:r>
      <w:r w:rsidRPr="00472578">
        <w:rPr>
          <w:rFonts w:ascii="Calibri" w:eastAsia="Calibri" w:hAnsi="Calibri" w:cs="Calibri"/>
          <w:i/>
        </w:rPr>
        <w:t xml:space="preserve"> </w:t>
      </w:r>
      <w:r w:rsidRPr="00472578">
        <w:rPr>
          <w:rFonts w:ascii="Calibri" w:eastAsia="Calibri" w:hAnsi="Calibri" w:cs="Calibri"/>
        </w:rPr>
        <w:t xml:space="preserve">set for the parent </w:t>
      </w:r>
      <w:r w:rsidRPr="00472578">
        <w:rPr>
          <w:rFonts w:ascii="Calibri" w:eastAsia="Calibri" w:hAnsi="Calibri" w:cs="Calibri"/>
          <w:i/>
        </w:rPr>
        <w:t xml:space="preserve">FMU </w:t>
      </w:r>
      <w:r w:rsidRPr="00472578">
        <w:rPr>
          <w:rFonts w:ascii="Calibri" w:eastAsia="Calibri" w:hAnsi="Calibri" w:cs="Calibri"/>
        </w:rPr>
        <w:t xml:space="preserve">for the same </w:t>
      </w:r>
      <w:r w:rsidRPr="00472578">
        <w:rPr>
          <w:rFonts w:ascii="Calibri" w:eastAsia="Calibri" w:hAnsi="Calibri" w:cs="Calibri"/>
          <w:i/>
        </w:rPr>
        <w:t>attribute</w:t>
      </w:r>
      <w:r w:rsidRPr="00472578">
        <w:rPr>
          <w:rFonts w:ascii="Calibri" w:eastAsia="Calibri" w:hAnsi="Calibri" w:cs="Calibri"/>
        </w:rPr>
        <w:t>, and</w:t>
      </w:r>
    </w:p>
    <w:p w14:paraId="40F5B03F" w14:textId="26F9DD34" w:rsidR="009E3814" w:rsidRPr="00472578" w:rsidRDefault="009E3814" w:rsidP="00E92686">
      <w:pPr>
        <w:spacing w:line="240" w:lineRule="auto"/>
        <w:ind w:left="1134" w:hanging="567"/>
        <w:jc w:val="both"/>
        <w:rPr>
          <w:rFonts w:ascii="Calibri" w:eastAsia="Calibri" w:hAnsi="Calibri" w:cs="Calibri"/>
        </w:rPr>
      </w:pPr>
      <w:r w:rsidRPr="00472578">
        <w:rPr>
          <w:rFonts w:ascii="Calibri" w:eastAsia="Calibri" w:hAnsi="Calibri" w:cs="Calibri"/>
        </w:rPr>
        <w:t>(c)</w:t>
      </w:r>
      <w:r w:rsidRPr="00472578">
        <w:rPr>
          <w:rFonts w:ascii="Calibri" w:eastAsia="Calibri" w:hAnsi="Calibri" w:cs="Calibri"/>
        </w:rPr>
        <w:tab/>
        <w:t xml:space="preserve">must not conflict with any </w:t>
      </w:r>
      <w:r w:rsidRPr="00472578">
        <w:rPr>
          <w:rFonts w:ascii="Calibri" w:eastAsia="Calibri" w:hAnsi="Calibri" w:cs="Calibri"/>
          <w:i/>
        </w:rPr>
        <w:t xml:space="preserve">limit </w:t>
      </w:r>
      <w:r w:rsidRPr="00472578">
        <w:rPr>
          <w:rFonts w:ascii="Calibri" w:eastAsia="Calibri" w:hAnsi="Calibri" w:cs="Calibri"/>
        </w:rPr>
        <w:t xml:space="preserve">set </w:t>
      </w:r>
      <w:r w:rsidRPr="00472578">
        <w:rPr>
          <w:rFonts w:ascii="Calibri" w:eastAsia="Calibri" w:hAnsi="Calibri" w:cs="Calibri"/>
          <w:u w:val="single"/>
        </w:rPr>
        <w:t>or action plan developed</w:t>
      </w:r>
      <w:r w:rsidRPr="00472578">
        <w:rPr>
          <w:rFonts w:eastAsia="Calibri"/>
          <w:vertAlign w:val="superscript"/>
        </w:rPr>
        <w:footnoteReference w:id="841"/>
      </w:r>
      <w:r w:rsidRPr="00472578">
        <w:rPr>
          <w:rFonts w:ascii="Calibri" w:eastAsia="Calibri" w:hAnsi="Calibri" w:cs="Calibri"/>
          <w:i/>
        </w:rPr>
        <w:t xml:space="preserve"> </w:t>
      </w:r>
      <w:r w:rsidRPr="00472578">
        <w:rPr>
          <w:rFonts w:ascii="Calibri" w:eastAsia="Calibri" w:hAnsi="Calibri" w:cs="Calibri"/>
        </w:rPr>
        <w:t xml:space="preserve">for the </w:t>
      </w:r>
      <w:r w:rsidRPr="00472578">
        <w:rPr>
          <w:rFonts w:ascii="Calibri" w:eastAsia="Calibri" w:hAnsi="Calibri" w:cs="Calibri"/>
          <w:strike/>
        </w:rPr>
        <w:t>underlying</w:t>
      </w:r>
      <w:r w:rsidRPr="00472578">
        <w:rPr>
          <w:rFonts w:ascii="Calibri" w:eastAsia="Calibri" w:hAnsi="Calibri" w:cs="Calibri"/>
        </w:rPr>
        <w:t xml:space="preserve"> </w:t>
      </w:r>
      <w:r w:rsidR="00383D30" w:rsidRPr="00472578">
        <w:rPr>
          <w:rFonts w:ascii="Calibri" w:eastAsia="Calibri" w:hAnsi="Calibri" w:cs="Calibri"/>
          <w:iCs/>
          <w:u w:val="single"/>
        </w:rPr>
        <w:t>parent</w:t>
      </w:r>
      <w:r w:rsidR="001B2CD0" w:rsidRPr="00472578">
        <w:rPr>
          <w:rStyle w:val="FootnoteReference"/>
          <w:rFonts w:ascii="Calibri" w:eastAsia="Calibri" w:hAnsi="Calibri" w:cs="Calibri"/>
          <w:iCs/>
        </w:rPr>
        <w:footnoteReference w:id="842"/>
      </w:r>
      <w:r w:rsidR="00705DE5" w:rsidRPr="00472578">
        <w:rPr>
          <w:rFonts w:ascii="Calibri" w:eastAsia="Calibri" w:hAnsi="Calibri" w:cs="Calibri"/>
          <w:iCs/>
        </w:rPr>
        <w:t xml:space="preserve"> </w:t>
      </w:r>
      <w:r w:rsidRPr="00472578">
        <w:rPr>
          <w:rFonts w:ascii="Calibri" w:eastAsia="Calibri" w:hAnsi="Calibri" w:cs="Calibri"/>
          <w:i/>
        </w:rPr>
        <w:t xml:space="preserve">FMU </w:t>
      </w:r>
      <w:r w:rsidRPr="00472578">
        <w:rPr>
          <w:rFonts w:ascii="Calibri" w:eastAsia="Calibri" w:hAnsi="Calibri" w:cs="Calibri"/>
        </w:rPr>
        <w:t xml:space="preserve">for </w:t>
      </w:r>
      <w:r w:rsidRPr="00472578">
        <w:rPr>
          <w:rFonts w:ascii="Calibri" w:eastAsia="Calibri" w:hAnsi="Calibri" w:cs="Calibri"/>
          <w:i/>
        </w:rPr>
        <w:t xml:space="preserve">attributes </w:t>
      </w:r>
      <w:r w:rsidRPr="00472578">
        <w:rPr>
          <w:rFonts w:ascii="Calibri" w:eastAsia="Calibri" w:hAnsi="Calibri" w:cs="Calibri"/>
        </w:rPr>
        <w:t>that are not the same, and</w:t>
      </w:r>
    </w:p>
    <w:p w14:paraId="2C772FA3" w14:textId="77777777" w:rsidR="009E3814" w:rsidRPr="00472578" w:rsidRDefault="009E3814" w:rsidP="00E92686">
      <w:pPr>
        <w:ind w:left="567"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t xml:space="preserve">the term “no less stringent” in this policy applies to </w:t>
      </w:r>
      <w:r w:rsidRPr="00472578">
        <w:rPr>
          <w:rFonts w:ascii="Calibri" w:eastAsia="Calibri" w:hAnsi="Calibri" w:cs="Calibri"/>
          <w:i/>
        </w:rPr>
        <w:t xml:space="preserve">attribute states </w:t>
      </w:r>
      <w:r w:rsidRPr="00472578">
        <w:rPr>
          <w:rFonts w:ascii="Calibri" w:eastAsia="Calibri" w:hAnsi="Calibri" w:cs="Calibri"/>
        </w:rPr>
        <w:t xml:space="preserve">(numeric and narrative) and </w:t>
      </w:r>
      <w:r w:rsidRPr="00472578">
        <w:t>any</w:t>
      </w:r>
      <w:r w:rsidRPr="00472578">
        <w:rPr>
          <w:rFonts w:ascii="Calibri" w:eastAsia="Calibri" w:hAnsi="Calibri" w:cs="Calibri"/>
        </w:rPr>
        <w:t xml:space="preserve"> other metrics and timeframes (if applicable).</w:t>
      </w:r>
    </w:p>
    <w:p w14:paraId="736B5661" w14:textId="77777777" w:rsidR="009E3814" w:rsidRPr="00472578" w:rsidRDefault="009E3814" w:rsidP="00E92686">
      <w:pPr>
        <w:pStyle w:val="Heading4"/>
        <w:jc w:val="both"/>
        <w:rPr>
          <w:b w:val="0"/>
          <w:iCs w:val="0"/>
        </w:rPr>
      </w:pPr>
      <w:r w:rsidRPr="00472578">
        <w:t>Methods</w:t>
      </w:r>
    </w:p>
    <w:p w14:paraId="77DDC317" w14:textId="77777777" w:rsidR="009E3814" w:rsidRPr="00472578" w:rsidRDefault="009E3814" w:rsidP="00E92686">
      <w:pPr>
        <w:pStyle w:val="Heading5"/>
        <w:jc w:val="both"/>
        <w:rPr>
          <w:b w:val="0"/>
        </w:rPr>
      </w:pPr>
      <w:r w:rsidRPr="00472578">
        <w:t>LF-VM-M3 – Community involvement</w:t>
      </w:r>
    </w:p>
    <w:p w14:paraId="1192534D" w14:textId="77777777" w:rsidR="009E3814" w:rsidRPr="00472578" w:rsidRDefault="009E3814" w:rsidP="00E92686">
      <w:pPr>
        <w:jc w:val="both"/>
      </w:pPr>
      <w:r w:rsidRPr="00472578">
        <w:t xml:space="preserve">Otago Regional Council must work with </w:t>
      </w:r>
      <w:r w:rsidRPr="00472578">
        <w:rPr>
          <w:u w:val="single"/>
        </w:rPr>
        <w:t>Kāi Tahu and</w:t>
      </w:r>
      <w:r w:rsidRPr="00472578">
        <w:rPr>
          <w:vertAlign w:val="superscript"/>
        </w:rPr>
        <w:footnoteReference w:id="843"/>
      </w:r>
      <w:r w:rsidRPr="00472578">
        <w:t xml:space="preserve"> communities to achieve the objectives and policies in this chapter, including by:</w:t>
      </w:r>
    </w:p>
    <w:p w14:paraId="359273E2" w14:textId="77777777" w:rsidR="009E3814" w:rsidRPr="00472578" w:rsidRDefault="009E3814" w:rsidP="00E92686">
      <w:pPr>
        <w:ind w:left="567" w:hanging="567"/>
        <w:jc w:val="both"/>
      </w:pPr>
      <w:r w:rsidRPr="00472578">
        <w:t>(1)</w:t>
      </w:r>
      <w:r w:rsidRPr="00472578">
        <w:tab/>
        <w:t xml:space="preserve">engaging with </w:t>
      </w:r>
      <w:r w:rsidRPr="00472578">
        <w:rPr>
          <w:u w:val="single"/>
        </w:rPr>
        <w:t>Kāi Tahu,</w:t>
      </w:r>
      <w:r w:rsidRPr="00472578">
        <w:rPr>
          <w:vertAlign w:val="superscript"/>
        </w:rPr>
        <w:footnoteReference w:id="844"/>
      </w:r>
      <w:r w:rsidRPr="00472578">
        <w:t xml:space="preserve"> communities </w:t>
      </w:r>
      <w:r w:rsidRPr="00472578">
        <w:rPr>
          <w:u w:val="single"/>
        </w:rPr>
        <w:t>and stakeholders</w:t>
      </w:r>
      <w:r w:rsidRPr="00472578">
        <w:rPr>
          <w:vertAlign w:val="superscript"/>
        </w:rPr>
        <w:footnoteReference w:id="845"/>
      </w:r>
      <w:r w:rsidRPr="00472578">
        <w:t xml:space="preserve"> to identify </w:t>
      </w:r>
      <w:r w:rsidRPr="00472578">
        <w:rPr>
          <w:u w:val="single"/>
        </w:rPr>
        <w:t>values and</w:t>
      </w:r>
      <w:r w:rsidRPr="00472578">
        <w:rPr>
          <w:vertAlign w:val="superscript"/>
        </w:rPr>
        <w:footnoteReference w:id="846"/>
      </w:r>
      <w:r w:rsidRPr="00472578">
        <w:rPr>
          <w:i/>
        </w:rPr>
        <w:t xml:space="preserve"> </w:t>
      </w:r>
      <w:r w:rsidRPr="00472578">
        <w:rPr>
          <w:i/>
          <w:iCs/>
        </w:rPr>
        <w:t>environmental outcomes</w:t>
      </w:r>
      <w:r w:rsidRPr="00472578">
        <w:t xml:space="preserve"> for Otago’s </w:t>
      </w:r>
      <w:r w:rsidRPr="00472578">
        <w:rPr>
          <w:i/>
        </w:rPr>
        <w:t>FMUs</w:t>
      </w:r>
      <w:r w:rsidRPr="00472578">
        <w:t xml:space="preserve"> and rohe and the methods to achieve those outcomes,</w:t>
      </w:r>
    </w:p>
    <w:p w14:paraId="4E7486CF" w14:textId="77777777" w:rsidR="009E3814" w:rsidRPr="00472578" w:rsidRDefault="009E3814" w:rsidP="00E92686">
      <w:pPr>
        <w:ind w:left="567" w:hanging="567"/>
        <w:jc w:val="both"/>
      </w:pPr>
      <w:r w:rsidRPr="00472578">
        <w:t>(2)</w:t>
      </w:r>
      <w:r w:rsidRPr="00472578">
        <w:tab/>
        <w:t xml:space="preserve">encouraging community stewardship of </w:t>
      </w:r>
      <w:r w:rsidRPr="00472578">
        <w:rPr>
          <w:i/>
          <w:iCs/>
        </w:rPr>
        <w:t>water</w:t>
      </w:r>
      <w:r w:rsidRPr="00472578">
        <w:t xml:space="preserve"> resources and programmes to address </w:t>
      </w:r>
      <w:r w:rsidRPr="00472578">
        <w:rPr>
          <w:i/>
          <w:iCs/>
        </w:rPr>
        <w:t>freshwater</w:t>
      </w:r>
      <w:r w:rsidRPr="00472578">
        <w:t xml:space="preserve"> issues at a local catchment level, </w:t>
      </w:r>
      <w:r w:rsidRPr="00472578">
        <w:rPr>
          <w:u w:val="single"/>
        </w:rPr>
        <w:t>including through catchment groups,</w:t>
      </w:r>
      <w:r w:rsidRPr="00472578">
        <w:rPr>
          <w:vertAlign w:val="superscript"/>
        </w:rPr>
        <w:footnoteReference w:id="847"/>
      </w:r>
    </w:p>
    <w:p w14:paraId="676487A4" w14:textId="77777777" w:rsidR="009E3814" w:rsidRPr="00472578" w:rsidRDefault="009E3814" w:rsidP="00E92686">
      <w:pPr>
        <w:ind w:left="567" w:hanging="567"/>
        <w:jc w:val="both"/>
        <w:rPr>
          <w:strike/>
        </w:rPr>
      </w:pPr>
      <w:r w:rsidRPr="00472578">
        <w:t>(3)</w:t>
      </w:r>
      <w:r w:rsidRPr="00472578">
        <w:tab/>
        <w:t>supporting community initiatives</w:t>
      </w:r>
      <w:r w:rsidRPr="00472578">
        <w:rPr>
          <w:u w:val="single"/>
        </w:rPr>
        <w:t>, industry-led guidelines, codes of practice and environmental accords</w:t>
      </w:r>
      <w:r w:rsidRPr="00472578">
        <w:t xml:space="preserve"> that contribute to maintaining or improving the health and well-being of </w:t>
      </w:r>
      <w:r w:rsidRPr="00472578">
        <w:rPr>
          <w:i/>
          <w:iCs/>
        </w:rPr>
        <w:t>water bodies</w:t>
      </w:r>
      <w:r w:rsidRPr="00472578">
        <w:rPr>
          <w:u w:val="single"/>
        </w:rPr>
        <w:t>.</w:t>
      </w:r>
      <w:r w:rsidRPr="00472578">
        <w:rPr>
          <w:strike/>
        </w:rPr>
        <w:t>, and</w:t>
      </w:r>
    </w:p>
    <w:p w14:paraId="16B4939E" w14:textId="77777777" w:rsidR="009E3814" w:rsidRPr="00472578" w:rsidRDefault="009E3814" w:rsidP="00E92686">
      <w:pPr>
        <w:ind w:left="567" w:hanging="567"/>
        <w:jc w:val="both"/>
      </w:pPr>
      <w:r w:rsidRPr="00472578">
        <w:rPr>
          <w:strike/>
        </w:rPr>
        <w:t>(4)</w:t>
      </w:r>
      <w:r w:rsidRPr="00472578">
        <w:rPr>
          <w:strike/>
        </w:rPr>
        <w:tab/>
        <w:t>supporting industry-led guidelines, codes of practice and environmental accords where these would contribute to achieving the objectives of this RPS</w:t>
      </w:r>
      <w:r w:rsidRPr="00472578">
        <w:t>.</w:t>
      </w:r>
      <w:r w:rsidRPr="00472578">
        <w:rPr>
          <w:vertAlign w:val="superscript"/>
        </w:rPr>
        <w:footnoteReference w:id="848"/>
      </w:r>
    </w:p>
    <w:p w14:paraId="288FE399" w14:textId="77777777" w:rsidR="009E3814" w:rsidRPr="00472578" w:rsidRDefault="009E3814" w:rsidP="00E92686">
      <w:pPr>
        <w:pStyle w:val="Heading5"/>
        <w:jc w:val="both"/>
        <w:rPr>
          <w:b w:val="0"/>
        </w:rPr>
      </w:pPr>
      <w:r w:rsidRPr="00472578">
        <w:t>LF-VM-M4 – Other methods</w:t>
      </w:r>
    </w:p>
    <w:p w14:paraId="331B3E33" w14:textId="77777777" w:rsidR="009E3814" w:rsidRPr="00472578" w:rsidRDefault="009E3814" w:rsidP="00E92686">
      <w:pPr>
        <w:jc w:val="both"/>
      </w:pPr>
      <w:r w:rsidRPr="00472578">
        <w:t>In addition to method LF-VM-M3, the methods in the LF-WAI, LF-FW, and LF-LS sections are also applicable.</w:t>
      </w:r>
    </w:p>
    <w:p w14:paraId="372DE74C" w14:textId="77777777" w:rsidR="009E3814" w:rsidRPr="00472578" w:rsidRDefault="009E3814" w:rsidP="00E92686">
      <w:pPr>
        <w:pStyle w:val="Heading4"/>
        <w:jc w:val="both"/>
        <w:rPr>
          <w:b w:val="0"/>
          <w:iCs w:val="0"/>
        </w:rPr>
      </w:pPr>
      <w:r w:rsidRPr="00472578">
        <w:t>Explanation</w:t>
      </w:r>
    </w:p>
    <w:p w14:paraId="770F0DFF" w14:textId="77777777" w:rsidR="009E3814" w:rsidRPr="00472578" w:rsidRDefault="009E3814" w:rsidP="00E92686">
      <w:pPr>
        <w:pStyle w:val="Heading5"/>
        <w:jc w:val="both"/>
        <w:rPr>
          <w:b w:val="0"/>
        </w:rPr>
      </w:pPr>
      <w:r w:rsidRPr="00472578">
        <w:t xml:space="preserve">LF-VM-E2 – Explanation </w:t>
      </w:r>
    </w:p>
    <w:p w14:paraId="1798E31B" w14:textId="77777777" w:rsidR="009E3814" w:rsidRPr="00472578" w:rsidRDefault="009E3814" w:rsidP="00E92686">
      <w:pPr>
        <w:jc w:val="both"/>
      </w:pPr>
      <w:r w:rsidRPr="00472578">
        <w:t xml:space="preserve">Implementing the NPSFM requires Council to identify </w:t>
      </w:r>
      <w:r w:rsidRPr="00472578">
        <w:rPr>
          <w:i/>
          <w:iCs/>
        </w:rPr>
        <w:t>Freshwater Management Units</w:t>
      </w:r>
      <w:r w:rsidRPr="00472578">
        <w:t xml:space="preserve"> (</w:t>
      </w:r>
      <w:r w:rsidRPr="00472578">
        <w:rPr>
          <w:i/>
          <w:iCs/>
        </w:rPr>
        <w:t>FMUs</w:t>
      </w:r>
      <w:r w:rsidRPr="00472578">
        <w:t xml:space="preserve">) that include all </w:t>
      </w:r>
      <w:r w:rsidRPr="00472578">
        <w:rPr>
          <w:i/>
          <w:iCs/>
        </w:rPr>
        <w:t>freshwater bodies</w:t>
      </w:r>
      <w:r w:rsidRPr="00472578">
        <w:t xml:space="preserve"> within the region. Policy LF-VM-P5 identifies Otago’s five </w:t>
      </w:r>
      <w:r w:rsidRPr="00472578">
        <w:rPr>
          <w:i/>
          <w:iCs/>
        </w:rPr>
        <w:t>FMUs</w:t>
      </w:r>
      <w:r w:rsidRPr="00472578">
        <w:t xml:space="preserve">: Clutha Mata-au </w:t>
      </w:r>
      <w:r w:rsidRPr="00472578">
        <w:rPr>
          <w:i/>
          <w:iCs/>
        </w:rPr>
        <w:t>FMU</w:t>
      </w:r>
      <w:r w:rsidRPr="00472578">
        <w:t xml:space="preserve">, Taieri </w:t>
      </w:r>
      <w:r w:rsidRPr="00472578">
        <w:rPr>
          <w:i/>
          <w:iCs/>
        </w:rPr>
        <w:t>FMU</w:t>
      </w:r>
      <w:r w:rsidRPr="00472578">
        <w:t xml:space="preserve">, North Otago </w:t>
      </w:r>
      <w:r w:rsidRPr="00472578">
        <w:rPr>
          <w:i/>
          <w:iCs/>
        </w:rPr>
        <w:t>FMU</w:t>
      </w:r>
      <w:r w:rsidRPr="00472578">
        <w:t xml:space="preserve">, Dunedin &amp; Coast </w:t>
      </w:r>
      <w:r w:rsidRPr="00472578">
        <w:rPr>
          <w:i/>
          <w:iCs/>
        </w:rPr>
        <w:t>FMU</w:t>
      </w:r>
      <w:r w:rsidRPr="00472578">
        <w:t xml:space="preserve"> and Catlins </w:t>
      </w:r>
      <w:r w:rsidRPr="00472578">
        <w:rPr>
          <w:i/>
          <w:iCs/>
        </w:rPr>
        <w:t>FMU</w:t>
      </w:r>
      <w:r w:rsidRPr="00472578">
        <w:t xml:space="preserve">. The Clutha Mata-au </w:t>
      </w:r>
      <w:r w:rsidRPr="00472578">
        <w:rPr>
          <w:i/>
          <w:iCs/>
        </w:rPr>
        <w:t>FMU</w:t>
      </w:r>
      <w:r w:rsidRPr="00472578">
        <w:t xml:space="preserve"> is divided into five sub-</w:t>
      </w:r>
      <w:r w:rsidRPr="00472578">
        <w:rPr>
          <w:i/>
          <w:iCs/>
        </w:rPr>
        <w:t>FMUs</w:t>
      </w:r>
      <w:r w:rsidRPr="00472578">
        <w:t xml:space="preserve"> known as ‘rohe’. Policy LF-VM-P6 sets out the relationship between </w:t>
      </w:r>
      <w:r w:rsidRPr="00472578">
        <w:rPr>
          <w:i/>
          <w:iCs/>
        </w:rPr>
        <w:t>FMUs</w:t>
      </w:r>
      <w:r w:rsidRPr="00472578">
        <w:t xml:space="preserve"> and rohe which, broadly, requires rohe provisions to be no less stringent than the </w:t>
      </w:r>
      <w:r w:rsidRPr="00472578">
        <w:lastRenderedPageBreak/>
        <w:t xml:space="preserve">parent </w:t>
      </w:r>
      <w:r w:rsidRPr="00472578">
        <w:rPr>
          <w:i/>
          <w:iCs/>
        </w:rPr>
        <w:t>FMU</w:t>
      </w:r>
      <w:r w:rsidRPr="00472578">
        <w:t xml:space="preserve"> provisions. This is to avoid any potential for rohe to set lower standards than others which would affect the ability of the </w:t>
      </w:r>
      <w:r w:rsidRPr="00472578">
        <w:rPr>
          <w:i/>
          <w:iCs/>
        </w:rPr>
        <w:t>FMU</w:t>
      </w:r>
      <w:r w:rsidRPr="00472578">
        <w:t xml:space="preserve"> to achieve its stated outcomes.</w:t>
      </w:r>
    </w:p>
    <w:p w14:paraId="5F4D32D6" w14:textId="77777777" w:rsidR="009E3814" w:rsidRPr="00472578" w:rsidRDefault="009E3814" w:rsidP="00E92686">
      <w:pPr>
        <w:pStyle w:val="Heading4"/>
        <w:jc w:val="both"/>
        <w:rPr>
          <w:b w:val="0"/>
          <w:iCs w:val="0"/>
        </w:rPr>
      </w:pPr>
      <w:r w:rsidRPr="00472578">
        <w:t>Principal reasons</w:t>
      </w:r>
    </w:p>
    <w:p w14:paraId="2FA42624" w14:textId="77777777" w:rsidR="009E3814" w:rsidRPr="00472578" w:rsidRDefault="009E3814" w:rsidP="00E92686">
      <w:pPr>
        <w:pStyle w:val="Heading5"/>
        <w:jc w:val="both"/>
        <w:rPr>
          <w:b w:val="0"/>
        </w:rPr>
      </w:pPr>
      <w:r w:rsidRPr="00472578">
        <w:t>LF-VM-PR2 – Principal reasons</w:t>
      </w:r>
    </w:p>
    <w:p w14:paraId="47580A38" w14:textId="77777777" w:rsidR="009E3814" w:rsidRPr="00472578" w:rsidRDefault="009E3814" w:rsidP="00E92686">
      <w:pPr>
        <w:jc w:val="both"/>
      </w:pPr>
      <w:r w:rsidRPr="00472578">
        <w:t xml:space="preserve">To support the implementation of the NPSFM, the Council is required to develop long-term visions for </w:t>
      </w:r>
      <w:r w:rsidRPr="00472578">
        <w:rPr>
          <w:i/>
          <w:iCs/>
        </w:rPr>
        <w:t>fresh water</w:t>
      </w:r>
      <w:r w:rsidRPr="00472578">
        <w:t xml:space="preserve"> across the Otago region. </w:t>
      </w:r>
      <w:r w:rsidRPr="00472578">
        <w:rPr>
          <w:i/>
          <w:iCs/>
        </w:rPr>
        <w:t>Fresh water</w:t>
      </w:r>
      <w:r w:rsidRPr="00472578">
        <w:t xml:space="preserve"> visions for each </w:t>
      </w:r>
      <w:r w:rsidRPr="00472578">
        <w:rPr>
          <w:i/>
          <w:iCs/>
        </w:rPr>
        <w:t>FMU</w:t>
      </w:r>
      <w:r w:rsidRPr="00472578">
        <w:t xml:space="preserve"> and rohe have been developed</w:t>
      </w:r>
      <w:r w:rsidRPr="00472578">
        <w:rPr>
          <w:rFonts w:ascii="Calibri" w:hAnsi="Calibri" w:cs="Calibri"/>
        </w:rPr>
        <w:t xml:space="preserve"> through engagement with Kāi Tahu and communities. They set out the long-term goals for the </w:t>
      </w:r>
      <w:r w:rsidRPr="00472578">
        <w:rPr>
          <w:rFonts w:ascii="Calibri" w:hAnsi="Calibri" w:cs="Calibri"/>
          <w:i/>
        </w:rPr>
        <w:t>water bodies</w:t>
      </w:r>
      <w:r w:rsidRPr="00472578">
        <w:rPr>
          <w:rFonts w:ascii="Calibri" w:hAnsi="Calibri" w:cs="Calibri"/>
        </w:rPr>
        <w:t xml:space="preserve"> (including </w:t>
      </w:r>
      <w:r w:rsidRPr="00472578">
        <w:rPr>
          <w:rFonts w:ascii="Calibri" w:hAnsi="Calibri" w:cs="Calibri"/>
          <w:i/>
        </w:rPr>
        <w:t>groundwater</w:t>
      </w:r>
      <w:r w:rsidRPr="00472578">
        <w:rPr>
          <w:rFonts w:ascii="Calibri" w:hAnsi="Calibri" w:cs="Calibri"/>
        </w:rPr>
        <w:t xml:space="preserve">) and </w:t>
      </w:r>
      <w:proofErr w:type="gramStart"/>
      <w:r w:rsidRPr="00472578">
        <w:rPr>
          <w:rFonts w:ascii="Calibri" w:hAnsi="Calibri" w:cs="Calibri"/>
          <w:i/>
        </w:rPr>
        <w:t>fresh water</w:t>
      </w:r>
      <w:proofErr w:type="gramEnd"/>
      <w:r w:rsidRPr="00472578">
        <w:rPr>
          <w:rFonts w:ascii="Calibri" w:hAnsi="Calibri" w:cs="Calibri"/>
        </w:rPr>
        <w:t xml:space="preserve"> ecosystems in the region that reflect the history of, and environmental pressures on, the </w:t>
      </w:r>
      <w:r w:rsidRPr="00472578">
        <w:rPr>
          <w:rFonts w:ascii="Calibri" w:hAnsi="Calibri" w:cs="Calibri"/>
          <w:i/>
        </w:rPr>
        <w:t>FMU</w:t>
      </w:r>
      <w:r w:rsidRPr="00472578">
        <w:rPr>
          <w:rFonts w:ascii="Calibri" w:hAnsi="Calibri" w:cs="Calibri"/>
        </w:rPr>
        <w:t xml:space="preserve"> or rohe. They also establish ambitious but reasonable timeframes for achieving these goals. The Council must assess whether each </w:t>
      </w:r>
      <w:r w:rsidRPr="00472578">
        <w:rPr>
          <w:rFonts w:ascii="Calibri" w:hAnsi="Calibri" w:cs="Calibri"/>
          <w:i/>
        </w:rPr>
        <w:t xml:space="preserve">FMU </w:t>
      </w:r>
      <w:r w:rsidRPr="00472578">
        <w:rPr>
          <w:rFonts w:ascii="Calibri" w:hAnsi="Calibri" w:cs="Calibri"/>
        </w:rPr>
        <w:t xml:space="preserve">or rohe can provide for its long-term vision, or whether improvement to the health and well-being of </w:t>
      </w:r>
      <w:r w:rsidRPr="00472578">
        <w:rPr>
          <w:rFonts w:ascii="Calibri" w:hAnsi="Calibri" w:cs="Calibri"/>
          <w:i/>
        </w:rPr>
        <w:t>water bodies</w:t>
      </w:r>
      <w:r w:rsidRPr="00472578">
        <w:rPr>
          <w:rFonts w:ascii="Calibri" w:hAnsi="Calibri" w:cs="Calibri"/>
        </w:rPr>
        <w:t xml:space="preserve"> (including </w:t>
      </w:r>
      <w:r w:rsidRPr="00472578">
        <w:rPr>
          <w:rFonts w:ascii="Calibri" w:hAnsi="Calibri" w:cs="Calibri"/>
          <w:i/>
        </w:rPr>
        <w:t>groundwater</w:t>
      </w:r>
      <w:r w:rsidRPr="00472578">
        <w:rPr>
          <w:rFonts w:ascii="Calibri" w:hAnsi="Calibri" w:cs="Calibri"/>
        </w:rPr>
        <w:t xml:space="preserve">) and </w:t>
      </w:r>
      <w:proofErr w:type="gramStart"/>
      <w:r w:rsidRPr="00472578">
        <w:rPr>
          <w:rFonts w:ascii="Calibri" w:hAnsi="Calibri" w:cs="Calibri"/>
          <w:i/>
        </w:rPr>
        <w:t>fresh water</w:t>
      </w:r>
      <w:proofErr w:type="gramEnd"/>
      <w:r w:rsidRPr="00472578">
        <w:rPr>
          <w:rFonts w:ascii="Calibri" w:hAnsi="Calibri" w:cs="Calibri"/>
        </w:rPr>
        <w:t xml:space="preserve"> ecosystems is required to achieve the visions. The result of that assessment will then inform the </w:t>
      </w:r>
      <w:r w:rsidRPr="00472578">
        <w:t xml:space="preserve">development of </w:t>
      </w:r>
      <w:r w:rsidRPr="00472578">
        <w:rPr>
          <w:i/>
          <w:iCs/>
        </w:rPr>
        <w:t>regional plan</w:t>
      </w:r>
      <w:r w:rsidRPr="00472578">
        <w:t xml:space="preserve"> provisions in the </w:t>
      </w:r>
      <w:r w:rsidRPr="00472578">
        <w:rPr>
          <w:i/>
          <w:iCs/>
        </w:rPr>
        <w:t>FMU</w:t>
      </w:r>
      <w:r w:rsidRPr="00472578">
        <w:t xml:space="preserve">, including </w:t>
      </w:r>
      <w:r w:rsidRPr="00472578">
        <w:rPr>
          <w:i/>
          <w:iCs/>
        </w:rPr>
        <w:t>environmental outcomes, attribute</w:t>
      </w:r>
      <w:r w:rsidRPr="00472578">
        <w:t xml:space="preserve"> states, target </w:t>
      </w:r>
      <w:r w:rsidRPr="00472578">
        <w:rPr>
          <w:i/>
          <w:iCs/>
        </w:rPr>
        <w:t xml:space="preserve">attribute </w:t>
      </w:r>
      <w:r w:rsidRPr="00472578">
        <w:t xml:space="preserve">states and </w:t>
      </w:r>
      <w:r w:rsidRPr="00472578">
        <w:rPr>
          <w:i/>
          <w:iCs/>
        </w:rPr>
        <w:t xml:space="preserve">limits. </w:t>
      </w:r>
    </w:p>
    <w:p w14:paraId="178CE9B4" w14:textId="77777777" w:rsidR="009E3814" w:rsidRPr="00472578" w:rsidRDefault="009E3814" w:rsidP="00E92686">
      <w:pPr>
        <w:pStyle w:val="Heading4"/>
        <w:jc w:val="both"/>
        <w:rPr>
          <w:b w:val="0"/>
          <w:iCs w:val="0"/>
        </w:rPr>
      </w:pPr>
      <w:r w:rsidRPr="00472578">
        <w:t>Anticipated environmental outcomes</w:t>
      </w:r>
    </w:p>
    <w:p w14:paraId="10D7538F" w14:textId="7C6276B8" w:rsidR="00012977" w:rsidRPr="00472578" w:rsidRDefault="009E3814" w:rsidP="00E92686">
      <w:pPr>
        <w:ind w:left="2268" w:hanging="2268"/>
        <w:jc w:val="both"/>
      </w:pPr>
      <w:r w:rsidRPr="00472578">
        <w:rPr>
          <w:rFonts w:ascii="Calibri" w:eastAsia="Calibri" w:hAnsi="Calibri" w:cs="Times New Roman"/>
          <w:b/>
          <w:color w:val="1F3864" w:themeColor="accent1" w:themeShade="80"/>
        </w:rPr>
        <w:t>LF-VM-AER3</w:t>
      </w:r>
      <w:r w:rsidRPr="00472578">
        <w:rPr>
          <w:rFonts w:ascii="Calibri" w:eastAsia="Calibri" w:hAnsi="Calibri" w:cs="Times New Roman"/>
          <w:b/>
        </w:rPr>
        <w:tab/>
      </w:r>
      <w:r w:rsidRPr="00472578">
        <w:rPr>
          <w:rFonts w:ascii="Calibri" w:eastAsia="Calibri" w:hAnsi="Calibri" w:cs="Times New Roman"/>
        </w:rPr>
        <w:t xml:space="preserve">The </w:t>
      </w:r>
      <w:proofErr w:type="gramStart"/>
      <w:r w:rsidRPr="00472578">
        <w:rPr>
          <w:rFonts w:ascii="Calibri" w:eastAsia="Calibri" w:hAnsi="Calibri" w:cs="Times New Roman"/>
          <w:i/>
        </w:rPr>
        <w:t>fresh water</w:t>
      </w:r>
      <w:proofErr w:type="gramEnd"/>
      <w:r w:rsidRPr="00472578">
        <w:rPr>
          <w:rFonts w:ascii="Calibri" w:eastAsia="Calibri" w:hAnsi="Calibri" w:cs="Times New Roman"/>
        </w:rPr>
        <w:t xml:space="preserve"> visions in this section </w:t>
      </w:r>
      <w:r w:rsidRPr="00472578">
        <w:rPr>
          <w:strike/>
        </w:rPr>
        <w:t>underpin Otago’s planning framework</w:t>
      </w:r>
      <w:r w:rsidRPr="00472578">
        <w:t xml:space="preserve"> </w:t>
      </w:r>
      <w:r w:rsidRPr="00472578">
        <w:rPr>
          <w:u w:val="single"/>
        </w:rPr>
        <w:t>implement Te Mana o Te Wai according to the particular characteristics of freshwater management units and rohe</w:t>
      </w:r>
      <w:r w:rsidRPr="00472578">
        <w:t>,</w:t>
      </w:r>
      <w:r w:rsidRPr="00472578">
        <w:rPr>
          <w:vertAlign w:val="superscript"/>
        </w:rPr>
        <w:footnoteReference w:id="849"/>
      </w:r>
      <w:r w:rsidRPr="00472578">
        <w:t xml:space="preserve"> and</w:t>
      </w:r>
      <w:r w:rsidRPr="00472578">
        <w:rPr>
          <w:rFonts w:ascii="Calibri" w:eastAsia="Calibri" w:hAnsi="Calibri" w:cs="Times New Roman"/>
        </w:rPr>
        <w:t xml:space="preserve"> the outcomes they seek are achieved within the timeframes specified.</w:t>
      </w:r>
    </w:p>
    <w:p w14:paraId="24465047" w14:textId="38827ED6" w:rsidR="00012977" w:rsidRPr="00472578" w:rsidRDefault="00012977" w:rsidP="00E92686">
      <w:pPr>
        <w:jc w:val="both"/>
      </w:pPr>
      <w:r w:rsidRPr="00472578">
        <w:br w:type="page"/>
      </w:r>
    </w:p>
    <w:p w14:paraId="1EF96555" w14:textId="77777777" w:rsidR="000419F6" w:rsidRPr="00472578" w:rsidRDefault="000419F6" w:rsidP="00E92686">
      <w:pPr>
        <w:keepNext/>
        <w:keepLines/>
        <w:spacing w:before="480" w:line="240" w:lineRule="auto"/>
        <w:jc w:val="both"/>
        <w:outlineLvl w:val="2"/>
        <w:rPr>
          <w:rFonts w:eastAsiaTheme="majorEastAsia" w:cstheme="majorBidi"/>
          <w:b/>
          <w:color w:val="1F3864" w:themeColor="accent1" w:themeShade="80"/>
          <w:sz w:val="28"/>
          <w:szCs w:val="24"/>
        </w:rPr>
      </w:pPr>
      <w:r w:rsidRPr="00472578">
        <w:rPr>
          <w:rFonts w:eastAsiaTheme="majorEastAsia" w:cstheme="majorBidi"/>
          <w:b/>
          <w:color w:val="1F3864" w:themeColor="accent1" w:themeShade="80"/>
          <w:sz w:val="28"/>
          <w:szCs w:val="24"/>
        </w:rPr>
        <w:lastRenderedPageBreak/>
        <w:t xml:space="preserve">LF-FW – </w:t>
      </w:r>
      <w:r w:rsidRPr="00472578">
        <w:rPr>
          <w:rFonts w:eastAsiaTheme="majorEastAsia" w:cstheme="majorBidi"/>
          <w:b/>
          <w:i/>
          <w:iCs/>
          <w:color w:val="1F3864" w:themeColor="accent1" w:themeShade="80"/>
          <w:sz w:val="28"/>
          <w:szCs w:val="24"/>
        </w:rPr>
        <w:t>Fresh water</w:t>
      </w:r>
    </w:p>
    <w:p w14:paraId="60B1277F" w14:textId="77777777" w:rsidR="000419F6" w:rsidRPr="00472578" w:rsidRDefault="000419F6" w:rsidP="00E92686">
      <w:pPr>
        <w:keepNext/>
        <w:keepLines/>
        <w:spacing w:before="360" w:line="240" w:lineRule="auto"/>
        <w:jc w:val="both"/>
        <w:outlineLvl w:val="3"/>
        <w:rPr>
          <w:rFonts w:eastAsiaTheme="majorEastAsia" w:cstheme="majorBidi"/>
          <w:b/>
          <w:iCs/>
          <w:color w:val="1F3864" w:themeColor="accent1" w:themeShade="80"/>
          <w:sz w:val="24"/>
        </w:rPr>
      </w:pPr>
      <w:r w:rsidRPr="00472578">
        <w:rPr>
          <w:rFonts w:eastAsiaTheme="majorEastAsia" w:cstheme="majorBidi"/>
          <w:b/>
          <w:iCs/>
          <w:color w:val="1F3864" w:themeColor="accent1" w:themeShade="80"/>
          <w:sz w:val="24"/>
        </w:rPr>
        <w:t>Objectives</w:t>
      </w:r>
    </w:p>
    <w:p w14:paraId="07452721" w14:textId="77777777" w:rsidR="000419F6" w:rsidRPr="00014A86" w:rsidRDefault="000419F6" w:rsidP="00A97B5F">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014A86">
        <w:rPr>
          <w:rFonts w:ascii="Calibri" w:eastAsia="Calibri" w:hAnsi="Calibri" w:cs="Times New Roman"/>
          <w:b/>
          <w:color w:val="1F3864" w:themeColor="accent1" w:themeShade="80"/>
        </w:rPr>
        <w:t>LF</w:t>
      </w:r>
      <w:r w:rsidRPr="00472578">
        <w:rPr>
          <w:rFonts w:ascii="Calibri" w:eastAsia="Calibri" w:hAnsi="Calibri" w:cs="Times New Roman"/>
          <w:b/>
          <w:color w:val="1F3864" w:themeColor="accent1" w:themeShade="80"/>
        </w:rPr>
        <w:t xml:space="preserve">-FW-O8 – </w:t>
      </w:r>
      <w:r w:rsidRPr="00472578">
        <w:rPr>
          <w:rFonts w:ascii="Calibri" w:eastAsia="Calibri" w:hAnsi="Calibri" w:cs="Times New Roman"/>
          <w:b/>
          <w:i/>
          <w:color w:val="1F3864" w:themeColor="accent1" w:themeShade="80"/>
        </w:rPr>
        <w:t>Fresh water</w:t>
      </w:r>
    </w:p>
    <w:p w14:paraId="02FAD75D" w14:textId="77777777" w:rsidR="000419F6" w:rsidRPr="00472578" w:rsidRDefault="000419F6" w:rsidP="00107EEA">
      <w:r w:rsidRPr="00472578">
        <w:t xml:space="preserve">In Otago’s </w:t>
      </w:r>
      <w:r w:rsidRPr="00EA69E0">
        <w:rPr>
          <w:i/>
          <w:iCs/>
        </w:rPr>
        <w:t xml:space="preserve">water bodies </w:t>
      </w:r>
      <w:r w:rsidRPr="00472578">
        <w:t>and their catchments:</w:t>
      </w:r>
    </w:p>
    <w:p w14:paraId="6C24AB01" w14:textId="65E4F9DF" w:rsidR="000419F6" w:rsidRPr="00472578" w:rsidRDefault="000419F6" w:rsidP="00107EEA">
      <w:pPr>
        <w:ind w:left="720" w:hanging="720"/>
        <w:rPr>
          <w:rFonts w:eastAsia="National-Book" w:cs="Times New Roman"/>
        </w:rPr>
      </w:pPr>
      <w:r w:rsidRPr="00472578">
        <w:t>(1)</w:t>
      </w:r>
      <w:r w:rsidRPr="00472578">
        <w:tab/>
        <w:t xml:space="preserve">the </w:t>
      </w:r>
      <w:r w:rsidRPr="00472578">
        <w:rPr>
          <w:rFonts w:eastAsia="National-Book" w:cs="Times New Roman"/>
        </w:rPr>
        <w:t>health of the wai supports the health of the people and thriving</w:t>
      </w:r>
      <w:r w:rsidR="004B700D">
        <w:rPr>
          <w:rFonts w:eastAsia="National-Book" w:cs="Times New Roman"/>
        </w:rPr>
        <w:t xml:space="preserve"> </w:t>
      </w:r>
      <w:r w:rsidR="004B700D" w:rsidRPr="004B700D">
        <w:rPr>
          <w:rFonts w:eastAsia="National-Book" w:cs="Times New Roman"/>
          <w:strike/>
        </w:rPr>
        <w:t>mahika kai</w:t>
      </w:r>
      <w:r w:rsidRPr="00472578">
        <w:rPr>
          <w:rFonts w:eastAsia="National-Book" w:cs="Times New Roman"/>
        </w:rPr>
        <w:t xml:space="preserve"> </w:t>
      </w:r>
      <w:r w:rsidR="00A00191" w:rsidRPr="004B700D">
        <w:rPr>
          <w:i/>
          <w:iCs/>
          <w:u w:val="single"/>
        </w:rPr>
        <w:t>mahika kai</w:t>
      </w:r>
      <w:r w:rsidR="004B700D" w:rsidRPr="004B700D">
        <w:t>,</w:t>
      </w:r>
      <w:r w:rsidR="00A00191">
        <w:rPr>
          <w:rStyle w:val="FootnoteReference"/>
        </w:rPr>
        <w:footnoteReference w:id="850"/>
      </w:r>
    </w:p>
    <w:p w14:paraId="55C12340" w14:textId="77777777" w:rsidR="000419F6" w:rsidRPr="00472578" w:rsidRDefault="000419F6" w:rsidP="00107EEA">
      <w:pPr>
        <w:ind w:left="720" w:hanging="720"/>
        <w:rPr>
          <w:rFonts w:eastAsia="National-Book" w:cs="Times New Roman"/>
        </w:rPr>
      </w:pPr>
      <w:r w:rsidRPr="00472578">
        <w:rPr>
          <w:rFonts w:eastAsia="National-Book" w:cs="Times New Roman"/>
        </w:rPr>
        <w:t>(2)</w:t>
      </w:r>
      <w:r w:rsidRPr="00472578">
        <w:rPr>
          <w:rFonts w:eastAsia="National-Book" w:cs="Times New Roman"/>
        </w:rPr>
        <w:tab/>
      </w:r>
      <w:r w:rsidRPr="00EA69E0">
        <w:rPr>
          <w:rFonts w:eastAsia="National-Book"/>
          <w:i/>
          <w:iCs/>
          <w:strike/>
        </w:rPr>
        <w:t>water</w:t>
      </w:r>
      <w:r w:rsidRPr="00EA69E0">
        <w:rPr>
          <w:rFonts w:eastAsia="National-Book" w:cs="Times New Roman"/>
          <w:i/>
          <w:iCs/>
          <w:strike/>
        </w:rPr>
        <w:t xml:space="preserve"> </w:t>
      </w:r>
      <w:r w:rsidRPr="00472578">
        <w:rPr>
          <w:rFonts w:eastAsia="National-Book" w:cs="Times New Roman"/>
          <w:strike/>
        </w:rPr>
        <w:t>flow is continuous throughout the whole system,</w:t>
      </w:r>
      <w:r w:rsidRPr="00472578">
        <w:rPr>
          <w:rFonts w:eastAsia="National-Book" w:cs="Times New Roman"/>
        </w:rPr>
        <w:t xml:space="preserve"> </w:t>
      </w:r>
      <w:r w:rsidRPr="00472578">
        <w:rPr>
          <w:rFonts w:eastAsia="National-Book" w:cs="Times New Roman"/>
          <w:u w:val="single"/>
        </w:rPr>
        <w:t xml:space="preserve">within catchments (ki uta ki tai), artificial interruption of </w:t>
      </w:r>
      <w:r w:rsidRPr="00EA69E0">
        <w:rPr>
          <w:rFonts w:eastAsia="National-Book" w:cs="Times New Roman"/>
          <w:i/>
          <w:iCs/>
          <w:u w:val="single"/>
        </w:rPr>
        <w:t>water</w:t>
      </w:r>
      <w:r w:rsidRPr="00472578">
        <w:rPr>
          <w:rFonts w:eastAsia="National-Book" w:cs="Times New Roman"/>
          <w:u w:val="single"/>
        </w:rPr>
        <w:t xml:space="preserve"> flow is minimised to the smallest degree reasonably practicable,</w:t>
      </w:r>
      <w:r w:rsidRPr="00472578">
        <w:rPr>
          <w:vertAlign w:val="superscript"/>
        </w:rPr>
        <w:footnoteReference w:id="851"/>
      </w:r>
    </w:p>
    <w:p w14:paraId="6D722F94" w14:textId="77777777" w:rsidR="000419F6" w:rsidRPr="00472578" w:rsidRDefault="000419F6" w:rsidP="00107EEA">
      <w:pPr>
        <w:rPr>
          <w:rFonts w:eastAsia="National-Book" w:cs="Times New Roman"/>
        </w:rPr>
      </w:pPr>
      <w:r w:rsidRPr="00472578">
        <w:rPr>
          <w:rFonts w:eastAsia="National-Book" w:cs="Times New Roman"/>
        </w:rPr>
        <w:t>(3)</w:t>
      </w:r>
      <w:r w:rsidRPr="00472578">
        <w:rPr>
          <w:rFonts w:eastAsia="National-Book" w:cs="Times New Roman"/>
        </w:rPr>
        <w:tab/>
        <w:t xml:space="preserve">the interconnection of </w:t>
      </w:r>
      <w:r w:rsidRPr="00EA69E0">
        <w:rPr>
          <w:rFonts w:eastAsia="National-Book"/>
          <w:i/>
          <w:iCs/>
        </w:rPr>
        <w:t>fresh water</w:t>
      </w:r>
      <w:r w:rsidRPr="00472578">
        <w:rPr>
          <w:rFonts w:eastAsia="National-Book" w:cs="Times New Roman"/>
        </w:rPr>
        <w:t xml:space="preserve"> (including </w:t>
      </w:r>
      <w:r w:rsidRPr="00EA69E0">
        <w:rPr>
          <w:rFonts w:eastAsia="National-Book"/>
          <w:i/>
          <w:iCs/>
        </w:rPr>
        <w:t>groundwater</w:t>
      </w:r>
      <w:r w:rsidRPr="00472578">
        <w:rPr>
          <w:rFonts w:eastAsia="National-Book" w:cs="Times New Roman"/>
        </w:rPr>
        <w:t xml:space="preserve">) and </w:t>
      </w:r>
      <w:r w:rsidRPr="00EA69E0">
        <w:rPr>
          <w:rFonts w:eastAsia="National-Book"/>
          <w:i/>
          <w:iCs/>
        </w:rPr>
        <w:t>coastal waters</w:t>
      </w:r>
      <w:r w:rsidRPr="00472578">
        <w:rPr>
          <w:rFonts w:eastAsia="National-Book" w:cs="Times New Roman"/>
        </w:rPr>
        <w:t xml:space="preserve"> is recognised, </w:t>
      </w:r>
    </w:p>
    <w:p w14:paraId="50983F18" w14:textId="29D288C8" w:rsidR="000419F6" w:rsidRPr="00472578" w:rsidRDefault="000419F6" w:rsidP="00107EEA">
      <w:pPr>
        <w:ind w:left="720" w:hanging="720"/>
      </w:pPr>
      <w:r w:rsidRPr="00472578">
        <w:rPr>
          <w:rFonts w:eastAsia="National-Book" w:cs="Times New Roman"/>
        </w:rPr>
        <w:t>(4)</w:t>
      </w:r>
      <w:r w:rsidRPr="00472578">
        <w:rPr>
          <w:rFonts w:eastAsia="National-Book" w:cs="Times New Roman"/>
        </w:rPr>
        <w:tab/>
      </w:r>
      <w:r w:rsidRPr="00472578">
        <w:rPr>
          <w:rFonts w:eastAsia="National-Book" w:cs="Times New Roman"/>
          <w:strike/>
        </w:rPr>
        <w:t>native</w:t>
      </w:r>
      <w:r w:rsidR="00FF7FCE" w:rsidRPr="00472578">
        <w:rPr>
          <w:rStyle w:val="FootnoteReference"/>
        </w:rPr>
        <w:footnoteReference w:id="852"/>
      </w:r>
      <w:r w:rsidRPr="00472578">
        <w:rPr>
          <w:rFonts w:eastAsia="National-Book" w:cs="Times New Roman"/>
        </w:rPr>
        <w:t xml:space="preserve"> fish can migrate easily and as naturally as possible and taoka species and their habitats are protected </w:t>
      </w:r>
      <w:r w:rsidRPr="00472578">
        <w:rPr>
          <w:rFonts w:eastAsia="National-Book" w:cs="Times New Roman"/>
          <w:u w:val="single"/>
        </w:rPr>
        <w:t>and sustained</w:t>
      </w:r>
      <w:r w:rsidRPr="00472578">
        <w:rPr>
          <w:rFonts w:eastAsia="National-Book" w:cs="Times New Roman"/>
        </w:rPr>
        <w:t>,</w:t>
      </w:r>
      <w:r w:rsidRPr="00472578">
        <w:rPr>
          <w:rStyle w:val="FootnoteReference"/>
          <w:rFonts w:eastAsia="National-Book" w:cs="Times New Roman"/>
        </w:rPr>
        <w:footnoteReference w:id="853"/>
      </w:r>
      <w:r w:rsidRPr="00472578">
        <w:rPr>
          <w:rFonts w:eastAsia="National-Book" w:cs="Times New Roman"/>
        </w:rPr>
        <w:t xml:space="preserve"> and</w:t>
      </w:r>
    </w:p>
    <w:p w14:paraId="7BB95F25" w14:textId="77777777" w:rsidR="000419F6" w:rsidRPr="00472578" w:rsidRDefault="000419F6" w:rsidP="00107EEA">
      <w:pPr>
        <w:ind w:left="720" w:hanging="720"/>
      </w:pPr>
      <w:r w:rsidRPr="00472578">
        <w:t>(5)</w:t>
      </w:r>
      <w:r w:rsidRPr="00472578">
        <w:tab/>
        <w:t xml:space="preserve">the </w:t>
      </w:r>
      <w:r w:rsidRPr="00472578">
        <w:rPr>
          <w:rFonts w:eastAsia="National-Book" w:cs="Times New Roman"/>
        </w:rPr>
        <w:t>significant</w:t>
      </w:r>
      <w:r w:rsidRPr="00472578">
        <w:t xml:space="preserve"> and outstanding values of Otago’s </w:t>
      </w:r>
      <w:r w:rsidRPr="00EA69E0">
        <w:rPr>
          <w:i/>
          <w:iCs/>
        </w:rPr>
        <w:t>outstanding water bodies</w:t>
      </w:r>
      <w:r w:rsidRPr="00472578">
        <w:t xml:space="preserve"> are identified and protected.</w:t>
      </w:r>
    </w:p>
    <w:p w14:paraId="11841012"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bookmarkStart w:id="161" w:name="_Hlk98762666"/>
      <w:r w:rsidRPr="00472578">
        <w:rPr>
          <w:rFonts w:ascii="Calibri" w:eastAsia="Calibri" w:hAnsi="Calibri" w:cs="Times New Roman"/>
          <w:b/>
          <w:color w:val="1F3864" w:themeColor="accent1" w:themeShade="80"/>
        </w:rPr>
        <w:t xml:space="preserve">LF-FW-O9 – </w:t>
      </w:r>
      <w:r w:rsidRPr="00472578">
        <w:rPr>
          <w:rFonts w:ascii="Calibri" w:eastAsia="Calibri" w:hAnsi="Calibri" w:cs="Times New Roman"/>
          <w:b/>
          <w:i/>
          <w:color w:val="1F3864" w:themeColor="accent1" w:themeShade="80"/>
        </w:rPr>
        <w:t>Natural wetlands</w:t>
      </w:r>
    </w:p>
    <w:bookmarkEnd w:id="161"/>
    <w:p w14:paraId="12693F4F" w14:textId="77777777" w:rsidR="000419F6" w:rsidRPr="00472578" w:rsidRDefault="000419F6" w:rsidP="00E92686">
      <w:pPr>
        <w:spacing w:line="240" w:lineRule="auto"/>
        <w:jc w:val="both"/>
        <w:rPr>
          <w:rFonts w:ascii="Calibri" w:hAnsi="Calibri" w:cs="Calibri"/>
        </w:rPr>
      </w:pPr>
      <w:r w:rsidRPr="00472578">
        <w:rPr>
          <w:rFonts w:ascii="Calibri" w:hAnsi="Calibri" w:cs="Calibri"/>
        </w:rPr>
        <w:t xml:space="preserve">Otago’s </w:t>
      </w:r>
      <w:r w:rsidRPr="00472578">
        <w:rPr>
          <w:rFonts w:ascii="Calibri" w:hAnsi="Calibri" w:cs="Calibri"/>
          <w:i/>
        </w:rPr>
        <w:t>natural wetlands</w:t>
      </w:r>
      <w:r w:rsidRPr="00472578">
        <w:rPr>
          <w:rFonts w:ascii="Calibri" w:hAnsi="Calibri" w:cs="Calibri"/>
        </w:rPr>
        <w:t xml:space="preserve"> are protected or restored so that:</w:t>
      </w:r>
    </w:p>
    <w:p w14:paraId="6AAE7916" w14:textId="63C90D6E" w:rsidR="000419F6" w:rsidRPr="00472578" w:rsidRDefault="000419F6"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r>
      <w:r w:rsidRPr="009C237D">
        <w:rPr>
          <w:strike/>
        </w:rPr>
        <w:t>mahika kai</w:t>
      </w:r>
      <w:r w:rsidRPr="00472578">
        <w:t xml:space="preserve"> </w:t>
      </w:r>
      <w:r w:rsidR="00A00191" w:rsidRPr="004B700D">
        <w:rPr>
          <w:i/>
          <w:iCs/>
          <w:u w:val="single"/>
        </w:rPr>
        <w:t>mahika kai</w:t>
      </w:r>
      <w:r w:rsidR="00A00191">
        <w:rPr>
          <w:rStyle w:val="FootnoteReference"/>
        </w:rPr>
        <w:footnoteReference w:id="854"/>
      </w:r>
      <w:r w:rsidR="00A00191" w:rsidRPr="00472578">
        <w:rPr>
          <w:iCs/>
        </w:rPr>
        <w:t xml:space="preserve"> </w:t>
      </w:r>
      <w:r w:rsidRPr="00472578">
        <w:rPr>
          <w:rFonts w:eastAsia="National-Book" w:cs="Times New Roman"/>
        </w:rPr>
        <w:t xml:space="preserve">and other </w:t>
      </w:r>
      <w:r w:rsidRPr="00472578">
        <w:rPr>
          <w:rFonts w:eastAsia="National-Book" w:cs="Times New Roman"/>
          <w:i/>
        </w:rPr>
        <w:t>mana whenua</w:t>
      </w:r>
      <w:r w:rsidRPr="00472578">
        <w:rPr>
          <w:rFonts w:eastAsia="National-Book" w:cs="Times New Roman"/>
        </w:rPr>
        <w:t xml:space="preserve"> values are sustained and enhanced now and for future generations,</w:t>
      </w:r>
    </w:p>
    <w:p w14:paraId="42683475" w14:textId="77777777" w:rsidR="000419F6" w:rsidRPr="00472578" w:rsidRDefault="000419F6"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there is </w:t>
      </w:r>
      <w:r w:rsidRPr="00472578">
        <w:rPr>
          <w:rFonts w:eastAsia="National-Book" w:cs="Times New Roman"/>
          <w:strike/>
        </w:rPr>
        <w:t>no</w:t>
      </w:r>
      <w:r w:rsidRPr="00472578">
        <w:rPr>
          <w:rFonts w:eastAsia="National-Book" w:cs="Times New Roman"/>
        </w:rPr>
        <w:t xml:space="preserve"> </w:t>
      </w:r>
      <w:r w:rsidRPr="00472578">
        <w:rPr>
          <w:rFonts w:eastAsia="National-Book" w:cs="Times New Roman"/>
          <w:u w:val="single"/>
        </w:rPr>
        <w:t>minimal</w:t>
      </w:r>
      <w:r w:rsidRPr="639E38F9">
        <w:rPr>
          <w:rStyle w:val="FootnoteReference"/>
          <w:rFonts w:eastAsia="Calibri"/>
        </w:rPr>
        <w:footnoteReference w:id="855"/>
      </w:r>
      <w:r w:rsidRPr="00472578">
        <w:rPr>
          <w:rFonts w:eastAsia="National-Book" w:cs="Times New Roman"/>
        </w:rPr>
        <w:t xml:space="preserve"> decrease in the </w:t>
      </w:r>
      <w:r w:rsidRPr="00472578">
        <w:rPr>
          <w:rFonts w:eastAsia="National-Book" w:cs="Times New Roman"/>
          <w:strike/>
        </w:rPr>
        <w:t>range</w:t>
      </w:r>
      <w:r w:rsidRPr="00472578">
        <w:rPr>
          <w:rFonts w:eastAsia="National-Book" w:cs="Times New Roman"/>
        </w:rPr>
        <w:t xml:space="preserve"> </w:t>
      </w:r>
      <w:r w:rsidRPr="00472578">
        <w:rPr>
          <w:rFonts w:eastAsia="National-Book" w:cs="Times New Roman"/>
          <w:u w:val="single"/>
        </w:rPr>
        <w:t>extent</w:t>
      </w:r>
      <w:r w:rsidRPr="00472578">
        <w:rPr>
          <w:rStyle w:val="FootnoteReference"/>
          <w:rFonts w:eastAsia="National-Book" w:cs="Times New Roman"/>
        </w:rPr>
        <w:footnoteReference w:id="856"/>
      </w:r>
      <w:r w:rsidRPr="00472578">
        <w:rPr>
          <w:rFonts w:eastAsia="National-Book" w:cs="Times New Roman"/>
        </w:rPr>
        <w:t xml:space="preserve"> and diversity of indigenous ecosystem types and habitats in </w:t>
      </w:r>
      <w:r w:rsidRPr="00472578">
        <w:rPr>
          <w:rFonts w:eastAsia="National-Book" w:cs="Times New Roman"/>
          <w:i/>
        </w:rPr>
        <w:t>natural wetlands</w:t>
      </w:r>
      <w:r w:rsidRPr="00472578">
        <w:rPr>
          <w:rFonts w:eastAsia="National-Book" w:cs="Times New Roman"/>
        </w:rPr>
        <w:t xml:space="preserve">, </w:t>
      </w:r>
    </w:p>
    <w:p w14:paraId="32B142D3" w14:textId="77777777" w:rsidR="000419F6" w:rsidRPr="00472578" w:rsidRDefault="000419F6"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 xml:space="preserve">there is </w:t>
      </w:r>
      <w:r w:rsidRPr="00472578">
        <w:rPr>
          <w:rFonts w:eastAsia="National-Book" w:cs="Times New Roman"/>
          <w:strike/>
        </w:rPr>
        <w:t>no</w:t>
      </w:r>
      <w:r w:rsidRPr="00472578">
        <w:rPr>
          <w:rFonts w:eastAsia="National-Book" w:cs="Times New Roman"/>
        </w:rPr>
        <w:t xml:space="preserve"> </w:t>
      </w:r>
      <w:r w:rsidRPr="00472578">
        <w:rPr>
          <w:rFonts w:eastAsia="National-Book" w:cs="Times New Roman"/>
          <w:u w:val="single"/>
        </w:rPr>
        <w:t>minimal</w:t>
      </w:r>
      <w:r w:rsidRPr="639E38F9">
        <w:rPr>
          <w:rStyle w:val="FootnoteReference"/>
          <w:rFonts w:eastAsia="Calibri"/>
        </w:rPr>
        <w:footnoteReference w:id="857"/>
      </w:r>
      <w:r w:rsidRPr="00472578">
        <w:rPr>
          <w:rFonts w:eastAsia="National-Book" w:cs="Times New Roman"/>
        </w:rPr>
        <w:t xml:space="preserve"> reduction in their ecosystem health, hydrological functioning, </w:t>
      </w:r>
      <w:r w:rsidRPr="00472578">
        <w:rPr>
          <w:rFonts w:eastAsia="National-Book" w:cs="Times New Roman"/>
          <w:i/>
        </w:rPr>
        <w:t>amenity values</w:t>
      </w:r>
      <w:r w:rsidRPr="00472578">
        <w:rPr>
          <w:rFonts w:eastAsia="National-Book" w:cs="Times New Roman"/>
        </w:rPr>
        <w:t xml:space="preserve">, </w:t>
      </w:r>
      <w:proofErr w:type="gramStart"/>
      <w:r w:rsidRPr="00472578">
        <w:rPr>
          <w:rFonts w:eastAsia="National-Book" w:cs="Times New Roman"/>
        </w:rPr>
        <w:t>extent</w:t>
      </w:r>
      <w:proofErr w:type="gramEnd"/>
      <w:r w:rsidRPr="00472578">
        <w:rPr>
          <w:rFonts w:eastAsia="National-Book" w:cs="Times New Roman"/>
        </w:rPr>
        <w:t xml:space="preserve"> or </w:t>
      </w:r>
      <w:r w:rsidRPr="00472578">
        <w:rPr>
          <w:rFonts w:eastAsia="National-Book" w:cs="Times New Roman"/>
          <w:i/>
        </w:rPr>
        <w:t>water</w:t>
      </w:r>
      <w:r w:rsidRPr="00472578">
        <w:rPr>
          <w:rFonts w:eastAsia="National-Book" w:cs="Times New Roman"/>
        </w:rPr>
        <w:t xml:space="preserve"> quality, and if </w:t>
      </w:r>
      <w:r w:rsidRPr="00472578">
        <w:rPr>
          <w:rFonts w:eastAsia="National-Book" w:cs="Times New Roman"/>
          <w:u w:val="single"/>
        </w:rPr>
        <w:t>these have been</w:t>
      </w:r>
      <w:r w:rsidRPr="639E38F9">
        <w:rPr>
          <w:rStyle w:val="FootnoteReference"/>
          <w:rFonts w:eastAsia="Calibri"/>
        </w:rPr>
        <w:footnoteReference w:id="858"/>
      </w:r>
      <w:r w:rsidRPr="00472578">
        <w:rPr>
          <w:rFonts w:eastAsia="National-Book" w:cs="Times New Roman"/>
        </w:rPr>
        <w:t xml:space="preserve"> degraded they are improved, and</w:t>
      </w:r>
    </w:p>
    <w:p w14:paraId="555D55B8" w14:textId="77777777" w:rsidR="000419F6" w:rsidRPr="00472578" w:rsidRDefault="000419F6" w:rsidP="00E92686">
      <w:pPr>
        <w:ind w:left="567" w:hanging="567"/>
        <w:jc w:val="both"/>
        <w:rPr>
          <w:rFonts w:eastAsia="National-Book" w:cs="Times New Roman"/>
        </w:rPr>
      </w:pPr>
      <w:r w:rsidRPr="00472578">
        <w:rPr>
          <w:rFonts w:eastAsia="National-Book" w:cs="Times New Roman"/>
        </w:rPr>
        <w:t>(4)</w:t>
      </w:r>
      <w:r w:rsidRPr="00472578">
        <w:rPr>
          <w:rFonts w:eastAsia="National-Book" w:cs="Times New Roman"/>
        </w:rPr>
        <w:tab/>
        <w:t xml:space="preserve">their flood attenuation </w:t>
      </w:r>
      <w:r w:rsidRPr="00472578">
        <w:rPr>
          <w:rFonts w:eastAsia="National-Book" w:cs="Times New Roman"/>
          <w:u w:val="single"/>
        </w:rPr>
        <w:t xml:space="preserve">and </w:t>
      </w:r>
      <w:r w:rsidRPr="00A27B79">
        <w:rPr>
          <w:rFonts w:eastAsia="National-Book" w:cs="Times New Roman"/>
          <w:i/>
          <w:iCs/>
          <w:u w:val="single"/>
        </w:rPr>
        <w:t>water</w:t>
      </w:r>
      <w:r w:rsidRPr="00472578">
        <w:rPr>
          <w:rFonts w:eastAsia="National-Book" w:cs="Times New Roman"/>
          <w:u w:val="single"/>
        </w:rPr>
        <w:t xml:space="preserve"> storage</w:t>
      </w:r>
      <w:r w:rsidRPr="639E38F9">
        <w:rPr>
          <w:rStyle w:val="FootnoteReference"/>
          <w:rFonts w:eastAsia="Calibri"/>
        </w:rPr>
        <w:footnoteReference w:id="859"/>
      </w:r>
      <w:r w:rsidRPr="00472578">
        <w:rPr>
          <w:rFonts w:eastAsia="National-Book" w:cs="Times New Roman"/>
        </w:rPr>
        <w:t xml:space="preserve"> capacity is maintained.</w:t>
      </w:r>
    </w:p>
    <w:p w14:paraId="78AE4F1A"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LF-FW-O10 – Natural character</w:t>
      </w:r>
    </w:p>
    <w:p w14:paraId="521DA1CA" w14:textId="77777777" w:rsidR="000419F6" w:rsidRPr="00472578" w:rsidRDefault="000419F6" w:rsidP="00E92686">
      <w:pPr>
        <w:jc w:val="both"/>
      </w:pPr>
      <w:r w:rsidRPr="00472578">
        <w:t xml:space="preserve">The natural character of </w:t>
      </w:r>
      <w:r w:rsidRPr="00472578">
        <w:rPr>
          <w:i/>
        </w:rPr>
        <w:t xml:space="preserve">wetlands, lakes </w:t>
      </w:r>
      <w:r w:rsidRPr="00472578">
        <w:t>and</w:t>
      </w:r>
      <w:r w:rsidRPr="00472578">
        <w:rPr>
          <w:i/>
        </w:rPr>
        <w:t xml:space="preserve"> rivers</w:t>
      </w:r>
      <w:r w:rsidRPr="00472578">
        <w:t xml:space="preserve"> and their margins is preserved and protected from inappropriate subdivision, use and development.</w:t>
      </w:r>
    </w:p>
    <w:p w14:paraId="55D49A46" w14:textId="77777777" w:rsidR="000419F6" w:rsidRPr="00472578" w:rsidRDefault="000419F6" w:rsidP="00E92686">
      <w:pPr>
        <w:keepNext/>
        <w:keepLines/>
        <w:spacing w:before="360" w:line="240" w:lineRule="auto"/>
        <w:jc w:val="both"/>
        <w:outlineLvl w:val="3"/>
        <w:rPr>
          <w:rFonts w:eastAsiaTheme="majorEastAsia" w:cstheme="majorBidi"/>
          <w:b/>
          <w:iCs/>
          <w:color w:val="1F3864" w:themeColor="accent1" w:themeShade="80"/>
          <w:sz w:val="24"/>
        </w:rPr>
      </w:pPr>
      <w:r w:rsidRPr="00472578">
        <w:rPr>
          <w:rFonts w:eastAsiaTheme="majorEastAsia" w:cstheme="majorBidi"/>
          <w:b/>
          <w:iCs/>
          <w:color w:val="1F3864" w:themeColor="accent1" w:themeShade="80"/>
          <w:sz w:val="24"/>
        </w:rPr>
        <w:lastRenderedPageBreak/>
        <w:t>Policies</w:t>
      </w:r>
    </w:p>
    <w:p w14:paraId="582F4BBD"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bookmarkStart w:id="162" w:name="_Hlk95326098"/>
      <w:r w:rsidRPr="00472578">
        <w:rPr>
          <w:rFonts w:ascii="Calibri" w:eastAsia="Calibri" w:hAnsi="Calibri" w:cs="Times New Roman"/>
          <w:b/>
          <w:color w:val="1F3864" w:themeColor="accent1" w:themeShade="80"/>
        </w:rPr>
        <w:t xml:space="preserve">LF-FW-P7 – </w:t>
      </w:r>
      <w:r w:rsidRPr="00472578">
        <w:rPr>
          <w:rFonts w:ascii="Calibri" w:eastAsia="Calibri" w:hAnsi="Calibri" w:cs="Times New Roman"/>
          <w:b/>
          <w:i/>
          <w:color w:val="1F3864" w:themeColor="accent1" w:themeShade="80"/>
        </w:rPr>
        <w:t>Fresh water</w:t>
      </w:r>
    </w:p>
    <w:p w14:paraId="29798979" w14:textId="4B040253" w:rsidR="000419F6" w:rsidRPr="00472578" w:rsidRDefault="000419F6" w:rsidP="00E92686">
      <w:pPr>
        <w:spacing w:before="240" w:line="240" w:lineRule="auto"/>
        <w:jc w:val="both"/>
        <w:rPr>
          <w:rFonts w:ascii="Calibri" w:eastAsia="Calibri" w:hAnsi="Calibri" w:cs="Times New Roman"/>
        </w:rPr>
      </w:pPr>
      <w:r w:rsidRPr="00472578">
        <w:rPr>
          <w:rFonts w:ascii="Calibri" w:eastAsia="Calibri" w:hAnsi="Calibri" w:cs="Calibri"/>
          <w:i/>
        </w:rPr>
        <w:t xml:space="preserve">Environmental outcomes, attribute </w:t>
      </w:r>
      <w:r w:rsidRPr="00472578">
        <w:rPr>
          <w:rFonts w:ascii="Calibri" w:eastAsia="Calibri" w:hAnsi="Calibri" w:cs="Calibri"/>
        </w:rPr>
        <w:t>states</w:t>
      </w:r>
      <w:r w:rsidRPr="00472578">
        <w:rPr>
          <w:rFonts w:ascii="Calibri" w:eastAsia="Calibri" w:hAnsi="Calibri" w:cs="Calibri"/>
          <w:i/>
        </w:rPr>
        <w:t xml:space="preserve"> </w:t>
      </w:r>
      <w:r w:rsidRPr="00472578">
        <w:rPr>
          <w:rFonts w:ascii="Calibri" w:eastAsia="Calibri" w:hAnsi="Calibri" w:cs="Calibri"/>
        </w:rPr>
        <w:t xml:space="preserve">(including target </w:t>
      </w:r>
      <w:r w:rsidRPr="00472578">
        <w:rPr>
          <w:rFonts w:ascii="Calibri" w:eastAsia="Calibri" w:hAnsi="Calibri" w:cs="Calibri"/>
          <w:i/>
        </w:rPr>
        <w:t xml:space="preserve">attribute </w:t>
      </w:r>
      <w:r w:rsidRPr="00472578">
        <w:rPr>
          <w:rFonts w:ascii="Calibri" w:eastAsia="Calibri" w:hAnsi="Calibri" w:cs="Calibri"/>
        </w:rPr>
        <w:t>states)</w:t>
      </w:r>
      <w:r w:rsidRPr="00472578">
        <w:rPr>
          <w:rFonts w:ascii="Calibri" w:eastAsia="Calibri" w:hAnsi="Calibri" w:cs="Calibri"/>
          <w:u w:val="single"/>
        </w:rPr>
        <w:t>, environmental flows and levels,</w:t>
      </w:r>
      <w:r w:rsidRPr="00472578">
        <w:rPr>
          <w:rStyle w:val="FootnoteReference"/>
          <w:rFonts w:ascii="Calibri" w:eastAsia="Calibri" w:hAnsi="Calibri" w:cs="Calibri"/>
        </w:rPr>
        <w:footnoteReference w:id="860"/>
      </w:r>
      <w:r w:rsidRPr="00472578">
        <w:rPr>
          <w:rFonts w:ascii="Calibri" w:eastAsia="Calibri" w:hAnsi="Calibri" w:cs="Calibri"/>
        </w:rPr>
        <w:t xml:space="preserve"> and </w:t>
      </w:r>
      <w:r w:rsidRPr="00472578">
        <w:rPr>
          <w:rFonts w:ascii="Calibri" w:eastAsia="Calibri" w:hAnsi="Calibri" w:cs="Calibri"/>
          <w:i/>
          <w:iCs/>
        </w:rPr>
        <w:t xml:space="preserve">limits </w:t>
      </w:r>
      <w:r w:rsidRPr="00472578">
        <w:rPr>
          <w:rFonts w:ascii="Calibri" w:eastAsia="Calibri" w:hAnsi="Calibri" w:cs="Calibri"/>
        </w:rPr>
        <w:t>ensure</w:t>
      </w:r>
      <w:r w:rsidRPr="00472578">
        <w:rPr>
          <w:rFonts w:ascii="Calibri" w:eastAsia="Calibri" w:hAnsi="Calibri" w:cs="Times New Roman"/>
        </w:rPr>
        <w:t xml:space="preserve"> that:</w:t>
      </w:r>
    </w:p>
    <w:p w14:paraId="369BAB71" w14:textId="77777777" w:rsidR="000419F6" w:rsidRPr="00472578" w:rsidRDefault="000419F6" w:rsidP="00E92686">
      <w:pPr>
        <w:ind w:left="567" w:hanging="567"/>
        <w:jc w:val="both"/>
      </w:pPr>
      <w:r w:rsidRPr="00472578">
        <w:t>(1)</w:t>
      </w:r>
      <w:r w:rsidRPr="00472578">
        <w:tab/>
        <w:t xml:space="preserve">the health and well-being of </w:t>
      </w:r>
      <w:r w:rsidRPr="00472578">
        <w:rPr>
          <w:i/>
          <w:iCs/>
        </w:rPr>
        <w:t>water bodies</w:t>
      </w:r>
      <w:r w:rsidRPr="00472578">
        <w:t xml:space="preserve"> is maintained or, if </w:t>
      </w:r>
      <w:r w:rsidRPr="00472578">
        <w:rPr>
          <w:i/>
          <w:iCs/>
        </w:rPr>
        <w:t xml:space="preserve">degraded, </w:t>
      </w:r>
      <w:r w:rsidRPr="00472578">
        <w:t>improved,</w:t>
      </w:r>
    </w:p>
    <w:p w14:paraId="0D0CE8A4" w14:textId="290D6DBB" w:rsidR="000419F6" w:rsidRPr="00472578" w:rsidRDefault="000419F6" w:rsidP="00E92686">
      <w:pPr>
        <w:ind w:left="567" w:hanging="567"/>
        <w:jc w:val="both"/>
      </w:pPr>
      <w:r w:rsidRPr="00472578">
        <w:t>(2)</w:t>
      </w:r>
      <w:r w:rsidRPr="00472578">
        <w:tab/>
        <w:t xml:space="preserve">the habitats of indigenous </w:t>
      </w:r>
      <w:r w:rsidRPr="00472578">
        <w:rPr>
          <w:u w:val="single"/>
        </w:rPr>
        <w:t>freshwater</w:t>
      </w:r>
      <w:r w:rsidRPr="00472578">
        <w:t xml:space="preserve"> species</w:t>
      </w:r>
      <w:r w:rsidR="00A44A84">
        <w:t xml:space="preserve"> </w:t>
      </w:r>
      <w:r w:rsidR="00A44A84">
        <w:rPr>
          <w:u w:val="single"/>
        </w:rPr>
        <w:t>(including migrat</w:t>
      </w:r>
      <w:r w:rsidR="009E2A13">
        <w:rPr>
          <w:u w:val="single"/>
        </w:rPr>
        <w:t>ory species)</w:t>
      </w:r>
      <w:r w:rsidRPr="00472578">
        <w:t xml:space="preserve"> </w:t>
      </w:r>
      <w:r w:rsidRPr="00472578">
        <w:rPr>
          <w:strike/>
        </w:rPr>
        <w:t xml:space="preserve">associated with </w:t>
      </w:r>
      <w:r w:rsidRPr="00472578">
        <w:rPr>
          <w:i/>
          <w:iCs/>
          <w:strike/>
        </w:rPr>
        <w:t>water bodies</w:t>
      </w:r>
      <w:r w:rsidRPr="00472578">
        <w:rPr>
          <w:rStyle w:val="FootnoteReference"/>
        </w:rPr>
        <w:footnoteReference w:id="861"/>
      </w:r>
      <w:r w:rsidRPr="00472578">
        <w:t xml:space="preserve"> are protected </w:t>
      </w:r>
      <w:r w:rsidRPr="00472578">
        <w:rPr>
          <w:u w:val="single"/>
        </w:rPr>
        <w:t>and sustained</w:t>
      </w:r>
      <w:r w:rsidRPr="00472578">
        <w:t>,</w:t>
      </w:r>
      <w:r w:rsidRPr="00472578">
        <w:rPr>
          <w:rStyle w:val="FootnoteReference"/>
        </w:rPr>
        <w:footnoteReference w:id="862"/>
      </w:r>
      <w:r w:rsidRPr="00472578">
        <w:t xml:space="preserve"> including by providing for fish passage,</w:t>
      </w:r>
    </w:p>
    <w:p w14:paraId="6311D89C" w14:textId="21991253" w:rsidR="00135633" w:rsidRPr="00472578" w:rsidRDefault="00135633" w:rsidP="00E92686">
      <w:pPr>
        <w:ind w:left="567" w:hanging="567"/>
        <w:jc w:val="both"/>
        <w:rPr>
          <w:u w:val="single"/>
        </w:rPr>
      </w:pPr>
      <w:r w:rsidRPr="00472578">
        <w:rPr>
          <w:u w:val="single"/>
        </w:rPr>
        <w:t>(2</w:t>
      </w:r>
      <w:r w:rsidR="00AA7350">
        <w:rPr>
          <w:u w:val="single"/>
        </w:rPr>
        <w:t>A</w:t>
      </w:r>
      <w:r w:rsidRPr="00472578">
        <w:rPr>
          <w:u w:val="single"/>
        </w:rPr>
        <w:t>)</w:t>
      </w:r>
      <w:r w:rsidRPr="00472578">
        <w:rPr>
          <w:u w:val="single"/>
        </w:rPr>
        <w:tab/>
      </w:r>
      <w:r w:rsidR="00A44344" w:rsidRPr="00472578">
        <w:rPr>
          <w:u w:val="single"/>
        </w:rPr>
        <w:t xml:space="preserve">the habitats of trout and salmon are protected, including by providing for fish passage, insofar as </w:t>
      </w:r>
      <w:r w:rsidR="00D635AA" w:rsidRPr="00472578">
        <w:rPr>
          <w:u w:val="single"/>
        </w:rPr>
        <w:t>protection</w:t>
      </w:r>
      <w:r w:rsidR="00A44344" w:rsidRPr="00472578">
        <w:rPr>
          <w:u w:val="single"/>
        </w:rPr>
        <w:t xml:space="preserve"> is consistent with (2),</w:t>
      </w:r>
      <w:r w:rsidR="00A166F5" w:rsidRPr="00472578">
        <w:rPr>
          <w:rStyle w:val="FootnoteReference"/>
        </w:rPr>
        <w:footnoteReference w:id="863"/>
      </w:r>
    </w:p>
    <w:p w14:paraId="4345A635" w14:textId="77777777" w:rsidR="000419F6" w:rsidRPr="00472578" w:rsidRDefault="000419F6" w:rsidP="00E92686">
      <w:pPr>
        <w:ind w:left="567" w:hanging="567"/>
        <w:jc w:val="both"/>
      </w:pPr>
      <w:r w:rsidRPr="00472578">
        <w:t>(3)</w:t>
      </w:r>
      <w:r w:rsidRPr="00472578">
        <w:tab/>
      </w:r>
      <w:r w:rsidRPr="00472578">
        <w:rPr>
          <w:i/>
          <w:iCs/>
        </w:rPr>
        <w:t>specified rivers and lakes</w:t>
      </w:r>
      <w:r w:rsidRPr="00472578">
        <w:t xml:space="preserve"> are suitable for primary contact within the following timeframes: </w:t>
      </w:r>
    </w:p>
    <w:p w14:paraId="620615CB" w14:textId="77777777" w:rsidR="000419F6" w:rsidRPr="00472578" w:rsidRDefault="000419F6" w:rsidP="00E92686">
      <w:pPr>
        <w:ind w:left="1134" w:hanging="567"/>
        <w:jc w:val="both"/>
      </w:pPr>
      <w:r w:rsidRPr="00472578">
        <w:t>(a)</w:t>
      </w:r>
      <w:r w:rsidRPr="00472578">
        <w:tab/>
        <w:t xml:space="preserve">by 2030, 90% of </w:t>
      </w:r>
      <w:r w:rsidRPr="00472578">
        <w:rPr>
          <w:i/>
          <w:iCs/>
        </w:rPr>
        <w:t>rivers</w:t>
      </w:r>
      <w:r w:rsidRPr="00472578">
        <w:t xml:space="preserve"> and 98% of </w:t>
      </w:r>
      <w:r w:rsidRPr="00472578">
        <w:rPr>
          <w:i/>
          <w:iCs/>
        </w:rPr>
        <w:t>lakes</w:t>
      </w:r>
      <w:r w:rsidRPr="00472578">
        <w:t>, and</w:t>
      </w:r>
    </w:p>
    <w:p w14:paraId="1E7F0515" w14:textId="77777777" w:rsidR="000419F6" w:rsidRPr="00472578" w:rsidRDefault="000419F6" w:rsidP="00E92686">
      <w:pPr>
        <w:ind w:left="1134" w:hanging="567"/>
        <w:jc w:val="both"/>
      </w:pPr>
      <w:r w:rsidRPr="00472578">
        <w:t>(b)</w:t>
      </w:r>
      <w:r w:rsidRPr="00472578">
        <w:tab/>
        <w:t xml:space="preserve">by 2040, 95% of </w:t>
      </w:r>
      <w:r w:rsidRPr="00472578">
        <w:rPr>
          <w:i/>
          <w:iCs/>
        </w:rPr>
        <w:t>rivers</w:t>
      </w:r>
      <w:r w:rsidRPr="00472578">
        <w:t xml:space="preserve"> and 100% of </w:t>
      </w:r>
      <w:r w:rsidRPr="00472578">
        <w:rPr>
          <w:i/>
          <w:iCs/>
        </w:rPr>
        <w:t>lakes</w:t>
      </w:r>
      <w:r w:rsidRPr="00472578">
        <w:t xml:space="preserve">, and </w:t>
      </w:r>
    </w:p>
    <w:p w14:paraId="09F2C588" w14:textId="12F47B1F" w:rsidR="000419F6" w:rsidRPr="00472578" w:rsidRDefault="000419F6" w:rsidP="00E92686">
      <w:pPr>
        <w:ind w:left="567" w:hanging="567"/>
        <w:jc w:val="both"/>
      </w:pPr>
      <w:r w:rsidRPr="00472578">
        <w:t>(4)</w:t>
      </w:r>
      <w:r w:rsidRPr="00472578">
        <w:tab/>
      </w:r>
      <w:r w:rsidRPr="009C237D">
        <w:rPr>
          <w:strike/>
        </w:rPr>
        <w:t>mahika kai</w:t>
      </w:r>
      <w:r w:rsidRPr="00472578">
        <w:t xml:space="preserve"> </w:t>
      </w:r>
      <w:r w:rsidR="00A00191" w:rsidRPr="004B700D">
        <w:rPr>
          <w:i/>
          <w:iCs/>
          <w:u w:val="single"/>
        </w:rPr>
        <w:t>mahika kai</w:t>
      </w:r>
      <w:r w:rsidR="00A00191">
        <w:rPr>
          <w:rStyle w:val="FootnoteReference"/>
        </w:rPr>
        <w:footnoteReference w:id="864"/>
      </w:r>
      <w:r w:rsidR="00A00191" w:rsidRPr="00472578">
        <w:rPr>
          <w:iCs/>
        </w:rPr>
        <w:t xml:space="preserve"> </w:t>
      </w:r>
      <w:r w:rsidRPr="00472578">
        <w:t xml:space="preserve">and </w:t>
      </w:r>
      <w:r w:rsidRPr="00472578">
        <w:rPr>
          <w:i/>
          <w:iCs/>
        </w:rPr>
        <w:t>drinking water</w:t>
      </w:r>
      <w:r w:rsidRPr="00472578">
        <w:t xml:space="preserve"> are safe for human consumption, </w:t>
      </w:r>
    </w:p>
    <w:p w14:paraId="4190B026" w14:textId="77777777" w:rsidR="000419F6" w:rsidRPr="00472578" w:rsidRDefault="000419F6" w:rsidP="00E92686">
      <w:pPr>
        <w:ind w:left="567" w:hanging="567"/>
        <w:jc w:val="both"/>
      </w:pPr>
      <w:r w:rsidRPr="00472578">
        <w:t>(5)</w:t>
      </w:r>
      <w:r w:rsidRPr="00472578">
        <w:tab/>
        <w:t xml:space="preserve">existing </w:t>
      </w:r>
      <w:r w:rsidRPr="00472578">
        <w:rPr>
          <w:i/>
          <w:iCs/>
        </w:rPr>
        <w:t>over-allocation</w:t>
      </w:r>
      <w:r w:rsidRPr="00472578">
        <w:t xml:space="preserve"> is phased out and future </w:t>
      </w:r>
      <w:r w:rsidRPr="00472578">
        <w:rPr>
          <w:i/>
        </w:rPr>
        <w:t>over-allocation</w:t>
      </w:r>
      <w:r w:rsidRPr="00472578">
        <w:t xml:space="preserve"> is avoided, </w:t>
      </w:r>
      <w:r w:rsidRPr="00472578">
        <w:rPr>
          <w:strike/>
        </w:rPr>
        <w:t>and</w:t>
      </w:r>
    </w:p>
    <w:p w14:paraId="66C26F0E" w14:textId="77777777" w:rsidR="000419F6" w:rsidRPr="00472578" w:rsidRDefault="000419F6" w:rsidP="00E92686">
      <w:pPr>
        <w:ind w:left="567" w:hanging="567"/>
        <w:jc w:val="both"/>
      </w:pPr>
      <w:r w:rsidRPr="00472578">
        <w:t>(6)</w:t>
      </w:r>
      <w:r w:rsidRPr="00472578">
        <w:tab/>
      </w:r>
      <w:r w:rsidRPr="00472578">
        <w:rPr>
          <w:u w:val="single"/>
        </w:rPr>
        <w:t xml:space="preserve">allocation of </w:t>
      </w:r>
      <w:r w:rsidRPr="00472578">
        <w:rPr>
          <w:i/>
          <w:iCs/>
        </w:rPr>
        <w:t>fresh water</w:t>
      </w:r>
      <w:r w:rsidRPr="00472578">
        <w:t xml:space="preserve"> is </w:t>
      </w:r>
      <w:r w:rsidRPr="00472578">
        <w:rPr>
          <w:strike/>
        </w:rPr>
        <w:t>allocated</w:t>
      </w:r>
      <w:r w:rsidRPr="00472578">
        <w:rPr>
          <w:rStyle w:val="FootnoteReference"/>
        </w:rPr>
        <w:footnoteReference w:id="865"/>
      </w:r>
      <w:r w:rsidRPr="00472578">
        <w:t xml:space="preserve"> within </w:t>
      </w:r>
      <w:r w:rsidRPr="00472578">
        <w:rPr>
          <w:strike/>
        </w:rPr>
        <w:t>environmental</w:t>
      </w:r>
      <w:r w:rsidRPr="00472578">
        <w:t xml:space="preserve"> </w:t>
      </w:r>
      <w:r w:rsidRPr="00472578">
        <w:rPr>
          <w:i/>
          <w:iCs/>
          <w:u w:val="single"/>
        </w:rPr>
        <w:t>limits on resource use</w:t>
      </w:r>
      <w:r w:rsidRPr="639E38F9">
        <w:rPr>
          <w:rStyle w:val="FootnoteReference"/>
        </w:rPr>
        <w:footnoteReference w:id="866"/>
      </w:r>
      <w:r w:rsidRPr="00472578">
        <w:t xml:space="preserve"> and used efficiently</w:t>
      </w:r>
      <w:r w:rsidRPr="00472578">
        <w:rPr>
          <w:strike/>
        </w:rPr>
        <w:t>.</w:t>
      </w:r>
      <w:r w:rsidRPr="00472578">
        <w:rPr>
          <w:u w:val="single"/>
        </w:rPr>
        <w:t>, and</w:t>
      </w:r>
    </w:p>
    <w:bookmarkEnd w:id="162"/>
    <w:p w14:paraId="4C2B5057" w14:textId="2055DD24" w:rsidR="000419F6" w:rsidRPr="00472578" w:rsidRDefault="000419F6" w:rsidP="00E92686">
      <w:pPr>
        <w:ind w:left="567" w:hanging="567"/>
        <w:jc w:val="both"/>
        <w:rPr>
          <w:u w:val="single"/>
        </w:rPr>
      </w:pPr>
      <w:r w:rsidRPr="00472578">
        <w:rPr>
          <w:u w:val="single"/>
        </w:rPr>
        <w:t>(7)</w:t>
      </w:r>
      <w:r w:rsidRPr="00472578">
        <w:rPr>
          <w:u w:val="single"/>
        </w:rPr>
        <w:tab/>
      </w:r>
      <w:r w:rsidRPr="00143020">
        <w:rPr>
          <w:i/>
          <w:iCs/>
          <w:u w:val="single"/>
        </w:rPr>
        <w:t>freshwater</w:t>
      </w:r>
      <w:r w:rsidRPr="00472578">
        <w:rPr>
          <w:u w:val="single"/>
        </w:rPr>
        <w:t xml:space="preserve"> management </w:t>
      </w:r>
      <w:r w:rsidR="007D3541">
        <w:rPr>
          <w:u w:val="single"/>
        </w:rPr>
        <w:t>contributes to</w:t>
      </w:r>
      <w:r w:rsidRPr="00472578">
        <w:rPr>
          <w:u w:val="single"/>
        </w:rPr>
        <w:t xml:space="preserve"> New Zealand’s integrated response to </w:t>
      </w:r>
      <w:r w:rsidRPr="00143020">
        <w:rPr>
          <w:i/>
          <w:iCs/>
          <w:u w:val="single"/>
        </w:rPr>
        <w:t>climate change</w:t>
      </w:r>
      <w:r w:rsidRPr="00472578">
        <w:rPr>
          <w:u w:val="single"/>
        </w:rPr>
        <w:t>.</w:t>
      </w:r>
      <w:r w:rsidRPr="00472578">
        <w:rPr>
          <w:rStyle w:val="FootnoteReference"/>
        </w:rPr>
        <w:footnoteReference w:id="867"/>
      </w:r>
    </w:p>
    <w:p w14:paraId="34B5F4CB"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LF-FW-P8 – Identifying </w:t>
      </w:r>
      <w:r w:rsidRPr="00472578">
        <w:rPr>
          <w:rFonts w:ascii="Calibri" w:eastAsia="Calibri" w:hAnsi="Calibri" w:cs="Times New Roman"/>
          <w:b/>
          <w:i/>
          <w:color w:val="1F3864" w:themeColor="accent1" w:themeShade="80"/>
        </w:rPr>
        <w:t>natural</w:t>
      </w:r>
      <w:r w:rsidRPr="00472578">
        <w:rPr>
          <w:rFonts w:ascii="Calibri" w:eastAsia="Calibri" w:hAnsi="Calibri" w:cs="Times New Roman"/>
          <w:b/>
          <w:color w:val="1F3864" w:themeColor="accent1" w:themeShade="80"/>
        </w:rPr>
        <w:t xml:space="preserve"> </w:t>
      </w:r>
      <w:r w:rsidRPr="00472578">
        <w:rPr>
          <w:rFonts w:ascii="Calibri" w:eastAsia="Calibri" w:hAnsi="Calibri" w:cs="Times New Roman"/>
          <w:b/>
          <w:i/>
          <w:color w:val="1F3864" w:themeColor="accent1" w:themeShade="80"/>
        </w:rPr>
        <w:t>wetlands</w:t>
      </w:r>
    </w:p>
    <w:p w14:paraId="437CEBC2" w14:textId="3CCD4DC3" w:rsidR="000419F6" w:rsidRPr="00472578" w:rsidRDefault="009E5068" w:rsidP="00E92686">
      <w:pPr>
        <w:spacing w:line="254" w:lineRule="auto"/>
        <w:jc w:val="both"/>
        <w:rPr>
          <w:rFonts w:ascii="Calibri" w:eastAsia="Calibri" w:hAnsi="Calibri" w:cs="Times New Roman"/>
        </w:rPr>
      </w:pPr>
      <w:r>
        <w:rPr>
          <w:rFonts w:ascii="Calibri" w:eastAsia="Calibri" w:hAnsi="Calibri" w:cs="Times New Roman"/>
          <w:u w:val="single"/>
        </w:rPr>
        <w:t>B</w:t>
      </w:r>
      <w:r w:rsidRPr="00472578">
        <w:rPr>
          <w:rFonts w:ascii="Calibri" w:eastAsia="Calibri" w:hAnsi="Calibri" w:cs="Times New Roman"/>
          <w:u w:val="single"/>
        </w:rPr>
        <w:t>y</w:t>
      </w:r>
      <w:r w:rsidR="000419F6" w:rsidRPr="00472578">
        <w:rPr>
          <w:rFonts w:ascii="Calibri" w:eastAsia="Calibri" w:hAnsi="Calibri" w:cs="Times New Roman"/>
          <w:u w:val="single"/>
        </w:rPr>
        <w:t xml:space="preserve"> 3 September 2030,</w:t>
      </w:r>
      <w:r w:rsidRPr="00472578">
        <w:rPr>
          <w:rFonts w:ascii="Calibri" w:eastAsia="Calibri" w:hAnsi="Calibri" w:cs="Times New Roman"/>
        </w:rPr>
        <w:t xml:space="preserve"> </w:t>
      </w:r>
      <w:proofErr w:type="gramStart"/>
      <w:r w:rsidR="000419F6" w:rsidRPr="009E5068">
        <w:rPr>
          <w:rFonts w:ascii="Calibri" w:eastAsia="Calibri" w:hAnsi="Calibri" w:cs="Times New Roman"/>
          <w:strike/>
        </w:rPr>
        <w:t>Identify</w:t>
      </w:r>
      <w:proofErr w:type="gramEnd"/>
      <w:r w:rsidR="000419F6" w:rsidRPr="00472578">
        <w:rPr>
          <w:rFonts w:ascii="Calibri" w:eastAsia="Calibri" w:hAnsi="Calibri" w:cs="Times New Roman"/>
        </w:rPr>
        <w:t xml:space="preserve"> </w:t>
      </w:r>
      <w:r w:rsidRPr="009E5068">
        <w:rPr>
          <w:rFonts w:ascii="Calibri" w:eastAsia="Calibri" w:hAnsi="Calibri" w:cs="Times New Roman"/>
          <w:u w:val="single"/>
        </w:rPr>
        <w:t>identify</w:t>
      </w:r>
      <w:r w:rsidRPr="00472578">
        <w:rPr>
          <w:rStyle w:val="FootnoteReference"/>
          <w:rFonts w:ascii="Calibri" w:eastAsia="Calibri" w:hAnsi="Calibri" w:cs="Times New Roman"/>
        </w:rPr>
        <w:footnoteReference w:id="868"/>
      </w:r>
      <w:r w:rsidRPr="00472578">
        <w:rPr>
          <w:rFonts w:ascii="Calibri" w:eastAsia="Calibri" w:hAnsi="Calibri" w:cs="Times New Roman"/>
        </w:rPr>
        <w:t xml:space="preserve"> </w:t>
      </w:r>
      <w:r w:rsidR="000419F6" w:rsidRPr="00472578">
        <w:rPr>
          <w:rFonts w:ascii="Calibri" w:eastAsia="Calibri" w:hAnsi="Calibri" w:cs="Times New Roman"/>
        </w:rPr>
        <w:t xml:space="preserve">and </w:t>
      </w:r>
      <w:r w:rsidR="000419F6" w:rsidRPr="009E5068">
        <w:rPr>
          <w:rFonts w:ascii="Calibri" w:eastAsia="Calibri" w:hAnsi="Calibri" w:cs="Times New Roman"/>
        </w:rPr>
        <w:t>map</w:t>
      </w:r>
      <w:r w:rsidR="000419F6" w:rsidRPr="00472578">
        <w:rPr>
          <w:rFonts w:ascii="Calibri" w:eastAsia="Calibri" w:hAnsi="Calibri" w:cs="Times New Roman"/>
        </w:rPr>
        <w:t xml:space="preserve"> </w:t>
      </w:r>
      <w:r w:rsidR="000419F6" w:rsidRPr="00472578">
        <w:rPr>
          <w:rFonts w:ascii="Calibri" w:eastAsia="Calibri" w:hAnsi="Calibri" w:cs="Times New Roman"/>
          <w:i/>
        </w:rPr>
        <w:t>natural wetlands</w:t>
      </w:r>
      <w:r w:rsidR="000419F6" w:rsidRPr="00472578">
        <w:rPr>
          <w:rFonts w:ascii="Calibri" w:eastAsia="Calibri" w:hAnsi="Calibri" w:cs="Times New Roman"/>
        </w:rPr>
        <w:t xml:space="preserve"> that are:</w:t>
      </w:r>
    </w:p>
    <w:p w14:paraId="2A6D4D6A"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(1)</w:t>
      </w:r>
      <w:r w:rsidRPr="00472578">
        <w:rPr>
          <w:rFonts w:ascii="Calibri" w:eastAsia="Calibri" w:hAnsi="Calibri" w:cs="Times New Roman"/>
        </w:rPr>
        <w:tab/>
        <w:t>0.05 hectares or greater in extent, or</w:t>
      </w:r>
    </w:p>
    <w:p w14:paraId="3E3FB07A"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(2)</w:t>
      </w:r>
      <w:r w:rsidRPr="00472578">
        <w:tab/>
      </w:r>
      <w:r w:rsidRPr="00472578">
        <w:rPr>
          <w:rFonts w:ascii="Calibri" w:eastAsia="Calibri" w:hAnsi="Calibri" w:cs="Times New Roman"/>
        </w:rPr>
        <w:t xml:space="preserve">of a type that is naturally less than 0.05 hectares in extent (such as an ephemeral </w:t>
      </w:r>
      <w:r w:rsidRPr="00472578">
        <w:rPr>
          <w:rFonts w:ascii="Calibri" w:eastAsia="Calibri" w:hAnsi="Calibri" w:cs="Times New Roman"/>
          <w:i/>
        </w:rPr>
        <w:t>wetland</w:t>
      </w:r>
      <w:r w:rsidRPr="00472578">
        <w:rPr>
          <w:rFonts w:ascii="Calibri" w:eastAsia="Calibri" w:hAnsi="Calibri" w:cs="Times New Roman"/>
        </w:rPr>
        <w:t>) and known to contain threatened species.</w:t>
      </w:r>
    </w:p>
    <w:p w14:paraId="2C621169"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LF-FW-P9 – Protecting </w:t>
      </w:r>
      <w:r w:rsidRPr="00472578">
        <w:rPr>
          <w:rFonts w:ascii="Calibri" w:eastAsia="Calibri" w:hAnsi="Calibri" w:cs="Times New Roman"/>
          <w:b/>
          <w:i/>
          <w:color w:val="1F3864" w:themeColor="accent1" w:themeShade="80"/>
        </w:rPr>
        <w:t>natural</w:t>
      </w:r>
      <w:r w:rsidRPr="00472578">
        <w:rPr>
          <w:rFonts w:ascii="Calibri" w:eastAsia="Calibri" w:hAnsi="Calibri" w:cs="Times New Roman"/>
          <w:b/>
          <w:color w:val="1F3864" w:themeColor="accent1" w:themeShade="80"/>
        </w:rPr>
        <w:t xml:space="preserve"> </w:t>
      </w:r>
      <w:r w:rsidRPr="00472578">
        <w:rPr>
          <w:rFonts w:ascii="Calibri" w:eastAsia="Calibri" w:hAnsi="Calibri" w:cs="Times New Roman"/>
          <w:b/>
          <w:i/>
          <w:color w:val="1F3864" w:themeColor="accent1" w:themeShade="80"/>
        </w:rPr>
        <w:t>wetlands</w:t>
      </w:r>
    </w:p>
    <w:p w14:paraId="4942C1DC" w14:textId="77777777" w:rsidR="000419F6" w:rsidRPr="00472578" w:rsidRDefault="000419F6" w:rsidP="00E92686">
      <w:pPr>
        <w:spacing w:line="254" w:lineRule="auto"/>
        <w:jc w:val="both"/>
        <w:rPr>
          <w:rFonts w:ascii="Calibri" w:eastAsia="Calibri" w:hAnsi="Calibri" w:cs="Times New Roman"/>
        </w:rPr>
      </w:pPr>
      <w:r w:rsidRPr="00472578">
        <w:rPr>
          <w:rFonts w:ascii="Calibri" w:eastAsia="Calibri" w:hAnsi="Calibri" w:cs="Times New Roman"/>
        </w:rPr>
        <w:t xml:space="preserve">Protect </w:t>
      </w:r>
      <w:r w:rsidRPr="00472578">
        <w:rPr>
          <w:rFonts w:ascii="Calibri" w:eastAsia="Calibri" w:hAnsi="Calibri" w:cs="Times New Roman"/>
          <w:i/>
        </w:rPr>
        <w:t>natural wetlands</w:t>
      </w:r>
      <w:r w:rsidRPr="00472578">
        <w:rPr>
          <w:rFonts w:ascii="Calibri" w:eastAsia="Calibri" w:hAnsi="Calibri" w:cs="Times New Roman"/>
        </w:rPr>
        <w:t xml:space="preserve"> by:</w:t>
      </w:r>
    </w:p>
    <w:p w14:paraId="2113F129"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(1)</w:t>
      </w:r>
      <w:r w:rsidRPr="00472578">
        <w:rPr>
          <w:rFonts w:ascii="Calibri" w:eastAsia="Calibri" w:hAnsi="Calibri" w:cs="Times New Roman"/>
        </w:rPr>
        <w:tab/>
        <w:t>avoiding a reduction in their values or extent unless:</w:t>
      </w:r>
    </w:p>
    <w:p w14:paraId="15177C60" w14:textId="77777777" w:rsidR="000419F6" w:rsidRPr="00472578" w:rsidRDefault="000419F6" w:rsidP="00E92686">
      <w:pPr>
        <w:ind w:left="1134" w:hanging="567"/>
        <w:jc w:val="both"/>
        <w:rPr>
          <w:rFonts w:ascii="Calibri" w:eastAsia="Calibri" w:hAnsi="Calibri" w:cs="Times New Roman"/>
        </w:rPr>
      </w:pPr>
      <w:r w:rsidRPr="00472578">
        <w:rPr>
          <w:rFonts w:ascii="Calibri" w:eastAsia="Calibri" w:hAnsi="Calibri" w:cs="Times New Roman"/>
        </w:rPr>
        <w:t>(a)</w:t>
      </w:r>
      <w:r w:rsidRPr="00472578">
        <w:rPr>
          <w:rFonts w:ascii="Calibri" w:eastAsia="Calibri" w:hAnsi="Calibri" w:cs="Times New Roman"/>
        </w:rPr>
        <w:tab/>
        <w:t xml:space="preserve">the </w:t>
      </w:r>
      <w:r w:rsidRPr="00472578">
        <w:rPr>
          <w:rFonts w:ascii="Calibri" w:eastAsia="Calibri" w:hAnsi="Calibri" w:cs="Times New Roman"/>
          <w:i/>
        </w:rPr>
        <w:t>loss of values</w:t>
      </w:r>
      <w:r w:rsidRPr="00472578">
        <w:rPr>
          <w:rFonts w:ascii="Calibri" w:eastAsia="Calibri" w:hAnsi="Calibri" w:cs="Times New Roman"/>
        </w:rPr>
        <w:t xml:space="preserve"> or extent arises from:</w:t>
      </w:r>
    </w:p>
    <w:p w14:paraId="410B377B"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lastRenderedPageBreak/>
        <w:t>(i)</w:t>
      </w:r>
      <w:r w:rsidRPr="00472578">
        <w:rPr>
          <w:rFonts w:ascii="Calibri" w:eastAsia="Calibri" w:hAnsi="Calibri" w:cs="Times New Roman"/>
        </w:rPr>
        <w:tab/>
        <w:t>the customary harvest of food or resources undertaken in accordance with tikaka Māori,</w:t>
      </w:r>
    </w:p>
    <w:p w14:paraId="665C43E5"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(ii)</w:t>
      </w:r>
      <w:r w:rsidRPr="00472578">
        <w:rPr>
          <w:rFonts w:ascii="Calibri" w:eastAsia="Calibri" w:hAnsi="Calibri" w:cs="Times New Roman"/>
        </w:rPr>
        <w:tab/>
        <w:t>restoration activities,</w:t>
      </w:r>
    </w:p>
    <w:p w14:paraId="7CA59CB4"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(iii)</w:t>
      </w:r>
      <w:r w:rsidRPr="00472578">
        <w:rPr>
          <w:rFonts w:ascii="Calibri" w:eastAsia="Calibri" w:hAnsi="Calibri" w:cs="Times New Roman"/>
        </w:rPr>
        <w:tab/>
        <w:t>scientific research,</w:t>
      </w:r>
    </w:p>
    <w:p w14:paraId="78799089"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(iv)</w:t>
      </w:r>
      <w:r w:rsidRPr="00472578">
        <w:rPr>
          <w:rFonts w:ascii="Calibri" w:eastAsia="Calibri" w:hAnsi="Calibri" w:cs="Times New Roman"/>
        </w:rPr>
        <w:tab/>
        <w:t>the sustainable harvest of sphagnum moss,</w:t>
      </w:r>
    </w:p>
    <w:p w14:paraId="6AAACE61"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(v)</w:t>
      </w:r>
      <w:r w:rsidRPr="00472578">
        <w:rPr>
          <w:rFonts w:ascii="Calibri" w:eastAsia="Calibri" w:hAnsi="Calibri" w:cs="Times New Roman"/>
        </w:rPr>
        <w:tab/>
        <w:t xml:space="preserve">the construction or maintenance of </w:t>
      </w:r>
      <w:r w:rsidRPr="00472578">
        <w:rPr>
          <w:rFonts w:ascii="Calibri" w:eastAsia="Calibri" w:hAnsi="Calibri" w:cs="Times New Roman"/>
          <w:i/>
        </w:rPr>
        <w:t>wetland utility structures</w:t>
      </w:r>
      <w:r w:rsidRPr="00472578">
        <w:rPr>
          <w:rFonts w:ascii="Calibri" w:eastAsia="Calibri" w:hAnsi="Calibri" w:cs="Times New Roman"/>
        </w:rPr>
        <w:t>,</w:t>
      </w:r>
    </w:p>
    <w:p w14:paraId="35BC4DC2"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(vi)</w:t>
      </w:r>
      <w:r w:rsidRPr="00472578">
        <w:rPr>
          <w:rFonts w:ascii="Calibri" w:eastAsia="Calibri" w:hAnsi="Calibri" w:cs="Times New Roman"/>
        </w:rPr>
        <w:tab/>
        <w:t xml:space="preserve">the maintenance </w:t>
      </w:r>
      <w:r w:rsidRPr="00472578">
        <w:rPr>
          <w:rFonts w:ascii="Calibri" w:eastAsia="Calibri" w:hAnsi="Calibri" w:cs="Times New Roman"/>
          <w:strike/>
        </w:rPr>
        <w:t>of</w:t>
      </w:r>
      <w:r w:rsidRPr="00472578">
        <w:rPr>
          <w:rFonts w:ascii="Calibri" w:eastAsia="Calibri" w:hAnsi="Calibri" w:cs="Times New Roman"/>
        </w:rPr>
        <w:t xml:space="preserve"> </w:t>
      </w:r>
      <w:r w:rsidRPr="00472578">
        <w:rPr>
          <w:rFonts w:ascii="Calibri" w:eastAsia="Calibri" w:hAnsi="Calibri" w:cs="Times New Roman"/>
          <w:u w:val="single"/>
        </w:rPr>
        <w:t>or</w:t>
      </w:r>
      <w:r w:rsidRPr="00472578">
        <w:rPr>
          <w:rStyle w:val="FootnoteReference"/>
          <w:rFonts w:ascii="Calibri" w:eastAsia="Calibri" w:hAnsi="Calibri" w:cs="Times New Roman"/>
        </w:rPr>
        <w:footnoteReference w:id="869"/>
      </w:r>
      <w:r w:rsidRPr="00472578">
        <w:rPr>
          <w:rFonts w:ascii="Calibri" w:eastAsia="Calibri" w:hAnsi="Calibri" w:cs="Times New Roman"/>
        </w:rPr>
        <w:t xml:space="preserve"> operation of </w:t>
      </w:r>
      <w:r w:rsidRPr="00472578">
        <w:rPr>
          <w:rFonts w:ascii="Calibri" w:eastAsia="Calibri" w:hAnsi="Calibri" w:cs="Times New Roman"/>
          <w:i/>
          <w:strike/>
        </w:rPr>
        <w:t>specific</w:t>
      </w:r>
      <w:r w:rsidRPr="00472578">
        <w:rPr>
          <w:rFonts w:ascii="Calibri" w:eastAsia="Calibri" w:hAnsi="Calibri" w:cs="Times New Roman"/>
          <w:i/>
        </w:rPr>
        <w:t xml:space="preserve"> </w:t>
      </w:r>
      <w:r w:rsidRPr="00472578">
        <w:rPr>
          <w:rFonts w:ascii="Calibri" w:eastAsia="Calibri" w:hAnsi="Calibri" w:cs="Times New Roman"/>
          <w:i/>
          <w:u w:val="single"/>
        </w:rPr>
        <w:t>specified</w:t>
      </w:r>
      <w:r w:rsidRPr="00472578">
        <w:rPr>
          <w:rStyle w:val="FootnoteReference"/>
          <w:rFonts w:ascii="Calibri" w:eastAsia="Calibri" w:hAnsi="Calibri" w:cs="Times New Roman"/>
        </w:rPr>
        <w:footnoteReference w:id="870"/>
      </w:r>
      <w:r w:rsidRPr="00472578">
        <w:rPr>
          <w:rFonts w:ascii="Calibri" w:eastAsia="Calibri" w:hAnsi="Calibri" w:cs="Times New Roman"/>
          <w:i/>
        </w:rPr>
        <w:t xml:space="preserve"> infrastructure</w:t>
      </w:r>
      <w:r w:rsidRPr="00472578">
        <w:rPr>
          <w:rFonts w:ascii="Calibri" w:eastAsia="Calibri" w:hAnsi="Calibri" w:cs="Times New Roman"/>
        </w:rPr>
        <w:t xml:space="preserve">, or </w:t>
      </w:r>
      <w:r w:rsidRPr="00472578">
        <w:rPr>
          <w:rFonts w:ascii="Calibri" w:eastAsia="Calibri" w:hAnsi="Calibri" w:cs="Times New Roman"/>
          <w:i/>
        </w:rPr>
        <w:t>other infrastructure</w:t>
      </w:r>
      <w:r w:rsidRPr="00472578">
        <w:rPr>
          <w:rFonts w:ascii="Calibri" w:eastAsia="Calibri" w:hAnsi="Calibri" w:cs="Times New Roman"/>
        </w:rPr>
        <w:t xml:space="preserve">, </w:t>
      </w:r>
    </w:p>
    <w:p w14:paraId="13FFE23F"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(vii)</w:t>
      </w:r>
      <w:r w:rsidRPr="00472578">
        <w:rPr>
          <w:rFonts w:ascii="Calibri" w:eastAsia="Calibri" w:hAnsi="Calibri" w:cs="Times New Roman"/>
        </w:rPr>
        <w:tab/>
      </w:r>
      <w:r w:rsidRPr="00472578">
        <w:rPr>
          <w:rFonts w:ascii="Calibri" w:eastAsia="Calibri" w:hAnsi="Calibri" w:cs="Times New Roman"/>
          <w:i/>
        </w:rPr>
        <w:t>natural hazard works</w:t>
      </w:r>
      <w:r w:rsidRPr="00472578">
        <w:rPr>
          <w:rFonts w:ascii="Calibri" w:eastAsia="Calibri" w:hAnsi="Calibri" w:cs="Times New Roman"/>
        </w:rPr>
        <w:t>, or</w:t>
      </w:r>
    </w:p>
    <w:p w14:paraId="5A974B66" w14:textId="77777777" w:rsidR="000419F6" w:rsidRPr="00472578" w:rsidRDefault="000419F6" w:rsidP="00E92686">
      <w:pPr>
        <w:ind w:left="1134" w:hanging="567"/>
        <w:jc w:val="both"/>
        <w:rPr>
          <w:rFonts w:ascii="Calibri" w:eastAsia="Calibri" w:hAnsi="Calibri" w:cs="Times New Roman"/>
        </w:rPr>
      </w:pPr>
      <w:r w:rsidRPr="00472578">
        <w:rPr>
          <w:rFonts w:ascii="Calibri" w:eastAsia="Calibri" w:hAnsi="Calibri" w:cs="Times New Roman"/>
        </w:rPr>
        <w:t>(b)</w:t>
      </w:r>
      <w:r w:rsidRPr="00472578">
        <w:rPr>
          <w:rFonts w:ascii="Calibri" w:eastAsia="Calibri" w:hAnsi="Calibri" w:cs="Times New Roman"/>
        </w:rPr>
        <w:tab/>
        <w:t>the Regional Council is satisfied that:</w:t>
      </w:r>
    </w:p>
    <w:p w14:paraId="793470F3"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w:t>
      </w:r>
      <w:r w:rsidRPr="00472578">
        <w:rPr>
          <w:rFonts w:ascii="Calibri" w:eastAsia="Calibri" w:hAnsi="Calibri" w:cs="Times New Roman"/>
        </w:rPr>
        <w:tab/>
        <w:t xml:space="preserve">the activity is necessary for the construction or upgrade of </w:t>
      </w:r>
      <w:r w:rsidRPr="00472578">
        <w:rPr>
          <w:rFonts w:ascii="Calibri" w:eastAsia="Calibri" w:hAnsi="Calibri" w:cs="Times New Roman"/>
          <w:i/>
        </w:rPr>
        <w:t>specified infrastructure</w:t>
      </w:r>
      <w:r w:rsidRPr="00472578">
        <w:rPr>
          <w:rFonts w:ascii="Calibri" w:eastAsia="Calibri" w:hAnsi="Calibri" w:cs="Times New Roman"/>
        </w:rPr>
        <w:t>,</w:t>
      </w:r>
    </w:p>
    <w:p w14:paraId="6BDE25DE"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(ii)</w:t>
      </w:r>
      <w:r w:rsidRPr="00472578">
        <w:rPr>
          <w:rFonts w:ascii="Calibri" w:eastAsia="Calibri" w:hAnsi="Calibri" w:cs="Times New Roman"/>
        </w:rPr>
        <w:tab/>
        <w:t xml:space="preserve">the </w:t>
      </w:r>
      <w:r w:rsidRPr="00472578">
        <w:rPr>
          <w:rFonts w:ascii="Calibri" w:eastAsia="Calibri" w:hAnsi="Calibri" w:cs="Times New Roman"/>
          <w:i/>
        </w:rPr>
        <w:t>specified infrastructure</w:t>
      </w:r>
      <w:r w:rsidRPr="00472578">
        <w:rPr>
          <w:rFonts w:ascii="Calibri" w:eastAsia="Calibri" w:hAnsi="Calibri" w:cs="Times New Roman"/>
        </w:rPr>
        <w:t xml:space="preserve"> will provide significant national or regional benefits,</w:t>
      </w:r>
    </w:p>
    <w:p w14:paraId="445F9EC6" w14:textId="77777777"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(iii)</w:t>
      </w:r>
      <w:r w:rsidRPr="00472578">
        <w:rPr>
          <w:rFonts w:ascii="Calibri" w:eastAsia="Calibri" w:hAnsi="Calibri" w:cs="Times New Roman"/>
        </w:rPr>
        <w:tab/>
        <w:t xml:space="preserve">there is a </w:t>
      </w:r>
      <w:r w:rsidRPr="00472578">
        <w:rPr>
          <w:rFonts w:ascii="Calibri" w:eastAsia="Calibri" w:hAnsi="Calibri" w:cs="Times New Roman"/>
          <w:i/>
        </w:rPr>
        <w:t>functional need</w:t>
      </w:r>
      <w:r w:rsidRPr="00472578">
        <w:rPr>
          <w:rFonts w:ascii="Calibri" w:eastAsia="Calibri" w:hAnsi="Calibri" w:cs="Times New Roman"/>
        </w:rPr>
        <w:t xml:space="preserve"> for the </w:t>
      </w:r>
      <w:r w:rsidRPr="00472578">
        <w:rPr>
          <w:rFonts w:ascii="Calibri" w:eastAsia="Calibri" w:hAnsi="Calibri" w:cs="Times New Roman"/>
          <w:i/>
        </w:rPr>
        <w:t>specified infrastructure</w:t>
      </w:r>
      <w:r w:rsidRPr="00472578">
        <w:rPr>
          <w:rFonts w:ascii="Calibri" w:eastAsia="Calibri" w:hAnsi="Calibri" w:cs="Times New Roman"/>
        </w:rPr>
        <w:t xml:space="preserve"> in that location, </w:t>
      </w:r>
    </w:p>
    <w:p w14:paraId="235AE5C7" w14:textId="335A4228"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(iv)</w:t>
      </w:r>
      <w:r w:rsidRPr="00472578">
        <w:rPr>
          <w:rFonts w:ascii="Calibri" w:eastAsia="Calibri" w:hAnsi="Calibri" w:cs="Times New Roman"/>
        </w:rPr>
        <w:tab/>
        <w:t xml:space="preserve">the </w:t>
      </w:r>
      <w:r w:rsidRPr="00472578">
        <w:rPr>
          <w:rFonts w:ascii="Calibri" w:eastAsia="Calibri" w:hAnsi="Calibri" w:cs="Times New Roman"/>
          <w:i/>
        </w:rPr>
        <w:t>effects</w:t>
      </w:r>
      <w:r w:rsidRPr="00472578">
        <w:rPr>
          <w:rFonts w:ascii="Calibri" w:eastAsia="Calibri" w:hAnsi="Calibri" w:cs="Times New Roman"/>
        </w:rPr>
        <w:t xml:space="preserve"> of the activity on indigenous </w:t>
      </w:r>
      <w:r w:rsidRPr="00472578">
        <w:rPr>
          <w:rFonts w:ascii="Calibri" w:eastAsia="Calibri" w:hAnsi="Calibri" w:cs="Times New Roman"/>
          <w:i/>
        </w:rPr>
        <w:t>biodiversity</w:t>
      </w:r>
      <w:r w:rsidRPr="00472578">
        <w:rPr>
          <w:rFonts w:ascii="Calibri" w:eastAsia="Calibri" w:hAnsi="Calibri" w:cs="Times New Roman"/>
        </w:rPr>
        <w:t xml:space="preserve"> are managed by applying either ECO</w:t>
      </w:r>
      <w:r w:rsidR="00127447">
        <w:rPr>
          <w:rFonts w:ascii="Calibri" w:eastAsia="Calibri" w:hAnsi="Calibri" w:cs="Times New Roman"/>
        </w:rPr>
        <w:t>-</w:t>
      </w:r>
      <w:r w:rsidRPr="00472578">
        <w:rPr>
          <w:rFonts w:ascii="Calibri" w:eastAsia="Calibri" w:hAnsi="Calibri" w:cs="Times New Roman"/>
        </w:rPr>
        <w:t xml:space="preserve">P3 or </w:t>
      </w:r>
      <w:r w:rsidRPr="00472578">
        <w:rPr>
          <w:rFonts w:ascii="Calibri" w:eastAsia="Calibri" w:hAnsi="Calibri" w:cs="Times New Roman"/>
          <w:u w:val="single"/>
        </w:rPr>
        <w:t xml:space="preserve">the </w:t>
      </w:r>
      <w:r w:rsidRPr="00472578">
        <w:rPr>
          <w:rFonts w:ascii="Calibri" w:eastAsia="Calibri" w:hAnsi="Calibri" w:cs="Times New Roman"/>
          <w:i/>
          <w:iCs/>
          <w:u w:val="single"/>
        </w:rPr>
        <w:t>effects management hierarchy</w:t>
      </w:r>
      <w:r w:rsidRPr="00472578">
        <w:rPr>
          <w:rFonts w:ascii="Calibri" w:eastAsia="Calibri" w:hAnsi="Calibri" w:cs="Times New Roman"/>
          <w:u w:val="single"/>
        </w:rPr>
        <w:t xml:space="preserve"> </w:t>
      </w:r>
      <w:r w:rsidRPr="00EC7BBA">
        <w:rPr>
          <w:rFonts w:ascii="Calibri" w:eastAsia="Calibri" w:hAnsi="Calibri" w:cs="Times New Roman"/>
          <w:i/>
          <w:iCs/>
          <w:u w:val="single"/>
        </w:rPr>
        <w:t>(in relation to indigenous biodiversity)</w:t>
      </w:r>
      <w:r w:rsidRPr="00472578">
        <w:rPr>
          <w:rFonts w:ascii="Calibri" w:eastAsia="Calibri" w:hAnsi="Calibri" w:cs="Times New Roman"/>
          <w:u w:val="single"/>
        </w:rPr>
        <w:t xml:space="preserve"> in</w:t>
      </w:r>
      <w:r w:rsidRPr="00472578">
        <w:rPr>
          <w:rStyle w:val="FootnoteReference"/>
          <w:rFonts w:ascii="Calibri" w:eastAsia="Calibri" w:hAnsi="Calibri" w:cs="Times New Roman"/>
        </w:rPr>
        <w:footnoteReference w:id="871"/>
      </w:r>
      <w:r w:rsidRPr="00472578">
        <w:rPr>
          <w:rFonts w:ascii="Calibri" w:eastAsia="Calibri" w:hAnsi="Calibri" w:cs="Times New Roman"/>
        </w:rPr>
        <w:t xml:space="preserve"> ECO</w:t>
      </w:r>
      <w:r w:rsidR="00127447">
        <w:rPr>
          <w:rFonts w:ascii="Calibri" w:eastAsia="Calibri" w:hAnsi="Calibri" w:cs="Times New Roman"/>
        </w:rPr>
        <w:t>-</w:t>
      </w:r>
      <w:r w:rsidRPr="00472578">
        <w:rPr>
          <w:rFonts w:ascii="Calibri" w:eastAsia="Calibri" w:hAnsi="Calibri" w:cs="Times New Roman"/>
        </w:rPr>
        <w:t>P6 (whichever is applicable), and</w:t>
      </w:r>
    </w:p>
    <w:p w14:paraId="712DC095" w14:textId="31897F3F"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(v)</w:t>
      </w:r>
      <w:r w:rsidRPr="00472578">
        <w:rPr>
          <w:rFonts w:ascii="Calibri" w:eastAsia="Calibri" w:hAnsi="Calibri" w:cs="Times New Roman"/>
        </w:rPr>
        <w:tab/>
        <w:t xml:space="preserve">the other </w:t>
      </w:r>
      <w:r w:rsidRPr="00472578">
        <w:rPr>
          <w:rFonts w:ascii="Calibri" w:eastAsia="Calibri" w:hAnsi="Calibri" w:cs="Times New Roman"/>
          <w:i/>
        </w:rPr>
        <w:t xml:space="preserve">effects </w:t>
      </w:r>
      <w:r w:rsidRPr="00472578">
        <w:rPr>
          <w:rFonts w:ascii="Calibri" w:eastAsia="Calibri" w:hAnsi="Calibri" w:cs="Times New Roman"/>
        </w:rPr>
        <w:t xml:space="preserve">of the activity (excluding those managed under (1)(b)(iv)) are managed by applying the </w:t>
      </w:r>
      <w:r w:rsidRPr="00472578">
        <w:rPr>
          <w:rFonts w:ascii="Calibri" w:eastAsia="Calibri" w:hAnsi="Calibri" w:cs="Times New Roman"/>
          <w:i/>
        </w:rPr>
        <w:t xml:space="preserve">effects management hierarchy </w:t>
      </w:r>
      <w:r w:rsidRPr="00472578">
        <w:rPr>
          <w:rFonts w:ascii="Calibri" w:eastAsia="Calibri" w:hAnsi="Calibri" w:cs="Times New Roman"/>
          <w:i/>
          <w:u w:val="single"/>
        </w:rPr>
        <w:t xml:space="preserve">(in relation to natural wetlands and rivers) </w:t>
      </w:r>
      <w:r w:rsidRPr="00472578">
        <w:rPr>
          <w:rFonts w:ascii="Calibri" w:eastAsia="Calibri" w:hAnsi="Calibri" w:cs="Times New Roman"/>
          <w:iCs/>
          <w:u w:val="single"/>
        </w:rPr>
        <w:t>in LF-FW-P13A</w:t>
      </w:r>
      <w:r w:rsidRPr="00472578">
        <w:rPr>
          <w:rFonts w:ascii="Calibri" w:eastAsia="Calibri" w:hAnsi="Calibri" w:cs="Times New Roman"/>
          <w:i/>
        </w:rPr>
        <w:t>,</w:t>
      </w:r>
      <w:r w:rsidRPr="00472578">
        <w:rPr>
          <w:rStyle w:val="FootnoteReference"/>
          <w:rFonts w:ascii="Calibri" w:eastAsia="Calibri" w:hAnsi="Calibri" w:cs="Times New Roman"/>
        </w:rPr>
        <w:footnoteReference w:id="872"/>
      </w:r>
      <w:r w:rsidRPr="00472578">
        <w:rPr>
          <w:rFonts w:ascii="Calibri" w:eastAsia="Calibri" w:hAnsi="Calibri" w:cs="Times New Roman"/>
          <w:i/>
        </w:rPr>
        <w:t xml:space="preserve"> </w:t>
      </w:r>
      <w:r w:rsidRPr="00472578">
        <w:rPr>
          <w:rFonts w:ascii="Calibri" w:eastAsia="Calibri" w:hAnsi="Calibri" w:cs="Times New Roman"/>
        </w:rPr>
        <w:t>and</w:t>
      </w:r>
    </w:p>
    <w:p w14:paraId="0342044D"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(2)</w:t>
      </w:r>
      <w:r w:rsidRPr="00472578">
        <w:rPr>
          <w:rFonts w:ascii="Calibri" w:eastAsia="Calibri" w:hAnsi="Calibri" w:cs="Times New Roman"/>
        </w:rPr>
        <w:tab/>
        <w:t>not granting resource consents for activities under (1)(b) unless the Regional Council is satisfied that:</w:t>
      </w:r>
    </w:p>
    <w:p w14:paraId="16ABAE4E" w14:textId="72078088" w:rsidR="000419F6" w:rsidRPr="00472578" w:rsidRDefault="000419F6" w:rsidP="00E92686">
      <w:pPr>
        <w:ind w:left="1134" w:hanging="567"/>
        <w:jc w:val="both"/>
        <w:rPr>
          <w:rFonts w:ascii="Calibri" w:eastAsia="Calibri" w:hAnsi="Calibri" w:cs="Times New Roman"/>
        </w:rPr>
      </w:pPr>
      <w:r w:rsidRPr="00472578">
        <w:rPr>
          <w:rFonts w:ascii="Calibri" w:eastAsia="Calibri" w:hAnsi="Calibri" w:cs="Times New Roman"/>
        </w:rPr>
        <w:t>(a)</w:t>
      </w:r>
      <w:r w:rsidRPr="00472578">
        <w:rPr>
          <w:rFonts w:ascii="Calibri" w:eastAsia="Calibri" w:hAnsi="Calibri" w:cs="Times New Roman"/>
        </w:rPr>
        <w:tab/>
        <w:t xml:space="preserve">the application demonstrates how each step of the </w:t>
      </w:r>
      <w:r w:rsidRPr="00472578">
        <w:rPr>
          <w:rFonts w:ascii="Calibri" w:eastAsia="Calibri" w:hAnsi="Calibri" w:cs="Times New Roman"/>
          <w:i/>
        </w:rPr>
        <w:t xml:space="preserve">effects management </w:t>
      </w:r>
      <w:proofErr w:type="gramStart"/>
      <w:r w:rsidRPr="00127447">
        <w:rPr>
          <w:rFonts w:ascii="Calibri" w:eastAsia="Calibri" w:hAnsi="Calibri" w:cs="Times New Roman"/>
          <w:i/>
          <w:strike/>
        </w:rPr>
        <w:t>hierarch</w:t>
      </w:r>
      <w:r w:rsidRPr="00472578">
        <w:rPr>
          <w:rFonts w:ascii="Calibri" w:eastAsia="Calibri" w:hAnsi="Calibri" w:cs="Times New Roman"/>
          <w:i/>
          <w:strike/>
        </w:rPr>
        <w:t>ies</w:t>
      </w:r>
      <w:proofErr w:type="gramEnd"/>
      <w:r w:rsidRPr="00472578">
        <w:rPr>
          <w:rFonts w:ascii="Calibri" w:eastAsia="Calibri" w:hAnsi="Calibri" w:cs="Times New Roman"/>
        </w:rPr>
        <w:t xml:space="preserve"> </w:t>
      </w:r>
      <w:r w:rsidR="00127447">
        <w:rPr>
          <w:rFonts w:ascii="Calibri" w:eastAsia="Calibri" w:hAnsi="Calibri" w:cs="Times New Roman"/>
          <w:i/>
          <w:iCs/>
          <w:u w:val="single"/>
        </w:rPr>
        <w:t>hierarchy (</w:t>
      </w:r>
      <w:r w:rsidRPr="00D91E78">
        <w:rPr>
          <w:rFonts w:ascii="Calibri" w:eastAsia="Calibri" w:hAnsi="Calibri" w:cs="Times New Roman"/>
          <w:i/>
          <w:iCs/>
          <w:u w:val="single"/>
        </w:rPr>
        <w:t>in relation to indigenous biodiversity)</w:t>
      </w:r>
      <w:r w:rsidRPr="00472578">
        <w:rPr>
          <w:rStyle w:val="FootnoteReference"/>
          <w:rFonts w:ascii="Calibri" w:eastAsia="Calibri" w:hAnsi="Calibri" w:cs="Times New Roman"/>
        </w:rPr>
        <w:footnoteReference w:id="873"/>
      </w:r>
      <w:r w:rsidRPr="00472578">
        <w:rPr>
          <w:rFonts w:ascii="Calibri" w:eastAsia="Calibri" w:hAnsi="Calibri" w:cs="Times New Roman"/>
        </w:rPr>
        <w:t xml:space="preserve"> in (1)(b)(iv) and the </w:t>
      </w:r>
      <w:r w:rsidRPr="00472578">
        <w:rPr>
          <w:rFonts w:ascii="Calibri" w:eastAsia="Calibri" w:hAnsi="Calibri" w:cs="Times New Roman"/>
          <w:i/>
          <w:u w:val="single"/>
        </w:rPr>
        <w:t xml:space="preserve">effects management hierarchy </w:t>
      </w:r>
      <w:r w:rsidRPr="00D91E78">
        <w:rPr>
          <w:rFonts w:ascii="Calibri" w:eastAsia="Calibri" w:hAnsi="Calibri" w:cs="Times New Roman"/>
          <w:i/>
          <w:u w:val="single"/>
        </w:rPr>
        <w:t>(in relation to natural wetlands and rivers)</w:t>
      </w:r>
      <w:r w:rsidRPr="00472578">
        <w:rPr>
          <w:rFonts w:ascii="Calibri" w:eastAsia="Calibri" w:hAnsi="Calibri" w:cs="Times New Roman"/>
          <w:i/>
          <w:u w:val="single"/>
        </w:rPr>
        <w:t xml:space="preserve"> </w:t>
      </w:r>
      <w:r w:rsidRPr="00472578">
        <w:rPr>
          <w:rFonts w:ascii="Calibri" w:eastAsia="Calibri" w:hAnsi="Calibri" w:cs="Times New Roman"/>
          <w:u w:val="single"/>
        </w:rPr>
        <w:t>in</w:t>
      </w:r>
      <w:r w:rsidRPr="00472578">
        <w:rPr>
          <w:rStyle w:val="FootnoteReference"/>
          <w:rFonts w:ascii="Calibri" w:eastAsia="Calibri" w:hAnsi="Calibri" w:cs="Times New Roman"/>
        </w:rPr>
        <w:footnoteReference w:id="874"/>
      </w:r>
      <w:r w:rsidRPr="00472578">
        <w:rPr>
          <w:rFonts w:ascii="Calibri" w:eastAsia="Calibri" w:hAnsi="Calibri" w:cs="Times New Roman"/>
        </w:rPr>
        <w:t xml:space="preserve"> (1)(b)(v) will be applied to the </w:t>
      </w:r>
      <w:r w:rsidRPr="00472578">
        <w:rPr>
          <w:rFonts w:ascii="Calibri" w:eastAsia="Calibri" w:hAnsi="Calibri" w:cs="Times New Roman"/>
          <w:i/>
        </w:rPr>
        <w:t>loss of values</w:t>
      </w:r>
      <w:r w:rsidRPr="00472578">
        <w:rPr>
          <w:rFonts w:ascii="Calibri" w:eastAsia="Calibri" w:hAnsi="Calibri" w:cs="Times New Roman"/>
        </w:rPr>
        <w:t xml:space="preserve"> or extent of the </w:t>
      </w:r>
      <w:r w:rsidRPr="00472578">
        <w:rPr>
          <w:rFonts w:ascii="Calibri" w:eastAsia="Calibri" w:hAnsi="Calibri" w:cs="Times New Roman"/>
          <w:i/>
        </w:rPr>
        <w:t>natural wetland</w:t>
      </w:r>
      <w:r w:rsidRPr="00472578">
        <w:rPr>
          <w:rFonts w:ascii="Calibri" w:eastAsia="Calibri" w:hAnsi="Calibri" w:cs="Times New Roman"/>
        </w:rPr>
        <w:t>, and</w:t>
      </w:r>
    </w:p>
    <w:p w14:paraId="534A9FE2" w14:textId="0A34AC3F" w:rsidR="000419F6" w:rsidRPr="00472578" w:rsidRDefault="000419F6" w:rsidP="00E92686">
      <w:pPr>
        <w:ind w:left="1134" w:hanging="567"/>
        <w:jc w:val="both"/>
        <w:rPr>
          <w:rFonts w:ascii="Calibri" w:eastAsia="Calibri" w:hAnsi="Calibri" w:cs="Times New Roman"/>
        </w:rPr>
      </w:pPr>
      <w:r w:rsidRPr="00472578">
        <w:rPr>
          <w:rFonts w:ascii="Calibri" w:eastAsia="Calibri" w:hAnsi="Calibri" w:cs="Times New Roman"/>
        </w:rPr>
        <w:t>(b)</w:t>
      </w:r>
      <w:r w:rsidRPr="00472578">
        <w:rPr>
          <w:rFonts w:ascii="Calibri" w:eastAsia="Calibri" w:hAnsi="Calibri" w:cs="Times New Roman"/>
        </w:rPr>
        <w:tab/>
        <w:t xml:space="preserve">any consent is granted subject to conditions that apply the </w:t>
      </w:r>
      <w:r w:rsidRPr="00472578">
        <w:rPr>
          <w:rFonts w:ascii="Calibri" w:eastAsia="Calibri" w:hAnsi="Calibri" w:cs="Times New Roman"/>
          <w:i/>
        </w:rPr>
        <w:t xml:space="preserve">effects management </w:t>
      </w:r>
      <w:proofErr w:type="gramStart"/>
      <w:r w:rsidRPr="00127447">
        <w:rPr>
          <w:rFonts w:ascii="Calibri" w:eastAsia="Calibri" w:hAnsi="Calibri" w:cs="Times New Roman"/>
          <w:i/>
          <w:strike/>
        </w:rPr>
        <w:t>hierarch</w:t>
      </w:r>
      <w:r w:rsidRPr="00472578">
        <w:rPr>
          <w:rFonts w:ascii="Calibri" w:eastAsia="Calibri" w:hAnsi="Calibri" w:cs="Times New Roman"/>
          <w:i/>
          <w:strike/>
        </w:rPr>
        <w:t>ies</w:t>
      </w:r>
      <w:proofErr w:type="gramEnd"/>
      <w:r w:rsidRPr="00472578">
        <w:rPr>
          <w:rFonts w:ascii="Calibri" w:eastAsia="Calibri" w:hAnsi="Calibri" w:cs="Times New Roman"/>
        </w:rPr>
        <w:t xml:space="preserve"> </w:t>
      </w:r>
      <w:r w:rsidR="00127447" w:rsidRPr="00127447">
        <w:rPr>
          <w:rFonts w:ascii="Calibri" w:eastAsia="Calibri" w:hAnsi="Calibri" w:cs="Times New Roman"/>
          <w:i/>
          <w:iCs/>
          <w:u w:val="single"/>
        </w:rPr>
        <w:t>hierarchy</w:t>
      </w:r>
      <w:r w:rsidR="00127447" w:rsidRPr="00127447">
        <w:rPr>
          <w:rFonts w:ascii="Calibri" w:eastAsia="Calibri" w:hAnsi="Calibri" w:cs="Times New Roman"/>
          <w:u w:val="single"/>
        </w:rPr>
        <w:t xml:space="preserve"> </w:t>
      </w:r>
      <w:r w:rsidRPr="00127447">
        <w:rPr>
          <w:rFonts w:ascii="Calibri" w:eastAsia="Calibri" w:hAnsi="Calibri" w:cs="Times New Roman"/>
          <w:i/>
          <w:iCs/>
          <w:u w:val="single"/>
        </w:rPr>
        <w:t>(in</w:t>
      </w:r>
      <w:r w:rsidRPr="009E57F1">
        <w:rPr>
          <w:rFonts w:ascii="Calibri" w:eastAsia="Calibri" w:hAnsi="Calibri" w:cs="Times New Roman"/>
          <w:i/>
          <w:iCs/>
          <w:u w:val="single"/>
        </w:rPr>
        <w:t xml:space="preserve"> relation to indigenous biodiversity)</w:t>
      </w:r>
      <w:r w:rsidRPr="00472578">
        <w:rPr>
          <w:rStyle w:val="FootnoteReference"/>
          <w:rFonts w:ascii="Calibri" w:eastAsia="Calibri" w:hAnsi="Calibri" w:cs="Times New Roman"/>
        </w:rPr>
        <w:footnoteReference w:id="875"/>
      </w:r>
      <w:r w:rsidRPr="00472578">
        <w:rPr>
          <w:rFonts w:ascii="Calibri" w:eastAsia="Calibri" w:hAnsi="Calibri" w:cs="Times New Roman"/>
        </w:rPr>
        <w:t xml:space="preserve"> in (1)(b)(iv) and </w:t>
      </w:r>
      <w:r w:rsidRPr="00423173">
        <w:rPr>
          <w:rFonts w:ascii="Calibri" w:eastAsia="Calibri" w:hAnsi="Calibri" w:cs="Times New Roman"/>
          <w:u w:val="single"/>
        </w:rPr>
        <w:t xml:space="preserve">the </w:t>
      </w:r>
      <w:r w:rsidRPr="00472578">
        <w:rPr>
          <w:rFonts w:ascii="Calibri" w:eastAsia="Calibri" w:hAnsi="Calibri" w:cs="Times New Roman"/>
          <w:i/>
          <w:u w:val="single"/>
        </w:rPr>
        <w:t xml:space="preserve">effects </w:t>
      </w:r>
      <w:r w:rsidRPr="00472578">
        <w:rPr>
          <w:rFonts w:ascii="Calibri" w:eastAsia="Calibri" w:hAnsi="Calibri" w:cs="Times New Roman"/>
          <w:i/>
          <w:u w:val="single"/>
        </w:rPr>
        <w:lastRenderedPageBreak/>
        <w:t xml:space="preserve">management hierarchy </w:t>
      </w:r>
      <w:r w:rsidRPr="009E57F1">
        <w:rPr>
          <w:rFonts w:ascii="Calibri" w:eastAsia="Calibri" w:hAnsi="Calibri" w:cs="Times New Roman"/>
          <w:i/>
          <w:u w:val="single"/>
        </w:rPr>
        <w:t>(in relation to natural wetlands and rivers)</w:t>
      </w:r>
      <w:r w:rsidRPr="00472578">
        <w:rPr>
          <w:rFonts w:ascii="Calibri" w:eastAsia="Calibri" w:hAnsi="Calibri" w:cs="Times New Roman"/>
          <w:iCs/>
          <w:u w:val="single"/>
        </w:rPr>
        <w:t xml:space="preserve"> </w:t>
      </w:r>
      <w:r w:rsidRPr="00472578">
        <w:rPr>
          <w:rFonts w:ascii="Calibri" w:eastAsia="Calibri" w:hAnsi="Calibri" w:cs="Times New Roman"/>
          <w:u w:val="single"/>
        </w:rPr>
        <w:t>in</w:t>
      </w:r>
      <w:r w:rsidRPr="00472578">
        <w:rPr>
          <w:rStyle w:val="FootnoteReference"/>
          <w:rFonts w:ascii="Calibri" w:eastAsia="Calibri" w:hAnsi="Calibri" w:cs="Times New Roman"/>
        </w:rPr>
        <w:footnoteReference w:id="876"/>
      </w:r>
      <w:r w:rsidRPr="00472578">
        <w:rPr>
          <w:rFonts w:ascii="Calibri" w:eastAsia="Calibri" w:hAnsi="Calibri" w:cs="Times New Roman"/>
        </w:rPr>
        <w:t xml:space="preserve"> (1)(b)(v) </w:t>
      </w:r>
      <w:r w:rsidRPr="00472578">
        <w:rPr>
          <w:rFonts w:ascii="Calibri" w:eastAsia="Calibri" w:hAnsi="Calibri" w:cs="Times New Roman"/>
          <w:u w:val="single"/>
        </w:rPr>
        <w:t xml:space="preserve">in respect of any </w:t>
      </w:r>
      <w:r w:rsidRPr="00353C7F">
        <w:rPr>
          <w:rFonts w:ascii="Calibri" w:eastAsia="Calibri" w:hAnsi="Calibri" w:cs="Times New Roman"/>
          <w:i/>
          <w:iCs/>
          <w:u w:val="single"/>
        </w:rPr>
        <w:t>loss of values</w:t>
      </w:r>
      <w:r w:rsidRPr="00472578">
        <w:rPr>
          <w:rFonts w:ascii="Calibri" w:eastAsia="Calibri" w:hAnsi="Calibri" w:cs="Times New Roman"/>
          <w:u w:val="single"/>
        </w:rPr>
        <w:t xml:space="preserve"> or extent of the </w:t>
      </w:r>
      <w:r w:rsidRPr="00353C7F">
        <w:rPr>
          <w:rFonts w:ascii="Calibri" w:eastAsia="Calibri" w:hAnsi="Calibri" w:cs="Times New Roman"/>
          <w:i/>
          <w:iCs/>
          <w:u w:val="single"/>
        </w:rPr>
        <w:t>natural wetland</w:t>
      </w:r>
      <w:r w:rsidRPr="00472578">
        <w:rPr>
          <w:rFonts w:ascii="Calibri" w:eastAsia="Calibri" w:hAnsi="Calibri" w:cs="Times New Roman"/>
        </w:rPr>
        <w:t>.</w:t>
      </w:r>
      <w:r w:rsidRPr="00472578">
        <w:rPr>
          <w:rStyle w:val="FootnoteReference"/>
          <w:rFonts w:ascii="Calibri" w:eastAsia="Calibri" w:hAnsi="Calibri" w:cs="Times New Roman"/>
        </w:rPr>
        <w:footnoteReference w:id="877"/>
      </w:r>
    </w:p>
    <w:p w14:paraId="70E47EC2"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LF-FW-P10 – Restoring </w:t>
      </w:r>
      <w:r w:rsidRPr="00472578">
        <w:rPr>
          <w:rFonts w:ascii="Calibri" w:eastAsia="Calibri" w:hAnsi="Calibri" w:cs="Times New Roman"/>
          <w:b/>
          <w:i/>
          <w:color w:val="1F3864" w:themeColor="accent1" w:themeShade="80"/>
        </w:rPr>
        <w:t>natural</w:t>
      </w:r>
      <w:r w:rsidRPr="00472578">
        <w:rPr>
          <w:rFonts w:ascii="Calibri" w:eastAsia="Calibri" w:hAnsi="Calibri" w:cs="Times New Roman"/>
          <w:b/>
          <w:color w:val="1F3864" w:themeColor="accent1" w:themeShade="80"/>
        </w:rPr>
        <w:t xml:space="preserve"> </w:t>
      </w:r>
      <w:r w:rsidRPr="00472578">
        <w:rPr>
          <w:rFonts w:ascii="Calibri" w:eastAsia="Calibri" w:hAnsi="Calibri" w:cs="Times New Roman"/>
          <w:b/>
          <w:i/>
          <w:color w:val="1F3864" w:themeColor="accent1" w:themeShade="80"/>
        </w:rPr>
        <w:t>wetlands</w:t>
      </w:r>
    </w:p>
    <w:p w14:paraId="08DFDAA1" w14:textId="77777777" w:rsidR="000419F6" w:rsidRPr="00472578" w:rsidRDefault="000419F6" w:rsidP="00E92686">
      <w:pPr>
        <w:jc w:val="both"/>
        <w:rPr>
          <w:rFonts w:ascii="Calibri" w:eastAsia="Calibri" w:hAnsi="Calibri" w:cs="Times New Roman"/>
        </w:rPr>
      </w:pPr>
      <w:r w:rsidRPr="00472578">
        <w:rPr>
          <w:rFonts w:ascii="Calibri" w:eastAsia="Calibri" w:hAnsi="Calibri" w:cs="Times New Roman"/>
        </w:rPr>
        <w:t xml:space="preserve">Improve the ecosystem health, hydrological functioning, </w:t>
      </w:r>
      <w:r w:rsidRPr="00472578">
        <w:rPr>
          <w:rFonts w:ascii="Calibri" w:eastAsia="Calibri" w:hAnsi="Calibri" w:cs="Times New Roman"/>
          <w:i/>
        </w:rPr>
        <w:t>water</w:t>
      </w:r>
      <w:r w:rsidRPr="00472578">
        <w:rPr>
          <w:rFonts w:ascii="Calibri" w:eastAsia="Calibri" w:hAnsi="Calibri" w:cs="Times New Roman"/>
        </w:rPr>
        <w:t xml:space="preserve"> quality and extent of </w:t>
      </w:r>
      <w:r w:rsidRPr="00472578">
        <w:rPr>
          <w:rFonts w:ascii="Calibri" w:eastAsia="Calibri" w:hAnsi="Calibri" w:cs="Times New Roman"/>
          <w:i/>
        </w:rPr>
        <w:t>natural wetlands</w:t>
      </w:r>
      <w:r w:rsidRPr="00472578">
        <w:rPr>
          <w:rFonts w:ascii="Calibri" w:eastAsia="Calibri" w:hAnsi="Calibri" w:cs="Times New Roman"/>
        </w:rPr>
        <w:t xml:space="preserve"> that have been degraded or lost by requiring, where possible:</w:t>
      </w:r>
    </w:p>
    <w:p w14:paraId="0ED31999"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(1)</w:t>
      </w:r>
      <w:r w:rsidRPr="00472578">
        <w:rPr>
          <w:rFonts w:ascii="Calibri" w:eastAsia="Calibri" w:hAnsi="Calibri" w:cs="Times New Roman"/>
        </w:rPr>
        <w:tab/>
        <w:t>an increase in the extent and quality of habitat for indigenous species,</w:t>
      </w:r>
    </w:p>
    <w:p w14:paraId="5389C485"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(2)</w:t>
      </w:r>
      <w:r w:rsidRPr="00472578">
        <w:rPr>
          <w:rFonts w:ascii="Calibri" w:eastAsia="Calibri" w:hAnsi="Calibri" w:cs="Times New Roman"/>
        </w:rPr>
        <w:tab/>
        <w:t>the restoration of hydrological processes,</w:t>
      </w:r>
    </w:p>
    <w:p w14:paraId="6744F629"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(3)</w:t>
      </w:r>
      <w:r w:rsidRPr="00472578">
        <w:rPr>
          <w:rFonts w:ascii="Calibri" w:eastAsia="Calibri" w:hAnsi="Calibri" w:cs="Times New Roman"/>
        </w:rPr>
        <w:tab/>
        <w:t>control of pest species and vegetation clearance, and</w:t>
      </w:r>
    </w:p>
    <w:p w14:paraId="5BA4668C" w14:textId="77777777" w:rsidR="000419F6" w:rsidRPr="00472578" w:rsidRDefault="000419F6" w:rsidP="00E92686">
      <w:pPr>
        <w:ind w:left="567" w:hanging="567"/>
        <w:jc w:val="both"/>
        <w:rPr>
          <w:rFonts w:ascii="Calibri" w:eastAsia="Calibri" w:hAnsi="Calibri" w:cs="Times New Roman"/>
        </w:rPr>
      </w:pPr>
      <w:r w:rsidRPr="00472578">
        <w:rPr>
          <w:rFonts w:ascii="Calibri" w:eastAsia="Calibri" w:hAnsi="Calibri" w:cs="Times New Roman"/>
        </w:rPr>
        <w:t>(4)</w:t>
      </w:r>
      <w:r w:rsidRPr="00472578">
        <w:rPr>
          <w:rFonts w:ascii="Calibri" w:eastAsia="Calibri" w:hAnsi="Calibri" w:cs="Times New Roman"/>
        </w:rPr>
        <w:tab/>
        <w:t>the exclusion of stock.</w:t>
      </w:r>
    </w:p>
    <w:p w14:paraId="4CFEF907"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iCs/>
          <w:color w:val="1F3864" w:themeColor="accent1" w:themeShade="80"/>
        </w:rPr>
      </w:pPr>
      <w:r w:rsidRPr="00472578">
        <w:rPr>
          <w:rFonts w:ascii="Calibri" w:eastAsia="Calibri" w:hAnsi="Calibri" w:cs="Times New Roman"/>
          <w:b/>
          <w:color w:val="1F3864" w:themeColor="accent1" w:themeShade="80"/>
        </w:rPr>
        <w:t xml:space="preserve">LF-FW-P11 – </w:t>
      </w:r>
      <w:r w:rsidRPr="00472578">
        <w:rPr>
          <w:rFonts w:ascii="Calibri" w:eastAsia="Calibri" w:hAnsi="Calibri" w:cs="Times New Roman"/>
          <w:b/>
          <w:strike/>
          <w:color w:val="1F3864" w:themeColor="accent1" w:themeShade="80"/>
        </w:rPr>
        <w:t>Identifying</w:t>
      </w:r>
      <w:r w:rsidRPr="00472578">
        <w:rPr>
          <w:rFonts w:ascii="Calibri" w:eastAsia="Calibri" w:hAnsi="Calibri" w:cs="Times New Roman"/>
          <w:b/>
          <w:color w:val="1F3864" w:themeColor="accent1" w:themeShade="80"/>
        </w:rPr>
        <w:t xml:space="preserve"> </w:t>
      </w:r>
      <w:r w:rsidRPr="00472578">
        <w:rPr>
          <w:rFonts w:ascii="Calibri" w:eastAsia="Calibri" w:hAnsi="Calibri" w:cs="Times New Roman"/>
          <w:b/>
          <w:iCs/>
          <w:color w:val="1F3864" w:themeColor="accent1" w:themeShade="80"/>
          <w:u w:val="single"/>
        </w:rPr>
        <w:t>Otago’s</w:t>
      </w:r>
      <w:r w:rsidRPr="00472578">
        <w:rPr>
          <w:rFonts w:ascii="Calibri" w:eastAsia="Calibri" w:hAnsi="Calibri" w:cs="Times New Roman"/>
          <w:b/>
          <w:iCs/>
          <w:color w:val="1F3864" w:themeColor="accent1" w:themeShade="80"/>
        </w:rPr>
        <w:t xml:space="preserve"> </w:t>
      </w:r>
      <w:r w:rsidRPr="00472578">
        <w:rPr>
          <w:rFonts w:ascii="Calibri" w:eastAsia="Calibri" w:hAnsi="Calibri" w:cs="Times New Roman"/>
          <w:b/>
          <w:i/>
          <w:color w:val="1F3864" w:themeColor="accent1" w:themeShade="80"/>
        </w:rPr>
        <w:t>outstanding water bodies</w:t>
      </w:r>
      <w:r w:rsidRPr="00345312">
        <w:rPr>
          <w:rStyle w:val="FootnoteReference"/>
          <w:rFonts w:ascii="Calibri" w:eastAsia="Calibri" w:hAnsi="Calibri" w:cs="Times New Roman"/>
          <w:bCs/>
          <w:iCs/>
        </w:rPr>
        <w:footnoteReference w:id="878"/>
      </w:r>
    </w:p>
    <w:p w14:paraId="6CA45828" w14:textId="77777777" w:rsidR="000419F6" w:rsidRPr="00472578" w:rsidRDefault="000419F6" w:rsidP="00E92686">
      <w:pPr>
        <w:jc w:val="both"/>
        <w:rPr>
          <w:iCs/>
        </w:rPr>
      </w:pPr>
      <w:r w:rsidRPr="00472578">
        <w:rPr>
          <w:iCs/>
        </w:rPr>
        <w:t xml:space="preserve">Otago’s </w:t>
      </w:r>
      <w:r w:rsidRPr="00472578">
        <w:rPr>
          <w:i/>
        </w:rPr>
        <w:t>outstanding water bodies</w:t>
      </w:r>
      <w:r w:rsidRPr="00472578">
        <w:rPr>
          <w:iCs/>
        </w:rPr>
        <w:t xml:space="preserve"> are:</w:t>
      </w:r>
    </w:p>
    <w:p w14:paraId="77D6F5D5" w14:textId="77777777" w:rsidR="000419F6" w:rsidRPr="00472578" w:rsidRDefault="000419F6" w:rsidP="00E92686">
      <w:pPr>
        <w:ind w:left="567" w:hanging="567"/>
        <w:jc w:val="both"/>
        <w:rPr>
          <w:iCs/>
        </w:rPr>
      </w:pPr>
      <w:r w:rsidRPr="00472578">
        <w:rPr>
          <w:iCs/>
        </w:rPr>
        <w:t>(1)</w:t>
      </w:r>
      <w:r w:rsidRPr="00472578">
        <w:rPr>
          <w:iCs/>
        </w:rPr>
        <w:tab/>
        <w:t>the Kawarau River and tributaries described in the Water Conservation (Kawarau) Order 1997,</w:t>
      </w:r>
    </w:p>
    <w:p w14:paraId="0CA1DD99" w14:textId="77777777" w:rsidR="000419F6" w:rsidRPr="00472578" w:rsidRDefault="000419F6" w:rsidP="00E92686">
      <w:pPr>
        <w:ind w:left="567" w:hanging="567"/>
        <w:jc w:val="both"/>
        <w:rPr>
          <w:iCs/>
        </w:rPr>
      </w:pPr>
      <w:r w:rsidRPr="00472578">
        <w:rPr>
          <w:iCs/>
        </w:rPr>
        <w:t>(2)</w:t>
      </w:r>
      <w:r w:rsidRPr="00472578">
        <w:rPr>
          <w:iCs/>
        </w:rPr>
        <w:tab/>
        <w:t>Lake Wanaka and the outflow and tributaries described in the Lake Wanaka Preservation Act 1973,</w:t>
      </w:r>
    </w:p>
    <w:p w14:paraId="38BEFBBE" w14:textId="63BA5A1B" w:rsidR="000419F6" w:rsidRPr="00472578" w:rsidRDefault="000419F6" w:rsidP="00E92686">
      <w:pPr>
        <w:ind w:left="567" w:hanging="567"/>
        <w:jc w:val="both"/>
        <w:rPr>
          <w:iCs/>
        </w:rPr>
      </w:pPr>
      <w:r w:rsidRPr="00472578">
        <w:rPr>
          <w:iCs/>
        </w:rPr>
        <w:t>(3)</w:t>
      </w:r>
      <w:r w:rsidRPr="00472578">
        <w:rPr>
          <w:iCs/>
        </w:rPr>
        <w:tab/>
        <w:t xml:space="preserve">any </w:t>
      </w:r>
      <w:r w:rsidRPr="00472578">
        <w:rPr>
          <w:i/>
        </w:rPr>
        <w:t xml:space="preserve">water </w:t>
      </w:r>
      <w:r w:rsidRPr="00AB34A3">
        <w:rPr>
          <w:i/>
          <w:strike/>
        </w:rPr>
        <w:t>bodies</w:t>
      </w:r>
      <w:r w:rsidRPr="00472578">
        <w:rPr>
          <w:iCs/>
        </w:rPr>
        <w:t xml:space="preserve"> </w:t>
      </w:r>
      <w:r w:rsidR="00AB34A3">
        <w:rPr>
          <w:iCs/>
          <w:u w:val="single"/>
        </w:rPr>
        <w:t xml:space="preserve">body or part of a </w:t>
      </w:r>
      <w:r w:rsidR="00AB34A3">
        <w:rPr>
          <w:i/>
          <w:u w:val="single"/>
        </w:rPr>
        <w:t>water body</w:t>
      </w:r>
      <w:r w:rsidR="00777342" w:rsidRPr="00777342">
        <w:rPr>
          <w:rStyle w:val="FootnoteReference"/>
          <w:iCs/>
        </w:rPr>
        <w:footnoteReference w:id="879"/>
      </w:r>
      <w:r w:rsidR="00777342" w:rsidRPr="00777342">
        <w:rPr>
          <w:i/>
        </w:rPr>
        <w:t xml:space="preserve"> </w:t>
      </w:r>
      <w:r w:rsidRPr="00777342">
        <w:rPr>
          <w:iCs/>
        </w:rPr>
        <w:t>identified</w:t>
      </w:r>
      <w:r w:rsidRPr="00472578">
        <w:rPr>
          <w:iCs/>
        </w:rPr>
        <w:t xml:space="preserve"> as being </w:t>
      </w:r>
      <w:r w:rsidRPr="00D27E92">
        <w:rPr>
          <w:iCs/>
          <w:strike/>
        </w:rPr>
        <w:t>wholly or partly</w:t>
      </w:r>
      <w:r w:rsidR="00777342" w:rsidRPr="00777342">
        <w:rPr>
          <w:rStyle w:val="FootnoteReference"/>
          <w:iCs/>
        </w:rPr>
        <w:footnoteReference w:id="880"/>
      </w:r>
      <w:r w:rsidR="00777342" w:rsidRPr="00777342">
        <w:rPr>
          <w:iCs/>
        </w:rPr>
        <w:t xml:space="preserve"> </w:t>
      </w:r>
      <w:r w:rsidRPr="00472578">
        <w:rPr>
          <w:iCs/>
        </w:rPr>
        <w:t>within an outstanding natural feature or landscape in accordance with NFL</w:t>
      </w:r>
      <w:r w:rsidR="00777342">
        <w:rPr>
          <w:iCs/>
        </w:rPr>
        <w:t>-</w:t>
      </w:r>
      <w:r w:rsidRPr="00472578">
        <w:rPr>
          <w:iCs/>
        </w:rPr>
        <w:t>P1, and</w:t>
      </w:r>
    </w:p>
    <w:p w14:paraId="11CC749A" w14:textId="77777777" w:rsidR="000419F6" w:rsidRPr="00472578" w:rsidRDefault="000419F6" w:rsidP="00E92686">
      <w:pPr>
        <w:ind w:left="567" w:hanging="567"/>
        <w:jc w:val="both"/>
        <w:rPr>
          <w:iCs/>
        </w:rPr>
      </w:pPr>
      <w:r w:rsidRPr="00472578">
        <w:rPr>
          <w:iCs/>
        </w:rPr>
        <w:t>(4)</w:t>
      </w:r>
      <w:r w:rsidRPr="00472578">
        <w:rPr>
          <w:iCs/>
        </w:rPr>
        <w:tab/>
        <w:t xml:space="preserve">any other </w:t>
      </w:r>
      <w:r w:rsidRPr="00472578">
        <w:rPr>
          <w:i/>
        </w:rPr>
        <w:t>water bodies</w:t>
      </w:r>
      <w:r w:rsidRPr="00472578">
        <w:rPr>
          <w:iCs/>
        </w:rPr>
        <w:t xml:space="preserve"> identified in accordance with APP1.</w:t>
      </w:r>
    </w:p>
    <w:p w14:paraId="6BA203D8" w14:textId="1BE13D5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LF-FW-P12 – </w:t>
      </w:r>
      <w:r w:rsidRPr="00472578">
        <w:rPr>
          <w:rFonts w:ascii="Calibri" w:eastAsia="Calibri" w:hAnsi="Calibri" w:cs="Times New Roman"/>
          <w:b/>
          <w:strike/>
          <w:color w:val="1F3864" w:themeColor="accent1" w:themeShade="80"/>
        </w:rPr>
        <w:t>Protecting</w:t>
      </w:r>
      <w:r w:rsidRPr="00472578">
        <w:rPr>
          <w:rFonts w:ascii="Calibri" w:eastAsia="Calibri" w:hAnsi="Calibri" w:cs="Times New Roman"/>
          <w:b/>
          <w:color w:val="1F3864" w:themeColor="accent1" w:themeShade="80"/>
        </w:rPr>
        <w:t xml:space="preserve"> </w:t>
      </w:r>
      <w:r w:rsidRPr="00472578">
        <w:rPr>
          <w:rFonts w:ascii="Calibri" w:eastAsia="Calibri" w:hAnsi="Calibri" w:cs="Times New Roman"/>
          <w:b/>
          <w:iCs/>
          <w:color w:val="1F3864" w:themeColor="accent1" w:themeShade="80"/>
          <w:u w:val="single"/>
        </w:rPr>
        <w:t>Identifying and managing</w:t>
      </w:r>
      <w:r w:rsidRPr="00ED2F7B">
        <w:rPr>
          <w:rStyle w:val="FootnoteReference"/>
          <w:rFonts w:ascii="Calibri" w:eastAsia="Calibri" w:hAnsi="Calibri" w:cs="Times New Roman"/>
          <w:bCs/>
          <w:iCs/>
        </w:rPr>
        <w:footnoteReference w:id="881"/>
      </w:r>
      <w:r w:rsidR="00ED2F7B" w:rsidRPr="00ED2F7B">
        <w:rPr>
          <w:rFonts w:ascii="Calibri" w:eastAsia="Calibri" w:hAnsi="Calibri" w:cs="Times New Roman"/>
          <w:b/>
          <w:iCs/>
          <w:color w:val="1F3864" w:themeColor="accent1" w:themeShade="80"/>
        </w:rPr>
        <w:t xml:space="preserve"> </w:t>
      </w:r>
      <w:r w:rsidRPr="00472578">
        <w:rPr>
          <w:rFonts w:ascii="Calibri" w:eastAsia="Calibri" w:hAnsi="Calibri" w:cs="Times New Roman"/>
          <w:b/>
          <w:i/>
          <w:color w:val="1F3864" w:themeColor="accent1" w:themeShade="80"/>
        </w:rPr>
        <w:t>outstanding water bodies</w:t>
      </w:r>
    </w:p>
    <w:p w14:paraId="417A75BF" w14:textId="77777777" w:rsidR="000419F6" w:rsidRPr="00472578" w:rsidRDefault="000419F6" w:rsidP="00E92686">
      <w:pPr>
        <w:jc w:val="both"/>
        <w:rPr>
          <w:iCs/>
          <w:strike/>
        </w:rPr>
      </w:pPr>
      <w:r w:rsidRPr="00472578">
        <w:rPr>
          <w:iCs/>
          <w:strike/>
        </w:rPr>
        <w:t xml:space="preserve">The significant and outstanding values of </w:t>
      </w:r>
      <w:r w:rsidRPr="00472578">
        <w:rPr>
          <w:i/>
          <w:strike/>
        </w:rPr>
        <w:t>outstanding water bodies</w:t>
      </w:r>
      <w:r w:rsidRPr="00472578">
        <w:rPr>
          <w:iCs/>
          <w:strike/>
        </w:rPr>
        <w:t xml:space="preserve"> are: </w:t>
      </w:r>
    </w:p>
    <w:p w14:paraId="1203F908" w14:textId="77777777" w:rsidR="000419F6" w:rsidRPr="00472578" w:rsidRDefault="000419F6" w:rsidP="00E92686">
      <w:pPr>
        <w:spacing w:line="240" w:lineRule="auto"/>
        <w:ind w:left="567" w:hanging="567"/>
        <w:jc w:val="both"/>
        <w:rPr>
          <w:rFonts w:ascii="Calibri" w:eastAsia="Calibri" w:hAnsi="Calibri" w:cs="Times New Roman"/>
          <w:strike/>
        </w:rPr>
      </w:pPr>
      <w:r w:rsidRPr="00472578">
        <w:rPr>
          <w:rFonts w:ascii="Calibri" w:eastAsia="Calibri" w:hAnsi="Calibri" w:cs="Times New Roman"/>
          <w:strike/>
        </w:rPr>
        <w:t>(1)</w:t>
      </w:r>
      <w:r w:rsidRPr="00472578">
        <w:rPr>
          <w:rFonts w:ascii="Calibri" w:eastAsia="Calibri" w:hAnsi="Calibri" w:cs="Times New Roman"/>
          <w:strike/>
        </w:rPr>
        <w:tab/>
        <w:t xml:space="preserve">identified in the relevant </w:t>
      </w:r>
      <w:r w:rsidRPr="00472578">
        <w:rPr>
          <w:rFonts w:ascii="Calibri" w:eastAsia="Calibri" w:hAnsi="Calibri" w:cs="Times New Roman"/>
          <w:i/>
          <w:strike/>
        </w:rPr>
        <w:t>regional</w:t>
      </w:r>
      <w:r w:rsidRPr="00472578">
        <w:rPr>
          <w:rFonts w:ascii="Calibri" w:eastAsia="Calibri" w:hAnsi="Calibri" w:cs="Times New Roman"/>
          <w:strike/>
        </w:rPr>
        <w:t xml:space="preserve"> and </w:t>
      </w:r>
      <w:r w:rsidRPr="00472578">
        <w:rPr>
          <w:rFonts w:ascii="Calibri" w:eastAsia="Calibri" w:hAnsi="Calibri" w:cs="Times New Roman"/>
          <w:i/>
          <w:strike/>
        </w:rPr>
        <w:t>district plans</w:t>
      </w:r>
      <w:r w:rsidRPr="00472578">
        <w:rPr>
          <w:rFonts w:ascii="Calibri" w:eastAsia="Calibri" w:hAnsi="Calibri" w:cs="Times New Roman"/>
          <w:strike/>
        </w:rPr>
        <w:t xml:space="preserve">, </w:t>
      </w:r>
      <w:r w:rsidRPr="00472578" w:rsidDel="00115CC0">
        <w:rPr>
          <w:rFonts w:ascii="Calibri" w:eastAsia="Calibri" w:hAnsi="Calibri" w:cs="Times New Roman"/>
          <w:strike/>
        </w:rPr>
        <w:t>and</w:t>
      </w:r>
    </w:p>
    <w:p w14:paraId="3D7556D0" w14:textId="77777777" w:rsidR="000419F6" w:rsidRPr="00472578" w:rsidRDefault="000419F6" w:rsidP="00E92686">
      <w:pPr>
        <w:spacing w:line="240" w:lineRule="auto"/>
        <w:ind w:left="567" w:hanging="567"/>
        <w:jc w:val="both"/>
        <w:rPr>
          <w:rFonts w:ascii="Calibri" w:eastAsia="Calibri" w:hAnsi="Calibri" w:cs="Times New Roman"/>
        </w:rPr>
      </w:pPr>
      <w:r w:rsidRPr="00472578">
        <w:rPr>
          <w:rFonts w:ascii="Calibri" w:eastAsia="Calibri" w:hAnsi="Calibri" w:cs="Times New Roman"/>
          <w:strike/>
        </w:rPr>
        <w:t>(2)</w:t>
      </w:r>
      <w:r w:rsidRPr="00472578">
        <w:rPr>
          <w:rFonts w:ascii="Calibri" w:eastAsia="Calibri" w:hAnsi="Calibri" w:cs="Times New Roman"/>
          <w:strike/>
        </w:rPr>
        <w:tab/>
        <w:t xml:space="preserve">protected by avoiding adverse </w:t>
      </w:r>
      <w:r w:rsidRPr="00472578">
        <w:rPr>
          <w:rFonts w:ascii="Calibri" w:eastAsia="Calibri" w:hAnsi="Calibri" w:cs="Times New Roman"/>
          <w:i/>
          <w:strike/>
        </w:rPr>
        <w:t>effects</w:t>
      </w:r>
      <w:r w:rsidRPr="00472578">
        <w:rPr>
          <w:rFonts w:ascii="Calibri" w:eastAsia="Calibri" w:hAnsi="Calibri" w:cs="Times New Roman"/>
          <w:strike/>
        </w:rPr>
        <w:t xml:space="preserve"> on those values.</w:t>
      </w:r>
      <w:r w:rsidRPr="00472578">
        <w:rPr>
          <w:rStyle w:val="FootnoteReference"/>
          <w:rFonts w:ascii="Calibri" w:eastAsia="Calibri" w:hAnsi="Calibri" w:cs="Times New Roman"/>
        </w:rPr>
        <w:footnoteReference w:id="882"/>
      </w:r>
    </w:p>
    <w:p w14:paraId="59903829" w14:textId="557F6F05" w:rsidR="000419F6" w:rsidRPr="00472578" w:rsidRDefault="000419F6" w:rsidP="00E92686">
      <w:pPr>
        <w:jc w:val="both"/>
      </w:pPr>
      <w:r w:rsidRPr="00472578">
        <w:rPr>
          <w:u w:val="single"/>
        </w:rPr>
        <w:t xml:space="preserve">Identify </w:t>
      </w:r>
      <w:r w:rsidRPr="00472578">
        <w:rPr>
          <w:i/>
          <w:iCs/>
          <w:u w:val="single"/>
        </w:rPr>
        <w:t>outstanding water bodies</w:t>
      </w:r>
      <w:r w:rsidRPr="00472578">
        <w:rPr>
          <w:u w:val="single"/>
        </w:rPr>
        <w:t xml:space="preserve"> and their significant and outstanding values in the relevant </w:t>
      </w:r>
      <w:r w:rsidRPr="00472578">
        <w:rPr>
          <w:i/>
          <w:iCs/>
          <w:u w:val="single"/>
        </w:rPr>
        <w:t>regional</w:t>
      </w:r>
      <w:r w:rsidRPr="00472578">
        <w:rPr>
          <w:u w:val="single"/>
        </w:rPr>
        <w:t xml:space="preserve"> </w:t>
      </w:r>
      <w:r w:rsidR="00D65E44" w:rsidRPr="00472578">
        <w:rPr>
          <w:i/>
          <w:iCs/>
          <w:u w:val="single"/>
        </w:rPr>
        <w:t xml:space="preserve">plans </w:t>
      </w:r>
      <w:r w:rsidRPr="00472578">
        <w:rPr>
          <w:u w:val="single"/>
        </w:rPr>
        <w:t xml:space="preserve">and </w:t>
      </w:r>
      <w:r w:rsidRPr="00472578">
        <w:rPr>
          <w:i/>
          <w:iCs/>
          <w:u w:val="single"/>
        </w:rPr>
        <w:t>district plans</w:t>
      </w:r>
      <w:r w:rsidRPr="00472578">
        <w:rPr>
          <w:u w:val="single"/>
        </w:rPr>
        <w:t xml:space="preserve"> and protect those values by avoiding adverse </w:t>
      </w:r>
      <w:r w:rsidRPr="00472578">
        <w:rPr>
          <w:i/>
          <w:iCs/>
          <w:u w:val="single"/>
        </w:rPr>
        <w:t>effects</w:t>
      </w:r>
      <w:r w:rsidRPr="00472578">
        <w:rPr>
          <w:u w:val="single"/>
        </w:rPr>
        <w:t xml:space="preserve"> on them, except as provided by EIT-INF-P13</w:t>
      </w:r>
      <w:r w:rsidR="00D621FC">
        <w:rPr>
          <w:u w:val="single"/>
        </w:rPr>
        <w:t xml:space="preserve"> and EIT-INF-P13A</w:t>
      </w:r>
      <w:r w:rsidRPr="00472578">
        <w:t>.</w:t>
      </w:r>
      <w:r w:rsidRPr="00472578">
        <w:rPr>
          <w:rStyle w:val="FootnoteReference"/>
        </w:rPr>
        <w:footnoteReference w:id="883"/>
      </w:r>
    </w:p>
    <w:p w14:paraId="0CC76B7E"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LF-FW-P13 – Preserving natural character </w:t>
      </w:r>
      <w:r w:rsidRPr="00472578">
        <w:rPr>
          <w:rFonts w:ascii="Calibri" w:eastAsia="Calibri" w:hAnsi="Calibri" w:cs="Times New Roman"/>
          <w:b/>
          <w:color w:val="1F3864" w:themeColor="accent1" w:themeShade="80"/>
          <w:u w:val="single"/>
        </w:rPr>
        <w:t>and instream values</w:t>
      </w:r>
      <w:r w:rsidRPr="00472578">
        <w:rPr>
          <w:vertAlign w:val="superscript"/>
        </w:rPr>
        <w:footnoteReference w:id="884"/>
      </w:r>
    </w:p>
    <w:p w14:paraId="59737825" w14:textId="77777777" w:rsidR="000419F6" w:rsidRPr="00472578" w:rsidRDefault="000419F6" w:rsidP="00E92686">
      <w:pPr>
        <w:spacing w:line="254" w:lineRule="auto"/>
        <w:jc w:val="both"/>
        <w:rPr>
          <w:rFonts w:ascii="Calibri" w:eastAsia="Calibri" w:hAnsi="Calibri" w:cs="Times New Roman"/>
        </w:rPr>
      </w:pPr>
      <w:r w:rsidRPr="00472578">
        <w:rPr>
          <w:rFonts w:ascii="Calibri" w:eastAsia="Calibri" w:hAnsi="Calibri" w:cs="Times New Roman"/>
        </w:rPr>
        <w:t xml:space="preserve">Preserve the natural character </w:t>
      </w:r>
      <w:r w:rsidRPr="00472578">
        <w:rPr>
          <w:rFonts w:ascii="Calibri" w:eastAsia="Calibri" w:hAnsi="Calibri" w:cs="Times New Roman"/>
          <w:u w:val="single"/>
        </w:rPr>
        <w:t>and instream values</w:t>
      </w:r>
      <w:r w:rsidRPr="00472578">
        <w:rPr>
          <w:vertAlign w:val="superscript"/>
        </w:rPr>
        <w:footnoteReference w:id="885"/>
      </w:r>
      <w:r w:rsidRPr="00472578">
        <w:rPr>
          <w:rFonts w:ascii="Calibri" w:eastAsia="Calibri" w:hAnsi="Calibri" w:cs="Times New Roman"/>
        </w:rPr>
        <w:t xml:space="preserve"> of </w:t>
      </w:r>
      <w:r w:rsidRPr="00472578">
        <w:rPr>
          <w:rFonts w:ascii="Calibri" w:eastAsia="Calibri" w:hAnsi="Calibri" w:cs="Times New Roman"/>
          <w:i/>
        </w:rPr>
        <w:t>lakes</w:t>
      </w:r>
      <w:r w:rsidRPr="00472578">
        <w:rPr>
          <w:rFonts w:ascii="Calibri" w:eastAsia="Calibri" w:hAnsi="Calibri" w:cs="Times New Roman"/>
        </w:rPr>
        <w:t xml:space="preserve"> and </w:t>
      </w:r>
      <w:r w:rsidRPr="00472578">
        <w:rPr>
          <w:rFonts w:ascii="Calibri" w:eastAsia="Calibri" w:hAnsi="Calibri" w:cs="Times New Roman"/>
          <w:i/>
        </w:rPr>
        <w:t>rivers</w:t>
      </w:r>
      <w:r w:rsidRPr="00472578">
        <w:rPr>
          <w:rFonts w:ascii="Calibri" w:eastAsia="Calibri" w:hAnsi="Calibri" w:cs="Times New Roman"/>
        </w:rPr>
        <w:t xml:space="preserve"> and </w:t>
      </w:r>
      <w:r w:rsidRPr="00472578">
        <w:rPr>
          <w:rFonts w:ascii="Calibri" w:eastAsia="Calibri" w:hAnsi="Calibri" w:cs="Times New Roman"/>
          <w:u w:val="single"/>
        </w:rPr>
        <w:t>the natural character of</w:t>
      </w:r>
      <w:r w:rsidRPr="00472578">
        <w:rPr>
          <w:rStyle w:val="FootnoteReference"/>
          <w:rFonts w:ascii="Calibri" w:eastAsia="Calibri" w:hAnsi="Calibri" w:cs="Times New Roman"/>
        </w:rPr>
        <w:footnoteReference w:id="886"/>
      </w:r>
      <w:r w:rsidRPr="00472578">
        <w:rPr>
          <w:rFonts w:ascii="Calibri" w:eastAsia="Calibri" w:hAnsi="Calibri" w:cs="Times New Roman"/>
        </w:rPr>
        <w:t xml:space="preserve"> their </w:t>
      </w:r>
      <w:r w:rsidRPr="00472578">
        <w:rPr>
          <w:rFonts w:ascii="Calibri" w:eastAsia="Calibri" w:hAnsi="Calibri" w:cs="Times New Roman"/>
          <w:i/>
        </w:rPr>
        <w:t>beds</w:t>
      </w:r>
      <w:r w:rsidRPr="00472578">
        <w:rPr>
          <w:rFonts w:ascii="Calibri" w:eastAsia="Calibri" w:hAnsi="Calibri" w:cs="Times New Roman"/>
        </w:rPr>
        <w:t xml:space="preserve"> and margins by:</w:t>
      </w:r>
    </w:p>
    <w:p w14:paraId="3DD50633" w14:textId="77777777" w:rsidR="000419F6" w:rsidRPr="00472578" w:rsidRDefault="000419F6" w:rsidP="00E92686">
      <w:pPr>
        <w:spacing w:line="240" w:lineRule="auto"/>
        <w:ind w:left="567" w:hanging="567"/>
        <w:jc w:val="both"/>
        <w:rPr>
          <w:rFonts w:ascii="Calibri" w:eastAsia="Calibri" w:hAnsi="Calibri" w:cs="Times New Roman"/>
        </w:rPr>
      </w:pPr>
      <w:r w:rsidRPr="00472578">
        <w:rPr>
          <w:rFonts w:ascii="Calibri" w:eastAsia="Calibri" w:hAnsi="Calibri" w:cs="Times New Roman"/>
        </w:rPr>
        <w:lastRenderedPageBreak/>
        <w:t>(1)</w:t>
      </w:r>
      <w:r w:rsidRPr="00472578">
        <w:rPr>
          <w:rFonts w:ascii="Calibri" w:eastAsia="Calibri" w:hAnsi="Calibri" w:cs="Times New Roman"/>
        </w:rPr>
        <w:tab/>
        <w:t xml:space="preserve">avoiding the </w:t>
      </w:r>
      <w:r w:rsidRPr="00472578">
        <w:rPr>
          <w:rFonts w:ascii="Calibri" w:eastAsia="Calibri" w:hAnsi="Calibri" w:cs="Times New Roman"/>
          <w:i/>
        </w:rPr>
        <w:t>loss of values</w:t>
      </w:r>
      <w:r w:rsidRPr="00472578">
        <w:rPr>
          <w:rFonts w:ascii="Calibri" w:eastAsia="Calibri" w:hAnsi="Calibri" w:cs="Times New Roman"/>
        </w:rPr>
        <w:t xml:space="preserve"> or extent of a </w:t>
      </w:r>
      <w:r w:rsidRPr="00472578">
        <w:rPr>
          <w:rFonts w:ascii="Calibri" w:eastAsia="Calibri" w:hAnsi="Calibri" w:cs="Times New Roman"/>
          <w:i/>
        </w:rPr>
        <w:t>river</w:t>
      </w:r>
      <w:r w:rsidRPr="00472578">
        <w:rPr>
          <w:rFonts w:ascii="Calibri" w:eastAsia="Calibri" w:hAnsi="Calibri" w:cs="Times New Roman"/>
        </w:rPr>
        <w:t>, unless:</w:t>
      </w:r>
    </w:p>
    <w:p w14:paraId="305B9571" w14:textId="77777777" w:rsidR="000419F6" w:rsidRPr="00472578" w:rsidRDefault="000419F6" w:rsidP="00E92686">
      <w:pPr>
        <w:spacing w:line="240" w:lineRule="auto"/>
        <w:ind w:left="1134" w:hanging="567"/>
        <w:jc w:val="both"/>
        <w:rPr>
          <w:rFonts w:ascii="Calibri" w:eastAsia="Calibri" w:hAnsi="Calibri" w:cs="Times New Roman"/>
        </w:rPr>
      </w:pPr>
      <w:r w:rsidRPr="00472578">
        <w:rPr>
          <w:rFonts w:ascii="Calibri" w:eastAsia="Calibri" w:hAnsi="Calibri" w:cs="Times New Roman"/>
        </w:rPr>
        <w:t>(a)</w:t>
      </w:r>
      <w:r w:rsidRPr="00472578">
        <w:rPr>
          <w:rFonts w:ascii="Calibri" w:eastAsia="Calibri" w:hAnsi="Calibri" w:cs="Times New Roman"/>
        </w:rPr>
        <w:tab/>
        <w:t xml:space="preserve">there is a </w:t>
      </w:r>
      <w:r w:rsidRPr="00472578">
        <w:rPr>
          <w:rFonts w:ascii="Calibri" w:eastAsia="Calibri" w:hAnsi="Calibri" w:cs="Times New Roman"/>
          <w:i/>
        </w:rPr>
        <w:t>functional need</w:t>
      </w:r>
      <w:r w:rsidRPr="00472578">
        <w:rPr>
          <w:rFonts w:ascii="Calibri" w:eastAsia="Calibri" w:hAnsi="Calibri" w:cs="Times New Roman"/>
        </w:rPr>
        <w:t xml:space="preserve"> for the activity in that location, and</w:t>
      </w:r>
    </w:p>
    <w:p w14:paraId="4480CB65" w14:textId="77777777" w:rsidR="000419F6" w:rsidRPr="00472578" w:rsidRDefault="000419F6" w:rsidP="00E92686">
      <w:pPr>
        <w:ind w:left="1134" w:hanging="567"/>
        <w:jc w:val="both"/>
        <w:rPr>
          <w:rFonts w:ascii="Calibri" w:eastAsia="Calibri" w:hAnsi="Calibri" w:cs="Times New Roman"/>
        </w:rPr>
      </w:pPr>
      <w:r w:rsidRPr="00472578">
        <w:t>(b)</w:t>
      </w:r>
      <w:r w:rsidRPr="00472578">
        <w:tab/>
      </w:r>
      <w:r w:rsidRPr="00472578">
        <w:rPr>
          <w:rFonts w:ascii="Calibri" w:eastAsia="Calibri" w:hAnsi="Calibri" w:cs="Times New Roman"/>
        </w:rPr>
        <w:t xml:space="preserve">the </w:t>
      </w:r>
      <w:r w:rsidRPr="00472578">
        <w:rPr>
          <w:rFonts w:ascii="Calibri" w:eastAsia="Calibri" w:hAnsi="Calibri" w:cs="Times New Roman"/>
          <w:i/>
        </w:rPr>
        <w:t>effects</w:t>
      </w:r>
      <w:r w:rsidRPr="00472578">
        <w:rPr>
          <w:rFonts w:ascii="Calibri" w:eastAsia="Calibri" w:hAnsi="Calibri" w:cs="Times New Roman"/>
        </w:rPr>
        <w:t xml:space="preserve"> of the activity are managed by applying: </w:t>
      </w:r>
    </w:p>
    <w:p w14:paraId="1C07B623" w14:textId="30CE8A10" w:rsidR="000419F6" w:rsidRPr="00472578" w:rsidRDefault="000419F6" w:rsidP="00E92686">
      <w:pPr>
        <w:ind w:left="1701" w:hanging="567"/>
        <w:jc w:val="both"/>
        <w:rPr>
          <w:rFonts w:ascii="Calibri" w:eastAsia="Calibri" w:hAnsi="Calibri" w:cs="Times New Roman"/>
        </w:rPr>
      </w:pPr>
      <w:r w:rsidRPr="00472578">
        <w:rPr>
          <w:rFonts w:ascii="Calibri" w:eastAsia="Calibri" w:hAnsi="Calibri" w:cs="Times New Roman"/>
        </w:rPr>
        <w:t>(i)</w:t>
      </w:r>
      <w:r w:rsidRPr="00472578">
        <w:rPr>
          <w:rFonts w:ascii="Calibri" w:eastAsia="Calibri" w:hAnsi="Calibri" w:cs="Times New Roman"/>
        </w:rPr>
        <w:tab/>
        <w:t xml:space="preserve">for </w:t>
      </w:r>
      <w:r w:rsidRPr="00472578">
        <w:rPr>
          <w:rFonts w:ascii="Calibri" w:eastAsia="Calibri" w:hAnsi="Calibri" w:cs="Times New Roman"/>
          <w:i/>
        </w:rPr>
        <w:t>effects</w:t>
      </w:r>
      <w:r w:rsidRPr="00472578">
        <w:rPr>
          <w:rFonts w:ascii="Calibri" w:eastAsia="Calibri" w:hAnsi="Calibri" w:cs="Times New Roman"/>
        </w:rPr>
        <w:t xml:space="preserve"> on indigenous </w:t>
      </w:r>
      <w:r w:rsidRPr="00472578">
        <w:rPr>
          <w:rFonts w:ascii="Calibri" w:eastAsia="Calibri" w:hAnsi="Calibri" w:cs="Times New Roman"/>
          <w:i/>
        </w:rPr>
        <w:t>biodiversity</w:t>
      </w:r>
      <w:r w:rsidRPr="00472578">
        <w:rPr>
          <w:rFonts w:ascii="Calibri" w:eastAsia="Calibri" w:hAnsi="Calibri" w:cs="Times New Roman"/>
        </w:rPr>
        <w:t xml:space="preserve">, either ECO-P3 or </w:t>
      </w:r>
      <w:r w:rsidRPr="00472578">
        <w:rPr>
          <w:rFonts w:ascii="Calibri" w:eastAsia="Calibri" w:hAnsi="Calibri" w:cs="Times New Roman"/>
          <w:u w:val="single"/>
        </w:rPr>
        <w:t xml:space="preserve">the </w:t>
      </w:r>
      <w:r w:rsidRPr="00472578">
        <w:rPr>
          <w:rFonts w:ascii="Calibri" w:eastAsia="Calibri" w:hAnsi="Calibri" w:cs="Times New Roman"/>
          <w:i/>
          <w:iCs/>
          <w:u w:val="single"/>
        </w:rPr>
        <w:t>effects management hierarchy</w:t>
      </w:r>
      <w:r w:rsidRPr="00472578">
        <w:rPr>
          <w:rFonts w:ascii="Calibri" w:eastAsia="Calibri" w:hAnsi="Calibri" w:cs="Times New Roman"/>
          <w:u w:val="single"/>
        </w:rPr>
        <w:t xml:space="preserve"> </w:t>
      </w:r>
      <w:r w:rsidRPr="00767A90">
        <w:rPr>
          <w:rFonts w:ascii="Calibri" w:eastAsia="Calibri" w:hAnsi="Calibri" w:cs="Times New Roman"/>
          <w:i/>
          <w:iCs/>
          <w:u w:val="single"/>
        </w:rPr>
        <w:t>(in relation to indigenous biodiversity)</w:t>
      </w:r>
      <w:r w:rsidRPr="00472578">
        <w:rPr>
          <w:rFonts w:ascii="Calibri" w:eastAsia="Calibri" w:hAnsi="Calibri" w:cs="Times New Roman"/>
          <w:u w:val="single"/>
        </w:rPr>
        <w:t xml:space="preserve"> in</w:t>
      </w:r>
      <w:r w:rsidRPr="00472578">
        <w:rPr>
          <w:rStyle w:val="FootnoteReference"/>
          <w:rFonts w:ascii="Calibri" w:eastAsia="Calibri" w:hAnsi="Calibri" w:cs="Times New Roman"/>
        </w:rPr>
        <w:footnoteReference w:id="887"/>
      </w:r>
      <w:r w:rsidRPr="00472578">
        <w:rPr>
          <w:rFonts w:ascii="Calibri" w:eastAsia="Calibri" w:hAnsi="Calibri" w:cs="Times New Roman"/>
        </w:rPr>
        <w:t xml:space="preserve"> ECO-P6 (whichever is applicable), and</w:t>
      </w:r>
    </w:p>
    <w:p w14:paraId="6EE32B63" w14:textId="7E934B78" w:rsidR="000419F6" w:rsidRPr="00472578" w:rsidRDefault="000419F6" w:rsidP="00E92686">
      <w:pPr>
        <w:ind w:left="1701" w:hanging="567"/>
        <w:jc w:val="both"/>
        <w:rPr>
          <w:iCs/>
        </w:rPr>
      </w:pPr>
      <w:r w:rsidRPr="00472578">
        <w:rPr>
          <w:rFonts w:ascii="Calibri" w:eastAsia="Calibri" w:hAnsi="Calibri" w:cs="Times New Roman"/>
        </w:rPr>
        <w:t>(ii)</w:t>
      </w:r>
      <w:r w:rsidRPr="00472578">
        <w:rPr>
          <w:rFonts w:ascii="Calibri" w:eastAsia="Calibri" w:hAnsi="Calibri" w:cs="Times New Roman"/>
        </w:rPr>
        <w:tab/>
        <w:t xml:space="preserve">for other </w:t>
      </w:r>
      <w:r w:rsidRPr="00472578">
        <w:rPr>
          <w:rFonts w:ascii="Calibri" w:eastAsia="Calibri" w:hAnsi="Calibri" w:cs="Times New Roman"/>
          <w:i/>
        </w:rPr>
        <w:t xml:space="preserve">effects </w:t>
      </w:r>
      <w:r w:rsidRPr="00472578">
        <w:rPr>
          <w:rFonts w:ascii="Calibri" w:eastAsia="Calibri" w:hAnsi="Calibri" w:cs="Times New Roman"/>
          <w:iCs/>
          <w:u w:val="single"/>
        </w:rPr>
        <w:t>(excluding those managed under (1)(b)(i))</w:t>
      </w:r>
      <w:r w:rsidRPr="00472578">
        <w:rPr>
          <w:rFonts w:ascii="Calibri" w:eastAsia="Calibri" w:hAnsi="Calibri" w:cs="Times New Roman"/>
        </w:rPr>
        <w:t>,</w:t>
      </w:r>
      <w:r w:rsidRPr="00472578">
        <w:rPr>
          <w:rStyle w:val="FootnoteReference"/>
          <w:rFonts w:ascii="Calibri" w:eastAsia="Calibri" w:hAnsi="Calibri" w:cs="Times New Roman"/>
        </w:rPr>
        <w:footnoteReference w:id="888"/>
      </w:r>
      <w:r w:rsidRPr="00472578">
        <w:rPr>
          <w:rFonts w:ascii="Calibri" w:eastAsia="Calibri" w:hAnsi="Calibri" w:cs="Times New Roman"/>
        </w:rPr>
        <w:t xml:space="preserve"> the </w:t>
      </w:r>
      <w:r w:rsidRPr="00472578">
        <w:rPr>
          <w:rFonts w:ascii="Calibri" w:eastAsia="Calibri" w:hAnsi="Calibri" w:cs="Times New Roman"/>
          <w:i/>
        </w:rPr>
        <w:t xml:space="preserve">effects management hierarchy </w:t>
      </w:r>
      <w:r w:rsidRPr="00767A90">
        <w:rPr>
          <w:rFonts w:ascii="Calibri" w:eastAsia="Calibri" w:hAnsi="Calibri" w:cs="Times New Roman"/>
          <w:i/>
          <w:u w:val="single"/>
        </w:rPr>
        <w:t>(in relation to natural wetlands and rivers)</w:t>
      </w:r>
      <w:r w:rsidRPr="00472578">
        <w:rPr>
          <w:rFonts w:ascii="Calibri" w:eastAsia="Calibri" w:hAnsi="Calibri" w:cs="Times New Roman"/>
          <w:i/>
          <w:u w:val="single"/>
        </w:rPr>
        <w:t xml:space="preserve"> </w:t>
      </w:r>
      <w:r w:rsidRPr="00472578">
        <w:rPr>
          <w:rFonts w:ascii="Calibri" w:eastAsia="Calibri" w:hAnsi="Calibri" w:cs="Times New Roman"/>
          <w:iCs/>
          <w:u w:val="single"/>
        </w:rPr>
        <w:t>in LF-FW-P13A</w:t>
      </w:r>
      <w:r w:rsidRPr="00472578">
        <w:rPr>
          <w:rFonts w:ascii="Calibri" w:eastAsia="Calibri" w:hAnsi="Calibri" w:cs="Times New Roman"/>
          <w:i/>
        </w:rPr>
        <w:t>,</w:t>
      </w:r>
      <w:r w:rsidRPr="00472578">
        <w:rPr>
          <w:rStyle w:val="FootnoteReference"/>
          <w:rFonts w:ascii="Calibri" w:eastAsia="Calibri" w:hAnsi="Calibri" w:cs="Times New Roman"/>
        </w:rPr>
        <w:footnoteReference w:id="889"/>
      </w:r>
    </w:p>
    <w:p w14:paraId="1C046A88" w14:textId="77777777" w:rsidR="000419F6" w:rsidRPr="00472578" w:rsidRDefault="000419F6" w:rsidP="00E92686">
      <w:pPr>
        <w:ind w:left="567" w:hanging="567"/>
        <w:jc w:val="both"/>
        <w:rPr>
          <w:rFonts w:ascii="Calibri" w:eastAsia="Calibri" w:hAnsi="Calibri" w:cs="Times New Roman"/>
        </w:rPr>
      </w:pPr>
      <w:r w:rsidRPr="00472578">
        <w:t>(2)</w:t>
      </w:r>
      <w:r w:rsidRPr="00472578">
        <w:tab/>
      </w:r>
      <w:r w:rsidRPr="00472578">
        <w:rPr>
          <w:rFonts w:ascii="Calibri" w:eastAsia="Calibri" w:hAnsi="Calibri" w:cs="Times New Roman"/>
        </w:rPr>
        <w:t xml:space="preserve">not granting resource consent for activities in (1) unless </w:t>
      </w:r>
      <w:r w:rsidRPr="00472578">
        <w:rPr>
          <w:rFonts w:ascii="Calibri" w:eastAsia="Calibri" w:hAnsi="Calibri" w:cs="Times New Roman"/>
          <w:strike/>
        </w:rPr>
        <w:t>Otago Regional Council</w:t>
      </w:r>
      <w:r w:rsidRPr="00472578">
        <w:rPr>
          <w:rFonts w:ascii="Calibri" w:eastAsia="Calibri" w:hAnsi="Calibri" w:cs="Times New Roman"/>
        </w:rPr>
        <w:t xml:space="preserve"> </w:t>
      </w:r>
      <w:r w:rsidRPr="00472578">
        <w:rPr>
          <w:rFonts w:ascii="Calibri" w:eastAsia="Calibri" w:hAnsi="Calibri" w:cs="Times New Roman"/>
          <w:u w:val="single"/>
        </w:rPr>
        <w:t>the consent authority</w:t>
      </w:r>
      <w:r w:rsidRPr="00472578">
        <w:rPr>
          <w:rStyle w:val="FootnoteReference"/>
          <w:rFonts w:ascii="Calibri" w:eastAsia="Calibri" w:hAnsi="Calibri" w:cs="Times New Roman"/>
        </w:rPr>
        <w:footnoteReference w:id="890"/>
      </w:r>
      <w:r w:rsidRPr="00472578">
        <w:rPr>
          <w:rFonts w:ascii="Calibri" w:eastAsia="Calibri" w:hAnsi="Calibri" w:cs="Times New Roman"/>
        </w:rPr>
        <w:t xml:space="preserve"> is satisfied that:</w:t>
      </w:r>
    </w:p>
    <w:p w14:paraId="707796BB" w14:textId="487AD82D" w:rsidR="000419F6" w:rsidRPr="00472578" w:rsidRDefault="000419F6" w:rsidP="00E92686">
      <w:pPr>
        <w:ind w:left="1134" w:hanging="567"/>
        <w:jc w:val="both"/>
        <w:rPr>
          <w:rFonts w:ascii="Calibri" w:eastAsia="Calibri" w:hAnsi="Calibri" w:cs="Times New Roman"/>
        </w:rPr>
      </w:pPr>
      <w:r w:rsidRPr="00472578">
        <w:rPr>
          <w:rFonts w:ascii="Calibri" w:eastAsia="Calibri" w:hAnsi="Calibri" w:cs="Times New Roman"/>
        </w:rPr>
        <w:t>(a)</w:t>
      </w:r>
      <w:r w:rsidRPr="00472578">
        <w:rPr>
          <w:rFonts w:ascii="Calibri" w:eastAsia="Calibri" w:hAnsi="Calibri" w:cs="Times New Roman"/>
        </w:rPr>
        <w:tab/>
        <w:t xml:space="preserve">the application demonstrates how each step of the </w:t>
      </w:r>
      <w:r w:rsidRPr="00472578">
        <w:rPr>
          <w:rFonts w:ascii="Calibri" w:eastAsia="Calibri" w:hAnsi="Calibri" w:cs="Times New Roman"/>
          <w:i/>
        </w:rPr>
        <w:t xml:space="preserve">effects management </w:t>
      </w:r>
      <w:proofErr w:type="gramStart"/>
      <w:r w:rsidRPr="00767A90">
        <w:rPr>
          <w:rFonts w:ascii="Calibri" w:eastAsia="Calibri" w:hAnsi="Calibri" w:cs="Times New Roman"/>
          <w:i/>
          <w:strike/>
        </w:rPr>
        <w:t>hierarch</w:t>
      </w:r>
      <w:r w:rsidRPr="00472578">
        <w:rPr>
          <w:rFonts w:ascii="Calibri" w:eastAsia="Calibri" w:hAnsi="Calibri" w:cs="Times New Roman"/>
          <w:i/>
          <w:strike/>
        </w:rPr>
        <w:t>ies</w:t>
      </w:r>
      <w:proofErr w:type="gramEnd"/>
      <w:r w:rsidRPr="00472578">
        <w:rPr>
          <w:rFonts w:ascii="Calibri" w:eastAsia="Calibri" w:hAnsi="Calibri" w:cs="Times New Roman"/>
        </w:rPr>
        <w:t xml:space="preserve"> </w:t>
      </w:r>
      <w:r w:rsidR="00767A90">
        <w:rPr>
          <w:rFonts w:ascii="Calibri" w:eastAsia="Calibri" w:hAnsi="Calibri" w:cs="Times New Roman"/>
          <w:i/>
          <w:iCs/>
          <w:u w:val="single"/>
        </w:rPr>
        <w:t xml:space="preserve">hierarchy </w:t>
      </w:r>
      <w:r w:rsidR="001052AA" w:rsidRPr="00767A90">
        <w:rPr>
          <w:rFonts w:ascii="Calibri" w:eastAsia="Calibri" w:hAnsi="Calibri" w:cs="Times New Roman"/>
          <w:i/>
          <w:iCs/>
          <w:u w:val="single"/>
        </w:rPr>
        <w:t xml:space="preserve">(in </w:t>
      </w:r>
      <w:r w:rsidRPr="00767A90">
        <w:rPr>
          <w:rFonts w:ascii="Calibri" w:eastAsia="Calibri" w:hAnsi="Calibri" w:cs="Times New Roman"/>
          <w:i/>
          <w:iCs/>
          <w:u w:val="single"/>
        </w:rPr>
        <w:t>relation to indigenous biodiversity)</w:t>
      </w:r>
      <w:r w:rsidRPr="00472578">
        <w:rPr>
          <w:rStyle w:val="FootnoteReference"/>
          <w:rFonts w:ascii="Calibri" w:eastAsia="Calibri" w:hAnsi="Calibri" w:cs="Times New Roman"/>
        </w:rPr>
        <w:footnoteReference w:id="891"/>
      </w:r>
      <w:r w:rsidRPr="00472578">
        <w:rPr>
          <w:rFonts w:ascii="Calibri" w:eastAsia="Calibri" w:hAnsi="Calibri" w:cs="Times New Roman"/>
        </w:rPr>
        <w:t xml:space="preserve"> in (1)(b)</w:t>
      </w:r>
      <w:r w:rsidRPr="00472578">
        <w:rPr>
          <w:rFonts w:ascii="Calibri" w:eastAsia="Calibri" w:hAnsi="Calibri" w:cs="Times New Roman"/>
          <w:u w:val="single"/>
        </w:rPr>
        <w:t xml:space="preserve">(i) and the </w:t>
      </w:r>
      <w:r w:rsidRPr="00472578">
        <w:rPr>
          <w:rFonts w:ascii="Calibri" w:eastAsia="Calibri" w:hAnsi="Calibri" w:cs="Times New Roman"/>
          <w:i/>
          <w:u w:val="single"/>
        </w:rPr>
        <w:t xml:space="preserve">effects management hierarchy </w:t>
      </w:r>
      <w:r w:rsidRPr="00767A90">
        <w:rPr>
          <w:rFonts w:ascii="Calibri" w:eastAsia="Calibri" w:hAnsi="Calibri" w:cs="Times New Roman"/>
          <w:i/>
          <w:u w:val="single"/>
        </w:rPr>
        <w:t>(in relation to natural wetlands and rivers) in (1)(b)(ii)</w:t>
      </w:r>
      <w:r w:rsidRPr="00472578">
        <w:rPr>
          <w:rStyle w:val="FootnoteReference"/>
          <w:rFonts w:ascii="Calibri" w:eastAsia="Calibri" w:hAnsi="Calibri" w:cs="Times New Roman"/>
        </w:rPr>
        <w:footnoteReference w:id="892"/>
      </w:r>
      <w:r w:rsidRPr="00472578">
        <w:rPr>
          <w:rFonts w:ascii="Calibri" w:eastAsia="Calibri" w:hAnsi="Calibri" w:cs="Times New Roman"/>
        </w:rPr>
        <w:t xml:space="preserve"> will be applied to the </w:t>
      </w:r>
      <w:r w:rsidRPr="00472578">
        <w:rPr>
          <w:rFonts w:ascii="Calibri" w:eastAsia="Calibri" w:hAnsi="Calibri" w:cs="Times New Roman"/>
          <w:i/>
        </w:rPr>
        <w:t>loss of values</w:t>
      </w:r>
      <w:r w:rsidRPr="00472578">
        <w:rPr>
          <w:rFonts w:ascii="Calibri" w:eastAsia="Calibri" w:hAnsi="Calibri" w:cs="Times New Roman"/>
        </w:rPr>
        <w:t xml:space="preserve"> or extent of the </w:t>
      </w:r>
      <w:r w:rsidRPr="00472578">
        <w:rPr>
          <w:rFonts w:ascii="Calibri" w:eastAsia="Calibri" w:hAnsi="Calibri" w:cs="Times New Roman"/>
          <w:i/>
        </w:rPr>
        <w:t>river</w:t>
      </w:r>
      <w:r w:rsidRPr="00472578">
        <w:rPr>
          <w:rFonts w:ascii="Calibri" w:eastAsia="Calibri" w:hAnsi="Calibri" w:cs="Times New Roman"/>
        </w:rPr>
        <w:t>, and</w:t>
      </w:r>
    </w:p>
    <w:p w14:paraId="36DE6E08" w14:textId="04D377A8" w:rsidR="000419F6" w:rsidRPr="00472578" w:rsidRDefault="000419F6" w:rsidP="00E92686">
      <w:pPr>
        <w:ind w:left="1134" w:hanging="567"/>
        <w:jc w:val="both"/>
        <w:rPr>
          <w:rFonts w:ascii="Calibri" w:eastAsia="Calibri" w:hAnsi="Calibri" w:cs="Times New Roman"/>
        </w:rPr>
      </w:pPr>
      <w:r w:rsidRPr="00472578">
        <w:rPr>
          <w:rFonts w:ascii="Calibri" w:eastAsia="Calibri" w:hAnsi="Calibri" w:cs="Times New Roman"/>
        </w:rPr>
        <w:t>(b)</w:t>
      </w:r>
      <w:r w:rsidRPr="00472578">
        <w:rPr>
          <w:rFonts w:ascii="Calibri" w:eastAsia="Calibri" w:hAnsi="Calibri" w:cs="Times New Roman"/>
        </w:rPr>
        <w:tab/>
        <w:t xml:space="preserve">any consent is granted subject to conditions that apply the </w:t>
      </w:r>
      <w:r w:rsidRPr="00472578">
        <w:rPr>
          <w:rFonts w:ascii="Calibri" w:eastAsia="Calibri" w:hAnsi="Calibri" w:cs="Times New Roman"/>
          <w:i/>
        </w:rPr>
        <w:t xml:space="preserve">effects management </w:t>
      </w:r>
      <w:proofErr w:type="gramStart"/>
      <w:r w:rsidRPr="00767A90">
        <w:rPr>
          <w:rFonts w:ascii="Calibri" w:eastAsia="Calibri" w:hAnsi="Calibri" w:cs="Times New Roman"/>
          <w:i/>
          <w:strike/>
        </w:rPr>
        <w:t>hierarch</w:t>
      </w:r>
      <w:r w:rsidRPr="00472578">
        <w:rPr>
          <w:rFonts w:ascii="Calibri" w:eastAsia="Calibri" w:hAnsi="Calibri" w:cs="Times New Roman"/>
          <w:i/>
          <w:strike/>
        </w:rPr>
        <w:t>ies</w:t>
      </w:r>
      <w:proofErr w:type="gramEnd"/>
      <w:r w:rsidRPr="00472578">
        <w:rPr>
          <w:rFonts w:ascii="Calibri" w:eastAsia="Calibri" w:hAnsi="Calibri" w:cs="Times New Roman"/>
        </w:rPr>
        <w:t xml:space="preserve"> </w:t>
      </w:r>
      <w:r w:rsidR="00767A90" w:rsidRPr="00767A90">
        <w:rPr>
          <w:rFonts w:ascii="Calibri" w:eastAsia="Calibri" w:hAnsi="Calibri" w:cs="Times New Roman"/>
          <w:i/>
          <w:iCs/>
          <w:u w:val="single"/>
        </w:rPr>
        <w:t xml:space="preserve">hierarchy </w:t>
      </w:r>
      <w:r w:rsidRPr="00767A90">
        <w:rPr>
          <w:rFonts w:ascii="Calibri" w:eastAsia="Calibri" w:hAnsi="Calibri" w:cs="Times New Roman"/>
          <w:i/>
          <w:iCs/>
          <w:u w:val="single"/>
        </w:rPr>
        <w:t>(in relation to indigenous biodiversity)</w:t>
      </w:r>
      <w:r w:rsidRPr="00472578">
        <w:rPr>
          <w:rStyle w:val="FootnoteReference"/>
          <w:rFonts w:ascii="Calibri" w:eastAsia="Calibri" w:hAnsi="Calibri" w:cs="Times New Roman"/>
        </w:rPr>
        <w:footnoteReference w:id="893"/>
      </w:r>
      <w:r w:rsidRPr="00472578">
        <w:rPr>
          <w:rFonts w:ascii="Calibri" w:eastAsia="Calibri" w:hAnsi="Calibri" w:cs="Times New Roman"/>
        </w:rPr>
        <w:t xml:space="preserve"> in (1)(b)</w:t>
      </w:r>
      <w:r w:rsidRPr="00472578">
        <w:rPr>
          <w:rFonts w:ascii="Calibri" w:eastAsia="Calibri" w:hAnsi="Calibri" w:cs="Times New Roman"/>
          <w:u w:val="single"/>
        </w:rPr>
        <w:t xml:space="preserve">(i) and the </w:t>
      </w:r>
      <w:r w:rsidRPr="00472578">
        <w:rPr>
          <w:rFonts w:ascii="Calibri" w:eastAsia="Calibri" w:hAnsi="Calibri" w:cs="Times New Roman"/>
          <w:i/>
          <w:u w:val="single"/>
        </w:rPr>
        <w:t xml:space="preserve">effects management hierarchy </w:t>
      </w:r>
      <w:r w:rsidRPr="00767A90">
        <w:rPr>
          <w:rFonts w:ascii="Calibri" w:eastAsia="Calibri" w:hAnsi="Calibri" w:cs="Times New Roman"/>
          <w:i/>
          <w:u w:val="single"/>
        </w:rPr>
        <w:t>(in relation to natural wetlands and rivers)</w:t>
      </w:r>
      <w:r w:rsidRPr="00472578">
        <w:rPr>
          <w:rFonts w:ascii="Calibri" w:eastAsia="Calibri" w:hAnsi="Calibri" w:cs="Times New Roman"/>
          <w:iCs/>
          <w:u w:val="single"/>
        </w:rPr>
        <w:t xml:space="preserve"> </w:t>
      </w:r>
      <w:r w:rsidRPr="00472578">
        <w:rPr>
          <w:rFonts w:ascii="Calibri" w:eastAsia="Calibri" w:hAnsi="Calibri" w:cs="Times New Roman"/>
          <w:u w:val="single"/>
        </w:rPr>
        <w:t>in (1)(b)(ii)</w:t>
      </w:r>
      <w:r w:rsidRPr="00472578">
        <w:rPr>
          <w:rStyle w:val="FootnoteReference"/>
          <w:rFonts w:ascii="Calibri" w:eastAsia="Calibri" w:hAnsi="Calibri" w:cs="Times New Roman"/>
        </w:rPr>
        <w:footnoteReference w:id="894"/>
      </w:r>
      <w:r w:rsidRPr="00472578">
        <w:rPr>
          <w:rFonts w:ascii="Calibri" w:eastAsia="Calibri" w:hAnsi="Calibri" w:cs="Times New Roman"/>
          <w:u w:val="single"/>
        </w:rPr>
        <w:t xml:space="preserve"> in respect of any loss of values or extent of the </w:t>
      </w:r>
      <w:r w:rsidRPr="00472578">
        <w:rPr>
          <w:rFonts w:ascii="Calibri" w:eastAsia="Calibri" w:hAnsi="Calibri" w:cs="Times New Roman"/>
          <w:i/>
          <w:iCs/>
          <w:u w:val="single"/>
        </w:rPr>
        <w:t>river</w:t>
      </w:r>
      <w:r w:rsidR="001F6A3A" w:rsidRPr="000E3674">
        <w:rPr>
          <w:rFonts w:ascii="Calibri" w:eastAsia="Calibri" w:hAnsi="Calibri" w:cs="Times New Roman"/>
          <w:i/>
          <w:iCs/>
        </w:rPr>
        <w:t>,</w:t>
      </w:r>
      <w:r w:rsidRPr="00472578">
        <w:rPr>
          <w:rStyle w:val="FootnoteReference"/>
          <w:rFonts w:ascii="Calibri" w:eastAsia="Calibri" w:hAnsi="Calibri" w:cs="Times New Roman"/>
        </w:rPr>
        <w:footnoteReference w:id="895"/>
      </w:r>
    </w:p>
    <w:p w14:paraId="0E300A8B" w14:textId="77777777" w:rsidR="000419F6" w:rsidRPr="00472578" w:rsidRDefault="000419F6" w:rsidP="00E92686">
      <w:pPr>
        <w:spacing w:line="240" w:lineRule="auto"/>
        <w:ind w:left="567" w:hanging="567"/>
        <w:jc w:val="both"/>
        <w:rPr>
          <w:rFonts w:ascii="Calibri" w:eastAsia="Calibri" w:hAnsi="Calibri" w:cs="Times New Roman"/>
          <w:i/>
        </w:rPr>
      </w:pPr>
      <w:r w:rsidRPr="00472578">
        <w:rPr>
          <w:rFonts w:ascii="Calibri" w:eastAsia="Calibri" w:hAnsi="Calibri" w:cs="Times New Roman"/>
        </w:rPr>
        <w:t>(3)</w:t>
      </w:r>
      <w:r w:rsidRPr="00472578">
        <w:rPr>
          <w:rFonts w:ascii="Calibri" w:eastAsia="Calibri" w:hAnsi="Calibri" w:cs="Times New Roman"/>
        </w:rPr>
        <w:tab/>
        <w:t xml:space="preserve">establishing environmental flow and level regimes and </w:t>
      </w:r>
      <w:r w:rsidRPr="00472578">
        <w:rPr>
          <w:rFonts w:ascii="Calibri" w:eastAsia="Calibri" w:hAnsi="Calibri" w:cs="Times New Roman"/>
          <w:i/>
        </w:rPr>
        <w:t>water</w:t>
      </w:r>
      <w:r w:rsidRPr="00472578">
        <w:rPr>
          <w:rFonts w:ascii="Calibri" w:eastAsia="Calibri" w:hAnsi="Calibri" w:cs="Times New Roman"/>
        </w:rPr>
        <w:t xml:space="preserve"> quality standards that support the health and well-being of the </w:t>
      </w:r>
      <w:r w:rsidRPr="00472578">
        <w:rPr>
          <w:rFonts w:ascii="Calibri" w:eastAsia="Calibri" w:hAnsi="Calibri" w:cs="Times New Roman"/>
          <w:i/>
        </w:rPr>
        <w:t>water body,</w:t>
      </w:r>
      <w:r w:rsidRPr="00472578">
        <w:rPr>
          <w:rFonts w:ascii="Calibri" w:eastAsia="Calibri" w:hAnsi="Calibri" w:cs="Times New Roman"/>
        </w:rPr>
        <w:t xml:space="preserve"> </w:t>
      </w:r>
    </w:p>
    <w:p w14:paraId="64111D9B" w14:textId="77777777" w:rsidR="000419F6" w:rsidRPr="00472578" w:rsidRDefault="000419F6" w:rsidP="00E92686">
      <w:pPr>
        <w:spacing w:line="240" w:lineRule="auto"/>
        <w:ind w:left="567" w:hanging="567"/>
        <w:jc w:val="both"/>
        <w:rPr>
          <w:rFonts w:ascii="Calibri" w:eastAsia="Calibri" w:hAnsi="Calibri" w:cs="Times New Roman"/>
        </w:rPr>
      </w:pPr>
      <w:r w:rsidRPr="00472578">
        <w:rPr>
          <w:rFonts w:ascii="Calibri" w:eastAsia="Calibri" w:hAnsi="Calibri" w:cs="Times New Roman"/>
        </w:rPr>
        <w:t>(4)</w:t>
      </w:r>
      <w:r w:rsidRPr="00472578">
        <w:rPr>
          <w:rFonts w:ascii="Calibri" w:eastAsia="Calibri" w:hAnsi="Calibri" w:cs="Times New Roman"/>
        </w:rPr>
        <w:tab/>
        <w:t xml:space="preserve">wherever possible, sustaining the form and function of a </w:t>
      </w:r>
      <w:r w:rsidRPr="00472578">
        <w:rPr>
          <w:rFonts w:ascii="Calibri" w:eastAsia="Calibri" w:hAnsi="Calibri" w:cs="Times New Roman"/>
          <w:i/>
        </w:rPr>
        <w:t>water body</w:t>
      </w:r>
      <w:r w:rsidRPr="00472578">
        <w:rPr>
          <w:rFonts w:ascii="Calibri" w:eastAsia="Calibri" w:hAnsi="Calibri" w:cs="Times New Roman"/>
        </w:rPr>
        <w:t xml:space="preserve"> that reflects its natural behaviours,</w:t>
      </w:r>
      <w:r w:rsidRPr="00472578" w:rsidDel="00082EFA">
        <w:rPr>
          <w:rFonts w:ascii="Calibri" w:eastAsia="Calibri" w:hAnsi="Calibri" w:cs="Times New Roman"/>
        </w:rPr>
        <w:t xml:space="preserve"> </w:t>
      </w:r>
    </w:p>
    <w:p w14:paraId="7FA9BC77" w14:textId="77777777" w:rsidR="000419F6" w:rsidRPr="00472578" w:rsidRDefault="000419F6" w:rsidP="00E92686">
      <w:pPr>
        <w:spacing w:line="240" w:lineRule="auto"/>
        <w:ind w:left="567" w:hanging="567"/>
        <w:jc w:val="both"/>
        <w:rPr>
          <w:rFonts w:ascii="Calibri" w:eastAsia="Calibri" w:hAnsi="Calibri" w:cs="Times New Roman"/>
        </w:rPr>
      </w:pPr>
      <w:r w:rsidRPr="00472578">
        <w:rPr>
          <w:rFonts w:ascii="Calibri" w:eastAsia="Calibri" w:hAnsi="Calibri" w:cs="Times New Roman"/>
        </w:rPr>
        <w:t>(5)</w:t>
      </w:r>
      <w:r w:rsidRPr="00472578">
        <w:rPr>
          <w:rFonts w:ascii="Calibri" w:eastAsia="Calibri" w:hAnsi="Calibri" w:cs="Times New Roman"/>
        </w:rPr>
        <w:tab/>
        <w:t>recognising and implementing the restrictions in Water Conservation Orders,</w:t>
      </w:r>
      <w:r w:rsidRPr="00472578" w:rsidDel="00A14956">
        <w:rPr>
          <w:rFonts w:ascii="Calibri" w:eastAsia="Calibri" w:hAnsi="Calibri" w:cs="Times New Roman"/>
        </w:rPr>
        <w:t xml:space="preserve"> </w:t>
      </w:r>
    </w:p>
    <w:p w14:paraId="2DB0166B" w14:textId="77777777" w:rsidR="000419F6" w:rsidRPr="00472578" w:rsidRDefault="000419F6" w:rsidP="00E92686">
      <w:pPr>
        <w:spacing w:line="240" w:lineRule="auto"/>
        <w:ind w:left="567" w:hanging="567"/>
        <w:jc w:val="both"/>
        <w:rPr>
          <w:rFonts w:ascii="Calibri" w:eastAsia="Calibri" w:hAnsi="Calibri" w:cs="Times New Roman"/>
        </w:rPr>
      </w:pPr>
      <w:r w:rsidRPr="00472578">
        <w:rPr>
          <w:rFonts w:ascii="Calibri" w:eastAsia="Calibri" w:hAnsi="Calibri" w:cs="Times New Roman"/>
        </w:rPr>
        <w:t>(6)</w:t>
      </w:r>
      <w:r w:rsidRPr="00472578">
        <w:rPr>
          <w:rFonts w:ascii="Calibri" w:eastAsia="Calibri" w:hAnsi="Calibri" w:cs="Times New Roman"/>
        </w:rPr>
        <w:tab/>
        <w:t xml:space="preserve">preventing the impounding or control of the level of Lake Wanaka, </w:t>
      </w:r>
    </w:p>
    <w:p w14:paraId="5758E402" w14:textId="77777777" w:rsidR="000419F6" w:rsidRPr="00472578" w:rsidRDefault="000419F6" w:rsidP="00E92686">
      <w:pPr>
        <w:spacing w:line="240" w:lineRule="auto"/>
        <w:ind w:left="567" w:hanging="567"/>
        <w:jc w:val="both"/>
        <w:rPr>
          <w:rFonts w:ascii="Calibri" w:eastAsia="Calibri" w:hAnsi="Calibri" w:cs="Times New Roman"/>
        </w:rPr>
      </w:pPr>
      <w:r w:rsidRPr="00472578">
        <w:rPr>
          <w:rFonts w:ascii="Calibri" w:eastAsia="Calibri" w:hAnsi="Calibri" w:cs="Times New Roman"/>
        </w:rPr>
        <w:t>(7)</w:t>
      </w:r>
      <w:r w:rsidRPr="00472578">
        <w:rPr>
          <w:rFonts w:ascii="Calibri" w:eastAsia="Calibri" w:hAnsi="Calibri" w:cs="Times New Roman"/>
        </w:rPr>
        <w:tab/>
        <w:t xml:space="preserve">preventing </w:t>
      </w:r>
      <w:r w:rsidRPr="00472578">
        <w:rPr>
          <w:rFonts w:ascii="Calibri" w:eastAsia="Calibri" w:hAnsi="Calibri" w:cs="Times New Roman"/>
          <w:u w:val="single"/>
        </w:rPr>
        <w:t>permanent</w:t>
      </w:r>
      <w:r w:rsidRPr="00472578">
        <w:rPr>
          <w:rStyle w:val="FootnoteReference"/>
        </w:rPr>
        <w:footnoteReference w:id="896"/>
      </w:r>
      <w:r w:rsidRPr="00472578">
        <w:rPr>
          <w:rFonts w:ascii="Calibri" w:eastAsia="Calibri" w:hAnsi="Calibri" w:cs="Times New Roman"/>
        </w:rPr>
        <w:t xml:space="preserve"> modification that would reduce the braided character of a </w:t>
      </w:r>
      <w:r w:rsidRPr="00472578">
        <w:rPr>
          <w:rFonts w:ascii="Calibri" w:eastAsia="Calibri" w:hAnsi="Calibri" w:cs="Times New Roman"/>
          <w:i/>
        </w:rPr>
        <w:t>river</w:t>
      </w:r>
      <w:r w:rsidRPr="00472578">
        <w:rPr>
          <w:rFonts w:ascii="Calibri" w:eastAsia="Calibri" w:hAnsi="Calibri" w:cs="Times New Roman"/>
        </w:rPr>
        <w:t xml:space="preserve">, </w:t>
      </w:r>
      <w:r w:rsidRPr="00472578">
        <w:rPr>
          <w:rFonts w:ascii="Calibri" w:eastAsia="Calibri" w:hAnsi="Calibri" w:cs="Times New Roman"/>
          <w:strike/>
        </w:rPr>
        <w:t>and</w:t>
      </w:r>
    </w:p>
    <w:p w14:paraId="082FF21A" w14:textId="77777777" w:rsidR="000419F6" w:rsidRPr="00472578" w:rsidRDefault="000419F6" w:rsidP="00E92686">
      <w:pPr>
        <w:spacing w:line="240" w:lineRule="auto"/>
        <w:ind w:left="567" w:hanging="567"/>
        <w:jc w:val="both"/>
        <w:rPr>
          <w:rFonts w:ascii="Calibri" w:eastAsia="Calibri" w:hAnsi="Calibri" w:cs="Times New Roman"/>
          <w:i/>
        </w:rPr>
      </w:pPr>
      <w:r w:rsidRPr="00472578">
        <w:rPr>
          <w:rFonts w:ascii="Calibri" w:eastAsia="Calibri" w:hAnsi="Calibri" w:cs="Times New Roman"/>
        </w:rPr>
        <w:t>(8)</w:t>
      </w:r>
      <w:r w:rsidRPr="00472578">
        <w:rPr>
          <w:rFonts w:ascii="Calibri" w:eastAsia="Calibri" w:hAnsi="Calibri" w:cs="Times New Roman"/>
        </w:rPr>
        <w:tab/>
        <w:t xml:space="preserve">controlling the use of </w:t>
      </w:r>
      <w:r w:rsidRPr="00472578">
        <w:rPr>
          <w:rFonts w:ascii="Calibri" w:eastAsia="Calibri" w:hAnsi="Calibri" w:cs="Times New Roman"/>
          <w:i/>
        </w:rPr>
        <w:t>water</w:t>
      </w:r>
      <w:r w:rsidRPr="00472578">
        <w:rPr>
          <w:rFonts w:ascii="Calibri" w:eastAsia="Calibri" w:hAnsi="Calibri" w:cs="Times New Roman"/>
        </w:rPr>
        <w:t xml:space="preserve"> and </w:t>
      </w:r>
      <w:r w:rsidRPr="00472578">
        <w:rPr>
          <w:rFonts w:ascii="Calibri" w:eastAsia="Calibri" w:hAnsi="Calibri" w:cs="Times New Roman"/>
          <w:i/>
        </w:rPr>
        <w:t>land</w:t>
      </w:r>
      <w:r w:rsidRPr="00472578">
        <w:rPr>
          <w:rFonts w:ascii="Calibri" w:eastAsia="Calibri" w:hAnsi="Calibri" w:cs="Times New Roman"/>
        </w:rPr>
        <w:t xml:space="preserve"> that would adversely affect the natural character of the </w:t>
      </w:r>
      <w:r w:rsidRPr="00472578">
        <w:rPr>
          <w:rFonts w:ascii="Calibri" w:eastAsia="Calibri" w:hAnsi="Calibri" w:cs="Times New Roman"/>
          <w:i/>
        </w:rPr>
        <w:t>water body</w:t>
      </w:r>
      <w:r w:rsidRPr="00472578">
        <w:rPr>
          <w:rFonts w:ascii="Calibri" w:eastAsia="Calibri" w:hAnsi="Calibri" w:cs="Times New Roman"/>
          <w:i/>
          <w:strike/>
        </w:rPr>
        <w:t>.</w:t>
      </w:r>
      <w:r w:rsidRPr="00472578">
        <w:rPr>
          <w:rFonts w:ascii="Calibri" w:eastAsia="Calibri" w:hAnsi="Calibri" w:cs="Times New Roman"/>
          <w:u w:val="single"/>
        </w:rPr>
        <w:t>, and</w:t>
      </w:r>
    </w:p>
    <w:p w14:paraId="32678CF6" w14:textId="77777777" w:rsidR="000419F6" w:rsidRPr="00472578" w:rsidRDefault="000419F6" w:rsidP="00E92686">
      <w:pPr>
        <w:pStyle w:val="Paragraphs"/>
        <w:numPr>
          <w:ilvl w:val="0"/>
          <w:numId w:val="0"/>
        </w:numPr>
        <w:ind w:left="567" w:hanging="567"/>
        <w:jc w:val="both"/>
      </w:pPr>
      <w:r w:rsidRPr="00472578">
        <w:rPr>
          <w:u w:val="single"/>
        </w:rPr>
        <w:lastRenderedPageBreak/>
        <w:t xml:space="preserve">(9) </w:t>
      </w:r>
      <w:r w:rsidRPr="00472578">
        <w:rPr>
          <w:u w:val="single"/>
        </w:rPr>
        <w:tab/>
        <w:t xml:space="preserve">maintaining or enhancing the values of riparian margins to support habitat and biodiversity and reduce sedimentation of </w:t>
      </w:r>
      <w:r w:rsidRPr="00767A90">
        <w:rPr>
          <w:i/>
          <w:iCs/>
          <w:u w:val="single"/>
        </w:rPr>
        <w:t>water bodies</w:t>
      </w:r>
      <w:r w:rsidRPr="00472578">
        <w:rPr>
          <w:u w:val="single"/>
        </w:rPr>
        <w:t>.</w:t>
      </w:r>
      <w:r w:rsidRPr="00472578">
        <w:rPr>
          <w:vertAlign w:val="superscript"/>
        </w:rPr>
        <w:footnoteReference w:id="897"/>
      </w:r>
    </w:p>
    <w:p w14:paraId="49979814" w14:textId="2AEFAF3F" w:rsidR="000419F6" w:rsidRPr="00472578" w:rsidRDefault="000419F6" w:rsidP="00E92686">
      <w:pPr>
        <w:pStyle w:val="Heading5"/>
        <w:jc w:val="both"/>
        <w:rPr>
          <w:rStyle w:val="normaltextrun"/>
          <w:u w:val="single"/>
        </w:rPr>
      </w:pPr>
      <w:r w:rsidRPr="00472578">
        <w:rPr>
          <w:rStyle w:val="normaltextrun"/>
          <w:u w:val="single"/>
        </w:rPr>
        <w:t xml:space="preserve">LF-FW-P13A – </w:t>
      </w:r>
      <w:r w:rsidRPr="00472578">
        <w:rPr>
          <w:rStyle w:val="normaltextrun"/>
          <w:i/>
          <w:iCs/>
          <w:u w:val="single"/>
        </w:rPr>
        <w:t>Effects management hierarchy</w:t>
      </w:r>
      <w:r w:rsidRPr="00472578">
        <w:rPr>
          <w:rStyle w:val="normaltextrun"/>
          <w:u w:val="single"/>
        </w:rPr>
        <w:t xml:space="preserve"> </w:t>
      </w:r>
      <w:r w:rsidR="006A40B4" w:rsidRPr="006A40B4">
        <w:rPr>
          <w:rStyle w:val="normaltextrun"/>
          <w:i/>
          <w:iCs/>
          <w:u w:val="single"/>
        </w:rPr>
        <w:t>(</w:t>
      </w:r>
      <w:r w:rsidRPr="006A40B4">
        <w:rPr>
          <w:rStyle w:val="normaltextrun"/>
          <w:i/>
          <w:iCs/>
          <w:u w:val="single"/>
        </w:rPr>
        <w:t>in relation to natural wetlands and rivers</w:t>
      </w:r>
      <w:r w:rsidR="006A40B4">
        <w:rPr>
          <w:rStyle w:val="normaltextrun"/>
          <w:i/>
          <w:iCs/>
          <w:u w:val="single"/>
        </w:rPr>
        <w:t>)</w:t>
      </w:r>
      <w:r w:rsidRPr="00D87DD7">
        <w:rPr>
          <w:rStyle w:val="FootnoteReference"/>
          <w:b w:val="0"/>
          <w:bCs w:val="0"/>
          <w:color w:val="auto"/>
        </w:rPr>
        <w:footnoteReference w:id="898"/>
      </w:r>
    </w:p>
    <w:p w14:paraId="57B20185" w14:textId="2BE2EFEF" w:rsidR="000419F6" w:rsidRPr="00472578" w:rsidRDefault="000419F6" w:rsidP="00E92686">
      <w:pPr>
        <w:spacing w:line="256" w:lineRule="auto"/>
        <w:jc w:val="both"/>
        <w:rPr>
          <w:rFonts w:ascii="Calibri" w:eastAsia="Calibri" w:hAnsi="Calibri" w:cs="Times New Roman"/>
          <w:u w:val="single"/>
        </w:rPr>
      </w:pPr>
      <w:r w:rsidRPr="00472578">
        <w:rPr>
          <w:rFonts w:ascii="Calibri" w:eastAsia="Calibri" w:hAnsi="Calibri" w:cs="Times New Roman"/>
          <w:u w:val="single"/>
        </w:rPr>
        <w:t xml:space="preserve">The </w:t>
      </w:r>
      <w:r w:rsidRPr="00472578">
        <w:rPr>
          <w:rFonts w:ascii="Calibri" w:eastAsia="Calibri" w:hAnsi="Calibri" w:cs="Times New Roman"/>
          <w:i/>
          <w:iCs/>
          <w:u w:val="single"/>
        </w:rPr>
        <w:t>effects management hierarchy</w:t>
      </w:r>
      <w:r w:rsidRPr="00472578">
        <w:rPr>
          <w:rFonts w:ascii="Calibri" w:eastAsia="Calibri" w:hAnsi="Calibri" w:cs="Times New Roman"/>
          <w:u w:val="single"/>
        </w:rPr>
        <w:t xml:space="preserve"> (in relation to </w:t>
      </w:r>
      <w:r w:rsidRPr="00472578">
        <w:rPr>
          <w:rFonts w:ascii="Calibri" w:eastAsia="Calibri" w:hAnsi="Calibri" w:cs="Times New Roman"/>
          <w:i/>
          <w:iCs/>
          <w:u w:val="single"/>
        </w:rPr>
        <w:t>natural wetlands</w:t>
      </w:r>
      <w:r w:rsidRPr="00472578">
        <w:rPr>
          <w:rFonts w:ascii="Calibri" w:eastAsia="Calibri" w:hAnsi="Calibri" w:cs="Times New Roman"/>
          <w:u w:val="single"/>
        </w:rPr>
        <w:t xml:space="preserve"> and </w:t>
      </w:r>
      <w:r w:rsidRPr="00472578">
        <w:rPr>
          <w:rFonts w:ascii="Calibri" w:eastAsia="Calibri" w:hAnsi="Calibri" w:cs="Times New Roman"/>
          <w:i/>
          <w:iCs/>
          <w:u w:val="single"/>
        </w:rPr>
        <w:t>rivers</w:t>
      </w:r>
      <w:r w:rsidRPr="00472578">
        <w:rPr>
          <w:rFonts w:ascii="Calibri" w:eastAsia="Calibri" w:hAnsi="Calibri" w:cs="Times New Roman"/>
          <w:u w:val="single"/>
        </w:rPr>
        <w:t xml:space="preserve">) referred to in LF-FW-P9 and LF-FW-P13 is </w:t>
      </w:r>
      <w:r w:rsidR="00327546">
        <w:rPr>
          <w:rFonts w:ascii="Calibri" w:eastAsia="Calibri" w:hAnsi="Calibri" w:cs="Times New Roman"/>
          <w:u w:val="single"/>
        </w:rPr>
        <w:t>the</w:t>
      </w:r>
      <w:r w:rsidRPr="00472578">
        <w:rPr>
          <w:rFonts w:ascii="Calibri" w:eastAsia="Calibri" w:hAnsi="Calibri" w:cs="Times New Roman"/>
          <w:u w:val="single"/>
        </w:rPr>
        <w:t xml:space="preserve"> approach to managing adverse </w:t>
      </w:r>
      <w:r w:rsidRPr="00472578">
        <w:rPr>
          <w:rFonts w:ascii="Calibri" w:eastAsia="Calibri" w:hAnsi="Calibri" w:cs="Times New Roman"/>
          <w:i/>
          <w:iCs/>
          <w:u w:val="single"/>
        </w:rPr>
        <w:t>effects</w:t>
      </w:r>
      <w:r w:rsidRPr="00472578">
        <w:rPr>
          <w:rFonts w:ascii="Calibri" w:eastAsia="Calibri" w:hAnsi="Calibri" w:cs="Times New Roman"/>
          <w:u w:val="single"/>
        </w:rPr>
        <w:t xml:space="preserve"> of activities that requires that:</w:t>
      </w:r>
    </w:p>
    <w:p w14:paraId="62F12561"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 xml:space="preserve">(1) </w:t>
      </w:r>
      <w:r w:rsidRPr="00472578">
        <w:rPr>
          <w:rFonts w:eastAsia="National-Book" w:cs="Times New Roman"/>
          <w:u w:val="single"/>
        </w:rPr>
        <w:tab/>
        <w:t xml:space="preserve">adverse </w:t>
      </w:r>
      <w:r w:rsidRPr="00472578">
        <w:rPr>
          <w:rFonts w:eastAsia="National-Book" w:cs="Times New Roman"/>
          <w:i/>
          <w:iCs/>
          <w:u w:val="single"/>
        </w:rPr>
        <w:t>effects</w:t>
      </w:r>
      <w:r w:rsidRPr="00472578">
        <w:rPr>
          <w:rFonts w:eastAsia="National-Book" w:cs="Times New Roman"/>
          <w:u w:val="single"/>
        </w:rPr>
        <w:t xml:space="preserve"> are avoided where practicable,</w:t>
      </w:r>
    </w:p>
    <w:p w14:paraId="5833E0D0"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 xml:space="preserve">(2) </w:t>
      </w:r>
      <w:r w:rsidRPr="00472578">
        <w:rPr>
          <w:rFonts w:eastAsia="National-Book" w:cs="Times New Roman"/>
          <w:u w:val="single"/>
        </w:rPr>
        <w:tab/>
        <w:t xml:space="preserve">where adverse </w:t>
      </w:r>
      <w:r w:rsidRPr="00472578">
        <w:rPr>
          <w:rFonts w:eastAsia="National-Book" w:cs="Times New Roman"/>
          <w:i/>
          <w:iCs/>
          <w:u w:val="single"/>
        </w:rPr>
        <w:t>effects</w:t>
      </w:r>
      <w:r w:rsidRPr="00472578">
        <w:rPr>
          <w:rFonts w:eastAsia="National-Book" w:cs="Times New Roman"/>
          <w:u w:val="single"/>
        </w:rPr>
        <w:t xml:space="preserve"> cannot be avoided, they are minimised where practicable,</w:t>
      </w:r>
    </w:p>
    <w:p w14:paraId="59447EF3"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 xml:space="preserve">(3) </w:t>
      </w:r>
      <w:r w:rsidRPr="00472578">
        <w:rPr>
          <w:rFonts w:eastAsia="National-Book" w:cs="Times New Roman"/>
          <w:u w:val="single"/>
        </w:rPr>
        <w:tab/>
        <w:t xml:space="preserve">where adverse </w:t>
      </w:r>
      <w:r w:rsidRPr="00472578">
        <w:rPr>
          <w:rFonts w:eastAsia="National-Book" w:cs="Times New Roman"/>
          <w:i/>
          <w:iCs/>
          <w:u w:val="single"/>
        </w:rPr>
        <w:t>effects</w:t>
      </w:r>
      <w:r w:rsidRPr="00472578">
        <w:rPr>
          <w:rFonts w:eastAsia="National-Book" w:cs="Times New Roman"/>
          <w:u w:val="single"/>
        </w:rPr>
        <w:t xml:space="preserve"> cannot be minimised, they are remedied where practicable,</w:t>
      </w:r>
    </w:p>
    <w:p w14:paraId="33C725FE"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 xml:space="preserve">(4) </w:t>
      </w:r>
      <w:r w:rsidRPr="00472578">
        <w:rPr>
          <w:rFonts w:eastAsia="National-Book" w:cs="Times New Roman"/>
          <w:u w:val="single"/>
        </w:rPr>
        <w:tab/>
        <w:t xml:space="preserve">where more than minor residual adverse </w:t>
      </w:r>
      <w:r w:rsidRPr="00472578">
        <w:rPr>
          <w:rFonts w:eastAsia="National-Book" w:cs="Times New Roman"/>
          <w:i/>
          <w:iCs/>
          <w:u w:val="single"/>
        </w:rPr>
        <w:t>effects</w:t>
      </w:r>
      <w:r w:rsidRPr="00472578">
        <w:rPr>
          <w:rFonts w:eastAsia="National-Book" w:cs="Times New Roman"/>
          <w:u w:val="single"/>
        </w:rPr>
        <w:t xml:space="preserve"> cannot be avoided, minimised, or remedied, </w:t>
      </w:r>
      <w:r w:rsidRPr="00472578">
        <w:rPr>
          <w:rFonts w:eastAsia="National-Book" w:cs="Times New Roman"/>
          <w:i/>
          <w:iCs/>
          <w:u w:val="single"/>
        </w:rPr>
        <w:t>aquatic offsetting</w:t>
      </w:r>
      <w:r w:rsidRPr="00472578">
        <w:rPr>
          <w:rFonts w:eastAsia="National-Book" w:cs="Times New Roman"/>
          <w:u w:val="single"/>
        </w:rPr>
        <w:t xml:space="preserve"> is provided where possible,</w:t>
      </w:r>
    </w:p>
    <w:p w14:paraId="7A094275"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 xml:space="preserve">(5) </w:t>
      </w:r>
      <w:r w:rsidRPr="00472578">
        <w:rPr>
          <w:rFonts w:eastAsia="National-Book" w:cs="Times New Roman"/>
          <w:u w:val="single"/>
        </w:rPr>
        <w:tab/>
        <w:t xml:space="preserve">if </w:t>
      </w:r>
      <w:r w:rsidRPr="00472578">
        <w:rPr>
          <w:rFonts w:eastAsia="National-Book" w:cs="Times New Roman"/>
          <w:i/>
          <w:iCs/>
          <w:u w:val="single"/>
        </w:rPr>
        <w:t>aquatic offsetting</w:t>
      </w:r>
      <w:r w:rsidRPr="00472578">
        <w:rPr>
          <w:rFonts w:eastAsia="National-Book" w:cs="Times New Roman"/>
          <w:u w:val="single"/>
        </w:rPr>
        <w:t xml:space="preserve"> of more than minor residual adverse </w:t>
      </w:r>
      <w:r w:rsidRPr="00472578">
        <w:rPr>
          <w:rFonts w:eastAsia="National-Book" w:cs="Times New Roman"/>
          <w:i/>
          <w:iCs/>
          <w:u w:val="single"/>
        </w:rPr>
        <w:t>effects</w:t>
      </w:r>
      <w:r w:rsidRPr="00472578">
        <w:rPr>
          <w:rFonts w:eastAsia="National-Book" w:cs="Times New Roman"/>
          <w:u w:val="single"/>
        </w:rPr>
        <w:t xml:space="preserve"> is not possible, </w:t>
      </w:r>
      <w:r w:rsidRPr="00472578">
        <w:rPr>
          <w:rFonts w:eastAsia="National-Book" w:cs="Times New Roman"/>
          <w:i/>
          <w:iCs/>
          <w:u w:val="single"/>
        </w:rPr>
        <w:t>aquatic compensation</w:t>
      </w:r>
      <w:r w:rsidRPr="00472578">
        <w:rPr>
          <w:rFonts w:eastAsia="National-Book" w:cs="Times New Roman"/>
          <w:u w:val="single"/>
        </w:rPr>
        <w:t xml:space="preserve"> is provided, and</w:t>
      </w:r>
    </w:p>
    <w:p w14:paraId="504783C1"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 xml:space="preserve">(6) </w:t>
      </w:r>
      <w:r w:rsidRPr="00472578">
        <w:rPr>
          <w:rFonts w:eastAsia="National-Book" w:cs="Times New Roman"/>
          <w:u w:val="single"/>
        </w:rPr>
        <w:tab/>
        <w:t xml:space="preserve">if </w:t>
      </w:r>
      <w:r w:rsidRPr="00472578">
        <w:rPr>
          <w:rFonts w:eastAsia="National-Book" w:cs="Times New Roman"/>
          <w:i/>
          <w:iCs/>
          <w:u w:val="single"/>
        </w:rPr>
        <w:t>aquatic compensation</w:t>
      </w:r>
      <w:r w:rsidRPr="00472578">
        <w:rPr>
          <w:rFonts w:eastAsia="National-Book" w:cs="Times New Roman"/>
          <w:u w:val="single"/>
        </w:rPr>
        <w:t xml:space="preserve"> is not appropriate, the activity itself is avoided.</w:t>
      </w:r>
    </w:p>
    <w:p w14:paraId="629669B0"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u w:val="single"/>
        </w:rPr>
      </w:pPr>
      <w:r w:rsidRPr="00472578">
        <w:rPr>
          <w:rFonts w:ascii="Calibri" w:eastAsia="Calibri" w:hAnsi="Calibri" w:cs="Times New Roman"/>
          <w:b/>
          <w:color w:val="1F3864" w:themeColor="accent1" w:themeShade="80"/>
        </w:rPr>
        <w:t xml:space="preserve">LF-FW-P14 – Restoring natural character </w:t>
      </w:r>
      <w:r w:rsidRPr="00472578">
        <w:rPr>
          <w:rFonts w:ascii="Calibri" w:eastAsia="Calibri" w:hAnsi="Calibri" w:cs="Times New Roman"/>
          <w:b/>
          <w:color w:val="1F3864" w:themeColor="accent1" w:themeShade="80"/>
          <w:u w:val="single"/>
        </w:rPr>
        <w:t>and instream values</w:t>
      </w:r>
      <w:r w:rsidRPr="00472578">
        <w:rPr>
          <w:rStyle w:val="FootnoteReference"/>
        </w:rPr>
        <w:footnoteReference w:id="899"/>
      </w:r>
    </w:p>
    <w:p w14:paraId="3F617854" w14:textId="0238F916" w:rsidR="000419F6" w:rsidRPr="00472578" w:rsidRDefault="000419F6" w:rsidP="00E92686">
      <w:pPr>
        <w:spacing w:line="256" w:lineRule="auto"/>
        <w:jc w:val="both"/>
        <w:rPr>
          <w:rFonts w:ascii="Calibri" w:eastAsia="Calibri" w:hAnsi="Calibri" w:cs="Times New Roman"/>
        </w:rPr>
      </w:pPr>
      <w:r w:rsidRPr="00472578">
        <w:rPr>
          <w:rFonts w:ascii="Calibri" w:eastAsia="Calibri" w:hAnsi="Calibri" w:cs="Times New Roman"/>
        </w:rPr>
        <w:t xml:space="preserve">Where the natural character </w:t>
      </w:r>
      <w:r w:rsidRPr="00472578">
        <w:rPr>
          <w:rFonts w:ascii="Calibri" w:eastAsia="Calibri" w:hAnsi="Calibri" w:cs="Times New Roman"/>
          <w:u w:val="single"/>
        </w:rPr>
        <w:t>or instream values</w:t>
      </w:r>
      <w:r w:rsidRPr="00472578">
        <w:rPr>
          <w:rStyle w:val="FootnoteReference"/>
        </w:rPr>
        <w:footnoteReference w:id="900"/>
      </w:r>
      <w:r w:rsidRPr="00472578">
        <w:rPr>
          <w:rFonts w:ascii="Calibri" w:eastAsia="Calibri" w:hAnsi="Calibri" w:cs="Times New Roman"/>
        </w:rPr>
        <w:t xml:space="preserve"> of </w:t>
      </w:r>
      <w:r w:rsidRPr="00472578">
        <w:rPr>
          <w:rFonts w:ascii="Calibri" w:eastAsia="Calibri" w:hAnsi="Calibri" w:cs="Times New Roman"/>
          <w:i/>
        </w:rPr>
        <w:t xml:space="preserve">lakes </w:t>
      </w:r>
      <w:r w:rsidRPr="00472578">
        <w:rPr>
          <w:rFonts w:ascii="Calibri" w:eastAsia="Calibri" w:hAnsi="Calibri" w:cs="Times New Roman"/>
        </w:rPr>
        <w:t>and</w:t>
      </w:r>
      <w:r w:rsidRPr="00472578">
        <w:rPr>
          <w:rFonts w:ascii="Calibri" w:eastAsia="Calibri" w:hAnsi="Calibri" w:cs="Times New Roman"/>
          <w:i/>
        </w:rPr>
        <w:t xml:space="preserve"> rivers</w:t>
      </w:r>
      <w:r w:rsidRPr="00472578">
        <w:rPr>
          <w:rFonts w:ascii="Calibri" w:eastAsia="Calibri" w:hAnsi="Calibri" w:cs="Times New Roman"/>
        </w:rPr>
        <w:t xml:space="preserve"> </w:t>
      </w:r>
      <w:r w:rsidR="00863930" w:rsidRPr="00863930">
        <w:rPr>
          <w:rFonts w:ascii="Calibri" w:eastAsia="Calibri" w:hAnsi="Calibri" w:cs="Times New Roman"/>
          <w:strike/>
        </w:rPr>
        <w:t>and</w:t>
      </w:r>
      <w:r w:rsidR="00863930">
        <w:rPr>
          <w:rFonts w:ascii="Calibri" w:eastAsia="Calibri" w:hAnsi="Calibri" w:cs="Times New Roman"/>
        </w:rPr>
        <w:t xml:space="preserve"> </w:t>
      </w:r>
      <w:r w:rsidRPr="00472578">
        <w:rPr>
          <w:rFonts w:ascii="Calibri" w:eastAsia="Calibri" w:hAnsi="Calibri" w:cs="Times New Roman"/>
          <w:u w:val="single"/>
        </w:rPr>
        <w:t>or the natural character of</w:t>
      </w:r>
      <w:r w:rsidRPr="00472578">
        <w:rPr>
          <w:rStyle w:val="FootnoteReference"/>
        </w:rPr>
        <w:footnoteReference w:id="901"/>
      </w:r>
      <w:r w:rsidRPr="00472578">
        <w:rPr>
          <w:rFonts w:ascii="Calibri" w:eastAsia="Calibri" w:hAnsi="Calibri" w:cs="Times New Roman"/>
        </w:rPr>
        <w:t xml:space="preserve"> their margins has been reduced or lost, promote actions that:</w:t>
      </w:r>
    </w:p>
    <w:p w14:paraId="1951FDDE" w14:textId="77777777" w:rsidR="000419F6" w:rsidRPr="00472578" w:rsidRDefault="000419F6"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restore a form and function that reflect the natural behaviours of the </w:t>
      </w:r>
      <w:r w:rsidRPr="00472578">
        <w:rPr>
          <w:rFonts w:eastAsia="National-Book" w:cs="Times New Roman"/>
          <w:i/>
        </w:rPr>
        <w:t>water body</w:t>
      </w:r>
      <w:r w:rsidRPr="00472578">
        <w:rPr>
          <w:rFonts w:eastAsia="National-Book" w:cs="Times New Roman"/>
        </w:rPr>
        <w:t>,</w:t>
      </w:r>
      <w:r w:rsidRPr="00472578" w:rsidDel="002942E5">
        <w:rPr>
          <w:rFonts w:eastAsia="National-Book" w:cs="Times New Roman"/>
        </w:rPr>
        <w:t xml:space="preserve"> </w:t>
      </w:r>
    </w:p>
    <w:p w14:paraId="7984EED5" w14:textId="77777777" w:rsidR="000419F6" w:rsidRPr="00472578" w:rsidRDefault="000419F6"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improve </w:t>
      </w:r>
      <w:r w:rsidRPr="00472578">
        <w:rPr>
          <w:rFonts w:eastAsia="National-Book" w:cs="Times New Roman"/>
          <w:i/>
        </w:rPr>
        <w:t>water</w:t>
      </w:r>
      <w:r w:rsidRPr="00472578">
        <w:rPr>
          <w:rFonts w:eastAsia="National-Book" w:cs="Times New Roman"/>
        </w:rPr>
        <w:t xml:space="preserve"> quality or quantity where it is </w:t>
      </w:r>
      <w:r w:rsidRPr="00472578">
        <w:rPr>
          <w:rFonts w:eastAsia="National-Book" w:cs="Times New Roman"/>
          <w:i/>
        </w:rPr>
        <w:t>degraded</w:t>
      </w:r>
      <w:r w:rsidRPr="00472578">
        <w:rPr>
          <w:rFonts w:eastAsia="National-Book" w:cs="Times New Roman"/>
        </w:rPr>
        <w:t>,</w:t>
      </w:r>
    </w:p>
    <w:p w14:paraId="7BCB62A0" w14:textId="77777777" w:rsidR="000419F6" w:rsidRPr="00472578" w:rsidRDefault="000419F6"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 xml:space="preserve">increase the presence, </w:t>
      </w:r>
      <w:r w:rsidRPr="00472578">
        <w:rPr>
          <w:rFonts w:eastAsia="National-Book" w:cs="Times New Roman"/>
          <w:i/>
        </w:rPr>
        <w:t>resilience</w:t>
      </w:r>
      <w:r w:rsidRPr="00472578">
        <w:rPr>
          <w:rFonts w:eastAsia="National-Book" w:cs="Times New Roman"/>
        </w:rPr>
        <w:t xml:space="preserve"> and abundance of indigenous flora and fauna, including by providing for fish passage within </w:t>
      </w:r>
      <w:r w:rsidRPr="00472578">
        <w:rPr>
          <w:rFonts w:eastAsia="National-Book" w:cs="Times New Roman"/>
          <w:i/>
        </w:rPr>
        <w:t>river</w:t>
      </w:r>
      <w:r w:rsidRPr="00472578">
        <w:rPr>
          <w:rFonts w:eastAsia="National-Book" w:cs="Times New Roman"/>
        </w:rPr>
        <w:t xml:space="preserve"> systems </w:t>
      </w:r>
      <w:r w:rsidRPr="639E38F9">
        <w:rPr>
          <w:u w:val="single"/>
        </w:rPr>
        <w:t>and creating fish barriers to prevent predation where necessary</w:t>
      </w:r>
      <w:r w:rsidRPr="00472578">
        <w:rPr>
          <w:rFonts w:eastAsia="National-Book" w:cs="Times New Roman"/>
        </w:rPr>
        <w:t>,</w:t>
      </w:r>
      <w:r w:rsidRPr="639E38F9">
        <w:rPr>
          <w:rStyle w:val="FootnoteReference"/>
        </w:rPr>
        <w:footnoteReference w:id="902"/>
      </w:r>
    </w:p>
    <w:p w14:paraId="4493A111" w14:textId="77777777" w:rsidR="000419F6" w:rsidRPr="00472578" w:rsidRDefault="000419F6" w:rsidP="00E92686">
      <w:pPr>
        <w:ind w:left="567" w:hanging="567"/>
        <w:jc w:val="both"/>
        <w:rPr>
          <w:rFonts w:eastAsia="National-Book" w:cs="Times New Roman"/>
        </w:rPr>
      </w:pPr>
      <w:r w:rsidRPr="00472578">
        <w:rPr>
          <w:rFonts w:eastAsia="National-Book" w:cs="Times New Roman"/>
        </w:rPr>
        <w:t>(4)</w:t>
      </w:r>
      <w:r w:rsidRPr="00472578">
        <w:rPr>
          <w:rFonts w:eastAsia="National-Book" w:cs="Times New Roman"/>
        </w:rPr>
        <w:tab/>
        <w:t xml:space="preserve">improve </w:t>
      </w:r>
      <w:r w:rsidRPr="00472578">
        <w:rPr>
          <w:rFonts w:eastAsia="National-Book" w:cs="Times New Roman"/>
          <w:i/>
        </w:rPr>
        <w:t>water body</w:t>
      </w:r>
      <w:r w:rsidRPr="00472578">
        <w:rPr>
          <w:rFonts w:eastAsia="National-Book" w:cs="Times New Roman"/>
        </w:rPr>
        <w:t xml:space="preserve"> margins by naturalising bank contours and establishing indigenous vegetation and habitat, and</w:t>
      </w:r>
    </w:p>
    <w:p w14:paraId="6E96D646" w14:textId="77777777" w:rsidR="000419F6" w:rsidRPr="00472578" w:rsidRDefault="000419F6" w:rsidP="00E92686">
      <w:pPr>
        <w:ind w:left="567" w:hanging="567"/>
        <w:jc w:val="both"/>
        <w:rPr>
          <w:rFonts w:eastAsia="National-Book" w:cs="Times New Roman"/>
        </w:rPr>
      </w:pPr>
      <w:r w:rsidRPr="00472578">
        <w:rPr>
          <w:rFonts w:eastAsia="National-Book" w:cs="Times New Roman"/>
        </w:rPr>
        <w:t>(5)</w:t>
      </w:r>
      <w:r w:rsidRPr="00472578">
        <w:rPr>
          <w:rFonts w:eastAsia="National-Book" w:cs="Times New Roman"/>
        </w:rPr>
        <w:tab/>
        <w:t xml:space="preserve">restore </w:t>
      </w:r>
      <w:r w:rsidRPr="00472578">
        <w:rPr>
          <w:rFonts w:eastAsia="National-Book" w:cs="Times New Roman"/>
          <w:i/>
        </w:rPr>
        <w:t>water</w:t>
      </w:r>
      <w:r w:rsidRPr="00472578">
        <w:rPr>
          <w:rFonts w:eastAsia="National-Book" w:cs="Times New Roman"/>
        </w:rPr>
        <w:t xml:space="preserve"> pathways and natural connectivity between </w:t>
      </w:r>
      <w:r w:rsidRPr="00472578">
        <w:rPr>
          <w:rFonts w:eastAsia="National-Book" w:cs="Times New Roman"/>
          <w:u w:val="single"/>
        </w:rPr>
        <w:t>and within</w:t>
      </w:r>
      <w:r w:rsidRPr="00472578">
        <w:rPr>
          <w:rStyle w:val="FootnoteReference"/>
        </w:rPr>
        <w:footnoteReference w:id="903"/>
      </w:r>
      <w:r w:rsidRPr="00472578">
        <w:rPr>
          <w:rFonts w:eastAsia="National-Book" w:cs="Times New Roman"/>
        </w:rPr>
        <w:t xml:space="preserve"> </w:t>
      </w:r>
      <w:r w:rsidRPr="00472578">
        <w:rPr>
          <w:rFonts w:eastAsia="National-Book" w:cs="Times New Roman"/>
          <w:i/>
        </w:rPr>
        <w:t>water</w:t>
      </w:r>
      <w:r w:rsidRPr="00472578">
        <w:rPr>
          <w:rFonts w:eastAsia="National-Book" w:cs="Times New Roman"/>
        </w:rPr>
        <w:t xml:space="preserve"> systems.</w:t>
      </w:r>
    </w:p>
    <w:p w14:paraId="2BA7381D"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LF-FW-P15 – </w:t>
      </w:r>
      <w:r w:rsidRPr="00472578">
        <w:rPr>
          <w:rFonts w:ascii="Calibri" w:eastAsia="Calibri" w:hAnsi="Calibri" w:cs="Times New Roman"/>
          <w:b/>
          <w:i/>
          <w:color w:val="1F3864" w:themeColor="accent1" w:themeShade="80"/>
        </w:rPr>
        <w:t>Stormwater</w:t>
      </w:r>
      <w:r w:rsidRPr="00472578">
        <w:rPr>
          <w:rFonts w:ascii="Calibri" w:eastAsia="Calibri" w:hAnsi="Calibri" w:cs="Times New Roman"/>
          <w:b/>
          <w:color w:val="1F3864" w:themeColor="accent1" w:themeShade="80"/>
        </w:rPr>
        <w:t xml:space="preserve"> and</w:t>
      </w:r>
      <w:r w:rsidRPr="00472578">
        <w:rPr>
          <w:rFonts w:ascii="Calibri" w:eastAsia="Calibri" w:hAnsi="Calibri" w:cs="Times New Roman"/>
          <w:b/>
          <w:strike/>
          <w:color w:val="1F3864" w:themeColor="accent1" w:themeShade="80"/>
        </w:rPr>
        <w:t xml:space="preserve"> </w:t>
      </w:r>
      <w:r w:rsidRPr="00472578">
        <w:rPr>
          <w:rFonts w:ascii="Calibri" w:eastAsia="Calibri" w:hAnsi="Calibri" w:cs="Times New Roman"/>
          <w:b/>
          <w:i/>
          <w:strike/>
          <w:color w:val="1F3864" w:themeColor="accent1" w:themeShade="80"/>
        </w:rPr>
        <w:t>wastewater</w:t>
      </w:r>
      <w:r w:rsidRPr="00472578">
        <w:rPr>
          <w:rFonts w:ascii="Calibri" w:eastAsia="Calibri" w:hAnsi="Calibri" w:cs="Times New Roman"/>
          <w:b/>
          <w:i/>
          <w:color w:val="1F3864" w:themeColor="accent1" w:themeShade="80"/>
        </w:rPr>
        <w:t xml:space="preserve"> </w:t>
      </w:r>
      <w:r w:rsidRPr="00472578">
        <w:rPr>
          <w:rFonts w:ascii="Calibri" w:eastAsia="Calibri" w:hAnsi="Calibri" w:cs="Times New Roman"/>
          <w:b/>
          <w:i/>
          <w:color w:val="1F3864" w:themeColor="accent1" w:themeShade="80"/>
          <w:u w:val="single"/>
        </w:rPr>
        <w:t>industrial and trade waste</w:t>
      </w:r>
      <w:r w:rsidRPr="00472578">
        <w:rPr>
          <w:rFonts w:ascii="Calibri" w:eastAsia="Calibri" w:hAnsi="Calibri" w:cs="Times New Roman"/>
          <w:b/>
          <w:i/>
          <w:color w:val="1F3864" w:themeColor="accent1" w:themeShade="80"/>
        </w:rPr>
        <w:t xml:space="preserve"> discharges</w:t>
      </w:r>
      <w:r w:rsidRPr="00226C68">
        <w:rPr>
          <w:rStyle w:val="FootnoteReference"/>
          <w:rFonts w:ascii="Calibri" w:eastAsia="Calibri" w:hAnsi="Calibri" w:cs="Times New Roman"/>
        </w:rPr>
        <w:footnoteReference w:id="904"/>
      </w:r>
    </w:p>
    <w:p w14:paraId="49206D9A" w14:textId="77777777" w:rsidR="000419F6" w:rsidRPr="00472578" w:rsidRDefault="000419F6" w:rsidP="00E92686">
      <w:pPr>
        <w:jc w:val="both"/>
        <w:rPr>
          <w:rFonts w:eastAsia="National-Book" w:cs="Times New Roman"/>
        </w:rPr>
      </w:pPr>
      <w:r w:rsidRPr="00472578">
        <w:rPr>
          <w:rFonts w:eastAsia="National-Book" w:cs="Times New Roman"/>
        </w:rPr>
        <w:t xml:space="preserve">Minimise the adverse </w:t>
      </w:r>
      <w:r w:rsidRPr="00472578">
        <w:rPr>
          <w:rFonts w:eastAsia="National-Book" w:cs="Times New Roman"/>
          <w:i/>
        </w:rPr>
        <w:t>effects</w:t>
      </w:r>
      <w:r w:rsidRPr="00472578">
        <w:rPr>
          <w:rFonts w:eastAsia="National-Book" w:cs="Times New Roman"/>
        </w:rPr>
        <w:t xml:space="preserve"> of direct and indirect </w:t>
      </w:r>
      <w:r w:rsidRPr="00472578">
        <w:rPr>
          <w:rFonts w:eastAsia="National-Book" w:cs="Times New Roman"/>
          <w:i/>
        </w:rPr>
        <w:t>discharges</w:t>
      </w:r>
      <w:r w:rsidRPr="00472578">
        <w:rPr>
          <w:rFonts w:eastAsia="National-Book" w:cs="Times New Roman"/>
        </w:rPr>
        <w:t xml:space="preserve"> of </w:t>
      </w:r>
      <w:r w:rsidRPr="00472578">
        <w:rPr>
          <w:rFonts w:eastAsia="National-Book" w:cs="Times New Roman"/>
          <w:i/>
        </w:rPr>
        <w:t>stormwater</w:t>
      </w:r>
      <w:r w:rsidRPr="00472578">
        <w:rPr>
          <w:rFonts w:eastAsia="National-Book" w:cs="Times New Roman"/>
        </w:rPr>
        <w:t xml:space="preserve"> and</w:t>
      </w:r>
      <w:r w:rsidRPr="00472578">
        <w:rPr>
          <w:rFonts w:eastAsia="National-Book" w:cs="Times New Roman"/>
          <w:i/>
        </w:rPr>
        <w:t xml:space="preserve"> </w:t>
      </w:r>
      <w:r w:rsidRPr="00472578">
        <w:rPr>
          <w:rFonts w:eastAsia="National-Book" w:cs="Times New Roman"/>
          <w:i/>
          <w:u w:val="single"/>
        </w:rPr>
        <w:t>industrial and trade waste</w:t>
      </w:r>
      <w:r w:rsidRPr="00472578">
        <w:rPr>
          <w:rFonts w:eastAsia="National-Book" w:cs="Times New Roman"/>
          <w:i/>
        </w:rPr>
        <w:t xml:space="preserve"> </w:t>
      </w:r>
      <w:r w:rsidRPr="00472578">
        <w:rPr>
          <w:rFonts w:eastAsia="National-Book" w:cs="Times New Roman"/>
          <w:i/>
          <w:strike/>
        </w:rPr>
        <w:t>wastewater</w:t>
      </w:r>
      <w:r w:rsidRPr="00472578">
        <w:rPr>
          <w:rFonts w:eastAsia="National-Book" w:cs="Times New Roman"/>
          <w:i/>
        </w:rPr>
        <w:t xml:space="preserve"> </w:t>
      </w:r>
      <w:r w:rsidRPr="00472578">
        <w:rPr>
          <w:rFonts w:eastAsia="National-Book" w:cs="Times New Roman"/>
        </w:rPr>
        <w:t xml:space="preserve">to </w:t>
      </w:r>
      <w:r w:rsidRPr="00472578">
        <w:rPr>
          <w:rFonts w:eastAsia="National-Book" w:cs="Times New Roman"/>
          <w:i/>
        </w:rPr>
        <w:t>fresh water</w:t>
      </w:r>
      <w:r w:rsidRPr="00472578">
        <w:rPr>
          <w:rFonts w:eastAsia="National-Book" w:cs="Times New Roman"/>
        </w:rPr>
        <w:t xml:space="preserve"> by:</w:t>
      </w:r>
    </w:p>
    <w:p w14:paraId="7C198834" w14:textId="77777777" w:rsidR="000419F6" w:rsidRPr="00472578" w:rsidRDefault="000419F6" w:rsidP="00E92686">
      <w:pPr>
        <w:ind w:left="567" w:hanging="567"/>
        <w:jc w:val="both"/>
        <w:rPr>
          <w:rFonts w:eastAsia="National-Book" w:cs="Times New Roman"/>
          <w:strike/>
        </w:rPr>
      </w:pPr>
      <w:r w:rsidRPr="00472578">
        <w:rPr>
          <w:rFonts w:eastAsia="National-Book" w:cs="Times New Roman"/>
          <w:strike/>
        </w:rPr>
        <w:lastRenderedPageBreak/>
        <w:t>(1)</w:t>
      </w:r>
      <w:r w:rsidRPr="00472578">
        <w:rPr>
          <w:rFonts w:eastAsia="National-Book" w:cs="Times New Roman"/>
          <w:strike/>
        </w:rPr>
        <w:tab/>
        <w:t xml:space="preserve">except as required by LF–VM–O2 and LF–VM–O4, preferring </w:t>
      </w:r>
      <w:r w:rsidRPr="00472578">
        <w:rPr>
          <w:rFonts w:eastAsia="National-Book" w:cs="Times New Roman"/>
          <w:i/>
          <w:strike/>
        </w:rPr>
        <w:t>discharges</w:t>
      </w:r>
      <w:r w:rsidRPr="00472578">
        <w:rPr>
          <w:rFonts w:eastAsia="National-Book" w:cs="Times New Roman"/>
          <w:strike/>
        </w:rPr>
        <w:t xml:space="preserve"> of </w:t>
      </w:r>
      <w:r w:rsidRPr="00472578">
        <w:rPr>
          <w:rFonts w:eastAsia="National-Book" w:cs="Times New Roman"/>
          <w:i/>
          <w:strike/>
        </w:rPr>
        <w:t>wastewater</w:t>
      </w:r>
      <w:r w:rsidRPr="00472578">
        <w:rPr>
          <w:rFonts w:eastAsia="National-Book" w:cs="Times New Roman"/>
          <w:strike/>
        </w:rPr>
        <w:t xml:space="preserve"> to </w:t>
      </w:r>
      <w:r w:rsidRPr="00472578">
        <w:rPr>
          <w:rFonts w:eastAsia="National-Book" w:cs="Times New Roman"/>
          <w:i/>
          <w:strike/>
        </w:rPr>
        <w:t>land</w:t>
      </w:r>
      <w:r w:rsidRPr="00472578">
        <w:rPr>
          <w:rFonts w:eastAsia="National-Book" w:cs="Times New Roman"/>
          <w:strike/>
        </w:rPr>
        <w:t xml:space="preserve"> over </w:t>
      </w:r>
      <w:r w:rsidRPr="00472578">
        <w:rPr>
          <w:rFonts w:eastAsia="National-Book" w:cs="Times New Roman"/>
          <w:i/>
          <w:strike/>
        </w:rPr>
        <w:t>discharges</w:t>
      </w:r>
      <w:r w:rsidRPr="00472578">
        <w:rPr>
          <w:rFonts w:eastAsia="National-Book" w:cs="Times New Roman"/>
          <w:strike/>
        </w:rPr>
        <w:t xml:space="preserve"> to </w:t>
      </w:r>
      <w:r w:rsidRPr="00472578">
        <w:rPr>
          <w:rFonts w:eastAsia="National-Book" w:cs="Times New Roman"/>
          <w:i/>
          <w:strike/>
        </w:rPr>
        <w:t xml:space="preserve">water, </w:t>
      </w:r>
      <w:r w:rsidRPr="00472578">
        <w:rPr>
          <w:rFonts w:eastAsia="National-Book" w:cs="Times New Roman"/>
          <w:strike/>
        </w:rPr>
        <w:t xml:space="preserve">unless adverse </w:t>
      </w:r>
      <w:r w:rsidRPr="00472578">
        <w:rPr>
          <w:rFonts w:eastAsia="National-Book" w:cs="Times New Roman"/>
          <w:i/>
          <w:strike/>
        </w:rPr>
        <w:t xml:space="preserve">effects </w:t>
      </w:r>
      <w:r w:rsidRPr="00472578">
        <w:rPr>
          <w:rFonts w:eastAsia="National-Book" w:cs="Times New Roman"/>
          <w:strike/>
        </w:rPr>
        <w:t xml:space="preserve">associated with a </w:t>
      </w:r>
      <w:r w:rsidRPr="00472578">
        <w:rPr>
          <w:rFonts w:eastAsia="National-Book" w:cs="Times New Roman"/>
          <w:i/>
          <w:strike/>
        </w:rPr>
        <w:t xml:space="preserve">discharge </w:t>
      </w:r>
      <w:r w:rsidRPr="00472578">
        <w:rPr>
          <w:rFonts w:eastAsia="National-Book" w:cs="Times New Roman"/>
          <w:strike/>
        </w:rPr>
        <w:t xml:space="preserve">to </w:t>
      </w:r>
      <w:r w:rsidRPr="00472578">
        <w:rPr>
          <w:rFonts w:eastAsia="National-Book" w:cs="Times New Roman"/>
          <w:i/>
          <w:strike/>
        </w:rPr>
        <w:t>land</w:t>
      </w:r>
      <w:r w:rsidRPr="00472578">
        <w:rPr>
          <w:rFonts w:eastAsia="National-Book" w:cs="Times New Roman"/>
          <w:strike/>
        </w:rPr>
        <w:t xml:space="preserve"> are greater than a </w:t>
      </w:r>
      <w:r w:rsidRPr="00472578">
        <w:rPr>
          <w:rFonts w:eastAsia="National-Book" w:cs="Times New Roman"/>
          <w:i/>
          <w:strike/>
        </w:rPr>
        <w:t>discharge</w:t>
      </w:r>
      <w:r w:rsidRPr="00472578">
        <w:rPr>
          <w:rFonts w:eastAsia="National-Book" w:cs="Times New Roman"/>
          <w:strike/>
        </w:rPr>
        <w:t xml:space="preserve"> to </w:t>
      </w:r>
      <w:r w:rsidRPr="00472578">
        <w:rPr>
          <w:rFonts w:eastAsia="National-Book" w:cs="Times New Roman"/>
          <w:i/>
          <w:strike/>
        </w:rPr>
        <w:t>water</w:t>
      </w:r>
      <w:r w:rsidRPr="00472578">
        <w:rPr>
          <w:rFonts w:eastAsia="National-Book" w:cs="Times New Roman"/>
          <w:strike/>
        </w:rPr>
        <w:t>, and</w:t>
      </w:r>
    </w:p>
    <w:p w14:paraId="7A8B3C3B" w14:textId="77777777" w:rsidR="000419F6" w:rsidRPr="00472578" w:rsidRDefault="000419F6"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requiring: </w:t>
      </w:r>
    </w:p>
    <w:p w14:paraId="4A92A1B0" w14:textId="4226F1D9" w:rsidR="000419F6" w:rsidRPr="00472578" w:rsidRDefault="000419F6" w:rsidP="00E92686">
      <w:pPr>
        <w:ind w:left="1134" w:hanging="567"/>
        <w:jc w:val="both"/>
        <w:rPr>
          <w:rFonts w:eastAsia="National-Book" w:cs="Times New Roman"/>
          <w:strike/>
        </w:rPr>
      </w:pPr>
      <w:r w:rsidRPr="00472578">
        <w:rPr>
          <w:rFonts w:eastAsia="National-Book" w:cs="Times New Roman"/>
          <w:strike/>
        </w:rPr>
        <w:t>(a)</w:t>
      </w:r>
      <w:r w:rsidRPr="00472578">
        <w:rPr>
          <w:rFonts w:eastAsia="National-Book" w:cs="Times New Roman"/>
          <w:strike/>
        </w:rPr>
        <w:tab/>
        <w:t xml:space="preserve">all sewage, industrial or trade waste to be </w:t>
      </w:r>
      <w:r w:rsidRPr="00472578">
        <w:rPr>
          <w:rFonts w:eastAsia="National-Book" w:cs="Times New Roman"/>
          <w:i/>
          <w:strike/>
        </w:rPr>
        <w:t>discharged</w:t>
      </w:r>
      <w:r w:rsidRPr="00472578">
        <w:rPr>
          <w:rFonts w:eastAsia="National-Book" w:cs="Times New Roman"/>
          <w:strike/>
        </w:rPr>
        <w:t xml:space="preserve"> into a reticulated </w:t>
      </w:r>
      <w:r w:rsidRPr="00472578">
        <w:rPr>
          <w:rFonts w:eastAsia="National-Book" w:cs="Times New Roman"/>
          <w:i/>
          <w:strike/>
        </w:rPr>
        <w:t xml:space="preserve">wastewater </w:t>
      </w:r>
      <w:r w:rsidRPr="00472578">
        <w:rPr>
          <w:rFonts w:eastAsia="National-Book" w:cs="Times New Roman"/>
          <w:strike/>
        </w:rPr>
        <w:t>system, where one is available,</w:t>
      </w:r>
    </w:p>
    <w:p w14:paraId="7651B952" w14:textId="6B18DEA2" w:rsidR="000419F6" w:rsidRPr="00472578" w:rsidRDefault="000419F6" w:rsidP="00E92686">
      <w:pPr>
        <w:ind w:left="1134" w:hanging="567"/>
        <w:jc w:val="both"/>
        <w:rPr>
          <w:rFonts w:eastAsia="National-Book" w:cs="Times New Roman"/>
        </w:rPr>
      </w:pPr>
      <w:r w:rsidRPr="00472578">
        <w:rPr>
          <w:rFonts w:eastAsia="National-Book" w:cs="Times New Roman"/>
        </w:rPr>
        <w:t>(b)</w:t>
      </w:r>
      <w:r w:rsidRPr="00472578">
        <w:rPr>
          <w:rFonts w:eastAsia="National-Book" w:cs="Times New Roman"/>
        </w:rPr>
        <w:tab/>
        <w:t xml:space="preserve">all </w:t>
      </w:r>
      <w:r w:rsidRPr="00472578">
        <w:rPr>
          <w:rFonts w:eastAsia="National-Book" w:cs="Times New Roman"/>
          <w:i/>
        </w:rPr>
        <w:t xml:space="preserve">stormwater </w:t>
      </w:r>
      <w:r w:rsidRPr="00472578">
        <w:rPr>
          <w:rFonts w:eastAsia="National-Book" w:cs="Times New Roman"/>
          <w:iCs/>
          <w:u w:val="single"/>
        </w:rPr>
        <w:t xml:space="preserve">and </w:t>
      </w:r>
      <w:r w:rsidRPr="00472578">
        <w:rPr>
          <w:rFonts w:eastAsia="National-Book" w:cs="Times New Roman"/>
          <w:i/>
          <w:u w:val="single"/>
        </w:rPr>
        <w:t xml:space="preserve">industrial and trade waste </w:t>
      </w:r>
      <w:r w:rsidRPr="00472578">
        <w:rPr>
          <w:rFonts w:eastAsia="National-Book" w:cs="Times New Roman"/>
        </w:rPr>
        <w:t xml:space="preserve">to be </w:t>
      </w:r>
      <w:r w:rsidRPr="00472578">
        <w:rPr>
          <w:rFonts w:eastAsia="National-Book" w:cs="Times New Roman"/>
          <w:i/>
        </w:rPr>
        <w:t>discharged</w:t>
      </w:r>
      <w:r w:rsidRPr="00472578">
        <w:rPr>
          <w:rFonts w:eastAsia="National-Book" w:cs="Times New Roman"/>
        </w:rPr>
        <w:t xml:space="preserve"> into a reticulated system, where one is </w:t>
      </w:r>
      <w:r w:rsidRPr="00472578">
        <w:rPr>
          <w:rFonts w:eastAsia="National-Book" w:cs="Times New Roman"/>
          <w:u w:val="single"/>
        </w:rPr>
        <w:t>made</w:t>
      </w:r>
      <w:r w:rsidRPr="00472578">
        <w:rPr>
          <w:rFonts w:eastAsia="National-Book" w:cs="Times New Roman"/>
        </w:rPr>
        <w:t xml:space="preserve"> available </w:t>
      </w:r>
      <w:r w:rsidRPr="00472578">
        <w:rPr>
          <w:rFonts w:eastAsia="National-Book" w:cs="Times New Roman"/>
          <w:u w:val="single"/>
        </w:rPr>
        <w:t>by the operator of the reticulated system</w:t>
      </w:r>
      <w:r w:rsidRPr="00472578">
        <w:rPr>
          <w:rFonts w:eastAsia="National-Book" w:cs="Times New Roman"/>
        </w:rPr>
        <w:t>,</w:t>
      </w:r>
      <w:r w:rsidRPr="00472578">
        <w:rPr>
          <w:rStyle w:val="FootnoteReference"/>
        </w:rPr>
        <w:footnoteReference w:id="905"/>
      </w:r>
      <w:r w:rsidRPr="00472578">
        <w:rPr>
          <w:rFonts w:eastAsia="National-Book" w:cs="Times New Roman"/>
          <w:u w:val="single"/>
        </w:rPr>
        <w:t xml:space="preserve"> </w:t>
      </w:r>
      <w:r w:rsidRPr="639E38F9">
        <w:rPr>
          <w:u w:val="single"/>
        </w:rPr>
        <w:t>unless alternative treatment and disposal methods will result in improved environmental outcomes</w:t>
      </w:r>
      <w:r w:rsidRPr="00472578">
        <w:rPr>
          <w:rFonts w:eastAsia="National-Book" w:cs="Times New Roman"/>
          <w:u w:val="single"/>
        </w:rPr>
        <w:t>,</w:t>
      </w:r>
      <w:r w:rsidRPr="00472578">
        <w:rPr>
          <w:rStyle w:val="FootnoteReference"/>
          <w:rFonts w:eastAsia="National-Book" w:cs="Times New Roman"/>
        </w:rPr>
        <w:footnoteReference w:id="906"/>
      </w:r>
    </w:p>
    <w:p w14:paraId="383F7D92" w14:textId="77777777" w:rsidR="000419F6" w:rsidRPr="00472578" w:rsidRDefault="000419F6" w:rsidP="00E92686">
      <w:pPr>
        <w:ind w:left="1134" w:hanging="567"/>
        <w:jc w:val="both"/>
        <w:rPr>
          <w:rFonts w:eastAsia="National-Book" w:cs="Times New Roman"/>
        </w:rPr>
      </w:pPr>
      <w:r w:rsidRPr="00472578">
        <w:rPr>
          <w:rFonts w:eastAsia="National-Book" w:cs="Times New Roman"/>
        </w:rPr>
        <w:t>(c)</w:t>
      </w:r>
      <w:r w:rsidRPr="00472578">
        <w:rPr>
          <w:rFonts w:eastAsia="National-Book" w:cs="Times New Roman"/>
        </w:rPr>
        <w:tab/>
        <w:t xml:space="preserve">implementation of methods to progressively reduce the frequency and volume of wet weather overflows and minimise the likelihood of dry weather overflows occurring </w:t>
      </w:r>
      <w:r w:rsidRPr="00472578">
        <w:rPr>
          <w:rFonts w:eastAsia="National-Book" w:cs="Times New Roman"/>
          <w:strike/>
        </w:rPr>
        <w:t>for</w:t>
      </w:r>
      <w:r w:rsidRPr="00472578">
        <w:rPr>
          <w:rFonts w:eastAsia="National-Book" w:cs="Times New Roman"/>
        </w:rPr>
        <w:t xml:space="preserve"> </w:t>
      </w:r>
      <w:r w:rsidRPr="00472578">
        <w:rPr>
          <w:rFonts w:eastAsia="National-Book" w:cs="Times New Roman"/>
          <w:u w:val="single"/>
        </w:rPr>
        <w:t>into</w:t>
      </w:r>
      <w:r w:rsidRPr="00472578">
        <w:rPr>
          <w:rFonts w:eastAsia="National-Book" w:cs="Times New Roman"/>
        </w:rPr>
        <w:t xml:space="preserve"> reticulated </w:t>
      </w:r>
      <w:r w:rsidRPr="00472578">
        <w:rPr>
          <w:rFonts w:eastAsia="National-Book" w:cs="Times New Roman"/>
          <w:i/>
        </w:rPr>
        <w:t xml:space="preserve">stormwater </w:t>
      </w:r>
      <w:r w:rsidRPr="00472578">
        <w:rPr>
          <w:rFonts w:eastAsia="National-Book" w:cs="Times New Roman"/>
          <w:strike/>
        </w:rPr>
        <w:t xml:space="preserve">and </w:t>
      </w:r>
      <w:r w:rsidRPr="00472578">
        <w:rPr>
          <w:rFonts w:eastAsia="National-Book" w:cs="Times New Roman"/>
          <w:i/>
          <w:strike/>
        </w:rPr>
        <w:t>wastewater</w:t>
      </w:r>
      <w:r w:rsidRPr="00472578">
        <w:rPr>
          <w:rFonts w:eastAsia="National-Book" w:cs="Times New Roman"/>
          <w:i/>
        </w:rPr>
        <w:t xml:space="preserve"> </w:t>
      </w:r>
      <w:r w:rsidRPr="00472578">
        <w:rPr>
          <w:rFonts w:eastAsia="National-Book" w:cs="Times New Roman"/>
        </w:rPr>
        <w:t xml:space="preserve">systems, </w:t>
      </w:r>
    </w:p>
    <w:p w14:paraId="76C10A66" w14:textId="3421CDA9" w:rsidR="000419F6" w:rsidRPr="00472578" w:rsidRDefault="000419F6" w:rsidP="00E92686">
      <w:pPr>
        <w:ind w:left="1134" w:hanging="567"/>
        <w:jc w:val="both"/>
        <w:rPr>
          <w:rFonts w:eastAsia="National-Book" w:cs="Times New Roman"/>
          <w:strike/>
        </w:rPr>
      </w:pPr>
      <w:r w:rsidRPr="00472578">
        <w:rPr>
          <w:rFonts w:eastAsia="National-Book" w:cs="Times New Roman"/>
          <w:strike/>
        </w:rPr>
        <w:t>(d)</w:t>
      </w:r>
      <w:r w:rsidRPr="00472578">
        <w:rPr>
          <w:rFonts w:eastAsia="National-Book" w:cs="Times New Roman"/>
          <w:strike/>
        </w:rPr>
        <w:tab/>
      </w:r>
      <w:r w:rsidRPr="00472578">
        <w:rPr>
          <w:strike/>
        </w:rPr>
        <w:t xml:space="preserve">on-site </w:t>
      </w:r>
      <w:r w:rsidRPr="00472578">
        <w:rPr>
          <w:i/>
          <w:strike/>
        </w:rPr>
        <w:t>wastewater</w:t>
      </w:r>
      <w:r w:rsidRPr="00472578">
        <w:rPr>
          <w:strike/>
        </w:rPr>
        <w:t xml:space="preserve"> systems to be designed and operated in accordance with best practice standards, </w:t>
      </w:r>
    </w:p>
    <w:p w14:paraId="66B8EC61" w14:textId="086558B4" w:rsidR="000419F6" w:rsidRPr="00472578" w:rsidRDefault="000419F6" w:rsidP="00E92686">
      <w:pPr>
        <w:ind w:left="1134" w:hanging="567"/>
        <w:jc w:val="both"/>
        <w:rPr>
          <w:rFonts w:eastAsia="National-Book" w:cs="Times New Roman"/>
        </w:rPr>
      </w:pPr>
      <w:r w:rsidRPr="00472578">
        <w:rPr>
          <w:rFonts w:eastAsia="National-Book" w:cs="Times New Roman"/>
        </w:rPr>
        <w:t>(e)</w:t>
      </w:r>
      <w:r w:rsidRPr="00472578">
        <w:rPr>
          <w:rFonts w:eastAsia="National-Book" w:cs="Times New Roman"/>
        </w:rPr>
        <w:tab/>
      </w:r>
      <w:r w:rsidRPr="00472578">
        <w:rPr>
          <w:rFonts w:eastAsia="National-Book" w:cs="Times New Roman"/>
          <w:i/>
          <w:strike/>
        </w:rPr>
        <w:t xml:space="preserve">stormwater </w:t>
      </w:r>
      <w:r w:rsidRPr="00472578">
        <w:rPr>
          <w:rFonts w:eastAsia="National-Book" w:cs="Times New Roman"/>
          <w:strike/>
        </w:rPr>
        <w:t xml:space="preserve">and </w:t>
      </w:r>
      <w:r w:rsidRPr="00472578">
        <w:rPr>
          <w:rFonts w:eastAsia="National-Book" w:cs="Times New Roman"/>
          <w:i/>
          <w:strike/>
        </w:rPr>
        <w:t>wastewater</w:t>
      </w:r>
      <w:r w:rsidRPr="00472578">
        <w:rPr>
          <w:rFonts w:eastAsia="National-Book" w:cs="Times New Roman"/>
          <w:i/>
        </w:rPr>
        <w:t xml:space="preserve"> </w:t>
      </w:r>
      <w:r w:rsidRPr="00472578">
        <w:rPr>
          <w:rFonts w:eastAsia="National-Book" w:cs="Times New Roman"/>
          <w:u w:val="single"/>
        </w:rPr>
        <w:t xml:space="preserve">that </w:t>
      </w:r>
      <w:r w:rsidRPr="00472578">
        <w:rPr>
          <w:rFonts w:eastAsia="National-Book" w:cs="Times New Roman"/>
          <w:i/>
        </w:rPr>
        <w:t xml:space="preserve">discharges </w:t>
      </w:r>
      <w:r w:rsidRPr="00472578">
        <w:rPr>
          <w:rFonts w:eastAsia="National-Book" w:cs="Times New Roman"/>
          <w:strike/>
        </w:rPr>
        <w:t>to</w:t>
      </w:r>
      <w:r w:rsidR="00276CC1">
        <w:rPr>
          <w:rStyle w:val="FootnoteReference"/>
        </w:rPr>
        <w:footnoteReference w:id="907"/>
      </w:r>
      <w:r>
        <w:t xml:space="preserve"> </w:t>
      </w:r>
      <w:r w:rsidRPr="00472578">
        <w:rPr>
          <w:rFonts w:eastAsia="National-Book" w:cs="Times New Roman"/>
        </w:rPr>
        <w:t xml:space="preserve">meet any applicable water quality standards set </w:t>
      </w:r>
      <w:r w:rsidRPr="00FC0D7F">
        <w:rPr>
          <w:rFonts w:eastAsia="National-Book" w:cs="Times New Roman"/>
        </w:rPr>
        <w:t>for</w:t>
      </w:r>
      <w:r w:rsidRPr="00472578">
        <w:rPr>
          <w:rFonts w:eastAsia="National-Book" w:cs="Times New Roman"/>
        </w:rPr>
        <w:t xml:space="preserve"> </w:t>
      </w:r>
      <w:r w:rsidRPr="00472578">
        <w:rPr>
          <w:rFonts w:eastAsia="National-Book" w:cs="Times New Roman"/>
          <w:i/>
        </w:rPr>
        <w:t>FMUs</w:t>
      </w:r>
      <w:r w:rsidRPr="00472578">
        <w:rPr>
          <w:rFonts w:eastAsia="National-Book" w:cs="Times New Roman"/>
        </w:rPr>
        <w:t xml:space="preserve"> and/or rohe, and</w:t>
      </w:r>
    </w:p>
    <w:p w14:paraId="5F5132DB" w14:textId="77777777" w:rsidR="000419F6" w:rsidRPr="00472578" w:rsidRDefault="000419F6" w:rsidP="00E92686">
      <w:pPr>
        <w:ind w:left="1134" w:hanging="567"/>
        <w:jc w:val="both"/>
        <w:rPr>
          <w:rFonts w:eastAsia="National-Book" w:cs="Times New Roman"/>
        </w:rPr>
      </w:pPr>
      <w:r w:rsidRPr="00472578">
        <w:rPr>
          <w:rFonts w:eastAsia="National-Book" w:cs="Times New Roman"/>
        </w:rPr>
        <w:t>(f)</w:t>
      </w:r>
      <w:r w:rsidRPr="00472578">
        <w:rPr>
          <w:rFonts w:eastAsia="National-Book" w:cs="Times New Roman"/>
        </w:rPr>
        <w:tab/>
        <w:t xml:space="preserve">the use of </w:t>
      </w:r>
      <w:r w:rsidRPr="00472578">
        <w:t xml:space="preserve">water sensitive </w:t>
      </w:r>
      <w:r w:rsidRPr="00472578">
        <w:rPr>
          <w:strike/>
        </w:rPr>
        <w:t>urban</w:t>
      </w:r>
      <w:r w:rsidRPr="00472578">
        <w:rPr>
          <w:rStyle w:val="FootnoteReference"/>
        </w:rPr>
        <w:footnoteReference w:id="908"/>
      </w:r>
      <w:r w:rsidRPr="00472578">
        <w:t xml:space="preserve"> design techniques to avoid or mitigate the potential adverse </w:t>
      </w:r>
      <w:r w:rsidRPr="00472578">
        <w:rPr>
          <w:i/>
          <w:iCs/>
        </w:rPr>
        <w:t>effects</w:t>
      </w:r>
      <w:r w:rsidRPr="00472578">
        <w:t xml:space="preserve"> of </w:t>
      </w:r>
      <w:r w:rsidRPr="00472578">
        <w:rPr>
          <w:i/>
          <w:iCs/>
        </w:rPr>
        <w:t>contaminants</w:t>
      </w:r>
      <w:r w:rsidRPr="00472578">
        <w:t xml:space="preserve"> on receiving </w:t>
      </w:r>
      <w:r w:rsidRPr="00472578">
        <w:rPr>
          <w:i/>
          <w:iCs/>
        </w:rPr>
        <w:t xml:space="preserve">water bodies </w:t>
      </w:r>
      <w:r w:rsidRPr="00472578">
        <w:t xml:space="preserve">from the </w:t>
      </w:r>
      <w:r w:rsidRPr="00472578">
        <w:rPr>
          <w:i/>
          <w:iCs/>
        </w:rPr>
        <w:t xml:space="preserve">subdivision, </w:t>
      </w:r>
      <w:r w:rsidRPr="00472578">
        <w:t xml:space="preserve">use or development of </w:t>
      </w:r>
      <w:r w:rsidRPr="00472578">
        <w:rPr>
          <w:i/>
          <w:iCs/>
        </w:rPr>
        <w:t xml:space="preserve">land, </w:t>
      </w:r>
      <w:r w:rsidRPr="00472578">
        <w:t xml:space="preserve">wherever practicable, </w:t>
      </w:r>
      <w:r w:rsidRPr="002944A5">
        <w:rPr>
          <w:strike/>
        </w:rPr>
        <w:t>and</w:t>
      </w:r>
    </w:p>
    <w:p w14:paraId="4918F1CC" w14:textId="1546F627" w:rsidR="000419F6" w:rsidRPr="00472578" w:rsidRDefault="000419F6" w:rsidP="00E92686">
      <w:pPr>
        <w:ind w:left="567" w:hanging="567"/>
        <w:jc w:val="both"/>
        <w:rPr>
          <w:rFonts w:eastAsia="National-Book" w:cs="Times New Roman"/>
          <w:u w:val="single"/>
        </w:rPr>
      </w:pPr>
      <w:r w:rsidRPr="00472578">
        <w:rPr>
          <w:rFonts w:eastAsia="National-Book" w:cs="Times New Roman"/>
        </w:rPr>
        <w:t>(3)</w:t>
      </w:r>
      <w:r w:rsidRPr="00472578">
        <w:rPr>
          <w:rFonts w:eastAsia="National-Book" w:cs="Times New Roman"/>
        </w:rPr>
        <w:tab/>
        <w:t xml:space="preserve">promoting the reticulation of </w:t>
      </w:r>
      <w:r w:rsidRPr="00472578">
        <w:rPr>
          <w:rFonts w:eastAsia="National-Book" w:cs="Times New Roman"/>
          <w:i/>
        </w:rPr>
        <w:t xml:space="preserve">stormwater </w:t>
      </w:r>
      <w:r w:rsidRPr="00472578">
        <w:rPr>
          <w:rFonts w:eastAsia="National-Book" w:cs="Times New Roman"/>
          <w:strike/>
        </w:rPr>
        <w:t xml:space="preserve">and </w:t>
      </w:r>
      <w:r w:rsidRPr="00472578">
        <w:rPr>
          <w:rFonts w:eastAsia="National-Book" w:cs="Times New Roman"/>
          <w:i/>
          <w:strike/>
        </w:rPr>
        <w:t>wastewater</w:t>
      </w:r>
      <w:r w:rsidRPr="00472578">
        <w:rPr>
          <w:rFonts w:eastAsia="National-Book" w:cs="Times New Roman"/>
        </w:rPr>
        <w:t xml:space="preserve"> in urban areas</w:t>
      </w:r>
      <w:r w:rsidRPr="00472578">
        <w:rPr>
          <w:rFonts w:eastAsia="National-Book" w:cs="Times New Roman"/>
          <w:strike/>
        </w:rPr>
        <w:t>.</w:t>
      </w:r>
      <w:r w:rsidRPr="00472578">
        <w:rPr>
          <w:rFonts w:eastAsia="National-Book" w:cs="Times New Roman"/>
          <w:u w:val="single"/>
        </w:rPr>
        <w:t>,</w:t>
      </w:r>
      <w:r w:rsidR="002944A5">
        <w:rPr>
          <w:rFonts w:eastAsia="National-Book" w:cs="Times New Roman"/>
          <w:u w:val="single"/>
        </w:rPr>
        <w:t xml:space="preserve"> and</w:t>
      </w:r>
    </w:p>
    <w:p w14:paraId="5D00EAB6" w14:textId="77777777" w:rsidR="000419F6" w:rsidRPr="00472578" w:rsidRDefault="000419F6" w:rsidP="00E92686">
      <w:pPr>
        <w:ind w:left="567" w:hanging="567"/>
        <w:jc w:val="both"/>
        <w:rPr>
          <w:rFonts w:eastAsia="National-Book" w:cs="Times New Roman"/>
        </w:rPr>
      </w:pPr>
      <w:r w:rsidRPr="00472578">
        <w:rPr>
          <w:rFonts w:eastAsia="National-Book" w:cs="Times New Roman"/>
          <w:u w:val="single"/>
        </w:rPr>
        <w:t>(4)</w:t>
      </w:r>
      <w:r w:rsidRPr="00472578">
        <w:rPr>
          <w:rFonts w:eastAsia="National-Book" w:cs="Times New Roman"/>
          <w:u w:val="single"/>
        </w:rPr>
        <w:tab/>
        <w:t xml:space="preserve">promoting source control as a method for reducing </w:t>
      </w:r>
      <w:r w:rsidRPr="00472578">
        <w:rPr>
          <w:rFonts w:eastAsia="National-Book" w:cs="Times New Roman"/>
          <w:i/>
          <w:u w:val="single"/>
        </w:rPr>
        <w:t>contaminants</w:t>
      </w:r>
      <w:r w:rsidRPr="00472578">
        <w:rPr>
          <w:rFonts w:eastAsia="National-Book" w:cs="Times New Roman"/>
          <w:u w:val="single"/>
        </w:rPr>
        <w:t xml:space="preserve"> in </w:t>
      </w:r>
      <w:r w:rsidRPr="00472578">
        <w:rPr>
          <w:rFonts w:eastAsia="National-Book" w:cs="Times New Roman"/>
          <w:i/>
          <w:u w:val="single"/>
        </w:rPr>
        <w:t>discharges</w:t>
      </w:r>
      <w:r w:rsidRPr="00472578">
        <w:rPr>
          <w:rFonts w:eastAsia="National-Book" w:cs="Times New Roman"/>
          <w:u w:val="single"/>
        </w:rPr>
        <w:t xml:space="preserve"> of </w:t>
      </w:r>
      <w:r w:rsidRPr="00472578">
        <w:rPr>
          <w:rFonts w:eastAsia="National-Book" w:cs="Times New Roman"/>
          <w:i/>
          <w:u w:val="single"/>
        </w:rPr>
        <w:t xml:space="preserve">stormwater </w:t>
      </w:r>
      <w:r w:rsidRPr="00472578">
        <w:rPr>
          <w:rFonts w:eastAsia="National-Book" w:cs="Times New Roman"/>
          <w:iCs/>
          <w:u w:val="single"/>
        </w:rPr>
        <w:t xml:space="preserve">and </w:t>
      </w:r>
      <w:r w:rsidRPr="00472578">
        <w:rPr>
          <w:rFonts w:eastAsia="National-Book" w:cs="Times New Roman"/>
          <w:i/>
          <w:u w:val="single"/>
        </w:rPr>
        <w:t>industrial and trade waste</w:t>
      </w:r>
      <w:r w:rsidRPr="00472578">
        <w:rPr>
          <w:rFonts w:eastAsia="National-Book" w:cs="Times New Roman"/>
          <w:u w:val="single"/>
        </w:rPr>
        <w:t>.</w:t>
      </w:r>
      <w:r w:rsidRPr="00472578">
        <w:rPr>
          <w:rStyle w:val="FootnoteReference"/>
        </w:rPr>
        <w:footnoteReference w:id="909"/>
      </w:r>
    </w:p>
    <w:p w14:paraId="07392C86" w14:textId="2AB0F004" w:rsidR="000419F6" w:rsidRPr="00472578" w:rsidRDefault="000419F6" w:rsidP="00E92686">
      <w:pPr>
        <w:autoSpaceDE w:val="0"/>
        <w:autoSpaceDN w:val="0"/>
        <w:adjustRightInd w:val="0"/>
        <w:spacing w:before="240" w:line="256" w:lineRule="auto"/>
        <w:jc w:val="both"/>
        <w:outlineLvl w:val="4"/>
        <w:rPr>
          <w:u w:val="single"/>
        </w:rPr>
      </w:pPr>
      <w:r w:rsidRPr="00472578">
        <w:rPr>
          <w:rFonts w:ascii="Calibri" w:eastAsia="Calibri" w:hAnsi="Calibri" w:cs="Times New Roman"/>
          <w:b/>
          <w:color w:val="1F3864" w:themeColor="accent1" w:themeShade="80"/>
          <w:u w:val="single"/>
        </w:rPr>
        <w:t>LF-FW-P1</w:t>
      </w:r>
      <w:r w:rsidR="005A557B">
        <w:rPr>
          <w:rFonts w:ascii="Calibri" w:eastAsia="Calibri" w:hAnsi="Calibri" w:cs="Times New Roman"/>
          <w:b/>
          <w:color w:val="1F3864" w:themeColor="accent1" w:themeShade="80"/>
          <w:u w:val="single"/>
        </w:rPr>
        <w:t>5A</w:t>
      </w:r>
      <w:r w:rsidRPr="00472578">
        <w:rPr>
          <w:rFonts w:ascii="Calibri" w:eastAsia="Calibri" w:hAnsi="Calibri" w:cs="Times New Roman"/>
          <w:b/>
          <w:color w:val="1F3864" w:themeColor="accent1" w:themeShade="80"/>
          <w:u w:val="single"/>
        </w:rPr>
        <w:t xml:space="preserve"> – Discharges containing sewage and other human wastes</w:t>
      </w:r>
    </w:p>
    <w:p w14:paraId="376DD371" w14:textId="7B187A6F" w:rsidR="000419F6" w:rsidRPr="00472578" w:rsidRDefault="000419F6" w:rsidP="00E92686">
      <w:pPr>
        <w:jc w:val="both"/>
      </w:pPr>
      <w:r w:rsidRPr="00472578">
        <w:rPr>
          <w:u w:val="single"/>
        </w:rPr>
        <w:t xml:space="preserve">Avoid the adverse effects of direct and indirect </w:t>
      </w:r>
      <w:r w:rsidRPr="00472578">
        <w:rPr>
          <w:i/>
          <w:iCs/>
          <w:u w:val="single"/>
        </w:rPr>
        <w:t>discharges</w:t>
      </w:r>
      <w:r w:rsidRPr="00472578">
        <w:rPr>
          <w:u w:val="single"/>
        </w:rPr>
        <w:t xml:space="preserve"> containing </w:t>
      </w:r>
      <w:r w:rsidRPr="00472578">
        <w:rPr>
          <w:i/>
          <w:iCs/>
          <w:u w:val="single"/>
        </w:rPr>
        <w:t>sewage</w:t>
      </w:r>
      <w:r w:rsidRPr="00472578">
        <w:rPr>
          <w:u w:val="single"/>
        </w:rPr>
        <w:t xml:space="preserve"> and other human wastes (including cremated ashes) to </w:t>
      </w:r>
      <w:r w:rsidRPr="00472578">
        <w:rPr>
          <w:i/>
          <w:iCs/>
          <w:u w:val="single"/>
        </w:rPr>
        <w:t>fresh water</w:t>
      </w:r>
      <w:r w:rsidRPr="00472578">
        <w:rPr>
          <w:u w:val="single"/>
        </w:rPr>
        <w:t xml:space="preserve"> by:</w:t>
      </w:r>
      <w:r w:rsidRPr="00472578">
        <w:rPr>
          <w:rStyle w:val="FootnoteReference"/>
          <w:iCs/>
        </w:rPr>
        <w:t xml:space="preserve"> </w:t>
      </w:r>
      <w:r w:rsidRPr="00472578">
        <w:rPr>
          <w:rStyle w:val="FootnoteReference"/>
          <w:iCs/>
        </w:rPr>
        <w:footnoteReference w:id="910"/>
      </w:r>
    </w:p>
    <w:p w14:paraId="0B5569D3" w14:textId="15A2DA2D" w:rsidR="000419F6" w:rsidRPr="00472578" w:rsidRDefault="000419F6" w:rsidP="00E92686">
      <w:pPr>
        <w:ind w:left="567" w:hanging="567"/>
        <w:jc w:val="both"/>
        <w:rPr>
          <w:rFonts w:eastAsia="National-Book" w:cs="Times New Roman"/>
        </w:rPr>
      </w:pPr>
      <w:r w:rsidRPr="00472578">
        <w:rPr>
          <w:rFonts w:eastAsia="National-Book" w:cs="Times New Roman"/>
          <w:u w:val="single"/>
        </w:rPr>
        <w:t>(1)</w:t>
      </w:r>
      <w:r w:rsidRPr="00472578">
        <w:rPr>
          <w:rFonts w:eastAsia="National-Book" w:cs="Times New Roman"/>
          <w:u w:val="single"/>
        </w:rPr>
        <w:tab/>
        <w:t xml:space="preserve">requiring new </w:t>
      </w:r>
      <w:r w:rsidRPr="00472578">
        <w:rPr>
          <w:rFonts w:eastAsia="National-Book" w:cs="Times New Roman"/>
          <w:i/>
          <w:u w:val="single"/>
        </w:rPr>
        <w:t>discharges</w:t>
      </w:r>
      <w:r w:rsidRPr="00472578">
        <w:rPr>
          <w:rFonts w:eastAsia="National-Book" w:cs="Times New Roman"/>
          <w:u w:val="single"/>
        </w:rPr>
        <w:t xml:space="preserve"> containing </w:t>
      </w:r>
      <w:r w:rsidRPr="00472578">
        <w:rPr>
          <w:rFonts w:eastAsia="National-Book" w:cs="Times New Roman"/>
          <w:i/>
          <w:u w:val="single"/>
        </w:rPr>
        <w:t>sewage</w:t>
      </w:r>
      <w:r w:rsidRPr="00472578">
        <w:rPr>
          <w:rFonts w:eastAsia="National-Book" w:cs="Times New Roman"/>
          <w:u w:val="single"/>
        </w:rPr>
        <w:t xml:space="preserve"> or other human wastes</w:t>
      </w:r>
      <w:r w:rsidRPr="005D5BCE">
        <w:rPr>
          <w:rStyle w:val="FootnoteReference"/>
          <w:rFonts w:eastAsia="National-Book" w:cs="Times New Roman"/>
        </w:rPr>
        <w:footnoteReference w:id="911"/>
      </w:r>
      <w:r w:rsidRPr="00472578">
        <w:rPr>
          <w:rFonts w:eastAsia="National-Book" w:cs="Times New Roman"/>
          <w:u w:val="single"/>
        </w:rPr>
        <w:t xml:space="preserve"> to be to land, unless adverse effects associated with a </w:t>
      </w:r>
      <w:r w:rsidRPr="00472578">
        <w:rPr>
          <w:rFonts w:eastAsia="National-Book" w:cs="Times New Roman"/>
          <w:i/>
          <w:u w:val="single"/>
        </w:rPr>
        <w:t xml:space="preserve">discharge </w:t>
      </w:r>
      <w:r w:rsidRPr="00472578">
        <w:rPr>
          <w:rFonts w:eastAsia="National-Book" w:cs="Times New Roman"/>
          <w:u w:val="single"/>
        </w:rPr>
        <w:t xml:space="preserve">to </w:t>
      </w:r>
      <w:r w:rsidRPr="00472578">
        <w:rPr>
          <w:rFonts w:eastAsia="National-Book" w:cs="Times New Roman"/>
          <w:i/>
          <w:u w:val="single"/>
        </w:rPr>
        <w:t>land</w:t>
      </w:r>
      <w:r w:rsidRPr="00472578">
        <w:rPr>
          <w:rFonts w:eastAsia="National-Book" w:cs="Times New Roman"/>
          <w:u w:val="single"/>
        </w:rPr>
        <w:t xml:space="preserve"> are demonstrably greater than a </w:t>
      </w:r>
      <w:r w:rsidRPr="00472578">
        <w:rPr>
          <w:rFonts w:eastAsia="National-Book" w:cs="Times New Roman"/>
          <w:i/>
          <w:u w:val="single"/>
        </w:rPr>
        <w:t>discharge</w:t>
      </w:r>
      <w:r w:rsidRPr="00472578">
        <w:rPr>
          <w:rFonts w:eastAsia="National-Book" w:cs="Times New Roman"/>
          <w:u w:val="single"/>
        </w:rPr>
        <w:t xml:space="preserve"> to </w:t>
      </w:r>
      <w:r w:rsidRPr="00472578">
        <w:rPr>
          <w:rFonts w:eastAsia="National-Book" w:cs="Times New Roman"/>
          <w:i/>
          <w:u w:val="single"/>
        </w:rPr>
        <w:t>fresh</w:t>
      </w:r>
      <w:r w:rsidRPr="00472578">
        <w:rPr>
          <w:rStyle w:val="FootnoteReference"/>
        </w:rPr>
        <w:footnoteReference w:id="912"/>
      </w:r>
      <w:r w:rsidRPr="00472578">
        <w:t xml:space="preserve"> </w:t>
      </w:r>
      <w:r w:rsidRPr="00472578">
        <w:rPr>
          <w:rFonts w:eastAsia="National-Book" w:cs="Times New Roman"/>
          <w:i/>
          <w:u w:val="single"/>
        </w:rPr>
        <w:t>water</w:t>
      </w:r>
      <w:r w:rsidRPr="00472578">
        <w:rPr>
          <w:rFonts w:eastAsia="National-Book" w:cs="Times New Roman"/>
          <w:u w:val="single"/>
        </w:rPr>
        <w:t>, and</w:t>
      </w:r>
      <w:r w:rsidRPr="00472578">
        <w:rPr>
          <w:rStyle w:val="FootnoteReference"/>
          <w:iCs/>
        </w:rPr>
        <w:footnoteReference w:id="913"/>
      </w:r>
    </w:p>
    <w:p w14:paraId="66C979F9"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(2)</w:t>
      </w:r>
      <w:r w:rsidRPr="00472578">
        <w:rPr>
          <w:rFonts w:eastAsia="National-Book" w:cs="Times New Roman"/>
          <w:u w:val="single"/>
        </w:rPr>
        <w:tab/>
        <w:t xml:space="preserve">requiring: </w:t>
      </w:r>
    </w:p>
    <w:p w14:paraId="5A5939BF" w14:textId="00AC87EB" w:rsidR="000419F6" w:rsidRPr="00472578" w:rsidRDefault="000419F6" w:rsidP="00E92686">
      <w:pPr>
        <w:ind w:left="1134" w:hanging="567"/>
        <w:jc w:val="both"/>
        <w:rPr>
          <w:rFonts w:eastAsia="National-Book" w:cs="Times New Roman"/>
          <w:u w:val="single"/>
        </w:rPr>
      </w:pPr>
      <w:r w:rsidRPr="00472578">
        <w:rPr>
          <w:rFonts w:eastAsia="National-Book" w:cs="Times New Roman"/>
          <w:u w:val="single"/>
        </w:rPr>
        <w:t>(a)</w:t>
      </w:r>
      <w:r w:rsidRPr="00472578">
        <w:rPr>
          <w:rFonts w:eastAsia="National-Book" w:cs="Times New Roman"/>
          <w:u w:val="single"/>
        </w:rPr>
        <w:tab/>
        <w:t xml:space="preserve">that all discharges containing sewage or other human wastes are </w:t>
      </w:r>
      <w:r w:rsidRPr="00472578">
        <w:rPr>
          <w:rFonts w:eastAsia="National-Book" w:cs="Times New Roman"/>
          <w:i/>
          <w:u w:val="single"/>
        </w:rPr>
        <w:t>discharged</w:t>
      </w:r>
      <w:r w:rsidRPr="00472578">
        <w:rPr>
          <w:rFonts w:eastAsia="National-Book" w:cs="Times New Roman"/>
          <w:u w:val="single"/>
        </w:rPr>
        <w:t xml:space="preserve"> into a reticulated </w:t>
      </w:r>
      <w:r w:rsidRPr="00472578">
        <w:rPr>
          <w:rFonts w:eastAsia="National-Book" w:cs="Times New Roman"/>
          <w:i/>
          <w:u w:val="single"/>
        </w:rPr>
        <w:t xml:space="preserve">wastewater </w:t>
      </w:r>
      <w:r w:rsidRPr="00472578">
        <w:rPr>
          <w:rFonts w:eastAsia="National-Book" w:cs="Times New Roman"/>
          <w:u w:val="single"/>
        </w:rPr>
        <w:t xml:space="preserve">system, where one is made available by the operator of the </w:t>
      </w:r>
      <w:r w:rsidRPr="00472578">
        <w:rPr>
          <w:rFonts w:eastAsia="National-Book" w:cs="Times New Roman"/>
          <w:u w:val="single"/>
        </w:rPr>
        <w:lastRenderedPageBreak/>
        <w:t>reticulated system</w:t>
      </w:r>
      <w:r w:rsidRPr="00472578">
        <w:rPr>
          <w:rFonts w:eastAsia="National-Book" w:cs="Times New Roman"/>
        </w:rPr>
        <w:t>,</w:t>
      </w:r>
      <w:r w:rsidRPr="00472578">
        <w:rPr>
          <w:rStyle w:val="FootnoteReference"/>
        </w:rPr>
        <w:footnoteReference w:id="914"/>
      </w:r>
      <w:r w:rsidRPr="00472578">
        <w:rPr>
          <w:rFonts w:eastAsia="National-Book" w:cs="Times New Roman"/>
          <w:u w:val="single"/>
        </w:rPr>
        <w:t xml:space="preserve"> </w:t>
      </w:r>
      <w:r w:rsidRPr="639E38F9">
        <w:rPr>
          <w:u w:val="single"/>
        </w:rPr>
        <w:t>unless alternative treatment and disposal methods will result in improved environmental outcomes</w:t>
      </w:r>
      <w:r w:rsidRPr="00472578">
        <w:rPr>
          <w:rFonts w:eastAsia="National-Book" w:cs="Times New Roman"/>
          <w:u w:val="single"/>
        </w:rPr>
        <w:t>,</w:t>
      </w:r>
      <w:r w:rsidRPr="00472578">
        <w:rPr>
          <w:rStyle w:val="FootnoteReference"/>
          <w:rFonts w:eastAsia="National-Book" w:cs="Times New Roman"/>
        </w:rPr>
        <w:footnoteReference w:id="915"/>
      </w:r>
    </w:p>
    <w:p w14:paraId="2C092AA1" w14:textId="75E6F997" w:rsidR="000419F6" w:rsidRPr="00472578" w:rsidRDefault="000419F6" w:rsidP="00E92686">
      <w:pPr>
        <w:ind w:left="1134" w:hanging="567"/>
        <w:jc w:val="both"/>
        <w:rPr>
          <w:rFonts w:eastAsia="National-Book" w:cs="Times New Roman"/>
          <w:u w:val="single"/>
        </w:rPr>
      </w:pPr>
      <w:r w:rsidRPr="00472578">
        <w:rPr>
          <w:rFonts w:eastAsia="National-Book" w:cs="Times New Roman"/>
          <w:u w:val="single"/>
        </w:rPr>
        <w:t>(b)</w:t>
      </w:r>
      <w:r w:rsidRPr="00472578">
        <w:rPr>
          <w:rFonts w:eastAsia="National-Book" w:cs="Times New Roman"/>
          <w:u w:val="single"/>
        </w:rPr>
        <w:tab/>
        <w:t>implementation of methods to progressively reduce the frequency and volume of wet weather overflows and minimise the likelihood of dry weather overflows occurring into reticulated wastewater systems,</w:t>
      </w:r>
    </w:p>
    <w:p w14:paraId="76B53EF2" w14:textId="77777777" w:rsidR="000419F6" w:rsidRPr="00472578" w:rsidRDefault="000419F6" w:rsidP="00E92686">
      <w:pPr>
        <w:ind w:left="1134" w:hanging="567"/>
        <w:jc w:val="both"/>
        <w:rPr>
          <w:rFonts w:eastAsia="National-Book" w:cs="Times New Roman"/>
          <w:u w:val="single"/>
        </w:rPr>
      </w:pPr>
      <w:r w:rsidRPr="00472578">
        <w:rPr>
          <w:u w:val="single"/>
        </w:rPr>
        <w:t>(c)</w:t>
      </w:r>
      <w:r w:rsidRPr="00472578">
        <w:rPr>
          <w:u w:val="single"/>
        </w:rPr>
        <w:tab/>
        <w:t xml:space="preserve">on-site </w:t>
      </w:r>
      <w:r w:rsidRPr="00472578">
        <w:rPr>
          <w:i/>
          <w:u w:val="single"/>
        </w:rPr>
        <w:t>wastewater</w:t>
      </w:r>
      <w:r w:rsidRPr="00472578">
        <w:rPr>
          <w:u w:val="single"/>
        </w:rPr>
        <w:t xml:space="preserve"> systems to be designed and operated in accordance with best practice standards, </w:t>
      </w:r>
    </w:p>
    <w:p w14:paraId="223CCFAA" w14:textId="64D88471" w:rsidR="000419F6" w:rsidRPr="00472578" w:rsidRDefault="000419F6" w:rsidP="00E92686">
      <w:pPr>
        <w:ind w:left="1134" w:hanging="567"/>
        <w:jc w:val="both"/>
        <w:rPr>
          <w:rFonts w:eastAsia="National-Book" w:cs="Times New Roman"/>
          <w:u w:val="single"/>
        </w:rPr>
      </w:pPr>
      <w:r w:rsidRPr="00472578">
        <w:rPr>
          <w:rFonts w:eastAsia="National-Book" w:cs="Times New Roman"/>
          <w:u w:val="single"/>
        </w:rPr>
        <w:t>(d)</w:t>
      </w:r>
      <w:r w:rsidRPr="00472578">
        <w:rPr>
          <w:rFonts w:eastAsia="National-Book" w:cs="Times New Roman"/>
          <w:u w:val="single"/>
        </w:rPr>
        <w:tab/>
        <w:t xml:space="preserve">that </w:t>
      </w:r>
      <w:r w:rsidRPr="00472578">
        <w:rPr>
          <w:rFonts w:eastAsia="National-Book" w:cs="Times New Roman"/>
          <w:i/>
          <w:u w:val="single"/>
        </w:rPr>
        <w:t xml:space="preserve">discharges </w:t>
      </w:r>
      <w:r w:rsidRPr="00472578">
        <w:rPr>
          <w:rFonts w:eastAsia="National-Book" w:cs="Times New Roman"/>
          <w:u w:val="single"/>
        </w:rPr>
        <w:t xml:space="preserve">meet any applicable water quality standards set </w:t>
      </w:r>
      <w:r w:rsidR="00D466B7">
        <w:rPr>
          <w:rFonts w:eastAsia="National-Book" w:cs="Times New Roman"/>
          <w:u w:val="single"/>
        </w:rPr>
        <w:t>for</w:t>
      </w:r>
      <w:r w:rsidRPr="00472578">
        <w:rPr>
          <w:rFonts w:eastAsia="National-Book" w:cs="Times New Roman"/>
          <w:u w:val="single"/>
        </w:rPr>
        <w:t xml:space="preserve"> </w:t>
      </w:r>
      <w:r w:rsidRPr="00472578">
        <w:rPr>
          <w:rFonts w:eastAsia="National-Book" w:cs="Times New Roman"/>
          <w:i/>
          <w:u w:val="single"/>
        </w:rPr>
        <w:t>FMUs</w:t>
      </w:r>
      <w:r w:rsidRPr="00472578">
        <w:rPr>
          <w:rFonts w:eastAsia="National-Book" w:cs="Times New Roman"/>
          <w:u w:val="single"/>
        </w:rPr>
        <w:t xml:space="preserve"> and/or rohe, </w:t>
      </w:r>
    </w:p>
    <w:p w14:paraId="11F76914" w14:textId="1F548354"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(3)</w:t>
      </w:r>
      <w:r w:rsidRPr="00472578">
        <w:rPr>
          <w:rFonts w:eastAsia="National-Book" w:cs="Times New Roman"/>
          <w:u w:val="single"/>
        </w:rPr>
        <w:tab/>
        <w:t xml:space="preserve">promoting the reticulation of </w:t>
      </w:r>
      <w:r w:rsidRPr="00472578">
        <w:rPr>
          <w:rFonts w:eastAsia="National-Book" w:cs="Times New Roman"/>
          <w:i/>
          <w:u w:val="single"/>
        </w:rPr>
        <w:t>wastewater</w:t>
      </w:r>
      <w:r w:rsidRPr="00472578">
        <w:rPr>
          <w:rFonts w:eastAsia="National-Book" w:cs="Times New Roman"/>
          <w:u w:val="single"/>
        </w:rPr>
        <w:t xml:space="preserve"> in urban areas, and</w:t>
      </w:r>
    </w:p>
    <w:p w14:paraId="5B86E035" w14:textId="77777777" w:rsidR="000419F6" w:rsidRPr="00472578" w:rsidRDefault="000419F6" w:rsidP="00E92686">
      <w:pPr>
        <w:ind w:left="567" w:hanging="567"/>
        <w:jc w:val="both"/>
        <w:rPr>
          <w:rFonts w:eastAsia="National-Book" w:cs="Times New Roman"/>
          <w:u w:val="single"/>
        </w:rPr>
      </w:pPr>
      <w:r w:rsidRPr="00472578">
        <w:rPr>
          <w:rFonts w:eastAsia="National-Book" w:cs="Times New Roman"/>
          <w:u w:val="single"/>
        </w:rPr>
        <w:t>(4)</w:t>
      </w:r>
      <w:r w:rsidRPr="00472578">
        <w:rPr>
          <w:rFonts w:eastAsia="National-Book" w:cs="Times New Roman"/>
          <w:u w:val="single"/>
        </w:rPr>
        <w:tab/>
        <w:t xml:space="preserve">promoting source control as a method for reducing </w:t>
      </w:r>
      <w:r w:rsidRPr="00472578">
        <w:rPr>
          <w:rFonts w:eastAsia="National-Book" w:cs="Times New Roman"/>
          <w:i/>
          <w:u w:val="single"/>
        </w:rPr>
        <w:t>contaminants</w:t>
      </w:r>
      <w:r w:rsidRPr="00472578">
        <w:rPr>
          <w:rFonts w:eastAsia="National-Book" w:cs="Times New Roman"/>
          <w:u w:val="single"/>
        </w:rPr>
        <w:t xml:space="preserve"> in </w:t>
      </w:r>
      <w:r w:rsidRPr="00472578">
        <w:rPr>
          <w:rFonts w:eastAsia="National-Book" w:cs="Times New Roman"/>
          <w:i/>
          <w:u w:val="single"/>
        </w:rPr>
        <w:t>discharges</w:t>
      </w:r>
      <w:r w:rsidRPr="00472578">
        <w:rPr>
          <w:rFonts w:eastAsia="National-Book" w:cs="Times New Roman"/>
          <w:u w:val="single"/>
        </w:rPr>
        <w:t xml:space="preserve"> containing sewage and other human wastes.</w:t>
      </w:r>
      <w:r w:rsidRPr="00472578">
        <w:rPr>
          <w:rStyle w:val="FootnoteReference"/>
        </w:rPr>
        <w:footnoteReference w:id="916"/>
      </w:r>
    </w:p>
    <w:p w14:paraId="60543714" w14:textId="77777777" w:rsidR="000419F6" w:rsidRPr="00472578" w:rsidRDefault="000419F6" w:rsidP="00E92686">
      <w:pPr>
        <w:keepNext/>
        <w:keepLines/>
        <w:spacing w:before="360" w:line="240" w:lineRule="auto"/>
        <w:jc w:val="both"/>
        <w:outlineLvl w:val="3"/>
        <w:rPr>
          <w:rFonts w:eastAsiaTheme="majorEastAsia" w:cstheme="majorBidi"/>
          <w:b/>
          <w:iCs/>
          <w:color w:val="1F3864" w:themeColor="accent1" w:themeShade="80"/>
          <w:sz w:val="24"/>
        </w:rPr>
      </w:pPr>
      <w:r w:rsidRPr="00472578">
        <w:rPr>
          <w:rFonts w:eastAsiaTheme="majorEastAsia" w:cstheme="majorBidi"/>
          <w:b/>
          <w:iCs/>
          <w:color w:val="1F3864" w:themeColor="accent1" w:themeShade="80"/>
          <w:sz w:val="24"/>
        </w:rPr>
        <w:t>Methods</w:t>
      </w:r>
    </w:p>
    <w:p w14:paraId="19D1F4B3"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LF-FW-M5 – </w:t>
      </w:r>
      <w:r w:rsidRPr="00472578">
        <w:rPr>
          <w:rFonts w:ascii="Calibri" w:eastAsia="Calibri" w:hAnsi="Calibri" w:cs="Times New Roman"/>
          <w:b/>
          <w:i/>
          <w:color w:val="1F3864" w:themeColor="accent1" w:themeShade="80"/>
        </w:rPr>
        <w:t>Outstanding water bodies</w:t>
      </w:r>
    </w:p>
    <w:p w14:paraId="26A5493A" w14:textId="77777777" w:rsidR="000419F6" w:rsidRPr="00472578" w:rsidRDefault="000419F6" w:rsidP="00E92686">
      <w:pPr>
        <w:spacing w:line="257" w:lineRule="auto"/>
        <w:jc w:val="both"/>
        <w:rPr>
          <w:iCs/>
        </w:rPr>
      </w:pPr>
      <w:r w:rsidRPr="00472578">
        <w:rPr>
          <w:iCs/>
        </w:rPr>
        <w:t xml:space="preserve">No later than 31 December 2023, Otago Regional Council </w:t>
      </w:r>
      <w:r w:rsidRPr="00472578">
        <w:t>must</w:t>
      </w:r>
      <w:r w:rsidRPr="00472578">
        <w:rPr>
          <w:iCs/>
        </w:rPr>
        <w:t>:</w:t>
      </w:r>
    </w:p>
    <w:p w14:paraId="2DF6F383" w14:textId="77777777" w:rsidR="000419F6" w:rsidRPr="00472578" w:rsidRDefault="000419F6" w:rsidP="00E92686">
      <w:pPr>
        <w:ind w:left="567" w:hanging="567"/>
        <w:jc w:val="both"/>
        <w:rPr>
          <w:u w:val="single"/>
        </w:rPr>
      </w:pPr>
      <w:r w:rsidRPr="00472578">
        <w:t>(1)</w:t>
      </w:r>
      <w:r w:rsidRPr="00472578">
        <w:tab/>
        <w:t xml:space="preserve">undertake a review based on existing information and develop a list of </w:t>
      </w:r>
      <w:r w:rsidRPr="00472578">
        <w:rPr>
          <w:i/>
          <w:iCs/>
        </w:rPr>
        <w:t>water bodies</w:t>
      </w:r>
      <w:r w:rsidRPr="00472578">
        <w:t xml:space="preserve"> likely to contain outstanding values, including those </w:t>
      </w:r>
      <w:r w:rsidRPr="00472578">
        <w:rPr>
          <w:i/>
          <w:iCs/>
        </w:rPr>
        <w:t xml:space="preserve">water bodies </w:t>
      </w:r>
      <w:r w:rsidRPr="00472578">
        <w:t xml:space="preserve">listed in </w:t>
      </w:r>
      <w:r w:rsidRPr="00472578">
        <w:rPr>
          <w:strike/>
        </w:rPr>
        <w:t>LF-VM-P6</w:t>
      </w:r>
      <w:r w:rsidRPr="00472578">
        <w:rPr>
          <w:u w:val="single"/>
        </w:rPr>
        <w:t xml:space="preserve"> LF-FW-P11</w:t>
      </w:r>
      <w:r w:rsidRPr="00472578">
        <w:t>,</w:t>
      </w:r>
      <w:r w:rsidRPr="00472578">
        <w:rPr>
          <w:rStyle w:val="FootnoteReference"/>
        </w:rPr>
        <w:footnoteReference w:id="917"/>
      </w:r>
    </w:p>
    <w:p w14:paraId="75E8C054" w14:textId="77777777" w:rsidR="000419F6" w:rsidRPr="00472578" w:rsidRDefault="000419F6" w:rsidP="00E92686">
      <w:pPr>
        <w:ind w:left="567" w:hanging="567"/>
        <w:jc w:val="both"/>
      </w:pPr>
      <w:r w:rsidRPr="00472578">
        <w:t>(2)</w:t>
      </w:r>
      <w:r w:rsidRPr="00472578">
        <w:tab/>
        <w:t xml:space="preserve">identify the outstanding values of those </w:t>
      </w:r>
      <w:r w:rsidRPr="00472578">
        <w:rPr>
          <w:i/>
          <w:iCs/>
        </w:rPr>
        <w:t xml:space="preserve">water bodies </w:t>
      </w:r>
      <w:r w:rsidRPr="00472578">
        <w:t>(if any) in accordance with APP1,</w:t>
      </w:r>
    </w:p>
    <w:p w14:paraId="7D274B40" w14:textId="1F980060" w:rsidR="000419F6" w:rsidRPr="00472578" w:rsidRDefault="000419F6" w:rsidP="00E92686">
      <w:pPr>
        <w:ind w:left="567" w:hanging="567"/>
        <w:jc w:val="both"/>
      </w:pPr>
      <w:r w:rsidRPr="00472578">
        <w:t>(3)</w:t>
      </w:r>
      <w:r w:rsidRPr="00472578">
        <w:tab/>
        <w:t xml:space="preserve">consult with the public </w:t>
      </w:r>
      <w:r w:rsidRPr="00472578">
        <w:rPr>
          <w:u w:val="single"/>
        </w:rPr>
        <w:t>and relevant local authorities</w:t>
      </w:r>
      <w:r w:rsidR="00385F1F">
        <w:rPr>
          <w:rStyle w:val="FootnoteReference"/>
        </w:rPr>
        <w:footnoteReference w:id="918"/>
      </w:r>
      <w:r w:rsidR="007F5830">
        <w:t xml:space="preserve"> </w:t>
      </w:r>
      <w:r w:rsidRPr="00472578">
        <w:t>during the identification process,</w:t>
      </w:r>
    </w:p>
    <w:p w14:paraId="677ED673" w14:textId="77777777" w:rsidR="000419F6" w:rsidRPr="00472578" w:rsidRDefault="000419F6" w:rsidP="00E92686">
      <w:pPr>
        <w:ind w:left="567" w:hanging="567"/>
        <w:jc w:val="both"/>
      </w:pPr>
      <w:r w:rsidRPr="00472578">
        <w:t>(4)</w:t>
      </w:r>
      <w:r w:rsidRPr="00472578">
        <w:tab/>
        <w:t xml:space="preserve">map </w:t>
      </w:r>
      <w:r w:rsidRPr="00472578">
        <w:rPr>
          <w:i/>
          <w:iCs/>
        </w:rPr>
        <w:t>outstanding water bodies</w:t>
      </w:r>
      <w:r w:rsidRPr="00472578">
        <w:t xml:space="preserve"> and identify their outstanding and significant values in the relevant </w:t>
      </w:r>
      <w:r w:rsidRPr="00472578">
        <w:rPr>
          <w:i/>
          <w:iCs/>
        </w:rPr>
        <w:t>regional plan(s),</w:t>
      </w:r>
      <w:r w:rsidRPr="00472578">
        <w:t xml:space="preserve"> and </w:t>
      </w:r>
    </w:p>
    <w:p w14:paraId="07F5F1E4" w14:textId="77777777" w:rsidR="000419F6" w:rsidRPr="00472578" w:rsidDel="00B3499A" w:rsidRDefault="000419F6" w:rsidP="00E92686">
      <w:pPr>
        <w:ind w:left="567" w:hanging="567"/>
        <w:jc w:val="both"/>
      </w:pPr>
      <w:r w:rsidRPr="00472578">
        <w:t>(5)</w:t>
      </w:r>
      <w:r w:rsidRPr="00472578">
        <w:tab/>
      </w:r>
      <w:r w:rsidRPr="00472578" w:rsidDel="00B3499A">
        <w:t xml:space="preserve">include provisions in </w:t>
      </w:r>
      <w:r w:rsidRPr="00472578" w:rsidDel="00B3499A">
        <w:rPr>
          <w:i/>
          <w:iCs/>
        </w:rPr>
        <w:t>regional plans</w:t>
      </w:r>
      <w:r w:rsidRPr="00472578" w:rsidDel="00B3499A">
        <w:t xml:space="preserve"> to avoid the adverse </w:t>
      </w:r>
      <w:r w:rsidRPr="00472578" w:rsidDel="00B3499A">
        <w:rPr>
          <w:i/>
          <w:iCs/>
        </w:rPr>
        <w:t>effects</w:t>
      </w:r>
      <w:r w:rsidRPr="00472578" w:rsidDel="00B3499A">
        <w:t xml:space="preserve"> of activities on the significant </w:t>
      </w:r>
      <w:r w:rsidRPr="00472578">
        <w:t xml:space="preserve">and outstanding </w:t>
      </w:r>
      <w:r w:rsidRPr="00472578" w:rsidDel="00B3499A">
        <w:t xml:space="preserve">values of </w:t>
      </w:r>
      <w:r w:rsidRPr="00472578" w:rsidDel="00B3499A">
        <w:rPr>
          <w:i/>
          <w:iCs/>
        </w:rPr>
        <w:t>outstanding</w:t>
      </w:r>
      <w:r w:rsidRPr="00472578" w:rsidDel="00B3499A">
        <w:t xml:space="preserve"> </w:t>
      </w:r>
      <w:r w:rsidRPr="00472578" w:rsidDel="00B3499A">
        <w:rPr>
          <w:i/>
          <w:iCs/>
        </w:rPr>
        <w:t>water bodies</w:t>
      </w:r>
      <w:r w:rsidRPr="00472578" w:rsidDel="00B3499A">
        <w:t>.</w:t>
      </w:r>
    </w:p>
    <w:p w14:paraId="014D71D4"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LF-FW-M6 – </w:t>
      </w:r>
      <w:r w:rsidRPr="00472578">
        <w:rPr>
          <w:rFonts w:ascii="Calibri" w:eastAsia="Calibri" w:hAnsi="Calibri" w:cs="Times New Roman"/>
          <w:b/>
          <w:i/>
          <w:color w:val="1F3864" w:themeColor="accent1" w:themeShade="80"/>
        </w:rPr>
        <w:t>Regional plans</w:t>
      </w:r>
    </w:p>
    <w:p w14:paraId="131475C2" w14:textId="77777777" w:rsidR="000419F6" w:rsidRPr="00472578" w:rsidRDefault="000419F6" w:rsidP="00E92686">
      <w:pPr>
        <w:jc w:val="both"/>
      </w:pPr>
      <w:r w:rsidRPr="00472578">
        <w:t xml:space="preserve">Otago Regional Council must publicly notify a Land and Water </w:t>
      </w:r>
      <w:r w:rsidRPr="00CB78D6">
        <w:rPr>
          <w:iCs/>
        </w:rPr>
        <w:t>Regional Plan</w:t>
      </w:r>
      <w:r w:rsidRPr="00472578">
        <w:t xml:space="preserve"> no later than 31 December 2023 and, after it is made operative, maintain that </w:t>
      </w:r>
      <w:r w:rsidRPr="00472578">
        <w:rPr>
          <w:i/>
          <w:iCs/>
        </w:rPr>
        <w:t>regional plan</w:t>
      </w:r>
      <w:r w:rsidRPr="00472578">
        <w:t xml:space="preserve"> to:</w:t>
      </w:r>
    </w:p>
    <w:p w14:paraId="12F65F9C" w14:textId="77777777" w:rsidR="000419F6" w:rsidRPr="00472578" w:rsidRDefault="000419F6" w:rsidP="00E92686">
      <w:pPr>
        <w:ind w:left="567" w:hanging="567"/>
        <w:jc w:val="both"/>
      </w:pPr>
      <w:r w:rsidRPr="00472578">
        <w:t>(1)</w:t>
      </w:r>
      <w:r w:rsidRPr="00472578">
        <w:tab/>
        <w:t xml:space="preserve">identify the compulsory and, if relevant, other values for each </w:t>
      </w:r>
      <w:r w:rsidRPr="00472578">
        <w:rPr>
          <w:i/>
          <w:iCs/>
        </w:rPr>
        <w:t>Freshwater Management Unit</w:t>
      </w:r>
      <w:r w:rsidRPr="00472578">
        <w:t>,</w:t>
      </w:r>
    </w:p>
    <w:p w14:paraId="10BE9145" w14:textId="77777777" w:rsidR="000419F6" w:rsidRPr="00472578" w:rsidRDefault="000419F6" w:rsidP="00E92686">
      <w:pPr>
        <w:ind w:left="567" w:hanging="567"/>
        <w:jc w:val="both"/>
      </w:pPr>
      <w:r w:rsidRPr="00472578">
        <w:t>(2)</w:t>
      </w:r>
      <w:r w:rsidRPr="00472578">
        <w:tab/>
        <w:t xml:space="preserve">state </w:t>
      </w:r>
      <w:r w:rsidRPr="00472578">
        <w:rPr>
          <w:i/>
        </w:rPr>
        <w:t>environmental outcomes</w:t>
      </w:r>
      <w:r w:rsidRPr="00472578">
        <w:t xml:space="preserve"> </w:t>
      </w:r>
      <w:r w:rsidRPr="00472578">
        <w:rPr>
          <w:u w:val="single"/>
        </w:rPr>
        <w:t>for each identified value</w:t>
      </w:r>
      <w:r w:rsidRPr="00472578">
        <w:rPr>
          <w:rStyle w:val="FootnoteReference"/>
        </w:rPr>
        <w:footnoteReference w:id="919"/>
      </w:r>
      <w:r w:rsidRPr="00472578">
        <w:t xml:space="preserve"> as objectives in accordance with clause 3.9 of the NPSFM,</w:t>
      </w:r>
    </w:p>
    <w:p w14:paraId="79D7B8A0" w14:textId="566E56B9" w:rsidR="000419F6" w:rsidRPr="00472578" w:rsidRDefault="000419F6" w:rsidP="00E92686">
      <w:pPr>
        <w:ind w:left="567" w:hanging="567"/>
        <w:jc w:val="both"/>
        <w:rPr>
          <w:u w:val="single"/>
        </w:rPr>
      </w:pPr>
      <w:r w:rsidRPr="00472578">
        <w:rPr>
          <w:u w:val="single"/>
        </w:rPr>
        <w:t>(2</w:t>
      </w:r>
      <w:r w:rsidR="003D45FE">
        <w:rPr>
          <w:u w:val="single"/>
        </w:rPr>
        <w:t>A</w:t>
      </w:r>
      <w:r w:rsidRPr="00472578">
        <w:rPr>
          <w:u w:val="single"/>
        </w:rPr>
        <w:t>)</w:t>
      </w:r>
      <w:r w:rsidRPr="00472578">
        <w:rPr>
          <w:u w:val="single"/>
        </w:rPr>
        <w:tab/>
        <w:t xml:space="preserve">identify </w:t>
      </w:r>
      <w:r w:rsidRPr="00472578">
        <w:rPr>
          <w:i/>
          <w:iCs/>
          <w:u w:val="single"/>
        </w:rPr>
        <w:t>attributes</w:t>
      </w:r>
      <w:r w:rsidRPr="00472578">
        <w:rPr>
          <w:u w:val="single"/>
        </w:rPr>
        <w:t xml:space="preserve"> for each value and set baseline states for those </w:t>
      </w:r>
      <w:r w:rsidRPr="00472578">
        <w:rPr>
          <w:i/>
          <w:iCs/>
          <w:u w:val="single"/>
        </w:rPr>
        <w:t>attributes</w:t>
      </w:r>
      <w:r w:rsidRPr="00472578">
        <w:rPr>
          <w:u w:val="single"/>
        </w:rPr>
        <w:t>,</w:t>
      </w:r>
      <w:r w:rsidRPr="00472578">
        <w:rPr>
          <w:rStyle w:val="FootnoteReference"/>
        </w:rPr>
        <w:footnoteReference w:id="920"/>
      </w:r>
    </w:p>
    <w:p w14:paraId="63D2CF4A" w14:textId="7CCE733B" w:rsidR="000419F6" w:rsidRPr="00472578" w:rsidRDefault="000419F6" w:rsidP="00E92686">
      <w:pPr>
        <w:ind w:left="567" w:hanging="567"/>
        <w:jc w:val="both"/>
        <w:rPr>
          <w:u w:val="single"/>
        </w:rPr>
      </w:pPr>
      <w:r w:rsidRPr="00472578">
        <w:rPr>
          <w:u w:val="single"/>
        </w:rPr>
        <w:lastRenderedPageBreak/>
        <w:t>(2</w:t>
      </w:r>
      <w:r w:rsidR="003D45FE">
        <w:rPr>
          <w:u w:val="single"/>
        </w:rPr>
        <w:t>B</w:t>
      </w:r>
      <w:r w:rsidRPr="00472578">
        <w:rPr>
          <w:u w:val="single"/>
        </w:rPr>
        <w:t>)</w:t>
      </w:r>
      <w:r w:rsidRPr="00472578">
        <w:rPr>
          <w:u w:val="single"/>
        </w:rPr>
        <w:tab/>
        <w:t xml:space="preserve">set target </w:t>
      </w:r>
      <w:r w:rsidRPr="00472578">
        <w:rPr>
          <w:i/>
          <w:iCs/>
          <w:u w:val="single"/>
        </w:rPr>
        <w:t>attribute</w:t>
      </w:r>
      <w:r w:rsidRPr="00472578">
        <w:rPr>
          <w:u w:val="single"/>
        </w:rPr>
        <w:t xml:space="preserve"> states and other criteria to support the achievement of </w:t>
      </w:r>
      <w:r w:rsidRPr="00472578">
        <w:rPr>
          <w:i/>
          <w:iCs/>
          <w:u w:val="single"/>
        </w:rPr>
        <w:t>environmental outcomes</w:t>
      </w:r>
      <w:r w:rsidRPr="00472578">
        <w:rPr>
          <w:u w:val="single"/>
        </w:rPr>
        <w:t>,</w:t>
      </w:r>
      <w:r w:rsidRPr="00472578">
        <w:rPr>
          <w:rStyle w:val="FootnoteReference"/>
        </w:rPr>
        <w:footnoteReference w:id="921"/>
      </w:r>
    </w:p>
    <w:p w14:paraId="2967478A" w14:textId="77777777" w:rsidR="000419F6" w:rsidRPr="00472578" w:rsidRDefault="000419F6" w:rsidP="00E92686">
      <w:pPr>
        <w:ind w:left="567" w:hanging="567"/>
        <w:jc w:val="both"/>
        <w:rPr>
          <w:strike/>
        </w:rPr>
      </w:pPr>
      <w:r w:rsidRPr="00472578">
        <w:rPr>
          <w:strike/>
        </w:rPr>
        <w:t>(3)</w:t>
      </w:r>
      <w:r w:rsidRPr="00472578">
        <w:rPr>
          <w:strike/>
        </w:rPr>
        <w:tab/>
        <w:t xml:space="preserve">identify </w:t>
      </w:r>
      <w:r w:rsidRPr="00472578">
        <w:rPr>
          <w:i/>
          <w:iCs/>
          <w:strike/>
        </w:rPr>
        <w:t>water bodies</w:t>
      </w:r>
      <w:r w:rsidRPr="00472578">
        <w:rPr>
          <w:strike/>
        </w:rPr>
        <w:t xml:space="preserve"> that are </w:t>
      </w:r>
      <w:r w:rsidRPr="00472578">
        <w:rPr>
          <w:i/>
          <w:iCs/>
          <w:strike/>
        </w:rPr>
        <w:t>over-allocated</w:t>
      </w:r>
      <w:r w:rsidRPr="00472578">
        <w:rPr>
          <w:strike/>
        </w:rPr>
        <w:t xml:space="preserve"> in terms of either their </w:t>
      </w:r>
      <w:r w:rsidRPr="00472578">
        <w:rPr>
          <w:i/>
          <w:iCs/>
          <w:strike/>
        </w:rPr>
        <w:t>water</w:t>
      </w:r>
      <w:r w:rsidRPr="00472578">
        <w:rPr>
          <w:strike/>
        </w:rPr>
        <w:t xml:space="preserve"> quality or quantity,</w:t>
      </w:r>
      <w:r w:rsidRPr="00472578">
        <w:rPr>
          <w:rStyle w:val="FootnoteReference"/>
        </w:rPr>
        <w:footnoteReference w:id="922"/>
      </w:r>
    </w:p>
    <w:p w14:paraId="7A30440F" w14:textId="77777777" w:rsidR="000419F6" w:rsidRPr="00472578" w:rsidRDefault="000419F6" w:rsidP="00E92686">
      <w:pPr>
        <w:ind w:left="567" w:hanging="567"/>
        <w:jc w:val="both"/>
      </w:pPr>
      <w:r w:rsidRPr="00472578">
        <w:t>(4)</w:t>
      </w:r>
      <w:r w:rsidRPr="00472578">
        <w:tab/>
        <w:t xml:space="preserve">include environmental flow and level regimes for </w:t>
      </w:r>
      <w:r w:rsidRPr="00472578">
        <w:rPr>
          <w:i/>
          <w:iCs/>
        </w:rPr>
        <w:t>water bodies</w:t>
      </w:r>
      <w:r w:rsidRPr="00472578">
        <w:t xml:space="preserve"> (including </w:t>
      </w:r>
      <w:r w:rsidRPr="00472578">
        <w:rPr>
          <w:i/>
          <w:iCs/>
        </w:rPr>
        <w:t>groundwater</w:t>
      </w:r>
      <w:r w:rsidRPr="00472578">
        <w:t xml:space="preserve">) that </w:t>
      </w:r>
      <w:r w:rsidRPr="00472578">
        <w:rPr>
          <w:u w:val="single"/>
        </w:rPr>
        <w:t xml:space="preserve">support the achievement of </w:t>
      </w:r>
      <w:r w:rsidRPr="00472578">
        <w:rPr>
          <w:i/>
          <w:iCs/>
          <w:u w:val="single"/>
        </w:rPr>
        <w:t>environmental outcomes</w:t>
      </w:r>
      <w:r w:rsidRPr="00472578">
        <w:rPr>
          <w:u w:val="single"/>
        </w:rPr>
        <w:t xml:space="preserve"> and the </w:t>
      </w:r>
      <w:r w:rsidRPr="0051188A">
        <w:rPr>
          <w:i/>
          <w:iCs/>
          <w:u w:val="single"/>
        </w:rPr>
        <w:t>freshwater</w:t>
      </w:r>
      <w:r w:rsidRPr="00472578">
        <w:rPr>
          <w:u w:val="single"/>
        </w:rPr>
        <w:t xml:space="preserve"> visions in LF-VM,</w:t>
      </w:r>
      <w:r w:rsidRPr="00472578">
        <w:rPr>
          <w:rStyle w:val="FootnoteReference"/>
        </w:rPr>
        <w:footnoteReference w:id="923"/>
      </w:r>
      <w:r w:rsidRPr="00472578">
        <w:t xml:space="preserve"> give effect to </w:t>
      </w:r>
      <w:r w:rsidRPr="00472578">
        <w:rPr>
          <w:i/>
        </w:rPr>
        <w:t>Te Mana o te Wai</w:t>
      </w:r>
      <w:r w:rsidRPr="00472578">
        <w:t xml:space="preserve"> and provide for:</w:t>
      </w:r>
    </w:p>
    <w:p w14:paraId="28AFE5DE" w14:textId="77777777" w:rsidR="000419F6" w:rsidRPr="00472578" w:rsidRDefault="000419F6" w:rsidP="00E92686">
      <w:pPr>
        <w:ind w:left="1134" w:hanging="567"/>
        <w:jc w:val="both"/>
      </w:pPr>
      <w:r w:rsidRPr="00472578">
        <w:t>(a)</w:t>
      </w:r>
      <w:r w:rsidRPr="00472578">
        <w:tab/>
        <w:t xml:space="preserve">the behaviours of the </w:t>
      </w:r>
      <w:r w:rsidRPr="00472578">
        <w:rPr>
          <w:i/>
          <w:iCs/>
        </w:rPr>
        <w:t>water body</w:t>
      </w:r>
      <w:r w:rsidRPr="00472578">
        <w:t xml:space="preserve"> including a base flow or level that provides for variability,</w:t>
      </w:r>
    </w:p>
    <w:p w14:paraId="7F123735" w14:textId="185B9C76" w:rsidR="000419F6" w:rsidRPr="00472578" w:rsidRDefault="000419F6" w:rsidP="00E92686">
      <w:pPr>
        <w:ind w:left="1134" w:hanging="567"/>
        <w:jc w:val="both"/>
      </w:pPr>
      <w:r w:rsidRPr="00472578">
        <w:t>(b)</w:t>
      </w:r>
      <w:r w:rsidRPr="00472578">
        <w:tab/>
        <w:t xml:space="preserve">healthy and resilient </w:t>
      </w:r>
      <w:r w:rsidRPr="009C237D">
        <w:rPr>
          <w:strike/>
        </w:rPr>
        <w:t>mahika kai</w:t>
      </w:r>
      <w:r w:rsidR="00A00191" w:rsidRPr="00472578">
        <w:t xml:space="preserve"> </w:t>
      </w:r>
      <w:r w:rsidR="00A00191" w:rsidRPr="00645B28">
        <w:rPr>
          <w:i/>
          <w:iCs/>
          <w:u w:val="single"/>
        </w:rPr>
        <w:t>mahika kai</w:t>
      </w:r>
      <w:r w:rsidR="00B63B7E" w:rsidRPr="00B63B7E">
        <w:t>,</w:t>
      </w:r>
      <w:r w:rsidR="00A00191">
        <w:rPr>
          <w:rStyle w:val="FootnoteReference"/>
        </w:rPr>
        <w:footnoteReference w:id="924"/>
      </w:r>
    </w:p>
    <w:p w14:paraId="78DCE9FB" w14:textId="77777777" w:rsidR="000419F6" w:rsidRPr="00472578" w:rsidRDefault="000419F6" w:rsidP="00E92686">
      <w:pPr>
        <w:ind w:left="1134" w:hanging="567"/>
        <w:jc w:val="both"/>
      </w:pPr>
      <w:r w:rsidRPr="00472578">
        <w:t>(c)</w:t>
      </w:r>
      <w:r w:rsidRPr="00472578">
        <w:tab/>
        <w:t xml:space="preserve">the needs of indigenous fauna, including taoka species, and aquatic species associated with the </w:t>
      </w:r>
      <w:r w:rsidRPr="00472578">
        <w:rPr>
          <w:i/>
          <w:iCs/>
        </w:rPr>
        <w:t>water body</w:t>
      </w:r>
      <w:r w:rsidRPr="00472578">
        <w:t>,</w:t>
      </w:r>
    </w:p>
    <w:p w14:paraId="4E093A98" w14:textId="77777777" w:rsidR="000419F6" w:rsidRPr="00472578" w:rsidRDefault="000419F6" w:rsidP="00E92686">
      <w:pPr>
        <w:ind w:left="1134" w:hanging="567"/>
        <w:jc w:val="both"/>
      </w:pPr>
      <w:r w:rsidRPr="00472578">
        <w:t>(d)</w:t>
      </w:r>
      <w:r w:rsidRPr="00472578">
        <w:tab/>
        <w:t xml:space="preserve">the hydrological connection with other </w:t>
      </w:r>
      <w:r w:rsidRPr="00472578">
        <w:rPr>
          <w:i/>
          <w:iCs/>
        </w:rPr>
        <w:t>water bodies</w:t>
      </w:r>
      <w:r w:rsidRPr="00472578">
        <w:t xml:space="preserve">, </w:t>
      </w:r>
      <w:proofErr w:type="gramStart"/>
      <w:r w:rsidRPr="00472578">
        <w:t>estuaries</w:t>
      </w:r>
      <w:proofErr w:type="gramEnd"/>
      <w:r w:rsidRPr="00472578">
        <w:t xml:space="preserve"> and coastal margins, </w:t>
      </w:r>
    </w:p>
    <w:p w14:paraId="5319AF29" w14:textId="77777777" w:rsidR="000419F6" w:rsidRPr="00472578" w:rsidRDefault="000419F6" w:rsidP="00E92686">
      <w:pPr>
        <w:ind w:left="1134" w:hanging="567"/>
        <w:jc w:val="both"/>
      </w:pPr>
      <w:r w:rsidRPr="00472578">
        <w:t>(e)</w:t>
      </w:r>
      <w:r w:rsidRPr="00472578">
        <w:tab/>
        <w:t xml:space="preserve">the traditional and contemporary relationship of Kāi Tahu to the </w:t>
      </w:r>
      <w:r w:rsidRPr="00472578">
        <w:rPr>
          <w:i/>
          <w:iCs/>
        </w:rPr>
        <w:t>water body</w:t>
      </w:r>
      <w:r w:rsidRPr="00472578">
        <w:t>, and</w:t>
      </w:r>
    </w:p>
    <w:p w14:paraId="1B619ED9" w14:textId="77777777" w:rsidR="000419F6" w:rsidRPr="00472578" w:rsidRDefault="000419F6" w:rsidP="00E92686">
      <w:pPr>
        <w:ind w:left="1134" w:hanging="567"/>
        <w:jc w:val="both"/>
      </w:pPr>
      <w:r w:rsidRPr="00472578">
        <w:t>(f)</w:t>
      </w:r>
      <w:r w:rsidRPr="00472578">
        <w:tab/>
        <w:t xml:space="preserve">community </w:t>
      </w:r>
      <w:r w:rsidRPr="00472578">
        <w:rPr>
          <w:i/>
        </w:rPr>
        <w:t>drinking water</w:t>
      </w:r>
      <w:r w:rsidRPr="00472578">
        <w:t xml:space="preserve"> supplies, and</w:t>
      </w:r>
    </w:p>
    <w:p w14:paraId="0B17B457" w14:textId="77777777" w:rsidR="000419F6" w:rsidRPr="00472578" w:rsidRDefault="000419F6" w:rsidP="00E92686">
      <w:pPr>
        <w:ind w:left="567" w:hanging="567"/>
        <w:jc w:val="both"/>
      </w:pPr>
      <w:r w:rsidRPr="00472578">
        <w:t>(5)</w:t>
      </w:r>
      <w:r w:rsidRPr="00472578">
        <w:tab/>
        <w:t xml:space="preserve">include </w:t>
      </w:r>
      <w:r w:rsidRPr="00472578">
        <w:rPr>
          <w:i/>
          <w:iCs/>
        </w:rPr>
        <w:t>limits on resource use</w:t>
      </w:r>
      <w:r w:rsidRPr="00472578">
        <w:rPr>
          <w:i/>
        </w:rPr>
        <w:t xml:space="preserve"> </w:t>
      </w:r>
      <w:r w:rsidRPr="00472578">
        <w:t xml:space="preserve">that </w:t>
      </w:r>
      <w:r w:rsidRPr="00472578">
        <w:rPr>
          <w:u w:val="single"/>
        </w:rPr>
        <w:t xml:space="preserve">support the achievement of environmental outcomes and the </w:t>
      </w:r>
      <w:r w:rsidRPr="0051188A">
        <w:rPr>
          <w:i/>
          <w:iCs/>
          <w:u w:val="single"/>
        </w:rPr>
        <w:t>freshwater</w:t>
      </w:r>
      <w:r w:rsidRPr="00472578">
        <w:rPr>
          <w:u w:val="single"/>
        </w:rPr>
        <w:t xml:space="preserve"> visions in LF-VM, give effect to </w:t>
      </w:r>
      <w:r w:rsidRPr="00472578">
        <w:rPr>
          <w:i/>
          <w:u w:val="single"/>
        </w:rPr>
        <w:t>Te Mana o te Wai</w:t>
      </w:r>
      <w:r w:rsidRPr="00472578">
        <w:rPr>
          <w:u w:val="single"/>
        </w:rPr>
        <w:t xml:space="preserve"> and</w:t>
      </w:r>
      <w:r w:rsidRPr="00472578">
        <w:t>:</w:t>
      </w:r>
      <w:r w:rsidRPr="00472578">
        <w:rPr>
          <w:rStyle w:val="FootnoteReference"/>
        </w:rPr>
        <w:footnoteReference w:id="925"/>
      </w:r>
    </w:p>
    <w:p w14:paraId="276E285A" w14:textId="77777777" w:rsidR="000419F6" w:rsidRPr="00472578" w:rsidRDefault="000419F6" w:rsidP="00E92686">
      <w:pPr>
        <w:ind w:left="1134" w:hanging="567"/>
        <w:jc w:val="both"/>
      </w:pPr>
      <w:r w:rsidRPr="00472578">
        <w:t>(a)</w:t>
      </w:r>
      <w:r w:rsidRPr="00472578">
        <w:tab/>
        <w:t xml:space="preserve">differentiate between types of uses, including </w:t>
      </w:r>
      <w:r w:rsidRPr="00472578">
        <w:rPr>
          <w:i/>
          <w:iCs/>
        </w:rPr>
        <w:t>drinking water</w:t>
      </w:r>
      <w:r w:rsidRPr="00472578">
        <w:t xml:space="preserve">, and social, </w:t>
      </w:r>
      <w:proofErr w:type="gramStart"/>
      <w:r w:rsidRPr="00472578">
        <w:t>cultural</w:t>
      </w:r>
      <w:proofErr w:type="gramEnd"/>
      <w:r w:rsidRPr="00472578">
        <w:t xml:space="preserve"> and economic uses, in order to provide long-term certainty </w:t>
      </w:r>
      <w:r w:rsidRPr="00472578">
        <w:rPr>
          <w:strike/>
        </w:rPr>
        <w:t>in relation to</w:t>
      </w:r>
      <w:r w:rsidRPr="00472578">
        <w:t xml:space="preserve"> </w:t>
      </w:r>
      <w:r w:rsidRPr="00472578">
        <w:rPr>
          <w:u w:val="single"/>
        </w:rPr>
        <w:t>about the availability of</w:t>
      </w:r>
      <w:r w:rsidRPr="00BD5297">
        <w:rPr>
          <w:i/>
          <w:iCs/>
          <w:u w:val="single"/>
        </w:rPr>
        <w:t xml:space="preserve"> water</w:t>
      </w:r>
      <w:r w:rsidRPr="00472578">
        <w:rPr>
          <w:u w:val="single"/>
        </w:rPr>
        <w:t xml:space="preserve"> for</w:t>
      </w:r>
      <w:r w:rsidRPr="00472578">
        <w:t xml:space="preserve"> those uses</w:t>
      </w:r>
      <w:r w:rsidRPr="00472578">
        <w:rPr>
          <w:strike/>
        </w:rPr>
        <w:t xml:space="preserve"> of available </w:t>
      </w:r>
      <w:r w:rsidRPr="00472578">
        <w:rPr>
          <w:i/>
          <w:iCs/>
          <w:strike/>
        </w:rPr>
        <w:t>water</w:t>
      </w:r>
      <w:r w:rsidRPr="00472578">
        <w:t>,</w:t>
      </w:r>
      <w:r w:rsidRPr="00472578">
        <w:rPr>
          <w:rStyle w:val="FootnoteReference"/>
        </w:rPr>
        <w:footnoteReference w:id="926"/>
      </w:r>
    </w:p>
    <w:p w14:paraId="480EC7C2" w14:textId="77777777" w:rsidR="000419F6" w:rsidRPr="00472578" w:rsidRDefault="000419F6" w:rsidP="00E92686">
      <w:pPr>
        <w:ind w:left="1134" w:hanging="567"/>
        <w:jc w:val="both"/>
      </w:pPr>
      <w:r w:rsidRPr="00472578">
        <w:rPr>
          <w:strike/>
        </w:rPr>
        <w:t>(b)</w:t>
      </w:r>
      <w:r w:rsidRPr="00472578">
        <w:rPr>
          <w:strike/>
        </w:rPr>
        <w:tab/>
        <w:t xml:space="preserve">for </w:t>
      </w:r>
      <w:r w:rsidRPr="00472578">
        <w:rPr>
          <w:i/>
          <w:strike/>
        </w:rPr>
        <w:t xml:space="preserve">water </w:t>
      </w:r>
      <w:r w:rsidRPr="00472578">
        <w:rPr>
          <w:i/>
          <w:iCs/>
          <w:strike/>
        </w:rPr>
        <w:t>bodie</w:t>
      </w:r>
      <w:r w:rsidRPr="00472578">
        <w:rPr>
          <w:i/>
          <w:strike/>
        </w:rPr>
        <w:t>s</w:t>
      </w:r>
      <w:r w:rsidRPr="00472578">
        <w:rPr>
          <w:strike/>
        </w:rPr>
        <w:t xml:space="preserve"> that have been identified as </w:t>
      </w:r>
      <w:r w:rsidRPr="00472578">
        <w:rPr>
          <w:i/>
          <w:strike/>
        </w:rPr>
        <w:t>over-allocated</w:t>
      </w:r>
      <w:r w:rsidRPr="00472578">
        <w:rPr>
          <w:strike/>
        </w:rPr>
        <w:t xml:space="preserve">, provide methods and timeframes for phasing out that </w:t>
      </w:r>
      <w:r w:rsidRPr="00472578">
        <w:rPr>
          <w:i/>
          <w:iCs/>
          <w:strike/>
        </w:rPr>
        <w:t>over-allocation</w:t>
      </w:r>
      <w:r w:rsidRPr="00472578">
        <w:rPr>
          <w:strike/>
        </w:rPr>
        <w:t>,</w:t>
      </w:r>
      <w:r w:rsidRPr="00472578">
        <w:rPr>
          <w:rStyle w:val="FootnoteReference"/>
        </w:rPr>
        <w:footnoteReference w:id="927"/>
      </w:r>
    </w:p>
    <w:p w14:paraId="7A1226C1" w14:textId="77777777" w:rsidR="000419F6" w:rsidRPr="00472578" w:rsidRDefault="000419F6" w:rsidP="00E92686">
      <w:pPr>
        <w:ind w:left="1134" w:hanging="567"/>
        <w:jc w:val="both"/>
      </w:pPr>
      <w:r w:rsidRPr="00472578">
        <w:t>(c)</w:t>
      </w:r>
      <w:r w:rsidRPr="00472578">
        <w:tab/>
        <w:t xml:space="preserve">control the </w:t>
      </w:r>
      <w:r w:rsidRPr="00472578">
        <w:rPr>
          <w:i/>
          <w:iCs/>
        </w:rPr>
        <w:t>effects</w:t>
      </w:r>
      <w:r w:rsidRPr="00472578">
        <w:t xml:space="preserve"> of existing and potential future development on the ability of the </w:t>
      </w:r>
      <w:r w:rsidRPr="00472578">
        <w:rPr>
          <w:i/>
        </w:rPr>
        <w:t>water body</w:t>
      </w:r>
      <w:r w:rsidRPr="00472578">
        <w:t xml:space="preserve"> to meet, or continue to meet, </w:t>
      </w:r>
      <w:r w:rsidRPr="00472578">
        <w:rPr>
          <w:i/>
          <w:iCs/>
        </w:rPr>
        <w:t>environmental outcomes</w:t>
      </w:r>
      <w:r w:rsidRPr="00472578">
        <w:t xml:space="preserve">, </w:t>
      </w:r>
    </w:p>
    <w:p w14:paraId="2565ACAE" w14:textId="77777777" w:rsidR="000419F6" w:rsidRPr="00472578" w:rsidRDefault="000419F6" w:rsidP="00E92686">
      <w:pPr>
        <w:ind w:left="1134" w:hanging="567"/>
        <w:jc w:val="both"/>
      </w:pPr>
      <w:r w:rsidRPr="00472578">
        <w:t>(d)</w:t>
      </w:r>
      <w:r w:rsidRPr="00472578">
        <w:tab/>
        <w:t xml:space="preserve">manage the adverse </w:t>
      </w:r>
      <w:r w:rsidRPr="00472578">
        <w:rPr>
          <w:i/>
          <w:iCs/>
        </w:rPr>
        <w:t>effects</w:t>
      </w:r>
      <w:r w:rsidRPr="00472578">
        <w:t xml:space="preserve"> on </w:t>
      </w:r>
      <w:r w:rsidRPr="00472578">
        <w:rPr>
          <w:i/>
          <w:iCs/>
        </w:rPr>
        <w:t xml:space="preserve">water bodies </w:t>
      </w:r>
      <w:r w:rsidRPr="00472578">
        <w:t>that can arise</w:t>
      </w:r>
      <w:r w:rsidRPr="00472578">
        <w:rPr>
          <w:i/>
          <w:iCs/>
        </w:rPr>
        <w:t xml:space="preserve"> </w:t>
      </w:r>
      <w:r w:rsidRPr="00472578">
        <w:t xml:space="preserve">from the use and development of </w:t>
      </w:r>
      <w:r w:rsidRPr="00472578">
        <w:rPr>
          <w:i/>
          <w:iCs/>
        </w:rPr>
        <w:t>land</w:t>
      </w:r>
      <w:r w:rsidRPr="00472578">
        <w:t>, and</w:t>
      </w:r>
    </w:p>
    <w:p w14:paraId="489E5EB6" w14:textId="45F953F2" w:rsidR="000419F6" w:rsidRPr="00472578" w:rsidRDefault="000419F6" w:rsidP="00E92686">
      <w:pPr>
        <w:ind w:left="567" w:hanging="567"/>
        <w:jc w:val="both"/>
      </w:pPr>
      <w:r w:rsidRPr="00472578">
        <w:rPr>
          <w:u w:val="single"/>
        </w:rPr>
        <w:t>(5</w:t>
      </w:r>
      <w:r w:rsidR="009F1CDC">
        <w:rPr>
          <w:u w:val="single"/>
        </w:rPr>
        <w:t>A</w:t>
      </w:r>
      <w:r w:rsidRPr="00472578">
        <w:rPr>
          <w:u w:val="single"/>
        </w:rPr>
        <w:t>)</w:t>
      </w:r>
      <w:r w:rsidRPr="00472578">
        <w:rPr>
          <w:u w:val="single"/>
        </w:rPr>
        <w:tab/>
        <w:t xml:space="preserve">identify </w:t>
      </w:r>
      <w:r w:rsidRPr="00472578">
        <w:rPr>
          <w:i/>
          <w:iCs/>
          <w:u w:val="single"/>
        </w:rPr>
        <w:t>water bodies</w:t>
      </w:r>
      <w:r w:rsidRPr="00472578">
        <w:rPr>
          <w:u w:val="single"/>
        </w:rPr>
        <w:t xml:space="preserve"> that are </w:t>
      </w:r>
      <w:r w:rsidRPr="00472578">
        <w:rPr>
          <w:i/>
          <w:iCs/>
          <w:u w:val="single"/>
        </w:rPr>
        <w:t>over-allocated</w:t>
      </w:r>
      <w:r w:rsidRPr="00472578">
        <w:rPr>
          <w:u w:val="single"/>
        </w:rPr>
        <w:t xml:space="preserve"> and the methods and timeframes for phasing out that </w:t>
      </w:r>
      <w:r w:rsidRPr="00472578">
        <w:rPr>
          <w:i/>
          <w:iCs/>
          <w:u w:val="single"/>
        </w:rPr>
        <w:t>over-allocation</w:t>
      </w:r>
      <w:r w:rsidR="00C53B5A">
        <w:rPr>
          <w:u w:val="single"/>
        </w:rPr>
        <w:t xml:space="preserve"> (</w:t>
      </w:r>
      <w:r w:rsidRPr="00472578">
        <w:rPr>
          <w:u w:val="single"/>
        </w:rPr>
        <w:t xml:space="preserve">including through environmental flow and level regimes and </w:t>
      </w:r>
      <w:r w:rsidRPr="00472578">
        <w:rPr>
          <w:i/>
          <w:iCs/>
          <w:u w:val="single"/>
        </w:rPr>
        <w:t>limits on resource use</w:t>
      </w:r>
      <w:r w:rsidR="00C53B5A">
        <w:rPr>
          <w:u w:val="single"/>
        </w:rPr>
        <w:t>)</w:t>
      </w:r>
      <w:r w:rsidRPr="00472578">
        <w:rPr>
          <w:u w:val="single"/>
        </w:rPr>
        <w:t xml:space="preserve"> within the timeframes required to achieve the relevant freshwater vision set out in LF-VM</w:t>
      </w:r>
      <w:r w:rsidRPr="00472578">
        <w:t>,</w:t>
      </w:r>
      <w:r w:rsidRPr="00472578">
        <w:rPr>
          <w:rStyle w:val="FootnoteReference"/>
        </w:rPr>
        <w:footnoteReference w:id="928"/>
      </w:r>
    </w:p>
    <w:p w14:paraId="7EA43B3D" w14:textId="77777777" w:rsidR="000419F6" w:rsidRPr="00472578" w:rsidRDefault="000419F6" w:rsidP="00E92686">
      <w:pPr>
        <w:ind w:left="567" w:hanging="567"/>
        <w:jc w:val="both"/>
      </w:pPr>
      <w:r w:rsidRPr="00472578">
        <w:t>(6)</w:t>
      </w:r>
      <w:r w:rsidRPr="00472578">
        <w:tab/>
        <w:t xml:space="preserve">provide for the off-stream storage of surface </w:t>
      </w:r>
      <w:r w:rsidRPr="00472578">
        <w:rPr>
          <w:i/>
          <w:iCs/>
        </w:rPr>
        <w:t>water</w:t>
      </w:r>
      <w:r w:rsidRPr="00472578">
        <w:t xml:space="preserve"> where storage will: </w:t>
      </w:r>
    </w:p>
    <w:p w14:paraId="7D818C2A" w14:textId="77777777" w:rsidR="000419F6" w:rsidRPr="00472578" w:rsidRDefault="000419F6" w:rsidP="00E92686">
      <w:pPr>
        <w:ind w:left="1134" w:hanging="567"/>
        <w:jc w:val="both"/>
      </w:pPr>
      <w:r w:rsidRPr="00472578">
        <w:t>(a)</w:t>
      </w:r>
      <w:r w:rsidRPr="00472578">
        <w:tab/>
        <w:t xml:space="preserve">support </w:t>
      </w:r>
      <w:r w:rsidRPr="00472578">
        <w:rPr>
          <w:i/>
        </w:rPr>
        <w:t xml:space="preserve">Te Mana o </w:t>
      </w:r>
      <w:r w:rsidRPr="00472578">
        <w:rPr>
          <w:i/>
          <w:iCs/>
        </w:rPr>
        <w:t>t</w:t>
      </w:r>
      <w:r w:rsidRPr="00472578">
        <w:rPr>
          <w:i/>
        </w:rPr>
        <w:t>e Wai</w:t>
      </w:r>
      <w:r w:rsidRPr="00472578">
        <w:t>,</w:t>
      </w:r>
    </w:p>
    <w:p w14:paraId="6DEB34F2" w14:textId="77777777" w:rsidR="000419F6" w:rsidRPr="00472578" w:rsidRDefault="000419F6" w:rsidP="00E92686">
      <w:pPr>
        <w:ind w:left="1134" w:hanging="567"/>
        <w:jc w:val="both"/>
      </w:pPr>
      <w:r w:rsidRPr="00472578">
        <w:lastRenderedPageBreak/>
        <w:t>(b)</w:t>
      </w:r>
      <w:r w:rsidRPr="00472578">
        <w:tab/>
        <w:t>give effect to the objectives and policies of the LF chapter of this RPS, and</w:t>
      </w:r>
    </w:p>
    <w:p w14:paraId="735B1455" w14:textId="77777777" w:rsidR="000419F6" w:rsidRPr="00472578" w:rsidRDefault="000419F6" w:rsidP="00E92686">
      <w:pPr>
        <w:ind w:left="1134" w:hanging="567"/>
        <w:jc w:val="both"/>
      </w:pPr>
      <w:r w:rsidRPr="00472578">
        <w:t>(c)</w:t>
      </w:r>
      <w:r w:rsidRPr="00472578">
        <w:tab/>
        <w:t xml:space="preserve">not prevent a surface </w:t>
      </w:r>
      <w:r w:rsidRPr="00472578">
        <w:rPr>
          <w:i/>
          <w:iCs/>
        </w:rPr>
        <w:t>water body</w:t>
      </w:r>
      <w:r w:rsidRPr="00472578">
        <w:t xml:space="preserve"> from achieving identified </w:t>
      </w:r>
      <w:r w:rsidRPr="00472578">
        <w:rPr>
          <w:i/>
          <w:iCs/>
        </w:rPr>
        <w:t>environmental outcomes</w:t>
      </w:r>
      <w:r w:rsidRPr="00472578">
        <w:t xml:space="preserve"> and remaining within any </w:t>
      </w:r>
      <w:r w:rsidRPr="00472578">
        <w:rPr>
          <w:i/>
        </w:rPr>
        <w:t>limits on resource use</w:t>
      </w:r>
      <w:r w:rsidRPr="00472578">
        <w:t>, and</w:t>
      </w:r>
    </w:p>
    <w:p w14:paraId="0827FACA" w14:textId="77777777" w:rsidR="000419F6" w:rsidRPr="00472578" w:rsidRDefault="000419F6" w:rsidP="00E92686">
      <w:pPr>
        <w:ind w:left="567" w:hanging="567"/>
        <w:jc w:val="both"/>
      </w:pPr>
      <w:r w:rsidRPr="00472578">
        <w:t>(7)</w:t>
      </w:r>
      <w:r w:rsidRPr="00472578">
        <w:tab/>
        <w:t xml:space="preserve">identify and manage </w:t>
      </w:r>
      <w:r w:rsidRPr="00472578">
        <w:rPr>
          <w:i/>
          <w:iCs/>
        </w:rPr>
        <w:t>natural wetlands</w:t>
      </w:r>
      <w:r w:rsidRPr="00472578">
        <w:t xml:space="preserve"> in accordance with </w:t>
      </w:r>
      <w:r w:rsidRPr="00472578">
        <w:rPr>
          <w:strike/>
        </w:rPr>
        <w:t>LF-FW-P7,</w:t>
      </w:r>
      <w:r w:rsidRPr="00472578">
        <w:t xml:space="preserve"> LF-FW-P8</w:t>
      </w:r>
      <w:r w:rsidRPr="00472578">
        <w:rPr>
          <w:u w:val="single"/>
        </w:rPr>
        <w:t>,</w:t>
      </w:r>
      <w:r w:rsidRPr="00472578">
        <w:t xml:space="preserve"> </w:t>
      </w:r>
      <w:r w:rsidRPr="00472578">
        <w:rPr>
          <w:strike/>
        </w:rPr>
        <w:t>and</w:t>
      </w:r>
      <w:r w:rsidRPr="00472578">
        <w:t xml:space="preserve"> LF-FW-P9 </w:t>
      </w:r>
      <w:r w:rsidRPr="00472578">
        <w:rPr>
          <w:u w:val="single"/>
        </w:rPr>
        <w:t>and LF-FW-P10</w:t>
      </w:r>
      <w:r w:rsidRPr="00472578">
        <w:rPr>
          <w:rStyle w:val="FootnoteReference"/>
        </w:rPr>
        <w:footnoteReference w:id="929"/>
      </w:r>
      <w:r w:rsidRPr="00472578">
        <w:t xml:space="preserve"> while recognising that some activities in and around </w:t>
      </w:r>
      <w:r w:rsidRPr="00472578">
        <w:rPr>
          <w:i/>
          <w:iCs/>
        </w:rPr>
        <w:t>natural wetlands</w:t>
      </w:r>
      <w:r w:rsidRPr="00472578">
        <w:t xml:space="preserve"> are managed under the NESF, </w:t>
      </w:r>
      <w:r w:rsidRPr="00472578">
        <w:rPr>
          <w:strike/>
        </w:rPr>
        <w:t xml:space="preserve">and </w:t>
      </w:r>
    </w:p>
    <w:p w14:paraId="00CCDF3E" w14:textId="3F342322" w:rsidR="000419F6" w:rsidRPr="00472578" w:rsidRDefault="000419F6" w:rsidP="00E92686">
      <w:pPr>
        <w:ind w:left="567" w:hanging="567"/>
        <w:jc w:val="both"/>
      </w:pPr>
      <w:r w:rsidRPr="00472578">
        <w:rPr>
          <w:u w:val="single"/>
        </w:rPr>
        <w:t>(7</w:t>
      </w:r>
      <w:r w:rsidR="00632310">
        <w:rPr>
          <w:u w:val="single"/>
        </w:rPr>
        <w:t>A</w:t>
      </w:r>
      <w:r w:rsidRPr="00472578">
        <w:rPr>
          <w:u w:val="single"/>
        </w:rPr>
        <w:t xml:space="preserve">) </w:t>
      </w:r>
      <w:r w:rsidRPr="00472578">
        <w:rPr>
          <w:u w:val="single"/>
        </w:rPr>
        <w:tab/>
        <w:t>recognise and respond to Kāi Tahu cultural and spiritual concerns about mixing of water between different catchments,</w:t>
      </w:r>
      <w:r w:rsidRPr="00472578">
        <w:rPr>
          <w:rStyle w:val="FootnoteReference"/>
        </w:rPr>
        <w:footnoteReference w:id="930"/>
      </w:r>
    </w:p>
    <w:p w14:paraId="4E9D086B" w14:textId="4A555E43" w:rsidR="000419F6" w:rsidRPr="00472578" w:rsidRDefault="000419F6" w:rsidP="00E92686">
      <w:pPr>
        <w:ind w:left="567" w:hanging="567"/>
        <w:jc w:val="both"/>
        <w:rPr>
          <w:u w:val="single"/>
        </w:rPr>
      </w:pPr>
      <w:r w:rsidRPr="00472578">
        <w:t>(8)</w:t>
      </w:r>
      <w:r w:rsidRPr="00472578">
        <w:tab/>
        <w:t xml:space="preserve">manage the adverse </w:t>
      </w:r>
      <w:r w:rsidRPr="00472578">
        <w:rPr>
          <w:i/>
        </w:rPr>
        <w:t>effects</w:t>
      </w:r>
      <w:r w:rsidRPr="00472578">
        <w:t xml:space="preserve"> of </w:t>
      </w:r>
      <w:r w:rsidRPr="00472578">
        <w:rPr>
          <w:i/>
          <w:iCs/>
          <w:u w:val="single"/>
        </w:rPr>
        <w:t>discharges</w:t>
      </w:r>
      <w:r w:rsidRPr="00472578">
        <w:rPr>
          <w:u w:val="single"/>
        </w:rPr>
        <w:t xml:space="preserve"> of</w:t>
      </w:r>
      <w:r w:rsidRPr="00472578">
        <w:t xml:space="preserve"> </w:t>
      </w:r>
      <w:r w:rsidRPr="00472578">
        <w:rPr>
          <w:i/>
        </w:rPr>
        <w:t xml:space="preserve">stormwater </w:t>
      </w:r>
      <w:r w:rsidRPr="00472578">
        <w:rPr>
          <w:iCs/>
          <w:u w:val="single"/>
        </w:rPr>
        <w:t xml:space="preserve">and </w:t>
      </w:r>
      <w:r w:rsidRPr="00472578">
        <w:rPr>
          <w:i/>
          <w:u w:val="single"/>
        </w:rPr>
        <w:t>industrial and trade waste</w:t>
      </w:r>
      <w:r w:rsidRPr="00472578">
        <w:t xml:space="preserve"> </w:t>
      </w:r>
      <w:r w:rsidRPr="00472578">
        <w:rPr>
          <w:strike/>
        </w:rPr>
        <w:t xml:space="preserve">and </w:t>
      </w:r>
      <w:r w:rsidRPr="00472578">
        <w:rPr>
          <w:i/>
          <w:strike/>
        </w:rPr>
        <w:t>wastewater</w:t>
      </w:r>
      <w:r w:rsidRPr="00472578">
        <w:t xml:space="preserve"> in accordance with LF-FW-P15 </w:t>
      </w:r>
      <w:r w:rsidRPr="00472578">
        <w:rPr>
          <w:u w:val="single"/>
        </w:rPr>
        <w:t xml:space="preserve">and </w:t>
      </w:r>
      <w:r w:rsidRPr="00472578">
        <w:rPr>
          <w:i/>
          <w:iCs/>
          <w:u w:val="single"/>
        </w:rPr>
        <w:t>discharges</w:t>
      </w:r>
      <w:r w:rsidRPr="00472578">
        <w:rPr>
          <w:u w:val="single"/>
        </w:rPr>
        <w:t xml:space="preserve"> containing sewage and other human wastes in accordance with LF-FW-P1</w:t>
      </w:r>
      <w:r w:rsidR="00A94B7E">
        <w:rPr>
          <w:u w:val="single"/>
        </w:rPr>
        <w:t>5A</w:t>
      </w:r>
      <w:r w:rsidRPr="00472578">
        <w:rPr>
          <w:strike/>
        </w:rPr>
        <w:t>.</w:t>
      </w:r>
      <w:r w:rsidRPr="00472578">
        <w:rPr>
          <w:u w:val="single"/>
        </w:rPr>
        <w:t>, and</w:t>
      </w:r>
      <w:r w:rsidRPr="00472578">
        <w:rPr>
          <w:rStyle w:val="FootnoteReference"/>
        </w:rPr>
        <w:footnoteReference w:id="931"/>
      </w:r>
    </w:p>
    <w:p w14:paraId="7958C1DE" w14:textId="77777777" w:rsidR="000419F6" w:rsidRPr="00472578" w:rsidRDefault="000419F6" w:rsidP="00E92686">
      <w:pPr>
        <w:ind w:left="567" w:hanging="567"/>
        <w:jc w:val="both"/>
      </w:pPr>
      <w:r w:rsidRPr="00472578">
        <w:rPr>
          <w:u w:val="single"/>
        </w:rPr>
        <w:t>(9)</w:t>
      </w:r>
      <w:r w:rsidRPr="00472578">
        <w:rPr>
          <w:u w:val="single"/>
        </w:rPr>
        <w:tab/>
      </w:r>
      <w:r w:rsidRPr="00472578">
        <w:rPr>
          <w:rFonts w:eastAsia="National-Book" w:cs="Times New Roman"/>
          <w:u w:val="single"/>
        </w:rPr>
        <w:t xml:space="preserve">promote source control as a method for reducing </w:t>
      </w:r>
      <w:r w:rsidRPr="00472578">
        <w:rPr>
          <w:rFonts w:eastAsia="National-Book" w:cs="Times New Roman"/>
          <w:i/>
          <w:u w:val="single"/>
        </w:rPr>
        <w:t>contaminants</w:t>
      </w:r>
      <w:r w:rsidRPr="00472578">
        <w:rPr>
          <w:rFonts w:eastAsia="National-Book" w:cs="Times New Roman"/>
          <w:u w:val="single"/>
        </w:rPr>
        <w:t xml:space="preserve"> in </w:t>
      </w:r>
      <w:r w:rsidRPr="00472578">
        <w:rPr>
          <w:rFonts w:eastAsia="National-Book" w:cs="Times New Roman"/>
          <w:i/>
          <w:u w:val="single"/>
        </w:rPr>
        <w:t>discharges</w:t>
      </w:r>
      <w:r w:rsidRPr="00472578">
        <w:rPr>
          <w:rFonts w:eastAsia="National-Book" w:cs="Times New Roman"/>
          <w:u w:val="single"/>
        </w:rPr>
        <w:t xml:space="preserve"> of </w:t>
      </w:r>
      <w:r w:rsidRPr="00472578">
        <w:rPr>
          <w:rFonts w:eastAsia="National-Book" w:cs="Times New Roman"/>
          <w:i/>
          <w:u w:val="single"/>
        </w:rPr>
        <w:t xml:space="preserve">stormwater </w:t>
      </w:r>
      <w:r w:rsidRPr="00472578">
        <w:rPr>
          <w:rFonts w:eastAsia="National-Book" w:cs="Times New Roman"/>
          <w:iCs/>
          <w:u w:val="single"/>
        </w:rPr>
        <w:t xml:space="preserve">or </w:t>
      </w:r>
      <w:r w:rsidRPr="00472578">
        <w:rPr>
          <w:rFonts w:eastAsia="National-Book" w:cs="Times New Roman"/>
          <w:i/>
          <w:u w:val="single"/>
        </w:rPr>
        <w:t xml:space="preserve">industrial and trade waste </w:t>
      </w:r>
      <w:r w:rsidRPr="00472578">
        <w:rPr>
          <w:rFonts w:eastAsia="National-Book" w:cs="Times New Roman"/>
          <w:u w:val="single"/>
        </w:rPr>
        <w:t xml:space="preserve">and </w:t>
      </w:r>
      <w:r w:rsidRPr="00472578">
        <w:rPr>
          <w:rFonts w:eastAsia="National-Book" w:cs="Times New Roman"/>
          <w:i/>
          <w:u w:val="single"/>
        </w:rPr>
        <w:t xml:space="preserve">discharges </w:t>
      </w:r>
      <w:r w:rsidRPr="00472578">
        <w:rPr>
          <w:rFonts w:eastAsia="National-Book" w:cs="Times New Roman"/>
          <w:u w:val="single"/>
        </w:rPr>
        <w:t xml:space="preserve">containing </w:t>
      </w:r>
      <w:r w:rsidRPr="00472578">
        <w:rPr>
          <w:rFonts w:eastAsia="National-Book" w:cs="Times New Roman"/>
          <w:i/>
          <w:u w:val="single"/>
        </w:rPr>
        <w:t xml:space="preserve">sewage </w:t>
      </w:r>
      <w:r w:rsidRPr="00472578">
        <w:rPr>
          <w:rFonts w:eastAsia="National-Book" w:cs="Times New Roman"/>
          <w:u w:val="single"/>
        </w:rPr>
        <w:t>or other human wastes.</w:t>
      </w:r>
      <w:r w:rsidRPr="00472578">
        <w:rPr>
          <w:rStyle w:val="FootnoteReference"/>
        </w:rPr>
        <w:footnoteReference w:id="932"/>
      </w:r>
    </w:p>
    <w:p w14:paraId="5D125483"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LF-FW-M7 – </w:t>
      </w:r>
      <w:r w:rsidRPr="00472578">
        <w:rPr>
          <w:rFonts w:ascii="Calibri" w:eastAsia="Calibri" w:hAnsi="Calibri" w:cs="Times New Roman"/>
          <w:b/>
          <w:i/>
          <w:color w:val="1F3864" w:themeColor="accent1" w:themeShade="80"/>
        </w:rPr>
        <w:t>District plans</w:t>
      </w:r>
    </w:p>
    <w:p w14:paraId="234110F7" w14:textId="77777777" w:rsidR="000419F6" w:rsidRPr="00472578" w:rsidRDefault="000419F6" w:rsidP="00E92686">
      <w:pPr>
        <w:jc w:val="both"/>
      </w:pPr>
      <w:r w:rsidRPr="00472578">
        <w:rPr>
          <w:i/>
          <w:iCs/>
        </w:rPr>
        <w:t>Territorial authorities</w:t>
      </w:r>
      <w:r w:rsidRPr="00472578">
        <w:t xml:space="preserve"> must </w:t>
      </w:r>
      <w:r w:rsidRPr="00472578">
        <w:rPr>
          <w:rFonts w:ascii="Calibri" w:eastAsia="Calibri" w:hAnsi="Calibri" w:cs="Times New Roman"/>
        </w:rPr>
        <w:t>prepare or amend and maintain</w:t>
      </w:r>
      <w:r w:rsidRPr="00472578">
        <w:t xml:space="preserve"> their </w:t>
      </w:r>
      <w:r w:rsidRPr="00472578">
        <w:rPr>
          <w:i/>
          <w:iCs/>
        </w:rPr>
        <w:t>district plans</w:t>
      </w:r>
      <w:r w:rsidRPr="00472578">
        <w:t xml:space="preserve"> no later than 31 December 2026 to:</w:t>
      </w:r>
    </w:p>
    <w:p w14:paraId="12349260" w14:textId="77777777" w:rsidR="000419F6" w:rsidRPr="00472578" w:rsidRDefault="000419F6" w:rsidP="00E92686">
      <w:pPr>
        <w:ind w:left="567" w:hanging="567"/>
        <w:jc w:val="both"/>
      </w:pPr>
      <w:r w:rsidRPr="00472578">
        <w:t>(1)</w:t>
      </w:r>
      <w:r w:rsidRPr="00472578">
        <w:tab/>
        <w:t xml:space="preserve">map </w:t>
      </w:r>
      <w:r w:rsidRPr="00472578">
        <w:rPr>
          <w:i/>
          <w:iCs/>
        </w:rPr>
        <w:t>outstanding water bodies</w:t>
      </w:r>
      <w:r w:rsidRPr="00472578">
        <w:t xml:space="preserve"> and identify their outstanding and significant values using the information gathered </w:t>
      </w:r>
      <w:r w:rsidRPr="00472578">
        <w:rPr>
          <w:strike/>
        </w:rPr>
        <w:t>by Otago Regional Council in</w:t>
      </w:r>
      <w:r w:rsidRPr="00472578">
        <w:t xml:space="preserve"> </w:t>
      </w:r>
      <w:r w:rsidRPr="00472578">
        <w:rPr>
          <w:u w:val="single"/>
        </w:rPr>
        <w:t>through implementation of</w:t>
      </w:r>
      <w:r w:rsidRPr="00472578">
        <w:rPr>
          <w:rStyle w:val="FootnoteReference"/>
        </w:rPr>
        <w:footnoteReference w:id="933"/>
      </w:r>
      <w:r w:rsidRPr="00472578">
        <w:t xml:space="preserve"> LF-FW-M5, and </w:t>
      </w:r>
    </w:p>
    <w:p w14:paraId="05E01AA9" w14:textId="77777777" w:rsidR="000419F6" w:rsidRPr="00472578" w:rsidRDefault="000419F6" w:rsidP="00E92686">
      <w:pPr>
        <w:ind w:left="567" w:hanging="567"/>
        <w:jc w:val="both"/>
      </w:pPr>
      <w:r w:rsidRPr="00472578">
        <w:t>(2)</w:t>
      </w:r>
      <w:r w:rsidRPr="00472578">
        <w:tab/>
      </w:r>
      <w:r w:rsidRPr="00472578" w:rsidDel="00B3499A">
        <w:t xml:space="preserve">include provisions to avoid the adverse </w:t>
      </w:r>
      <w:r w:rsidRPr="00472578" w:rsidDel="00B3499A">
        <w:rPr>
          <w:i/>
          <w:iCs/>
        </w:rPr>
        <w:t>effects</w:t>
      </w:r>
      <w:r w:rsidRPr="00472578" w:rsidDel="00B3499A">
        <w:t xml:space="preserve"> of activities on the significant </w:t>
      </w:r>
      <w:r w:rsidRPr="00472578">
        <w:t xml:space="preserve">and outstanding </w:t>
      </w:r>
      <w:r w:rsidRPr="00472578" w:rsidDel="00B3499A">
        <w:t xml:space="preserve">values of </w:t>
      </w:r>
      <w:r w:rsidRPr="00472578" w:rsidDel="00B3499A">
        <w:rPr>
          <w:i/>
          <w:iCs/>
        </w:rPr>
        <w:t>outstanding</w:t>
      </w:r>
      <w:r w:rsidRPr="00472578" w:rsidDel="00B3499A">
        <w:t xml:space="preserve"> </w:t>
      </w:r>
      <w:r w:rsidRPr="00472578" w:rsidDel="00B3499A">
        <w:rPr>
          <w:i/>
          <w:iCs/>
        </w:rPr>
        <w:t>water bodies</w:t>
      </w:r>
      <w:r w:rsidRPr="00472578">
        <w:t>,</w:t>
      </w:r>
    </w:p>
    <w:p w14:paraId="016B7833" w14:textId="5503E4A4" w:rsidR="000419F6" w:rsidRPr="00472578" w:rsidRDefault="000419F6" w:rsidP="00E92686">
      <w:pPr>
        <w:ind w:left="567" w:hanging="567"/>
        <w:jc w:val="both"/>
      </w:pPr>
      <w:r w:rsidRPr="639E38F9">
        <w:rPr>
          <w:u w:val="single"/>
        </w:rPr>
        <w:t>(2</w:t>
      </w:r>
      <w:r w:rsidR="00114CF1" w:rsidRPr="639E38F9">
        <w:rPr>
          <w:u w:val="single"/>
        </w:rPr>
        <w:t>A</w:t>
      </w:r>
      <w:r w:rsidRPr="639E38F9">
        <w:rPr>
          <w:u w:val="single"/>
        </w:rPr>
        <w:t xml:space="preserve">) </w:t>
      </w:r>
      <w:r w:rsidRPr="00472578">
        <w:rPr>
          <w:rFonts w:cstheme="minorHAnsi"/>
          <w:u w:val="single"/>
        </w:rPr>
        <w:tab/>
      </w:r>
      <w:r w:rsidRPr="639E38F9">
        <w:rPr>
          <w:u w:val="single"/>
        </w:rPr>
        <w:t xml:space="preserve">include provisions to preserve the natural character of lakes and rivers and their margins from the adverse effects of </w:t>
      </w:r>
      <w:r w:rsidR="00855A9A" w:rsidRPr="639E38F9">
        <w:rPr>
          <w:u w:val="single"/>
        </w:rPr>
        <w:t xml:space="preserve">activities on the surface of water and </w:t>
      </w:r>
      <w:r w:rsidRPr="639E38F9">
        <w:rPr>
          <w:u w:val="single"/>
        </w:rPr>
        <w:t>land use and development</w:t>
      </w:r>
      <w:r w:rsidR="00A873C9" w:rsidRPr="639E38F9">
        <w:rPr>
          <w:u w:val="single"/>
        </w:rPr>
        <w:t xml:space="preserve"> on their margins</w:t>
      </w:r>
      <w:r w:rsidR="00855A9A" w:rsidRPr="639E38F9">
        <w:rPr>
          <w:u w:val="single"/>
        </w:rPr>
        <w:t>,</w:t>
      </w:r>
      <w:r w:rsidR="00855A9A" w:rsidRPr="00472578">
        <w:rPr>
          <w:rStyle w:val="FootnoteReference"/>
        </w:rPr>
        <w:footnoteReference w:id="934"/>
      </w:r>
      <w:r w:rsidRPr="639E38F9">
        <w:rPr>
          <w:u w:val="single"/>
        </w:rPr>
        <w:t xml:space="preserve"> </w:t>
      </w:r>
    </w:p>
    <w:p w14:paraId="12EEF5DA" w14:textId="77777777" w:rsidR="000419F6" w:rsidRPr="00472578" w:rsidRDefault="000419F6" w:rsidP="00E92686">
      <w:pPr>
        <w:ind w:left="567" w:hanging="567"/>
        <w:jc w:val="both"/>
      </w:pPr>
      <w:r w:rsidRPr="00472578">
        <w:t>(3)</w:t>
      </w:r>
      <w:r w:rsidRPr="00472578">
        <w:tab/>
      </w:r>
      <w:bookmarkStart w:id="166" w:name="_Hlk96357923"/>
      <w:r w:rsidRPr="00472578">
        <w:t xml:space="preserve">require, wherever practicable, the adoption of water sensitive </w:t>
      </w:r>
      <w:r w:rsidRPr="00472578">
        <w:rPr>
          <w:strike/>
        </w:rPr>
        <w:t>urban</w:t>
      </w:r>
      <w:r w:rsidRPr="00472578">
        <w:rPr>
          <w:rStyle w:val="FootnoteReference"/>
        </w:rPr>
        <w:footnoteReference w:id="935"/>
      </w:r>
      <w:r w:rsidRPr="00472578">
        <w:t xml:space="preserve"> design techniques when managing the </w:t>
      </w:r>
      <w:r w:rsidRPr="00472578">
        <w:rPr>
          <w:i/>
          <w:iCs/>
        </w:rPr>
        <w:t xml:space="preserve">subdivision, </w:t>
      </w:r>
      <w:r w:rsidRPr="00472578">
        <w:t xml:space="preserve">use or development of </w:t>
      </w:r>
      <w:r w:rsidRPr="00472578">
        <w:rPr>
          <w:i/>
          <w:iCs/>
        </w:rPr>
        <w:t>land</w:t>
      </w:r>
      <w:r w:rsidRPr="00472578">
        <w:t>, and</w:t>
      </w:r>
      <w:bookmarkEnd w:id="166"/>
    </w:p>
    <w:p w14:paraId="745A5DF2" w14:textId="77777777" w:rsidR="000419F6" w:rsidRPr="00472578" w:rsidRDefault="000419F6" w:rsidP="00E92686">
      <w:pPr>
        <w:ind w:left="567" w:hanging="567"/>
        <w:jc w:val="both"/>
      </w:pPr>
      <w:r w:rsidRPr="00472578">
        <w:t>(4)</w:t>
      </w:r>
      <w:r w:rsidRPr="00472578">
        <w:tab/>
        <w:t xml:space="preserve">reduce the adverse </w:t>
      </w:r>
      <w:r w:rsidRPr="00472578">
        <w:rPr>
          <w:i/>
          <w:iCs/>
        </w:rPr>
        <w:t>effects</w:t>
      </w:r>
      <w:r w:rsidRPr="00472578">
        <w:t xml:space="preserve"> of </w:t>
      </w:r>
      <w:r w:rsidRPr="00472578">
        <w:rPr>
          <w:i/>
          <w:iCs/>
        </w:rPr>
        <w:t>stormwater</w:t>
      </w:r>
      <w:r w:rsidRPr="00472578">
        <w:t xml:space="preserve"> </w:t>
      </w:r>
      <w:r w:rsidRPr="00472578">
        <w:rPr>
          <w:i/>
          <w:iCs/>
        </w:rPr>
        <w:t>discharges</w:t>
      </w:r>
      <w:r w:rsidRPr="00472578">
        <w:t xml:space="preserve"> by managing the </w:t>
      </w:r>
      <w:r w:rsidRPr="00472578">
        <w:rPr>
          <w:i/>
          <w:iCs/>
        </w:rPr>
        <w:t xml:space="preserve">subdivision, </w:t>
      </w:r>
      <w:r w:rsidRPr="00472578">
        <w:t xml:space="preserve">use and development of </w:t>
      </w:r>
      <w:r w:rsidRPr="00472578">
        <w:rPr>
          <w:i/>
          <w:iCs/>
        </w:rPr>
        <w:t>land</w:t>
      </w:r>
      <w:r w:rsidRPr="00472578">
        <w:t xml:space="preserve"> to:</w:t>
      </w:r>
    </w:p>
    <w:p w14:paraId="49D309A2" w14:textId="77777777" w:rsidR="000419F6" w:rsidRPr="00472578" w:rsidRDefault="000419F6" w:rsidP="00E92686">
      <w:pPr>
        <w:ind w:left="1134" w:hanging="567"/>
        <w:jc w:val="both"/>
      </w:pPr>
      <w:r w:rsidRPr="00472578">
        <w:t>(a)</w:t>
      </w:r>
      <w:r w:rsidRPr="00472578">
        <w:tab/>
        <w:t xml:space="preserve">minimise the peak volume of </w:t>
      </w:r>
      <w:r w:rsidRPr="00472578">
        <w:rPr>
          <w:i/>
        </w:rPr>
        <w:t>stormwater</w:t>
      </w:r>
      <w:r w:rsidRPr="00472578">
        <w:t xml:space="preserve"> needing off-site disposal and the load of </w:t>
      </w:r>
      <w:r w:rsidRPr="00472578">
        <w:rPr>
          <w:i/>
          <w:iCs/>
        </w:rPr>
        <w:t xml:space="preserve">contaminants </w:t>
      </w:r>
      <w:r w:rsidRPr="00472578">
        <w:t xml:space="preserve">carried by it, </w:t>
      </w:r>
    </w:p>
    <w:p w14:paraId="40255FB2" w14:textId="77777777" w:rsidR="000419F6" w:rsidRPr="00472578" w:rsidRDefault="000419F6" w:rsidP="00E92686">
      <w:pPr>
        <w:ind w:left="1134" w:hanging="567"/>
        <w:jc w:val="both"/>
      </w:pPr>
      <w:r w:rsidRPr="00472578">
        <w:t>(b)</w:t>
      </w:r>
      <w:r w:rsidRPr="00472578">
        <w:tab/>
        <w:t xml:space="preserve">minimise adverse </w:t>
      </w:r>
      <w:r w:rsidRPr="00472578">
        <w:rPr>
          <w:i/>
          <w:iCs/>
        </w:rPr>
        <w:t>effects</w:t>
      </w:r>
      <w:r w:rsidRPr="00472578">
        <w:t xml:space="preserve"> on </w:t>
      </w:r>
      <w:r w:rsidRPr="00472578">
        <w:rPr>
          <w:i/>
          <w:iCs/>
        </w:rPr>
        <w:t>fresh water</w:t>
      </w:r>
      <w:r w:rsidRPr="00472578">
        <w:t xml:space="preserve"> and </w:t>
      </w:r>
      <w:r w:rsidRPr="00472578">
        <w:rPr>
          <w:i/>
          <w:iCs/>
        </w:rPr>
        <w:t>coastal water</w:t>
      </w:r>
      <w:r w:rsidRPr="00472578">
        <w:t xml:space="preserve"> as the ultimate receiving environments, and the capacity of the </w:t>
      </w:r>
      <w:r w:rsidRPr="00472578">
        <w:rPr>
          <w:i/>
          <w:iCs/>
        </w:rPr>
        <w:t>stormwater</w:t>
      </w:r>
      <w:r w:rsidRPr="00472578">
        <w:t xml:space="preserve"> network,</w:t>
      </w:r>
    </w:p>
    <w:p w14:paraId="74D51351" w14:textId="27FB8078" w:rsidR="000419F6" w:rsidRPr="00472578" w:rsidRDefault="000419F6" w:rsidP="00E92686">
      <w:pPr>
        <w:ind w:left="1134" w:hanging="567"/>
        <w:jc w:val="both"/>
      </w:pPr>
      <w:r w:rsidRPr="00472578">
        <w:lastRenderedPageBreak/>
        <w:t>(c)</w:t>
      </w:r>
      <w:r w:rsidRPr="00472578">
        <w:tab/>
        <w:t xml:space="preserve">encourage on-site storage of rainfall to detain peak </w:t>
      </w:r>
      <w:r w:rsidRPr="00472578">
        <w:rPr>
          <w:i/>
          <w:iCs/>
        </w:rPr>
        <w:t>stormwater</w:t>
      </w:r>
      <w:r w:rsidRPr="00472578">
        <w:t xml:space="preserve"> flows </w:t>
      </w:r>
      <w:r w:rsidRPr="00472578">
        <w:rPr>
          <w:u w:val="single"/>
        </w:rPr>
        <w:t>where appropriate</w:t>
      </w:r>
      <w:r w:rsidRPr="00472578">
        <w:t>,</w:t>
      </w:r>
      <w:r w:rsidRPr="00472578">
        <w:rPr>
          <w:rStyle w:val="FootnoteReference"/>
        </w:rPr>
        <w:footnoteReference w:id="936"/>
      </w:r>
      <w:r w:rsidRPr="00472578">
        <w:t xml:space="preserve"> and</w:t>
      </w:r>
    </w:p>
    <w:p w14:paraId="2D52FA98" w14:textId="77777777" w:rsidR="000419F6" w:rsidRPr="00472578" w:rsidRDefault="000419F6" w:rsidP="00E92686">
      <w:pPr>
        <w:ind w:left="1134" w:hanging="567"/>
        <w:jc w:val="both"/>
      </w:pPr>
      <w:r w:rsidRPr="00472578">
        <w:t>(d)</w:t>
      </w:r>
      <w:r w:rsidRPr="00472578">
        <w:tab/>
        <w:t>promote the use of permeable surfaces.</w:t>
      </w:r>
    </w:p>
    <w:p w14:paraId="63646FE9"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LF-FW-M8 – Action plans</w:t>
      </w:r>
    </w:p>
    <w:p w14:paraId="1F261D8E" w14:textId="77777777" w:rsidR="000419F6" w:rsidRPr="00472578" w:rsidRDefault="000419F6" w:rsidP="00E92686">
      <w:pPr>
        <w:jc w:val="both"/>
      </w:pPr>
      <w:r w:rsidRPr="00472578">
        <w:t xml:space="preserve">Otago Regional Council: </w:t>
      </w:r>
    </w:p>
    <w:p w14:paraId="1448973F" w14:textId="77777777" w:rsidR="000419F6" w:rsidRPr="00472578" w:rsidRDefault="000419F6" w:rsidP="00E92686">
      <w:pPr>
        <w:ind w:left="567" w:hanging="567"/>
        <w:jc w:val="both"/>
      </w:pPr>
      <w:r w:rsidRPr="00472578">
        <w:t>(1)</w:t>
      </w:r>
      <w:r w:rsidRPr="00472578">
        <w:tab/>
        <w:t xml:space="preserve">must prepare an action plan for achieving any target </w:t>
      </w:r>
      <w:r w:rsidRPr="00472578">
        <w:rPr>
          <w:i/>
        </w:rPr>
        <w:t>attribute</w:t>
      </w:r>
      <w:r w:rsidRPr="00472578">
        <w:t xml:space="preserve"> states for </w:t>
      </w:r>
      <w:r w:rsidRPr="00472578">
        <w:rPr>
          <w:i/>
        </w:rPr>
        <w:t>attributes</w:t>
      </w:r>
      <w:r w:rsidRPr="00472578">
        <w:t xml:space="preserve"> described in Appendix 2B of the NPSFM,</w:t>
      </w:r>
    </w:p>
    <w:p w14:paraId="3FDF0A61" w14:textId="77777777" w:rsidR="000419F6" w:rsidRPr="00472578" w:rsidRDefault="000419F6" w:rsidP="00E92686">
      <w:pPr>
        <w:ind w:left="567" w:hanging="567"/>
        <w:jc w:val="both"/>
      </w:pPr>
      <w:r w:rsidRPr="00472578">
        <w:t>(2)</w:t>
      </w:r>
      <w:r w:rsidRPr="00472578">
        <w:tab/>
        <w:t xml:space="preserve">may prepare an action plan for achieving any target </w:t>
      </w:r>
      <w:r w:rsidRPr="00472578">
        <w:rPr>
          <w:i/>
        </w:rPr>
        <w:t>attribute</w:t>
      </w:r>
      <w:r w:rsidRPr="00472578">
        <w:t xml:space="preserve"> states for </w:t>
      </w:r>
      <w:r w:rsidRPr="00472578">
        <w:rPr>
          <w:i/>
        </w:rPr>
        <w:t>attributes</w:t>
      </w:r>
      <w:r w:rsidRPr="00472578">
        <w:t xml:space="preserve"> described in Appendix 2A of the NPSFM, and</w:t>
      </w:r>
    </w:p>
    <w:p w14:paraId="6A9DF172" w14:textId="77777777" w:rsidR="000419F6" w:rsidRPr="00472578" w:rsidRDefault="000419F6" w:rsidP="00E92686">
      <w:pPr>
        <w:ind w:left="567" w:hanging="567"/>
        <w:jc w:val="both"/>
      </w:pPr>
      <w:r w:rsidRPr="00472578">
        <w:t>(3)</w:t>
      </w:r>
      <w:r w:rsidRPr="00472578">
        <w:tab/>
        <w:t>must prepare any action plan in accordance with clause 3.15 of the NPSFM.</w:t>
      </w:r>
    </w:p>
    <w:p w14:paraId="484483D2"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LF-FW-M9 – Monitoring</w:t>
      </w:r>
    </w:p>
    <w:p w14:paraId="0781EE3A" w14:textId="77777777" w:rsidR="000419F6" w:rsidRPr="00472578" w:rsidRDefault="000419F6" w:rsidP="00E92686">
      <w:pPr>
        <w:spacing w:line="254" w:lineRule="auto"/>
        <w:jc w:val="both"/>
        <w:rPr>
          <w:rFonts w:ascii="Calibri" w:eastAsia="Calibri" w:hAnsi="Calibri" w:cs="Times New Roman"/>
        </w:rPr>
      </w:pPr>
      <w:r w:rsidRPr="00472578">
        <w:rPr>
          <w:rFonts w:ascii="Calibri" w:eastAsia="Calibri" w:hAnsi="Calibri" w:cs="Times New Roman"/>
        </w:rPr>
        <w:t xml:space="preserve">Otago Regional Council, for every </w:t>
      </w:r>
      <w:r w:rsidRPr="00472578">
        <w:rPr>
          <w:rFonts w:ascii="Calibri" w:eastAsia="Calibri" w:hAnsi="Calibri" w:cs="Times New Roman"/>
          <w:i/>
        </w:rPr>
        <w:t>FMU</w:t>
      </w:r>
      <w:r w:rsidRPr="00472578">
        <w:rPr>
          <w:rFonts w:ascii="Calibri" w:eastAsia="Calibri" w:hAnsi="Calibri" w:cs="Times New Roman"/>
        </w:rPr>
        <w:t>,</w:t>
      </w:r>
      <w:r w:rsidRPr="00472578">
        <w:t xml:space="preserve"> must</w:t>
      </w:r>
      <w:r w:rsidRPr="00472578">
        <w:rPr>
          <w:rFonts w:ascii="Calibri" w:eastAsia="Calibri" w:hAnsi="Calibri" w:cs="Times New Roman"/>
        </w:rPr>
        <w:t xml:space="preserve">: </w:t>
      </w:r>
    </w:p>
    <w:p w14:paraId="1E9CDFDE" w14:textId="77777777" w:rsidR="000419F6" w:rsidRPr="00472578" w:rsidRDefault="000419F6" w:rsidP="00E92686">
      <w:pPr>
        <w:spacing w:line="254" w:lineRule="auto"/>
        <w:ind w:left="567" w:hanging="567"/>
        <w:jc w:val="both"/>
        <w:rPr>
          <w:rFonts w:ascii="Calibri" w:eastAsia="Calibri" w:hAnsi="Calibri" w:cs="Times New Roman"/>
        </w:rPr>
      </w:pPr>
      <w:r w:rsidRPr="00472578">
        <w:rPr>
          <w:rFonts w:ascii="Calibri" w:eastAsia="Calibri" w:hAnsi="Calibri" w:cs="Times New Roman"/>
        </w:rPr>
        <w:t>(1)</w:t>
      </w:r>
      <w:r w:rsidRPr="00472578">
        <w:rPr>
          <w:rFonts w:ascii="Calibri" w:eastAsia="Calibri" w:hAnsi="Calibri" w:cs="Times New Roman"/>
        </w:rPr>
        <w:tab/>
        <w:t>establish a long-term monitoring programme that incorporates cultural health monitoring,</w:t>
      </w:r>
    </w:p>
    <w:p w14:paraId="0345155A" w14:textId="77777777" w:rsidR="000419F6" w:rsidRPr="00472578" w:rsidRDefault="000419F6" w:rsidP="00E92686">
      <w:pPr>
        <w:spacing w:line="254" w:lineRule="auto"/>
        <w:ind w:left="567" w:hanging="567"/>
        <w:jc w:val="both"/>
        <w:rPr>
          <w:rFonts w:ascii="Calibri" w:eastAsia="Calibri" w:hAnsi="Calibri" w:cs="Times New Roman"/>
        </w:rPr>
      </w:pPr>
      <w:r w:rsidRPr="00472578">
        <w:rPr>
          <w:rFonts w:ascii="Calibri" w:eastAsia="Calibri" w:hAnsi="Calibri" w:cs="Times New Roman"/>
        </w:rPr>
        <w:t>(2)</w:t>
      </w:r>
      <w:r w:rsidRPr="00472578">
        <w:tab/>
      </w:r>
      <w:r w:rsidRPr="00472578">
        <w:rPr>
          <w:rFonts w:ascii="Calibri" w:eastAsia="Calibri" w:hAnsi="Calibri" w:cs="Times New Roman"/>
        </w:rPr>
        <w:t xml:space="preserve">record information (including monitoring data) about the state of </w:t>
      </w:r>
      <w:r w:rsidRPr="00472578">
        <w:rPr>
          <w:rFonts w:ascii="Calibri" w:eastAsia="Calibri" w:hAnsi="Calibri" w:cs="Times New Roman"/>
          <w:i/>
        </w:rPr>
        <w:t>water bodies</w:t>
      </w:r>
      <w:r w:rsidRPr="00472578">
        <w:rPr>
          <w:rFonts w:ascii="Calibri" w:eastAsia="Calibri" w:hAnsi="Calibri" w:cs="Times New Roman"/>
        </w:rPr>
        <w:t xml:space="preserve"> and </w:t>
      </w:r>
      <w:r w:rsidRPr="00472578">
        <w:rPr>
          <w:rFonts w:ascii="Calibri" w:eastAsia="Calibri" w:hAnsi="Calibri" w:cs="Times New Roman"/>
          <w:i/>
        </w:rPr>
        <w:t>freshwater</w:t>
      </w:r>
      <w:r w:rsidRPr="00472578">
        <w:rPr>
          <w:rFonts w:ascii="Calibri" w:eastAsia="Calibri" w:hAnsi="Calibri" w:cs="Times New Roman"/>
        </w:rPr>
        <w:t xml:space="preserve"> ecosystems and the challenges to their health and well-being, </w:t>
      </w:r>
      <w:r w:rsidRPr="00472578">
        <w:rPr>
          <w:rFonts w:ascii="Calibri" w:eastAsia="Calibri" w:hAnsi="Calibri" w:cs="Times New Roman"/>
          <w:strike/>
        </w:rPr>
        <w:t>and</w:t>
      </w:r>
      <w:r w:rsidRPr="00472578">
        <w:rPr>
          <w:rStyle w:val="FootnoteReference"/>
          <w:rFonts w:ascii="Calibri" w:eastAsia="Calibri" w:hAnsi="Calibri" w:cs="Times New Roman"/>
        </w:rPr>
        <w:footnoteReference w:id="937"/>
      </w:r>
    </w:p>
    <w:p w14:paraId="0C50DF09" w14:textId="77777777" w:rsidR="000419F6" w:rsidRPr="00472578" w:rsidRDefault="000419F6" w:rsidP="00E92686">
      <w:pPr>
        <w:spacing w:line="254" w:lineRule="auto"/>
        <w:ind w:left="567" w:hanging="567"/>
        <w:jc w:val="both"/>
        <w:rPr>
          <w:rFonts w:ascii="Calibri" w:eastAsia="Calibri" w:hAnsi="Calibri" w:cs="Times New Roman"/>
          <w:strike/>
        </w:rPr>
      </w:pPr>
      <w:r w:rsidRPr="00472578">
        <w:rPr>
          <w:rFonts w:ascii="Calibri" w:eastAsia="Calibri" w:hAnsi="Calibri" w:cs="Times New Roman"/>
        </w:rPr>
        <w:t>(3)</w:t>
      </w:r>
      <w:r w:rsidRPr="00472578">
        <w:rPr>
          <w:rFonts w:ascii="Calibri" w:eastAsia="Calibri" w:hAnsi="Calibri" w:cs="Times New Roman"/>
        </w:rPr>
        <w:tab/>
        <w:t xml:space="preserve">regularly prepare reports on the matters in (1) and (2) and publish those reports </w:t>
      </w:r>
      <w:r w:rsidRPr="00472578">
        <w:rPr>
          <w:rFonts w:ascii="Calibri" w:eastAsia="Calibri" w:hAnsi="Calibri" w:cs="Times New Roman"/>
          <w:u w:val="single"/>
        </w:rPr>
        <w:t>in accordance with clause 3.30 of the NPSFM,</w:t>
      </w:r>
      <w:r w:rsidRPr="00472578">
        <w:rPr>
          <w:rFonts w:ascii="Calibri" w:eastAsia="Calibri" w:hAnsi="Calibri" w:cs="Times New Roman"/>
          <w:strike/>
        </w:rPr>
        <w:t>.</w:t>
      </w:r>
      <w:r w:rsidRPr="00472578">
        <w:rPr>
          <w:rStyle w:val="FootnoteReference"/>
          <w:rFonts w:ascii="Calibri" w:eastAsia="Calibri" w:hAnsi="Calibri" w:cs="Times New Roman"/>
        </w:rPr>
        <w:footnoteReference w:id="938"/>
      </w:r>
      <w:r w:rsidRPr="00472578">
        <w:rPr>
          <w:rFonts w:ascii="Calibri" w:eastAsia="Calibri" w:hAnsi="Calibri" w:cs="Times New Roman"/>
          <w:u w:val="single"/>
        </w:rPr>
        <w:t>and</w:t>
      </w:r>
      <w:r w:rsidRPr="00FC3880">
        <w:rPr>
          <w:rStyle w:val="FootnoteReference"/>
          <w:rFonts w:ascii="Calibri" w:eastAsia="Calibri" w:hAnsi="Calibri" w:cs="Times New Roman"/>
        </w:rPr>
        <w:footnoteReference w:id="939"/>
      </w:r>
      <w:r w:rsidRPr="00FC3880">
        <w:rPr>
          <w:rFonts w:ascii="Calibri" w:eastAsia="Calibri" w:hAnsi="Calibri" w:cs="Times New Roman"/>
          <w:strike/>
        </w:rPr>
        <w:t xml:space="preserve"> </w:t>
      </w:r>
    </w:p>
    <w:p w14:paraId="15891EBC" w14:textId="77777777" w:rsidR="000419F6" w:rsidRPr="00472578" w:rsidRDefault="000419F6" w:rsidP="00E92686">
      <w:pPr>
        <w:spacing w:line="254" w:lineRule="auto"/>
        <w:ind w:left="567" w:hanging="567"/>
        <w:jc w:val="both"/>
        <w:rPr>
          <w:rFonts w:ascii="Calibri" w:eastAsia="Calibri" w:hAnsi="Calibri" w:cs="Times New Roman"/>
        </w:rPr>
      </w:pPr>
      <w:r w:rsidRPr="00472578">
        <w:rPr>
          <w:rFonts w:ascii="Calibri" w:eastAsia="Calibri" w:hAnsi="Calibri" w:cs="Times New Roman"/>
          <w:u w:val="single"/>
        </w:rPr>
        <w:t>(4)</w:t>
      </w:r>
      <w:r w:rsidRPr="00472578">
        <w:rPr>
          <w:rFonts w:ascii="Calibri" w:eastAsia="Calibri" w:hAnsi="Calibri" w:cs="Times New Roman"/>
          <w:u w:val="single"/>
        </w:rPr>
        <w:tab/>
      </w:r>
      <w:bookmarkStart w:id="167" w:name="_Hlk96591083"/>
      <w:r w:rsidRPr="00472578">
        <w:rPr>
          <w:rFonts w:ascii="Calibri" w:eastAsia="Calibri" w:hAnsi="Calibri" w:cs="Times New Roman"/>
          <w:u w:val="single"/>
        </w:rPr>
        <w:t>where the results of monitoring show the objectives of this regional policy statement are not being met, take the necessary action to achieve the objectives.</w:t>
      </w:r>
      <w:bookmarkEnd w:id="167"/>
      <w:r w:rsidRPr="00472578">
        <w:rPr>
          <w:rStyle w:val="FootnoteReference"/>
          <w:rFonts w:ascii="Calibri" w:eastAsia="Calibri" w:hAnsi="Calibri" w:cs="Times New Roman"/>
        </w:rPr>
        <w:footnoteReference w:id="940"/>
      </w:r>
    </w:p>
    <w:p w14:paraId="486CE130"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LF-FW-M10 – Other methods</w:t>
      </w:r>
    </w:p>
    <w:p w14:paraId="1407C34C" w14:textId="77777777" w:rsidR="000419F6" w:rsidRPr="00472578" w:rsidRDefault="000419F6" w:rsidP="00E92686">
      <w:pPr>
        <w:jc w:val="both"/>
      </w:pPr>
      <w:r w:rsidRPr="00472578">
        <w:t>In addition to methods LF-FW-M5 to LF-FW-M9, the methods in the LF–WAI, LF–VM and LF–LS sections are also applicable.</w:t>
      </w:r>
    </w:p>
    <w:p w14:paraId="08DBF61B" w14:textId="77777777" w:rsidR="000419F6" w:rsidRPr="00472578" w:rsidRDefault="000419F6" w:rsidP="00E92686">
      <w:pPr>
        <w:keepNext/>
        <w:keepLines/>
        <w:spacing w:before="360" w:line="240" w:lineRule="auto"/>
        <w:jc w:val="both"/>
        <w:outlineLvl w:val="3"/>
        <w:rPr>
          <w:rFonts w:eastAsia="National-Book" w:cstheme="majorBidi"/>
          <w:b/>
          <w:color w:val="1F3864" w:themeColor="accent1" w:themeShade="80"/>
          <w:sz w:val="24"/>
        </w:rPr>
      </w:pPr>
      <w:r w:rsidRPr="00472578">
        <w:rPr>
          <w:rFonts w:eastAsia="National-Book" w:cstheme="majorBidi"/>
          <w:b/>
          <w:color w:val="1F3864" w:themeColor="accent1" w:themeShade="80"/>
          <w:sz w:val="24"/>
        </w:rPr>
        <w:t>Explanation</w:t>
      </w:r>
    </w:p>
    <w:p w14:paraId="797D25D3"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LF-FW-E3 – Explanation </w:t>
      </w:r>
    </w:p>
    <w:p w14:paraId="5120FC73" w14:textId="77777777" w:rsidR="000419F6" w:rsidRPr="00472578" w:rsidRDefault="000419F6" w:rsidP="00E92686">
      <w:pPr>
        <w:jc w:val="both"/>
      </w:pPr>
      <w:r w:rsidRPr="00472578">
        <w:t xml:space="preserve">This section of the LF chapter outlines how the Council will manage </w:t>
      </w:r>
      <w:r w:rsidRPr="00472578">
        <w:rPr>
          <w:i/>
        </w:rPr>
        <w:t>fresh water</w:t>
      </w:r>
      <w:r w:rsidRPr="00472578">
        <w:t xml:space="preserve"> within the region. To give effect to </w:t>
      </w:r>
      <w:r w:rsidRPr="00472578">
        <w:rPr>
          <w:i/>
        </w:rPr>
        <w:t>Te Mana o te Wai</w:t>
      </w:r>
      <w:r w:rsidRPr="00472578">
        <w:t xml:space="preserve">, the </w:t>
      </w:r>
      <w:r w:rsidRPr="00472578">
        <w:rPr>
          <w:i/>
        </w:rPr>
        <w:t>freshwater</w:t>
      </w:r>
      <w:r w:rsidRPr="00472578">
        <w:t xml:space="preserve"> visions, and the policies set out the actions required in the development of </w:t>
      </w:r>
      <w:r w:rsidRPr="00472578">
        <w:rPr>
          <w:i/>
        </w:rPr>
        <w:t>regional plan</w:t>
      </w:r>
      <w:r w:rsidRPr="00472578">
        <w:t xml:space="preserve"> provisions to implement the NPSFM. </w:t>
      </w:r>
    </w:p>
    <w:p w14:paraId="798197B9" w14:textId="77777777" w:rsidR="000419F6" w:rsidRPr="00472578" w:rsidRDefault="000419F6" w:rsidP="00E92686">
      <w:pPr>
        <w:jc w:val="both"/>
      </w:pPr>
      <w:r w:rsidRPr="00472578">
        <w:t xml:space="preserve">The outcomes sought for </w:t>
      </w:r>
      <w:r w:rsidRPr="00472578">
        <w:rPr>
          <w:i/>
          <w:iCs/>
        </w:rPr>
        <w:t>natural wetlands</w:t>
      </w:r>
      <w:r w:rsidRPr="00472578">
        <w:t xml:space="preserve"> are implemented by requiring identification, </w:t>
      </w:r>
      <w:proofErr w:type="gramStart"/>
      <w:r w:rsidRPr="00472578">
        <w:t>protection</w:t>
      </w:r>
      <w:proofErr w:type="gramEnd"/>
      <w:r w:rsidRPr="00472578">
        <w:t xml:space="preserve"> and restoration. The first two policies reflect the requirements of the NPSFM for identification and protection but apply that direction to all </w:t>
      </w:r>
      <w:r w:rsidRPr="00472578">
        <w:rPr>
          <w:i/>
          <w:iCs/>
        </w:rPr>
        <w:t>natural wetlands</w:t>
      </w:r>
      <w:r w:rsidRPr="00472578">
        <w:t xml:space="preserve">, rather than only inland natural wetlands (those outside the </w:t>
      </w:r>
      <w:r w:rsidRPr="00472578">
        <w:rPr>
          <w:i/>
          <w:iCs/>
        </w:rPr>
        <w:t>coastal marine area</w:t>
      </w:r>
      <w:r w:rsidRPr="00472578">
        <w:t xml:space="preserve">) as the NPSFM directs. This reflects the views of </w:t>
      </w:r>
      <w:r w:rsidRPr="00472578">
        <w:rPr>
          <w:i/>
          <w:strike/>
        </w:rPr>
        <w:t>takata whenua</w:t>
      </w:r>
      <w:r w:rsidRPr="00472578">
        <w:t xml:space="preserve"> </w:t>
      </w:r>
      <w:r w:rsidRPr="00472578">
        <w:rPr>
          <w:i/>
          <w:iCs/>
          <w:u w:val="single"/>
        </w:rPr>
        <w:lastRenderedPageBreak/>
        <w:t>mana whenua</w:t>
      </w:r>
      <w:r w:rsidRPr="00472578">
        <w:rPr>
          <w:rStyle w:val="FootnoteReference"/>
        </w:rPr>
        <w:footnoteReference w:id="941"/>
      </w:r>
      <w:r w:rsidRPr="00472578">
        <w:rPr>
          <w:i/>
          <w:iCs/>
        </w:rPr>
        <w:t xml:space="preserve"> </w:t>
      </w:r>
      <w:r w:rsidRPr="00472578">
        <w:t xml:space="preserve">and the community that </w:t>
      </w:r>
      <w:r w:rsidRPr="00472578">
        <w:rPr>
          <w:i/>
          <w:iCs/>
        </w:rPr>
        <w:t>fresh</w:t>
      </w:r>
      <w:r w:rsidRPr="00472578">
        <w:t xml:space="preserve"> and </w:t>
      </w:r>
      <w:r w:rsidRPr="00472578">
        <w:rPr>
          <w:i/>
          <w:iCs/>
        </w:rPr>
        <w:t>coastal water</w:t>
      </w:r>
      <w:r w:rsidRPr="00472578">
        <w:t xml:space="preserve">, including </w:t>
      </w:r>
      <w:r w:rsidRPr="00472578">
        <w:rPr>
          <w:i/>
          <w:iCs/>
        </w:rPr>
        <w:t>wetlands</w:t>
      </w:r>
      <w:r w:rsidRPr="00472578">
        <w:t xml:space="preserve">, should be managed holistically and in a consistent way. While the NPSFM requires promotion of the restoration of natural inland wetlands, the policies in this section take a stronger stance, requiring improvement where </w:t>
      </w:r>
      <w:r w:rsidRPr="00472578">
        <w:rPr>
          <w:i/>
          <w:iCs/>
        </w:rPr>
        <w:t>natural wetlands</w:t>
      </w:r>
      <w:r w:rsidRPr="00472578">
        <w:t xml:space="preserve"> have been </w:t>
      </w:r>
      <w:r w:rsidRPr="00472578">
        <w:rPr>
          <w:i/>
        </w:rPr>
        <w:t>degraded</w:t>
      </w:r>
      <w:r w:rsidRPr="00472578">
        <w:t xml:space="preserve"> or lost. This is because of the importance of restoration to Kāi Tahu</w:t>
      </w:r>
      <w:r w:rsidRPr="00472578">
        <w:rPr>
          <w:u w:val="single"/>
        </w:rPr>
        <w:t>, to recognise</w:t>
      </w:r>
      <w:r w:rsidRPr="00472578">
        <w:t xml:space="preserve"> </w:t>
      </w:r>
      <w:r w:rsidRPr="00472578">
        <w:rPr>
          <w:strike/>
        </w:rPr>
        <w:t>and in recognition of</w:t>
      </w:r>
      <w:r w:rsidRPr="00472578">
        <w:rPr>
          <w:rStyle w:val="FootnoteReference"/>
        </w:rPr>
        <w:footnoteReference w:id="942"/>
      </w:r>
      <w:r w:rsidRPr="00472578">
        <w:t xml:space="preserve"> the historic loss of </w:t>
      </w:r>
      <w:r w:rsidRPr="00472578">
        <w:rPr>
          <w:i/>
        </w:rPr>
        <w:t>wetlands</w:t>
      </w:r>
      <w:r w:rsidRPr="00472578">
        <w:t xml:space="preserve"> in Otago</w:t>
      </w:r>
      <w:r w:rsidRPr="00472578">
        <w:rPr>
          <w:u w:val="single"/>
        </w:rPr>
        <w:t>, and the indigenous biodiversity values and hydrological values of wetland systems</w:t>
      </w:r>
      <w:r w:rsidRPr="00472578">
        <w:t>.</w:t>
      </w:r>
      <w:r w:rsidRPr="00472578">
        <w:rPr>
          <w:rStyle w:val="FootnoteReference"/>
        </w:rPr>
        <w:footnoteReference w:id="943"/>
      </w:r>
    </w:p>
    <w:p w14:paraId="7BA68D23" w14:textId="77777777" w:rsidR="000419F6" w:rsidRPr="00472578" w:rsidRDefault="000419F6" w:rsidP="00E92686">
      <w:pPr>
        <w:jc w:val="both"/>
      </w:pPr>
      <w:r w:rsidRPr="00472578">
        <w:t xml:space="preserve">The policies respond to the NPSFM by identifying </w:t>
      </w:r>
      <w:proofErr w:type="gramStart"/>
      <w:r w:rsidRPr="00472578">
        <w:t>a number of</w:t>
      </w:r>
      <w:proofErr w:type="gramEnd"/>
      <w:r w:rsidRPr="00472578">
        <w:t xml:space="preserve"> </w:t>
      </w:r>
      <w:r w:rsidRPr="00472578">
        <w:rPr>
          <w:i/>
          <w:iCs/>
        </w:rPr>
        <w:t>outstanding water bodies</w:t>
      </w:r>
      <w:r w:rsidRPr="00472578">
        <w:t xml:space="preserve"> in Otago that have previously been identified for their significance through other processes. Additional </w:t>
      </w:r>
      <w:r w:rsidRPr="00472578">
        <w:rPr>
          <w:i/>
        </w:rPr>
        <w:t>water bodies</w:t>
      </w:r>
      <w:r w:rsidRPr="00472578">
        <w:t xml:space="preserve"> can be identified if they are wholly or partly within an outstanding natural feature or landscape or if they meet the criteria in APP1 which lists the types of values which may be considered outstanding: cultural and spiritual, ecology, landscape, natural character, recreation and physical. The significant values of </w:t>
      </w:r>
      <w:r w:rsidRPr="00472578">
        <w:rPr>
          <w:i/>
        </w:rPr>
        <w:t>outstanding water bodies</w:t>
      </w:r>
      <w:r w:rsidRPr="00472578">
        <w:t xml:space="preserve"> are to be identified and protected from adverse </w:t>
      </w:r>
      <w:r w:rsidRPr="00472578">
        <w:rPr>
          <w:i/>
        </w:rPr>
        <w:t>effects</w:t>
      </w:r>
      <w:r w:rsidRPr="00472578">
        <w:t xml:space="preserve">. </w:t>
      </w:r>
    </w:p>
    <w:p w14:paraId="3F817E83" w14:textId="50DAF075" w:rsidR="000419F6" w:rsidRPr="00472578" w:rsidRDefault="000419F6" w:rsidP="00E92686">
      <w:pPr>
        <w:jc w:val="both"/>
      </w:pPr>
      <w:r w:rsidRPr="00472578">
        <w:t xml:space="preserve">Preserving the natural character of </w:t>
      </w:r>
      <w:r w:rsidRPr="00472578">
        <w:rPr>
          <w:i/>
        </w:rPr>
        <w:t>lakes</w:t>
      </w:r>
      <w:r w:rsidRPr="00472578">
        <w:t xml:space="preserve"> and </w:t>
      </w:r>
      <w:r w:rsidRPr="00472578">
        <w:rPr>
          <w:i/>
        </w:rPr>
        <w:t>rivers</w:t>
      </w:r>
      <w:r w:rsidRPr="00472578">
        <w:t xml:space="preserve">, and their </w:t>
      </w:r>
      <w:r w:rsidRPr="00472578">
        <w:rPr>
          <w:i/>
        </w:rPr>
        <w:t>beds</w:t>
      </w:r>
      <w:r w:rsidRPr="00472578">
        <w:t xml:space="preserve"> and margins, is a matter of national importance under section 6 of the RMA</w:t>
      </w:r>
      <w:r w:rsidRPr="001D22B6">
        <w:rPr>
          <w:strike/>
        </w:rPr>
        <w:t xml:space="preserve"> 1991</w:t>
      </w:r>
      <w:r w:rsidRPr="00472578">
        <w:t>.</w:t>
      </w:r>
      <w:r w:rsidR="001D22B6">
        <w:rPr>
          <w:rStyle w:val="FootnoteReference"/>
        </w:rPr>
        <w:footnoteReference w:id="944"/>
      </w:r>
      <w:r w:rsidRPr="00472578">
        <w:t xml:space="preserve"> The policies in this section set out how this is to occur in Otago, reflecting the relevant direction from the NPSFM but also a range of additional matters that are important in Otago, such as recognising existing Water Conservation Orders, the Lake Wanaka Act 1973 and the particular character of braided </w:t>
      </w:r>
      <w:r w:rsidRPr="00472578">
        <w:rPr>
          <w:i/>
        </w:rPr>
        <w:t>rivers</w:t>
      </w:r>
      <w:r w:rsidRPr="00472578">
        <w:t xml:space="preserve">. Natural character has been reduced or lost in some </w:t>
      </w:r>
      <w:r w:rsidRPr="00472578">
        <w:rPr>
          <w:i/>
        </w:rPr>
        <w:t>lakes</w:t>
      </w:r>
      <w:r w:rsidRPr="00472578">
        <w:t xml:space="preserve"> or </w:t>
      </w:r>
      <w:r w:rsidRPr="00472578">
        <w:rPr>
          <w:i/>
        </w:rPr>
        <w:t>rivers</w:t>
      </w:r>
      <w:r w:rsidRPr="00472578">
        <w:t xml:space="preserve">, so the policies require promoting actions that will restore or otherwise improve natural character. </w:t>
      </w:r>
    </w:p>
    <w:p w14:paraId="65DF38BC" w14:textId="77777777" w:rsidR="000419F6" w:rsidRPr="00472578" w:rsidRDefault="000419F6" w:rsidP="00E92686">
      <w:pPr>
        <w:jc w:val="both"/>
        <w:rPr>
          <w:highlight w:val="yellow"/>
        </w:rPr>
      </w:pPr>
      <w:r w:rsidRPr="00472578">
        <w:t xml:space="preserve">The impact of </w:t>
      </w:r>
      <w:r w:rsidRPr="00472578">
        <w:rPr>
          <w:i/>
        </w:rPr>
        <w:t>discharges</w:t>
      </w:r>
      <w:r w:rsidRPr="00472578">
        <w:t xml:space="preserve"> of </w:t>
      </w:r>
      <w:r w:rsidRPr="00472578">
        <w:rPr>
          <w:i/>
        </w:rPr>
        <w:t>stormwater</w:t>
      </w:r>
      <w:r w:rsidRPr="00472578">
        <w:t xml:space="preserve"> and </w:t>
      </w:r>
      <w:r w:rsidRPr="00472578">
        <w:rPr>
          <w:i/>
        </w:rPr>
        <w:t>wastewater</w:t>
      </w:r>
      <w:r w:rsidRPr="00472578">
        <w:t xml:space="preserve"> on </w:t>
      </w:r>
      <w:r w:rsidRPr="00472578">
        <w:rPr>
          <w:i/>
        </w:rPr>
        <w:t>freshwater</w:t>
      </w:r>
      <w:r w:rsidRPr="00472578">
        <w:t xml:space="preserve"> </w:t>
      </w:r>
      <w:r w:rsidRPr="00472578">
        <w:rPr>
          <w:i/>
        </w:rPr>
        <w:t>bodies</w:t>
      </w:r>
      <w:r w:rsidRPr="00472578">
        <w:t xml:space="preserve"> is a significant issue for </w:t>
      </w:r>
      <w:r w:rsidRPr="00472578">
        <w:rPr>
          <w:i/>
        </w:rPr>
        <w:t>mana whenua</w:t>
      </w:r>
      <w:r w:rsidRPr="00472578">
        <w:t xml:space="preserve"> and has contributed to </w:t>
      </w:r>
      <w:r w:rsidRPr="00472578">
        <w:rPr>
          <w:i/>
        </w:rPr>
        <w:t>water</w:t>
      </w:r>
      <w:r w:rsidRPr="00472578">
        <w:t xml:space="preserve"> quality issues in some </w:t>
      </w:r>
      <w:r w:rsidRPr="00472578">
        <w:rPr>
          <w:i/>
        </w:rPr>
        <w:t>water bodies</w:t>
      </w:r>
      <w:r w:rsidRPr="00472578">
        <w:t xml:space="preserve">. The policies set out a range of actions to be implemented </w:t>
      </w:r>
      <w:proofErr w:type="gramStart"/>
      <w:r w:rsidRPr="00472578">
        <w:t>in order to</w:t>
      </w:r>
      <w:proofErr w:type="gramEnd"/>
      <w:r w:rsidRPr="00472578">
        <w:t xml:space="preserve"> improve the quality of these </w:t>
      </w:r>
      <w:r w:rsidRPr="00472578">
        <w:rPr>
          <w:i/>
        </w:rPr>
        <w:t>discharges</w:t>
      </w:r>
      <w:r w:rsidRPr="00472578">
        <w:t xml:space="preserve"> and reduce their adverse </w:t>
      </w:r>
      <w:r w:rsidRPr="00472578">
        <w:rPr>
          <w:i/>
        </w:rPr>
        <w:t>effects</w:t>
      </w:r>
      <w:r w:rsidRPr="00472578">
        <w:t xml:space="preserve"> on receiving environments.</w:t>
      </w:r>
    </w:p>
    <w:p w14:paraId="3F9079A3" w14:textId="77777777" w:rsidR="000419F6" w:rsidRPr="00472578" w:rsidRDefault="000419F6" w:rsidP="00E92686">
      <w:pPr>
        <w:keepNext/>
        <w:keepLines/>
        <w:spacing w:before="360" w:line="240" w:lineRule="auto"/>
        <w:jc w:val="both"/>
        <w:outlineLvl w:val="3"/>
        <w:rPr>
          <w:rFonts w:eastAsia="National-Book" w:cstheme="majorBidi"/>
          <w:b/>
          <w:color w:val="1F3864" w:themeColor="accent1" w:themeShade="80"/>
          <w:sz w:val="24"/>
        </w:rPr>
      </w:pPr>
      <w:r w:rsidRPr="00472578">
        <w:rPr>
          <w:rFonts w:eastAsia="National-Book" w:cstheme="majorBidi"/>
          <w:b/>
          <w:color w:val="1F3864" w:themeColor="accent1" w:themeShade="80"/>
          <w:sz w:val="24"/>
        </w:rPr>
        <w:t>Principal reasons</w:t>
      </w:r>
    </w:p>
    <w:p w14:paraId="249726ED" w14:textId="77777777" w:rsidR="000419F6" w:rsidRPr="00472578" w:rsidRDefault="000419F6"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LF-FW-PR3 – Principal reasons</w:t>
      </w:r>
    </w:p>
    <w:p w14:paraId="55BD1B3A" w14:textId="77777777" w:rsidR="000419F6" w:rsidRPr="00472578" w:rsidRDefault="000419F6" w:rsidP="00E92686">
      <w:pPr>
        <w:jc w:val="both"/>
      </w:pPr>
      <w:r w:rsidRPr="00472578">
        <w:t xml:space="preserve">Otago’s </w:t>
      </w:r>
      <w:r w:rsidRPr="00472578">
        <w:rPr>
          <w:i/>
          <w:iCs/>
        </w:rPr>
        <w:t>water bodies</w:t>
      </w:r>
      <w:r w:rsidRPr="00472578">
        <w:t xml:space="preserve"> are significant features of the region and play an important role in Kāi Tahu beliefs and traditions. A growing population combined with increased </w:t>
      </w:r>
      <w:r w:rsidRPr="00472578">
        <w:rPr>
          <w:i/>
          <w:iCs/>
        </w:rPr>
        <w:t>land</w:t>
      </w:r>
      <w:r w:rsidRPr="00472578">
        <w:t xml:space="preserve"> use intensification has heightened demand for </w:t>
      </w:r>
      <w:proofErr w:type="gramStart"/>
      <w:r w:rsidRPr="00472578">
        <w:rPr>
          <w:i/>
          <w:iCs/>
        </w:rPr>
        <w:t>water</w:t>
      </w:r>
      <w:r w:rsidRPr="00472578">
        <w:rPr>
          <w:i/>
        </w:rPr>
        <w:t>,</w:t>
      </w:r>
      <w:r w:rsidRPr="00472578">
        <w:t xml:space="preserve"> and</w:t>
      </w:r>
      <w:proofErr w:type="gramEnd"/>
      <w:r w:rsidRPr="00472578">
        <w:t xml:space="preserve"> increasing nutrient and sediment contamination impacts </w:t>
      </w:r>
      <w:r w:rsidRPr="00472578">
        <w:rPr>
          <w:i/>
          <w:iCs/>
        </w:rPr>
        <w:t>water</w:t>
      </w:r>
      <w:r w:rsidRPr="00472578">
        <w:t xml:space="preserve"> quality. The legacy of Otago’s historical mining privileges, coupled with contemporary </w:t>
      </w:r>
      <w:r w:rsidRPr="00472578">
        <w:rPr>
          <w:u w:val="single"/>
        </w:rPr>
        <w:t>urban and rural</w:t>
      </w:r>
      <w:r w:rsidRPr="00472578">
        <w:rPr>
          <w:rStyle w:val="FootnoteReference"/>
          <w:iCs/>
        </w:rPr>
        <w:footnoteReference w:id="945"/>
      </w:r>
      <w:r w:rsidRPr="00472578">
        <w:t xml:space="preserve"> </w:t>
      </w:r>
      <w:r w:rsidRPr="00472578">
        <w:rPr>
          <w:i/>
          <w:iCs/>
        </w:rPr>
        <w:t>land</w:t>
      </w:r>
      <w:r w:rsidRPr="00472578">
        <w:t xml:space="preserve"> uses, contribute to ongoing </w:t>
      </w:r>
      <w:r w:rsidRPr="00472578">
        <w:rPr>
          <w:i/>
          <w:iCs/>
        </w:rPr>
        <w:t>water</w:t>
      </w:r>
      <w:r w:rsidRPr="00472578">
        <w:t xml:space="preserve"> quality and quantity issues in some </w:t>
      </w:r>
      <w:r w:rsidRPr="00472578">
        <w:rPr>
          <w:i/>
          <w:iCs/>
        </w:rPr>
        <w:t>water bodies</w:t>
      </w:r>
      <w:r w:rsidRPr="00472578">
        <w:t xml:space="preserve">, with significant cultural effects. </w:t>
      </w:r>
    </w:p>
    <w:p w14:paraId="52CA64B3" w14:textId="16470C08" w:rsidR="000419F6" w:rsidRPr="00472578" w:rsidRDefault="000419F6" w:rsidP="00E92686">
      <w:pPr>
        <w:jc w:val="both"/>
        <w:rPr>
          <w:b/>
        </w:rPr>
      </w:pPr>
      <w:r w:rsidRPr="00472578">
        <w:t xml:space="preserve">This section of the LF chapter </w:t>
      </w:r>
      <w:r w:rsidRPr="00472578">
        <w:rPr>
          <w:strike/>
        </w:rPr>
        <w:t xml:space="preserve">contains more specific direction on managing </w:t>
      </w:r>
      <w:r w:rsidRPr="00472578">
        <w:rPr>
          <w:i/>
          <w:iCs/>
          <w:strike/>
        </w:rPr>
        <w:t>fresh water</w:t>
      </w:r>
      <w:r w:rsidRPr="00472578">
        <w:rPr>
          <w:strike/>
        </w:rPr>
        <w:t xml:space="preserve"> to give effect to </w:t>
      </w:r>
      <w:r w:rsidRPr="00472578">
        <w:rPr>
          <w:i/>
          <w:strike/>
        </w:rPr>
        <w:t>Te Mana o te Wai</w:t>
      </w:r>
      <w:r w:rsidRPr="00472578">
        <w:rPr>
          <w:strike/>
        </w:rPr>
        <w:t xml:space="preserve"> and contributes to achieving the long-term </w:t>
      </w:r>
      <w:r w:rsidRPr="00472578">
        <w:rPr>
          <w:i/>
          <w:strike/>
        </w:rPr>
        <w:t>freshwater</w:t>
      </w:r>
      <w:r w:rsidRPr="00472578">
        <w:rPr>
          <w:strike/>
        </w:rPr>
        <w:t xml:space="preserve"> visions for each </w:t>
      </w:r>
      <w:r w:rsidRPr="00472578">
        <w:rPr>
          <w:i/>
          <w:iCs/>
          <w:strike/>
        </w:rPr>
        <w:t>FMU</w:t>
      </w:r>
      <w:r w:rsidRPr="00472578">
        <w:rPr>
          <w:strike/>
        </w:rPr>
        <w:t xml:space="preserve"> and rohe. It also</w:t>
      </w:r>
      <w:r w:rsidRPr="00472578">
        <w:rPr>
          <w:rStyle w:val="FootnoteReference"/>
          <w:iCs/>
        </w:rPr>
        <w:footnoteReference w:id="946"/>
      </w:r>
      <w:r w:rsidRPr="00472578">
        <w:t xml:space="preserve"> reflects key direction in the NPSFM for managing the health and well-being of </w:t>
      </w:r>
      <w:r w:rsidRPr="00472578">
        <w:rPr>
          <w:i/>
          <w:iCs/>
        </w:rPr>
        <w:t>fresh water</w:t>
      </w:r>
      <w:r w:rsidRPr="00472578">
        <w:t xml:space="preserve">, including </w:t>
      </w:r>
      <w:r w:rsidRPr="00472578">
        <w:rPr>
          <w:i/>
          <w:iCs/>
        </w:rPr>
        <w:t>wetlands</w:t>
      </w:r>
      <w:r w:rsidRPr="00472578">
        <w:t xml:space="preserve"> and </w:t>
      </w:r>
      <w:proofErr w:type="gramStart"/>
      <w:r w:rsidRPr="00472578">
        <w:rPr>
          <w:i/>
          <w:iCs/>
        </w:rPr>
        <w:t>rivers</w:t>
      </w:r>
      <w:r w:rsidRPr="00472578">
        <w:t xml:space="preserve"> in particular, and</w:t>
      </w:r>
      <w:proofErr w:type="gramEnd"/>
      <w:r w:rsidRPr="00472578">
        <w:t xml:space="preserve"> matters of national importance under section 6 </w:t>
      </w:r>
      <w:r w:rsidRPr="00472578">
        <w:lastRenderedPageBreak/>
        <w:t>of the RMA</w:t>
      </w:r>
      <w:r w:rsidRPr="00100792">
        <w:rPr>
          <w:strike/>
        </w:rPr>
        <w:t xml:space="preserve"> 1991</w:t>
      </w:r>
      <w:r w:rsidRPr="00472578">
        <w:t>.</w:t>
      </w:r>
      <w:r w:rsidR="00100792">
        <w:rPr>
          <w:rStyle w:val="FootnoteReference"/>
        </w:rPr>
        <w:footnoteReference w:id="947"/>
      </w:r>
      <w:r w:rsidRPr="00472578">
        <w:t xml:space="preserve"> The provisions in this section will underpin the development of the Council’s </w:t>
      </w:r>
      <w:r w:rsidRPr="00472578">
        <w:rPr>
          <w:i/>
          <w:iCs/>
        </w:rPr>
        <w:t>regional plans</w:t>
      </w:r>
      <w:r w:rsidRPr="00472578">
        <w:t xml:space="preserve"> and provide a foundation for implementing the requirements of the NPSFM, including the development of </w:t>
      </w:r>
      <w:r w:rsidRPr="00472578">
        <w:rPr>
          <w:i/>
          <w:iCs/>
        </w:rPr>
        <w:t>environmental outcomes</w:t>
      </w:r>
      <w:r w:rsidRPr="00472578">
        <w:t xml:space="preserve">, </w:t>
      </w:r>
      <w:r w:rsidRPr="00472578">
        <w:rPr>
          <w:i/>
          <w:iCs/>
        </w:rPr>
        <w:t>attribute</w:t>
      </w:r>
      <w:r w:rsidRPr="00472578">
        <w:t xml:space="preserve"> states, target </w:t>
      </w:r>
      <w:r w:rsidRPr="00472578">
        <w:rPr>
          <w:i/>
          <w:iCs/>
        </w:rPr>
        <w:t>attribute</w:t>
      </w:r>
      <w:r w:rsidRPr="00472578">
        <w:t xml:space="preserve"> states and </w:t>
      </w:r>
      <w:r w:rsidRPr="00472578">
        <w:rPr>
          <w:i/>
          <w:iCs/>
        </w:rPr>
        <w:t>limits</w:t>
      </w:r>
      <w:r w:rsidRPr="00472578">
        <w:t>.</w:t>
      </w:r>
    </w:p>
    <w:p w14:paraId="3985FEB2" w14:textId="77777777" w:rsidR="000419F6" w:rsidRPr="00472578" w:rsidRDefault="000419F6" w:rsidP="00E92686">
      <w:pPr>
        <w:keepNext/>
        <w:keepLines/>
        <w:spacing w:before="360" w:line="240" w:lineRule="auto"/>
        <w:jc w:val="both"/>
        <w:outlineLvl w:val="3"/>
        <w:rPr>
          <w:rFonts w:eastAsia="National-Book" w:cstheme="majorBidi"/>
          <w:b/>
          <w:color w:val="1F3864" w:themeColor="accent1" w:themeShade="80"/>
          <w:sz w:val="24"/>
        </w:rPr>
      </w:pPr>
      <w:r w:rsidRPr="00472578">
        <w:rPr>
          <w:rFonts w:eastAsia="National-Book" w:cstheme="majorBidi"/>
          <w:b/>
          <w:color w:val="1F3864" w:themeColor="accent1" w:themeShade="80"/>
          <w:sz w:val="24"/>
        </w:rPr>
        <w:t>Anticipated environmental results</w:t>
      </w:r>
    </w:p>
    <w:p w14:paraId="6488BA12" w14:textId="77777777" w:rsidR="000419F6" w:rsidRPr="00472578" w:rsidDel="006933C9" w:rsidRDefault="000419F6" w:rsidP="00E92686">
      <w:pPr>
        <w:spacing w:before="240" w:line="252" w:lineRule="auto"/>
        <w:ind w:left="2268" w:hanging="2268"/>
        <w:jc w:val="both"/>
        <w:rPr>
          <w:rFonts w:ascii="Calibri" w:eastAsia="Calibri" w:hAnsi="Calibri" w:cs="Times New Roman"/>
        </w:rPr>
      </w:pPr>
      <w:r w:rsidRPr="00472578">
        <w:rPr>
          <w:rFonts w:ascii="Calibri" w:eastAsia="Calibri" w:hAnsi="Calibri" w:cs="Times New Roman"/>
          <w:b/>
          <w:color w:val="1F3864" w:themeColor="accent1" w:themeShade="80"/>
        </w:rPr>
        <w:t>LF</w:t>
      </w:r>
      <w:r w:rsidRPr="00472578">
        <w:rPr>
          <w:b/>
          <w:bCs/>
          <w:color w:val="1F3864" w:themeColor="accent1" w:themeShade="80"/>
        </w:rPr>
        <w:t>-FW-</w:t>
      </w:r>
      <w:r w:rsidRPr="00472578">
        <w:rPr>
          <w:rFonts w:ascii="Calibri" w:eastAsia="Calibri" w:hAnsi="Calibri" w:cs="Times New Roman"/>
          <w:b/>
          <w:color w:val="1F3864" w:themeColor="accent1" w:themeShade="80"/>
        </w:rPr>
        <w:t xml:space="preserve">AER4 </w:t>
      </w:r>
      <w:r w:rsidRPr="00472578">
        <w:tab/>
      </w:r>
      <w:r w:rsidRPr="00472578">
        <w:rPr>
          <w:rFonts w:ascii="Calibri" w:eastAsia="Calibri" w:hAnsi="Calibri" w:cs="Times New Roman"/>
          <w:i/>
        </w:rPr>
        <w:t>Fresh water</w:t>
      </w:r>
      <w:r w:rsidRPr="00472578">
        <w:rPr>
          <w:rFonts w:ascii="Calibri" w:eastAsia="Calibri" w:hAnsi="Calibri" w:cs="Times New Roman"/>
        </w:rPr>
        <w:t xml:space="preserve"> is allocated within limits that contribute to achieving specified </w:t>
      </w:r>
      <w:r w:rsidRPr="00472578">
        <w:rPr>
          <w:rFonts w:ascii="Calibri" w:eastAsia="Calibri" w:hAnsi="Calibri" w:cs="Times New Roman"/>
          <w:i/>
        </w:rPr>
        <w:t>environmental outcomes</w:t>
      </w:r>
      <w:r w:rsidRPr="00472578">
        <w:rPr>
          <w:rFonts w:ascii="Calibri" w:eastAsia="Calibri" w:hAnsi="Calibri" w:cs="Times New Roman"/>
        </w:rPr>
        <w:t xml:space="preserve"> for </w:t>
      </w:r>
      <w:r w:rsidRPr="00472578">
        <w:rPr>
          <w:rFonts w:ascii="Calibri" w:eastAsia="Calibri" w:hAnsi="Calibri" w:cs="Times New Roman"/>
          <w:i/>
        </w:rPr>
        <w:t xml:space="preserve">water bodies </w:t>
      </w:r>
      <w:r w:rsidRPr="00472578">
        <w:rPr>
          <w:rFonts w:ascii="Calibri" w:eastAsia="Calibri" w:hAnsi="Calibri" w:cs="Times New Roman"/>
        </w:rPr>
        <w:t xml:space="preserve">within timeframes set out in </w:t>
      </w:r>
      <w:r w:rsidRPr="00472578">
        <w:rPr>
          <w:rFonts w:ascii="Calibri" w:eastAsia="Calibri" w:hAnsi="Calibri" w:cs="Times New Roman"/>
          <w:i/>
        </w:rPr>
        <w:t>regional plans</w:t>
      </w:r>
      <w:r w:rsidRPr="00472578">
        <w:rPr>
          <w:rFonts w:ascii="Calibri" w:eastAsia="Calibri" w:hAnsi="Calibri" w:cs="Times New Roman"/>
        </w:rPr>
        <w:t xml:space="preserve"> that are no less stringent than the timeframes in the LF–VM section of this chapter.</w:t>
      </w:r>
    </w:p>
    <w:p w14:paraId="6C572259" w14:textId="77777777" w:rsidR="000419F6" w:rsidRPr="00472578" w:rsidDel="006933C9" w:rsidRDefault="000419F6"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t>LF</w:t>
      </w:r>
      <w:r w:rsidRPr="00472578">
        <w:rPr>
          <w:b/>
          <w:bCs/>
          <w:color w:val="1F3864" w:themeColor="accent1" w:themeShade="80"/>
        </w:rPr>
        <w:t>-FW-</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5</w:t>
      </w:r>
      <w:r w:rsidRPr="00472578" w:rsidDel="006933C9">
        <w:rPr>
          <w:rFonts w:ascii="Calibri" w:eastAsia="Calibri" w:hAnsi="Calibri" w:cs="Times New Roman"/>
          <w:b/>
        </w:rPr>
        <w:tab/>
      </w:r>
      <w:r w:rsidRPr="00472578" w:rsidDel="006933C9">
        <w:rPr>
          <w:rFonts w:ascii="Calibri" w:eastAsia="Calibri" w:hAnsi="Calibri" w:cs="Times New Roman"/>
          <w:i/>
        </w:rPr>
        <w:t xml:space="preserve">Specified rivers </w:t>
      </w:r>
      <w:r w:rsidRPr="00472578" w:rsidDel="006933C9">
        <w:rPr>
          <w:rFonts w:ascii="Calibri" w:eastAsia="Calibri" w:hAnsi="Calibri" w:cs="Times New Roman"/>
        </w:rPr>
        <w:t>and</w:t>
      </w:r>
      <w:r w:rsidRPr="00472578" w:rsidDel="006933C9">
        <w:rPr>
          <w:rFonts w:ascii="Calibri" w:eastAsia="Calibri" w:hAnsi="Calibri" w:cs="Times New Roman"/>
          <w:i/>
        </w:rPr>
        <w:t xml:space="preserve"> lakes</w:t>
      </w:r>
      <w:r w:rsidRPr="00472578" w:rsidDel="006933C9">
        <w:rPr>
          <w:rFonts w:ascii="Calibri" w:eastAsia="Calibri" w:hAnsi="Calibri" w:cs="Times New Roman"/>
        </w:rPr>
        <w:t xml:space="preserve"> are suitable for primary contact within the timeframes set out in LF</w:t>
      </w:r>
      <w:r w:rsidRPr="00472578">
        <w:rPr>
          <w:rFonts w:ascii="Calibri" w:eastAsia="Calibri" w:hAnsi="Calibri" w:cs="Times New Roman"/>
        </w:rPr>
        <w:t>-FW-P7</w:t>
      </w:r>
      <w:r w:rsidRPr="00472578" w:rsidDel="006933C9">
        <w:rPr>
          <w:rFonts w:ascii="Calibri" w:eastAsia="Calibri" w:hAnsi="Calibri" w:cs="Times New Roman"/>
        </w:rPr>
        <w:t>.</w:t>
      </w:r>
    </w:p>
    <w:p w14:paraId="65CD9A0E" w14:textId="77777777" w:rsidR="000419F6" w:rsidRPr="00472578" w:rsidDel="006933C9" w:rsidRDefault="000419F6"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t>LF</w:t>
      </w:r>
      <w:r w:rsidRPr="00472578">
        <w:rPr>
          <w:b/>
          <w:bCs/>
          <w:color w:val="1F3864" w:themeColor="accent1" w:themeShade="80"/>
        </w:rPr>
        <w:t>-FW-</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6</w:t>
      </w:r>
      <w:r w:rsidRPr="00472578" w:rsidDel="006933C9">
        <w:rPr>
          <w:rFonts w:ascii="Calibri" w:eastAsia="Calibri" w:hAnsi="Calibri" w:cs="Times New Roman"/>
          <w:b/>
        </w:rPr>
        <w:tab/>
      </w:r>
      <w:r w:rsidRPr="00472578" w:rsidDel="006933C9">
        <w:rPr>
          <w:rFonts w:ascii="Calibri" w:eastAsia="Calibri" w:hAnsi="Calibri" w:cs="Times New Roman"/>
          <w:i/>
        </w:rPr>
        <w:t>Degraded</w:t>
      </w:r>
      <w:r w:rsidRPr="00472578" w:rsidDel="006933C9">
        <w:rPr>
          <w:rFonts w:ascii="Calibri" w:eastAsia="Calibri" w:hAnsi="Calibri" w:cs="Times New Roman"/>
        </w:rPr>
        <w:t xml:space="preserve"> </w:t>
      </w:r>
      <w:r w:rsidRPr="00472578" w:rsidDel="006933C9">
        <w:rPr>
          <w:rFonts w:ascii="Calibri" w:eastAsia="Calibri" w:hAnsi="Calibri" w:cs="Times New Roman"/>
          <w:i/>
        </w:rPr>
        <w:t>water</w:t>
      </w:r>
      <w:r w:rsidRPr="00472578" w:rsidDel="006933C9">
        <w:rPr>
          <w:rFonts w:ascii="Calibri" w:eastAsia="Calibri" w:hAnsi="Calibri" w:cs="Times New Roman"/>
        </w:rPr>
        <w:t xml:space="preserve"> quality is improved so that it meets specified </w:t>
      </w:r>
      <w:r w:rsidRPr="00472578" w:rsidDel="006933C9">
        <w:rPr>
          <w:rFonts w:ascii="Calibri" w:eastAsia="Calibri" w:hAnsi="Calibri" w:cs="Times New Roman"/>
          <w:i/>
        </w:rPr>
        <w:t xml:space="preserve">environmental outcomes </w:t>
      </w:r>
      <w:r w:rsidRPr="00472578" w:rsidDel="006933C9">
        <w:rPr>
          <w:rFonts w:ascii="Calibri" w:eastAsia="Calibri" w:hAnsi="Calibri" w:cs="Times New Roman"/>
        </w:rPr>
        <w:t xml:space="preserve">within timeframes set out in </w:t>
      </w:r>
      <w:r w:rsidRPr="00472578" w:rsidDel="006933C9">
        <w:rPr>
          <w:rFonts w:ascii="Calibri" w:eastAsia="Calibri" w:hAnsi="Calibri" w:cs="Times New Roman"/>
          <w:i/>
        </w:rPr>
        <w:t>regional plans</w:t>
      </w:r>
      <w:r w:rsidRPr="00472578">
        <w:rPr>
          <w:rFonts w:ascii="Calibri" w:eastAsia="Calibri" w:hAnsi="Calibri" w:cs="Times New Roman"/>
          <w:i/>
        </w:rPr>
        <w:t xml:space="preserve"> </w:t>
      </w:r>
      <w:r w:rsidRPr="00472578">
        <w:rPr>
          <w:rFonts w:ascii="Calibri" w:eastAsia="Calibri" w:hAnsi="Calibri" w:cs="Times New Roman"/>
        </w:rPr>
        <w:t>that are no less stringent than the timeframes in the LF–VM section of this chapter</w:t>
      </w:r>
      <w:r w:rsidRPr="00472578" w:rsidDel="006933C9">
        <w:rPr>
          <w:rFonts w:ascii="Calibri" w:eastAsia="Calibri" w:hAnsi="Calibri" w:cs="Times New Roman"/>
        </w:rPr>
        <w:t>.</w:t>
      </w:r>
    </w:p>
    <w:p w14:paraId="1B9BF051" w14:textId="77777777" w:rsidR="000419F6" w:rsidRPr="00472578" w:rsidDel="006933C9" w:rsidRDefault="000419F6" w:rsidP="00E92686">
      <w:pPr>
        <w:spacing w:before="240" w:line="252" w:lineRule="auto"/>
        <w:ind w:left="2268" w:hanging="2268"/>
        <w:jc w:val="both"/>
        <w:rPr>
          <w:rFonts w:ascii="Calibri" w:eastAsia="Calibri" w:hAnsi="Calibri" w:cs="Times New Roman"/>
          <w:strike/>
        </w:rPr>
      </w:pPr>
      <w:r w:rsidRPr="00472578" w:rsidDel="006933C9">
        <w:rPr>
          <w:rFonts w:ascii="Calibri" w:eastAsia="Calibri" w:hAnsi="Calibri" w:cs="Times New Roman"/>
          <w:b/>
          <w:strike/>
          <w:color w:val="1F3864" w:themeColor="accent1" w:themeShade="80"/>
        </w:rPr>
        <w:t>LF</w:t>
      </w:r>
      <w:r w:rsidRPr="00472578">
        <w:rPr>
          <w:b/>
          <w:bCs/>
          <w:strike/>
          <w:color w:val="1F3864" w:themeColor="accent1" w:themeShade="80"/>
        </w:rPr>
        <w:t>-FW-</w:t>
      </w:r>
      <w:r w:rsidRPr="00472578" w:rsidDel="006933C9">
        <w:rPr>
          <w:rFonts w:ascii="Calibri" w:eastAsia="Calibri" w:hAnsi="Calibri" w:cs="Times New Roman"/>
          <w:b/>
          <w:strike/>
          <w:color w:val="1F3864" w:themeColor="accent1" w:themeShade="80"/>
        </w:rPr>
        <w:t>AER</w:t>
      </w:r>
      <w:r w:rsidRPr="00472578">
        <w:rPr>
          <w:rFonts w:ascii="Calibri" w:eastAsia="Calibri" w:hAnsi="Calibri" w:cs="Times New Roman"/>
          <w:b/>
          <w:strike/>
          <w:color w:val="1F3864" w:themeColor="accent1" w:themeShade="80"/>
        </w:rPr>
        <w:t>7</w:t>
      </w:r>
      <w:r w:rsidRPr="00472578" w:rsidDel="006933C9">
        <w:rPr>
          <w:rFonts w:ascii="Calibri" w:eastAsia="Calibri" w:hAnsi="Calibri" w:cs="Times New Roman"/>
          <w:b/>
          <w:strike/>
        </w:rPr>
        <w:tab/>
      </w:r>
      <w:r w:rsidRPr="00472578" w:rsidDel="006933C9">
        <w:rPr>
          <w:rFonts w:ascii="Calibri" w:eastAsia="Calibri" w:hAnsi="Calibri" w:cs="Times New Roman"/>
          <w:i/>
          <w:strike/>
        </w:rPr>
        <w:t>Water</w:t>
      </w:r>
      <w:r w:rsidRPr="00472578" w:rsidDel="006933C9">
        <w:rPr>
          <w:rFonts w:ascii="Calibri" w:eastAsia="Calibri" w:hAnsi="Calibri" w:cs="Times New Roman"/>
          <w:strike/>
        </w:rPr>
        <w:t xml:space="preserve"> in Otago’s aquifers is suitable for human </w:t>
      </w:r>
      <w:proofErr w:type="gramStart"/>
      <w:r w:rsidRPr="00472578" w:rsidDel="006933C9">
        <w:rPr>
          <w:rFonts w:ascii="Calibri" w:eastAsia="Calibri" w:hAnsi="Calibri" w:cs="Times New Roman"/>
          <w:strike/>
        </w:rPr>
        <w:t>consumption, unless</w:t>
      </w:r>
      <w:proofErr w:type="gramEnd"/>
      <w:r w:rsidRPr="00472578" w:rsidDel="006933C9">
        <w:rPr>
          <w:rFonts w:ascii="Calibri" w:eastAsia="Calibri" w:hAnsi="Calibri" w:cs="Times New Roman"/>
          <w:strike/>
        </w:rPr>
        <w:t xml:space="preserve"> </w:t>
      </w:r>
      <w:r w:rsidRPr="00472578">
        <w:rPr>
          <w:rFonts w:ascii="Calibri" w:eastAsia="Calibri" w:hAnsi="Calibri" w:cs="Times New Roman"/>
          <w:strike/>
        </w:rPr>
        <w:t xml:space="preserve">that </w:t>
      </w:r>
      <w:r w:rsidRPr="00472578" w:rsidDel="006933C9">
        <w:rPr>
          <w:rFonts w:ascii="Calibri" w:eastAsia="Calibri" w:hAnsi="Calibri" w:cs="Times New Roman"/>
          <w:i/>
          <w:strike/>
        </w:rPr>
        <w:t>water</w:t>
      </w:r>
      <w:r w:rsidRPr="00472578" w:rsidDel="006933C9">
        <w:rPr>
          <w:rFonts w:ascii="Calibri" w:eastAsia="Calibri" w:hAnsi="Calibri" w:cs="Times New Roman"/>
          <w:strike/>
        </w:rPr>
        <w:t xml:space="preserve"> is naturally unsuitable for consumption.</w:t>
      </w:r>
      <w:r w:rsidRPr="00472578">
        <w:rPr>
          <w:rStyle w:val="FootnoteReference"/>
        </w:rPr>
        <w:footnoteReference w:id="948"/>
      </w:r>
    </w:p>
    <w:p w14:paraId="485F161D" w14:textId="77777777" w:rsidR="000419F6" w:rsidRPr="00472578" w:rsidDel="006933C9" w:rsidRDefault="000419F6"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t>LF</w:t>
      </w:r>
      <w:r w:rsidRPr="00472578">
        <w:rPr>
          <w:b/>
          <w:bCs/>
          <w:color w:val="1F3864" w:themeColor="accent1" w:themeShade="80"/>
        </w:rPr>
        <w:t>-FW-</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8</w:t>
      </w:r>
      <w:r w:rsidRPr="00472578" w:rsidDel="006933C9">
        <w:rPr>
          <w:rFonts w:ascii="Calibri" w:eastAsia="Calibri" w:hAnsi="Calibri" w:cs="Times New Roman"/>
          <w:b/>
        </w:rPr>
        <w:tab/>
      </w:r>
      <w:r w:rsidRPr="00472578">
        <w:rPr>
          <w:rFonts w:ascii="Calibri" w:eastAsia="Calibri" w:hAnsi="Calibri" w:cs="Times New Roman"/>
        </w:rPr>
        <w:t xml:space="preserve">Where </w:t>
      </w:r>
      <w:r w:rsidRPr="00472578">
        <w:rPr>
          <w:rFonts w:ascii="Calibri" w:eastAsia="Calibri" w:hAnsi="Calibri" w:cs="Times New Roman"/>
          <w:i/>
        </w:rPr>
        <w:t>water</w:t>
      </w:r>
      <w:r w:rsidRPr="00472578">
        <w:rPr>
          <w:rFonts w:ascii="Calibri" w:eastAsia="Calibri" w:hAnsi="Calibri" w:cs="Times New Roman"/>
        </w:rPr>
        <w:t xml:space="preserve"> is not </w:t>
      </w:r>
      <w:r w:rsidRPr="00472578">
        <w:rPr>
          <w:rFonts w:ascii="Calibri" w:eastAsia="Calibri" w:hAnsi="Calibri" w:cs="Times New Roman"/>
          <w:i/>
        </w:rPr>
        <w:t>degraded</w:t>
      </w:r>
      <w:r w:rsidRPr="00472578">
        <w:rPr>
          <w:rFonts w:ascii="Calibri" w:eastAsia="Calibri" w:hAnsi="Calibri" w:cs="Times New Roman"/>
        </w:rPr>
        <w:t>, t</w:t>
      </w:r>
      <w:r w:rsidRPr="00472578" w:rsidDel="006933C9">
        <w:rPr>
          <w:rFonts w:ascii="Calibri" w:eastAsia="Calibri" w:hAnsi="Calibri" w:cs="Times New Roman"/>
        </w:rPr>
        <w:t xml:space="preserve">here is no reduction in </w:t>
      </w:r>
      <w:r w:rsidRPr="00472578" w:rsidDel="006933C9">
        <w:rPr>
          <w:rFonts w:ascii="Calibri" w:eastAsia="Calibri" w:hAnsi="Calibri" w:cs="Times New Roman"/>
          <w:i/>
        </w:rPr>
        <w:t>water</w:t>
      </w:r>
      <w:r w:rsidRPr="00472578" w:rsidDel="006933C9">
        <w:rPr>
          <w:rFonts w:ascii="Calibri" w:eastAsia="Calibri" w:hAnsi="Calibri" w:cs="Times New Roman"/>
        </w:rPr>
        <w:t xml:space="preserve"> quality.</w:t>
      </w:r>
    </w:p>
    <w:p w14:paraId="02E02357" w14:textId="77777777" w:rsidR="000419F6" w:rsidRPr="00472578" w:rsidDel="006933C9" w:rsidRDefault="000419F6" w:rsidP="00E92686">
      <w:pPr>
        <w:spacing w:before="240" w:line="252" w:lineRule="auto"/>
        <w:ind w:left="2268" w:hanging="2268"/>
        <w:jc w:val="both"/>
      </w:pPr>
      <w:r w:rsidRPr="00472578" w:rsidDel="006933C9">
        <w:rPr>
          <w:rFonts w:ascii="Calibri" w:eastAsia="Calibri" w:hAnsi="Calibri" w:cs="Times New Roman"/>
          <w:b/>
          <w:color w:val="1F3864" w:themeColor="accent1" w:themeShade="80"/>
        </w:rPr>
        <w:t>LF</w:t>
      </w:r>
      <w:r w:rsidRPr="00472578">
        <w:rPr>
          <w:b/>
          <w:bCs/>
          <w:color w:val="1F3864" w:themeColor="accent1" w:themeShade="80"/>
        </w:rPr>
        <w:t>-FW-</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9</w:t>
      </w:r>
      <w:r w:rsidRPr="00472578" w:rsidDel="006933C9">
        <w:rPr>
          <w:b/>
          <w:bCs/>
        </w:rPr>
        <w:tab/>
      </w:r>
      <w:r w:rsidRPr="639E38F9">
        <w:rPr>
          <w:strike/>
        </w:rPr>
        <w:t>The frequency of wastewater overflows is reduced.</w:t>
      </w:r>
      <w:r w:rsidRPr="639E38F9">
        <w:t xml:space="preserve"> </w:t>
      </w:r>
      <w:r w:rsidRPr="639E38F9">
        <w:rPr>
          <w:i/>
          <w:u w:val="single"/>
        </w:rPr>
        <w:t>Discharges</w:t>
      </w:r>
      <w:r w:rsidRPr="639E38F9">
        <w:rPr>
          <w:u w:val="single"/>
        </w:rPr>
        <w:t xml:space="preserve"> containing </w:t>
      </w:r>
      <w:r w:rsidRPr="639E38F9">
        <w:rPr>
          <w:i/>
          <w:u w:val="single"/>
        </w:rPr>
        <w:t>sewage</w:t>
      </w:r>
      <w:r w:rsidRPr="639E38F9">
        <w:rPr>
          <w:u w:val="single"/>
        </w:rPr>
        <w:t xml:space="preserve"> and human waste directly to </w:t>
      </w:r>
      <w:r w:rsidRPr="639E38F9">
        <w:rPr>
          <w:i/>
          <w:u w:val="single"/>
        </w:rPr>
        <w:t>water bodies</w:t>
      </w:r>
      <w:r w:rsidRPr="639E38F9">
        <w:rPr>
          <w:u w:val="single"/>
        </w:rPr>
        <w:t xml:space="preserve"> are reduced across the region and no longer occurring in some places to support freshwater visions for water bodies</w:t>
      </w:r>
      <w:r w:rsidRPr="639E38F9">
        <w:t>.</w:t>
      </w:r>
      <w:r w:rsidRPr="639E38F9">
        <w:rPr>
          <w:rStyle w:val="FootnoteReference"/>
        </w:rPr>
        <w:footnoteReference w:id="949"/>
      </w:r>
    </w:p>
    <w:p w14:paraId="6BB87B0C" w14:textId="77777777" w:rsidR="000419F6" w:rsidRPr="00472578" w:rsidDel="006933C9" w:rsidRDefault="000419F6" w:rsidP="00E92686">
      <w:pPr>
        <w:spacing w:before="240" w:line="252" w:lineRule="auto"/>
        <w:ind w:left="2268" w:hanging="2268"/>
        <w:jc w:val="both"/>
      </w:pPr>
      <w:r w:rsidRPr="00472578" w:rsidDel="006933C9">
        <w:rPr>
          <w:rFonts w:ascii="Calibri" w:eastAsia="Calibri" w:hAnsi="Calibri" w:cs="Times New Roman"/>
          <w:b/>
          <w:color w:val="1F3864" w:themeColor="accent1" w:themeShade="80"/>
        </w:rPr>
        <w:t>LF</w:t>
      </w:r>
      <w:r w:rsidRPr="00472578">
        <w:rPr>
          <w:b/>
          <w:bCs/>
          <w:color w:val="1F3864" w:themeColor="accent1" w:themeShade="80"/>
        </w:rPr>
        <w:t>-FW-</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10</w:t>
      </w:r>
      <w:r w:rsidRPr="00472578" w:rsidDel="006933C9">
        <w:rPr>
          <w:b/>
          <w:bCs/>
        </w:rPr>
        <w:tab/>
      </w:r>
      <w:r w:rsidRPr="00472578" w:rsidDel="006933C9">
        <w:t xml:space="preserve">The </w:t>
      </w:r>
      <w:r w:rsidRPr="00472578" w:rsidDel="006933C9">
        <w:rPr>
          <w:rFonts w:ascii="Calibri" w:eastAsia="Calibri" w:hAnsi="Calibri" w:cs="Times New Roman"/>
        </w:rPr>
        <w:t>quality</w:t>
      </w:r>
      <w:r w:rsidRPr="00472578" w:rsidDel="006933C9">
        <w:t xml:space="preserve"> of </w:t>
      </w:r>
      <w:r w:rsidRPr="00472578" w:rsidDel="006933C9">
        <w:rPr>
          <w:i/>
          <w:iCs/>
        </w:rPr>
        <w:t>stormwater discharges</w:t>
      </w:r>
      <w:r w:rsidRPr="00472578" w:rsidDel="006933C9">
        <w:t xml:space="preserve"> from existing </w:t>
      </w:r>
      <w:r w:rsidRPr="00472578" w:rsidDel="006933C9">
        <w:rPr>
          <w:i/>
        </w:rPr>
        <w:t>urban areas</w:t>
      </w:r>
      <w:r w:rsidRPr="00472578" w:rsidDel="006933C9">
        <w:t xml:space="preserve"> is improved.</w:t>
      </w:r>
    </w:p>
    <w:p w14:paraId="1F556F47" w14:textId="77777777" w:rsidR="000419F6" w:rsidRPr="00472578" w:rsidDel="006933C9" w:rsidRDefault="000419F6"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t>LF</w:t>
      </w:r>
      <w:r w:rsidRPr="00472578">
        <w:rPr>
          <w:b/>
          <w:bCs/>
          <w:color w:val="1F3864" w:themeColor="accent1" w:themeShade="80"/>
        </w:rPr>
        <w:t>-FW-</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11</w:t>
      </w:r>
      <w:r w:rsidRPr="00472578" w:rsidDel="006933C9">
        <w:rPr>
          <w:rFonts w:ascii="Calibri" w:eastAsia="Calibri" w:hAnsi="Calibri" w:cs="Times New Roman"/>
        </w:rPr>
        <w:tab/>
        <w:t xml:space="preserve">There is no </w:t>
      </w:r>
      <w:r w:rsidRPr="00472578" w:rsidDel="006933C9">
        <w:t>reduction</w:t>
      </w:r>
      <w:r w:rsidRPr="00472578" w:rsidDel="006933C9">
        <w:rPr>
          <w:rFonts w:ascii="Calibri" w:eastAsia="Calibri" w:hAnsi="Calibri" w:cs="Times New Roman"/>
        </w:rPr>
        <w:t xml:space="preserve"> in the extent or quality of Otago’s </w:t>
      </w:r>
      <w:r w:rsidRPr="00472578" w:rsidDel="006933C9">
        <w:rPr>
          <w:rFonts w:ascii="Calibri" w:eastAsia="Calibri" w:hAnsi="Calibri" w:cs="Times New Roman"/>
          <w:i/>
        </w:rPr>
        <w:t>natural wetlands</w:t>
      </w:r>
      <w:r w:rsidRPr="00472578" w:rsidDel="006933C9">
        <w:rPr>
          <w:rFonts w:ascii="Calibri" w:eastAsia="Calibri" w:hAnsi="Calibri" w:cs="Times New Roman"/>
        </w:rPr>
        <w:t>.</w:t>
      </w:r>
    </w:p>
    <w:p w14:paraId="68BD3037" w14:textId="77777777" w:rsidR="00AF7679" w:rsidRPr="00472578" w:rsidRDefault="00AF7679" w:rsidP="00E92686">
      <w:pPr>
        <w:jc w:val="both"/>
      </w:pPr>
      <w:r w:rsidRPr="00472578">
        <w:br w:type="page"/>
      </w:r>
    </w:p>
    <w:p w14:paraId="2F0C66B5" w14:textId="77777777" w:rsidR="00D7784B" w:rsidRPr="00472578" w:rsidRDefault="00D7784B" w:rsidP="00E92686">
      <w:pPr>
        <w:keepNext/>
        <w:keepLines/>
        <w:spacing w:before="480" w:line="240" w:lineRule="auto"/>
        <w:jc w:val="both"/>
        <w:outlineLvl w:val="2"/>
        <w:rPr>
          <w:rFonts w:eastAsia="National-Book" w:cstheme="majorBidi"/>
          <w:b/>
          <w:color w:val="1F3864" w:themeColor="accent1" w:themeShade="80"/>
          <w:sz w:val="28"/>
          <w:szCs w:val="28"/>
        </w:rPr>
      </w:pPr>
      <w:r w:rsidRPr="00472578">
        <w:rPr>
          <w:rFonts w:eastAsia="National-Book" w:cstheme="majorBidi"/>
          <w:b/>
          <w:color w:val="1F3864" w:themeColor="accent1" w:themeShade="80"/>
          <w:sz w:val="28"/>
          <w:szCs w:val="28"/>
        </w:rPr>
        <w:lastRenderedPageBreak/>
        <w:t xml:space="preserve">LF-LS – </w:t>
      </w:r>
      <w:r w:rsidRPr="00472578">
        <w:rPr>
          <w:rFonts w:eastAsia="National-Book" w:cstheme="majorBidi"/>
          <w:b/>
          <w:i/>
          <w:color w:val="1F3864" w:themeColor="accent1" w:themeShade="80"/>
          <w:sz w:val="28"/>
          <w:szCs w:val="28"/>
        </w:rPr>
        <w:t>Land</w:t>
      </w:r>
      <w:r w:rsidRPr="00472578">
        <w:rPr>
          <w:rFonts w:eastAsia="National-Book" w:cstheme="majorBidi"/>
          <w:b/>
          <w:color w:val="1F3864" w:themeColor="accent1" w:themeShade="80"/>
          <w:sz w:val="28"/>
          <w:szCs w:val="28"/>
        </w:rPr>
        <w:t xml:space="preserve"> and soil</w:t>
      </w:r>
    </w:p>
    <w:p w14:paraId="09CD0832" w14:textId="77777777" w:rsidR="00D7784B" w:rsidRPr="00472578" w:rsidRDefault="00D7784B" w:rsidP="00E92686">
      <w:pPr>
        <w:keepNext/>
        <w:keepLines/>
        <w:spacing w:before="360" w:line="240" w:lineRule="auto"/>
        <w:jc w:val="both"/>
        <w:outlineLvl w:val="3"/>
        <w:rPr>
          <w:rFonts w:eastAsiaTheme="majorEastAsia" w:cstheme="majorBidi"/>
          <w:b/>
          <w:iCs/>
          <w:color w:val="1F3864" w:themeColor="accent1" w:themeShade="80"/>
          <w:sz w:val="24"/>
        </w:rPr>
      </w:pPr>
      <w:r w:rsidRPr="00472578">
        <w:rPr>
          <w:rFonts w:eastAsiaTheme="majorEastAsia" w:cstheme="majorBidi"/>
          <w:b/>
          <w:iCs/>
          <w:color w:val="1F3864" w:themeColor="accent1" w:themeShade="80"/>
          <w:sz w:val="24"/>
        </w:rPr>
        <w:t>Objectives</w:t>
      </w:r>
    </w:p>
    <w:p w14:paraId="19C022DC"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LF-LS-O11 – </w:t>
      </w:r>
      <w:r w:rsidRPr="00472578">
        <w:rPr>
          <w:rFonts w:ascii="Calibri" w:eastAsia="Calibri" w:hAnsi="Calibri" w:cs="Times New Roman"/>
          <w:b/>
          <w:i/>
          <w:color w:val="1F3864" w:themeColor="accent1" w:themeShade="80"/>
        </w:rPr>
        <w:t>Land</w:t>
      </w:r>
      <w:r w:rsidRPr="00472578">
        <w:rPr>
          <w:rFonts w:ascii="Calibri" w:eastAsia="Calibri" w:hAnsi="Calibri" w:cs="Times New Roman"/>
          <w:b/>
          <w:color w:val="1F3864" w:themeColor="accent1" w:themeShade="80"/>
        </w:rPr>
        <w:t xml:space="preserve"> and soil</w:t>
      </w:r>
    </w:p>
    <w:p w14:paraId="7B060A57" w14:textId="73CDD4F1" w:rsidR="00D7784B" w:rsidRPr="00472578" w:rsidRDefault="00D7784B" w:rsidP="00E92686">
      <w:pPr>
        <w:spacing w:line="256" w:lineRule="auto"/>
        <w:jc w:val="both"/>
        <w:rPr>
          <w:rFonts w:eastAsia="National-Book" w:cs="Times New Roman"/>
        </w:rPr>
      </w:pPr>
      <w:r w:rsidRPr="00472578">
        <w:rPr>
          <w:rFonts w:eastAsia="National-Book" w:cs="Times New Roman"/>
        </w:rPr>
        <w:t>The life-supporting capacity of Otago’s soil resources is safeguarded</w:t>
      </w:r>
      <w:r w:rsidRPr="00472578">
        <w:rPr>
          <w:rFonts w:eastAsia="National-Book" w:cs="Times New Roman"/>
          <w:u w:val="single"/>
        </w:rPr>
        <w:t>,</w:t>
      </w:r>
      <w:r w:rsidRPr="00472578">
        <w:rPr>
          <w:rStyle w:val="FootnoteReference"/>
          <w:rFonts w:eastAsia="National-Book" w:cs="Times New Roman"/>
        </w:rPr>
        <w:footnoteReference w:id="950"/>
      </w:r>
      <w:r w:rsidRPr="00472578">
        <w:rPr>
          <w:rFonts w:eastAsia="National-Book" w:cs="Times New Roman"/>
        </w:rPr>
        <w:t xml:space="preserve"> and the availability and productive capacity of </w:t>
      </w:r>
      <w:r w:rsidRPr="00BE4C43">
        <w:rPr>
          <w:rFonts w:eastAsia="National-Book" w:cs="Times New Roman"/>
          <w:i/>
          <w:iCs/>
        </w:rPr>
        <w:t>highly productive land</w:t>
      </w:r>
      <w:r w:rsidR="00BE4C43">
        <w:t xml:space="preserve"> </w:t>
      </w:r>
      <w:r w:rsidRPr="00472578">
        <w:rPr>
          <w:rFonts w:eastAsia="National-Book" w:cs="Times New Roman"/>
        </w:rPr>
        <w:t xml:space="preserve">for </w:t>
      </w:r>
      <w:r w:rsidRPr="00472578">
        <w:rPr>
          <w:rFonts w:eastAsia="National-Book" w:cs="Times New Roman"/>
          <w:i/>
          <w:strike/>
        </w:rPr>
        <w:t>primary production</w:t>
      </w:r>
      <w:r w:rsidRPr="00472578">
        <w:rPr>
          <w:rFonts w:eastAsia="National-Book" w:cs="Times New Roman"/>
          <w:strike/>
        </w:rPr>
        <w:t xml:space="preserve"> </w:t>
      </w:r>
      <w:r w:rsidRPr="00472578">
        <w:rPr>
          <w:rFonts w:eastAsia="National-Book" w:cs="Times New Roman"/>
          <w:i/>
          <w:u w:val="single"/>
        </w:rPr>
        <w:t>food and fibre production</w:t>
      </w:r>
      <w:r w:rsidRPr="00472578">
        <w:rPr>
          <w:rStyle w:val="FootnoteReference"/>
        </w:rPr>
        <w:footnoteReference w:id="951"/>
      </w:r>
      <w:r w:rsidRPr="00472578">
        <w:rPr>
          <w:rFonts w:eastAsia="National-Book" w:cs="Times New Roman"/>
          <w:i/>
        </w:rPr>
        <w:t xml:space="preserve"> </w:t>
      </w:r>
      <w:r w:rsidRPr="00472578">
        <w:rPr>
          <w:rFonts w:eastAsia="National-Book" w:cs="Times New Roman"/>
        </w:rPr>
        <w:t>is maintained</w:t>
      </w:r>
      <w:r w:rsidRPr="00472578">
        <w:rPr>
          <w:rFonts w:eastAsia="National-Book" w:cs="Times New Roman"/>
          <w:u w:val="single"/>
        </w:rPr>
        <w:t>,</w:t>
      </w:r>
      <w:r w:rsidRPr="00472578">
        <w:rPr>
          <w:rStyle w:val="FootnoteReference"/>
          <w:rFonts w:eastAsia="National-Book" w:cs="Times New Roman"/>
        </w:rPr>
        <w:footnoteReference w:id="952"/>
      </w:r>
      <w:r w:rsidRPr="00472578">
        <w:rPr>
          <w:rFonts w:eastAsia="National-Book" w:cs="Times New Roman"/>
        </w:rPr>
        <w:t xml:space="preserve"> now and for future generations.</w:t>
      </w:r>
    </w:p>
    <w:p w14:paraId="31C7A331"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LF-LS-O12 – Use of </w:t>
      </w:r>
      <w:r w:rsidRPr="00472578">
        <w:rPr>
          <w:rFonts w:ascii="Calibri" w:eastAsia="Calibri" w:hAnsi="Calibri" w:cs="Times New Roman"/>
          <w:b/>
          <w:i/>
          <w:color w:val="1F3864" w:themeColor="accent1" w:themeShade="80"/>
        </w:rPr>
        <w:t>land</w:t>
      </w:r>
    </w:p>
    <w:p w14:paraId="52CC64BE" w14:textId="77777777" w:rsidR="00D7784B" w:rsidRPr="00472578" w:rsidRDefault="00D7784B" w:rsidP="00E92686">
      <w:pPr>
        <w:spacing w:line="256" w:lineRule="auto"/>
        <w:jc w:val="both"/>
        <w:rPr>
          <w:rFonts w:eastAsia="National-Book" w:cs="Times New Roman"/>
        </w:rPr>
      </w:pPr>
      <w:r w:rsidRPr="00472578">
        <w:rPr>
          <w:rFonts w:eastAsia="National-Book" w:cs="Times New Roman"/>
        </w:rPr>
        <w:t xml:space="preserve">The use of </w:t>
      </w:r>
      <w:r w:rsidRPr="00472578">
        <w:rPr>
          <w:rFonts w:eastAsia="National-Book" w:cs="Times New Roman"/>
          <w:i/>
        </w:rPr>
        <w:t>land</w:t>
      </w:r>
      <w:r w:rsidRPr="00472578">
        <w:rPr>
          <w:rFonts w:eastAsia="National-Book" w:cs="Times New Roman"/>
        </w:rPr>
        <w:t xml:space="preserve"> in Otago maintains soil quality and contributes to achieving </w:t>
      </w:r>
      <w:r w:rsidRPr="00472578">
        <w:rPr>
          <w:rFonts w:eastAsia="National-Book" w:cs="Times New Roman"/>
          <w:i/>
        </w:rPr>
        <w:t>environmental outcomes</w:t>
      </w:r>
      <w:r w:rsidRPr="00472578">
        <w:rPr>
          <w:rFonts w:eastAsia="National-Book" w:cs="Times New Roman"/>
        </w:rPr>
        <w:t xml:space="preserve"> for </w:t>
      </w:r>
      <w:r w:rsidRPr="00472578">
        <w:rPr>
          <w:rFonts w:eastAsia="National-Book" w:cs="Times New Roman"/>
          <w:i/>
        </w:rPr>
        <w:t>fresh water</w:t>
      </w:r>
      <w:r w:rsidRPr="00472578">
        <w:rPr>
          <w:rFonts w:eastAsia="National-Book" w:cs="Times New Roman"/>
        </w:rPr>
        <w:t>.</w:t>
      </w:r>
    </w:p>
    <w:p w14:paraId="0641B3FB" w14:textId="77777777" w:rsidR="00D7784B" w:rsidRPr="00472578" w:rsidRDefault="00D7784B" w:rsidP="00E92686">
      <w:pPr>
        <w:keepNext/>
        <w:keepLines/>
        <w:spacing w:before="360" w:line="240" w:lineRule="auto"/>
        <w:jc w:val="both"/>
        <w:outlineLvl w:val="3"/>
        <w:rPr>
          <w:rFonts w:eastAsia="National-Book" w:cstheme="majorBidi"/>
          <w:b/>
          <w:color w:val="1F3864" w:themeColor="accent1" w:themeShade="80"/>
          <w:sz w:val="24"/>
        </w:rPr>
      </w:pPr>
      <w:r w:rsidRPr="00472578">
        <w:rPr>
          <w:rFonts w:eastAsia="National-Book" w:cstheme="majorBidi"/>
          <w:b/>
          <w:color w:val="1F3864" w:themeColor="accent1" w:themeShade="80"/>
          <w:sz w:val="24"/>
        </w:rPr>
        <w:t>Policies</w:t>
      </w:r>
    </w:p>
    <w:p w14:paraId="21A24754"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LF-LS-P16 – Integrated management</w:t>
      </w:r>
    </w:p>
    <w:p w14:paraId="69971C42" w14:textId="77777777" w:rsidR="00D7784B" w:rsidRPr="00472578" w:rsidRDefault="00D7784B" w:rsidP="00E92686">
      <w:pPr>
        <w:jc w:val="both"/>
      </w:pPr>
      <w:r w:rsidRPr="00472578">
        <w:t xml:space="preserve">Recognise that maintaining soil quality requires the integrated management of </w:t>
      </w:r>
      <w:r w:rsidRPr="00472578">
        <w:rPr>
          <w:i/>
        </w:rPr>
        <w:t>land</w:t>
      </w:r>
      <w:r w:rsidRPr="00472578">
        <w:t xml:space="preserve"> and </w:t>
      </w:r>
      <w:r w:rsidRPr="00472578">
        <w:rPr>
          <w:i/>
        </w:rPr>
        <w:t>freshwater</w:t>
      </w:r>
      <w:r w:rsidRPr="00472578">
        <w:t xml:space="preserve"> resources including the interconnections between soil health, vegetative cover and </w:t>
      </w:r>
      <w:r w:rsidRPr="00472578">
        <w:rPr>
          <w:i/>
        </w:rPr>
        <w:t>water</w:t>
      </w:r>
      <w:r w:rsidRPr="00472578">
        <w:t xml:space="preserve"> quality and quantity. </w:t>
      </w:r>
    </w:p>
    <w:p w14:paraId="6523F966"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LF-LS-P17 – Soil values </w:t>
      </w:r>
    </w:p>
    <w:p w14:paraId="3023ADB3" w14:textId="77777777" w:rsidR="00D7784B" w:rsidRPr="00472578" w:rsidRDefault="00D7784B" w:rsidP="00E92686">
      <w:pPr>
        <w:jc w:val="both"/>
        <w:rPr>
          <w:rFonts w:eastAsia="National-Book" w:cs="Times New Roman"/>
        </w:rPr>
      </w:pPr>
      <w:r w:rsidRPr="00472578">
        <w:rPr>
          <w:rFonts w:eastAsia="National-Book" w:cs="Times New Roman"/>
        </w:rPr>
        <w:t xml:space="preserve">Maintain the mauri, </w:t>
      </w:r>
      <w:proofErr w:type="gramStart"/>
      <w:r w:rsidRPr="00472578">
        <w:rPr>
          <w:rFonts w:eastAsia="National-Book" w:cs="Times New Roman"/>
        </w:rPr>
        <w:t>health</w:t>
      </w:r>
      <w:proofErr w:type="gramEnd"/>
      <w:r w:rsidRPr="00472578">
        <w:rPr>
          <w:rFonts w:eastAsia="National-Book" w:cs="Times New Roman"/>
        </w:rPr>
        <w:t xml:space="preserve"> and productive potential of soils by managing the use and development of </w:t>
      </w:r>
      <w:r w:rsidRPr="00472578">
        <w:rPr>
          <w:rFonts w:eastAsia="National-Book" w:cs="Times New Roman"/>
          <w:i/>
        </w:rPr>
        <w:t>land</w:t>
      </w:r>
      <w:r w:rsidRPr="00472578">
        <w:rPr>
          <w:rFonts w:eastAsia="National-Book" w:cs="Times New Roman"/>
        </w:rPr>
        <w:t xml:space="preserve"> in a way that is suited to the natural soil characteristics and that sustains healthy:</w:t>
      </w:r>
    </w:p>
    <w:p w14:paraId="63CB783A" w14:textId="77777777" w:rsidR="00D7784B" w:rsidRPr="00472578" w:rsidRDefault="00D7784B"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soil biological activity and </w:t>
      </w:r>
      <w:r w:rsidRPr="00472578">
        <w:rPr>
          <w:rFonts w:eastAsia="National-Book" w:cs="Times New Roman"/>
          <w:i/>
        </w:rPr>
        <w:t>biodiversity</w:t>
      </w:r>
      <w:r w:rsidRPr="00472578">
        <w:rPr>
          <w:rFonts w:eastAsia="National-Book" w:cs="Times New Roman"/>
        </w:rPr>
        <w:t>,</w:t>
      </w:r>
    </w:p>
    <w:p w14:paraId="0FD03EDC" w14:textId="77777777" w:rsidR="00D7784B" w:rsidRPr="00472578" w:rsidRDefault="00D7784B"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soil structure, and</w:t>
      </w:r>
    </w:p>
    <w:p w14:paraId="43084614" w14:textId="77777777" w:rsidR="00D7784B" w:rsidRPr="00472578" w:rsidRDefault="00D7784B"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soil fertility.</w:t>
      </w:r>
    </w:p>
    <w:p w14:paraId="2F754409"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LF-LS-P18 – Soil erosion</w:t>
      </w:r>
    </w:p>
    <w:p w14:paraId="40BFCDC8" w14:textId="77777777" w:rsidR="00D7784B" w:rsidRPr="00472578" w:rsidRDefault="00D7784B" w:rsidP="00E92686">
      <w:pPr>
        <w:spacing w:line="240" w:lineRule="auto"/>
        <w:jc w:val="both"/>
        <w:rPr>
          <w:rFonts w:ascii="Calibri" w:eastAsia="Calibri" w:hAnsi="Calibri" w:cs="Times New Roman"/>
        </w:rPr>
      </w:pPr>
      <w:r w:rsidRPr="00472578">
        <w:rPr>
          <w:rFonts w:eastAsia="National-Book" w:cs="Times New Roman"/>
        </w:rPr>
        <w:t xml:space="preserve">Minimise soil erosion, and the associated risk of sedimentation in water bodies, resulting from </w:t>
      </w:r>
      <w:r w:rsidRPr="00472578">
        <w:rPr>
          <w:rFonts w:eastAsia="National-Book" w:cs="Times New Roman"/>
          <w:i/>
        </w:rPr>
        <w:t>land</w:t>
      </w:r>
      <w:r w:rsidRPr="00472578">
        <w:rPr>
          <w:rFonts w:eastAsia="National-Book" w:cs="Times New Roman"/>
        </w:rPr>
        <w:t xml:space="preserve"> use activities by</w:t>
      </w:r>
      <w:r w:rsidRPr="00472578">
        <w:rPr>
          <w:rFonts w:ascii="Calibri" w:eastAsia="Calibri" w:hAnsi="Calibri" w:cs="Times New Roman"/>
        </w:rPr>
        <w:t xml:space="preserve">: </w:t>
      </w:r>
    </w:p>
    <w:p w14:paraId="19465A8F" w14:textId="77777777" w:rsidR="00D7784B" w:rsidRPr="00472578" w:rsidRDefault="00D7784B"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implementing </w:t>
      </w:r>
      <w:r w:rsidRPr="00472578">
        <w:rPr>
          <w:rFonts w:eastAsia="National-Book" w:cs="Times New Roman"/>
          <w:u w:val="single"/>
        </w:rPr>
        <w:t>appropriate and</w:t>
      </w:r>
      <w:r w:rsidRPr="00472578">
        <w:rPr>
          <w:rFonts w:eastAsia="National-Book" w:cs="Times New Roman"/>
          <w:vertAlign w:val="superscript"/>
        </w:rPr>
        <w:footnoteReference w:id="953"/>
      </w:r>
      <w:r w:rsidRPr="00472578">
        <w:rPr>
          <w:rFonts w:eastAsia="National-Book" w:cs="Times New Roman"/>
        </w:rPr>
        <w:t xml:space="preserve"> effective management practices to retain topsoil in-situ and minimise the </w:t>
      </w:r>
      <w:r w:rsidRPr="00472578">
        <w:t>potential</w:t>
      </w:r>
      <w:r w:rsidRPr="00472578">
        <w:rPr>
          <w:rFonts w:eastAsia="National-Book" w:cs="Times New Roman"/>
        </w:rPr>
        <w:t xml:space="preserve"> for soil to be </w:t>
      </w:r>
      <w:r w:rsidRPr="00472578">
        <w:rPr>
          <w:rFonts w:eastAsia="National-Book" w:cs="Times New Roman"/>
          <w:i/>
        </w:rPr>
        <w:t>discharged</w:t>
      </w:r>
      <w:r w:rsidRPr="00472578">
        <w:rPr>
          <w:rFonts w:eastAsia="National-Book" w:cs="Times New Roman"/>
        </w:rPr>
        <w:t xml:space="preserve"> to </w:t>
      </w:r>
      <w:r w:rsidRPr="00472578">
        <w:rPr>
          <w:rFonts w:eastAsia="National-Book" w:cs="Times New Roman"/>
          <w:i/>
        </w:rPr>
        <w:t>water bodies</w:t>
      </w:r>
      <w:r w:rsidRPr="00472578">
        <w:rPr>
          <w:rFonts w:eastAsia="National-Book" w:cs="Times New Roman"/>
        </w:rPr>
        <w:t xml:space="preserve">, including by controlling the timing, duration, </w:t>
      </w:r>
      <w:proofErr w:type="gramStart"/>
      <w:r w:rsidRPr="00472578">
        <w:rPr>
          <w:rFonts w:eastAsia="National-Book" w:cs="Times New Roman"/>
        </w:rPr>
        <w:t>scale</w:t>
      </w:r>
      <w:proofErr w:type="gramEnd"/>
      <w:r w:rsidRPr="00472578">
        <w:rPr>
          <w:rFonts w:eastAsia="National-Book" w:cs="Times New Roman"/>
        </w:rPr>
        <w:t xml:space="preserve"> and location of soil exposure,</w:t>
      </w:r>
    </w:p>
    <w:p w14:paraId="3B0CDED1" w14:textId="77777777" w:rsidR="00D7784B" w:rsidRPr="00472578" w:rsidRDefault="00D7784B"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maintaining vegetative cover on erosion-prone </w:t>
      </w:r>
      <w:r w:rsidRPr="00472578">
        <w:rPr>
          <w:rFonts w:eastAsia="National-Book" w:cs="Times New Roman"/>
          <w:i/>
        </w:rPr>
        <w:t>land</w:t>
      </w:r>
      <w:r w:rsidRPr="00472578">
        <w:rPr>
          <w:rFonts w:eastAsia="National-Book" w:cs="Times New Roman"/>
        </w:rPr>
        <w:t>,</w:t>
      </w:r>
      <w:r w:rsidRPr="00472578">
        <w:rPr>
          <w:rFonts w:eastAsia="National-Book" w:cs="Times New Roman"/>
          <w:u w:val="single"/>
        </w:rPr>
        <w:t xml:space="preserve"> to the extent practicable,</w:t>
      </w:r>
      <w:r w:rsidRPr="00472578">
        <w:rPr>
          <w:rFonts w:eastAsia="National-Book" w:cs="Times New Roman"/>
          <w:vertAlign w:val="superscript"/>
        </w:rPr>
        <w:footnoteReference w:id="954"/>
      </w:r>
      <w:r w:rsidRPr="00472578">
        <w:rPr>
          <w:rFonts w:eastAsia="National-Book" w:cs="Times New Roman"/>
        </w:rPr>
        <w:t xml:space="preserve"> and</w:t>
      </w:r>
    </w:p>
    <w:p w14:paraId="77CCBA9C" w14:textId="77777777" w:rsidR="00D7784B" w:rsidRPr="00472578" w:rsidRDefault="00D7784B" w:rsidP="00E92686">
      <w:pPr>
        <w:ind w:left="567" w:hanging="567"/>
        <w:jc w:val="both"/>
        <w:rPr>
          <w:rFonts w:eastAsia="National-Book" w:cs="Times New Roman"/>
        </w:rPr>
      </w:pPr>
      <w:r w:rsidRPr="00472578">
        <w:t>(3)</w:t>
      </w:r>
      <w:r w:rsidRPr="00472578">
        <w:tab/>
        <w:t>promoting activities that enhance soil retention</w:t>
      </w:r>
      <w:r w:rsidRPr="00472578">
        <w:rPr>
          <w:rFonts w:eastAsia="National-Book" w:cs="Times New Roman"/>
        </w:rPr>
        <w:t>.</w:t>
      </w:r>
    </w:p>
    <w:p w14:paraId="041FE5D7"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LF-LS-P19 – </w:t>
      </w:r>
      <w:r w:rsidRPr="00A077B0">
        <w:rPr>
          <w:rFonts w:ascii="Calibri" w:eastAsia="Calibri" w:hAnsi="Calibri" w:cs="Times New Roman"/>
          <w:b/>
          <w:i/>
          <w:iCs/>
          <w:color w:val="1F3864" w:themeColor="accent1" w:themeShade="80"/>
        </w:rPr>
        <w:t>Highly productive</w:t>
      </w:r>
      <w:r w:rsidRPr="00472578">
        <w:rPr>
          <w:rFonts w:ascii="Calibri" w:eastAsia="Calibri" w:hAnsi="Calibri" w:cs="Times New Roman"/>
          <w:b/>
          <w:color w:val="1F3864" w:themeColor="accent1" w:themeShade="80"/>
        </w:rPr>
        <w:t xml:space="preserve"> </w:t>
      </w:r>
      <w:r w:rsidRPr="00472578">
        <w:rPr>
          <w:rFonts w:ascii="Calibri" w:eastAsia="Calibri" w:hAnsi="Calibri" w:cs="Times New Roman"/>
          <w:b/>
          <w:i/>
          <w:color w:val="1F3864" w:themeColor="accent1" w:themeShade="80"/>
        </w:rPr>
        <w:t>land</w:t>
      </w:r>
    </w:p>
    <w:p w14:paraId="56C123A0" w14:textId="0147A095" w:rsidR="00D7784B" w:rsidRPr="00472578" w:rsidRDefault="00D7784B" w:rsidP="00E92686">
      <w:pPr>
        <w:jc w:val="both"/>
        <w:rPr>
          <w:rFonts w:eastAsia="National-Book" w:cs="Times New Roman"/>
        </w:rPr>
      </w:pPr>
      <w:r w:rsidRPr="00472578">
        <w:rPr>
          <w:rFonts w:eastAsia="National-Book" w:cs="Times New Roman"/>
        </w:rPr>
        <w:lastRenderedPageBreak/>
        <w:t xml:space="preserve">Maintain the availability and productive capacity of </w:t>
      </w:r>
      <w:r w:rsidRPr="00A077B0">
        <w:rPr>
          <w:rFonts w:eastAsia="National-Book" w:cs="Times New Roman"/>
          <w:i/>
          <w:iCs/>
        </w:rPr>
        <w:t>highly productive land</w:t>
      </w:r>
      <w:r w:rsidRPr="00472578">
        <w:rPr>
          <w:rFonts w:eastAsia="National-Book" w:cs="Times New Roman"/>
        </w:rPr>
        <w:t xml:space="preserve"> by:</w:t>
      </w:r>
    </w:p>
    <w:p w14:paraId="4A8085A5" w14:textId="6F543CBC" w:rsidR="00D7784B" w:rsidRPr="00472578" w:rsidRDefault="00D7784B"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identifying </w:t>
      </w:r>
      <w:r w:rsidRPr="00A077B0">
        <w:rPr>
          <w:rFonts w:eastAsia="National-Book" w:cs="Times New Roman"/>
          <w:i/>
          <w:iCs/>
        </w:rPr>
        <w:t>highly productive land</w:t>
      </w:r>
      <w:r w:rsidRPr="00472578">
        <w:rPr>
          <w:rFonts w:eastAsia="National-Book" w:cs="Times New Roman"/>
        </w:rPr>
        <w:t xml:space="preserve"> based on the following criteria:</w:t>
      </w:r>
    </w:p>
    <w:p w14:paraId="3F93E096" w14:textId="162C5DEB" w:rsidR="00D7784B" w:rsidRPr="00472578" w:rsidRDefault="00D7784B" w:rsidP="00E92686">
      <w:pPr>
        <w:ind w:left="1134" w:hanging="567"/>
        <w:jc w:val="both"/>
        <w:rPr>
          <w:rFonts w:eastAsia="National-Book" w:cs="Times New Roman"/>
        </w:rPr>
      </w:pPr>
      <w:r w:rsidRPr="00472578">
        <w:rPr>
          <w:rFonts w:eastAsia="National-Book" w:cs="Times New Roman"/>
        </w:rPr>
        <w:t>(a)</w:t>
      </w:r>
      <w:r w:rsidRPr="00472578">
        <w:rPr>
          <w:rFonts w:eastAsia="National-Book" w:cs="Times New Roman"/>
        </w:rPr>
        <w:tab/>
        <w:t xml:space="preserve">the capability and versatility of the </w:t>
      </w:r>
      <w:r w:rsidRPr="00472578">
        <w:rPr>
          <w:rFonts w:eastAsia="National-Book" w:cs="Times New Roman"/>
          <w:i/>
        </w:rPr>
        <w:t>land</w:t>
      </w:r>
      <w:r w:rsidRPr="00472578">
        <w:rPr>
          <w:rFonts w:eastAsia="National-Book" w:cs="Times New Roman"/>
        </w:rPr>
        <w:t xml:space="preserve"> to support </w:t>
      </w:r>
      <w:r w:rsidRPr="00472578">
        <w:rPr>
          <w:rFonts w:eastAsia="National-Book" w:cs="Times New Roman"/>
          <w:i/>
          <w:iCs/>
          <w:u w:val="single"/>
        </w:rPr>
        <w:t>food and fibre production</w:t>
      </w:r>
      <w:r w:rsidRPr="00472578">
        <w:rPr>
          <w:rFonts w:eastAsia="National-Book" w:cs="Times New Roman"/>
        </w:rPr>
        <w:t xml:space="preserve"> </w:t>
      </w:r>
      <w:r w:rsidRPr="008D4D0F">
        <w:rPr>
          <w:rFonts w:eastAsia="National-Book" w:cs="Times New Roman"/>
          <w:strike/>
        </w:rPr>
        <w:t>primary production</w:t>
      </w:r>
      <w:r w:rsidRPr="00472578">
        <w:rPr>
          <w:rStyle w:val="FootnoteReference"/>
        </w:rPr>
        <w:footnoteReference w:id="955"/>
      </w:r>
      <w:r w:rsidRPr="00472578">
        <w:rPr>
          <w:rFonts w:eastAsia="National-Book" w:cs="Times New Roman"/>
          <w:strike/>
        </w:rPr>
        <w:t xml:space="preserve"> based on</w:t>
      </w:r>
      <w:r w:rsidRPr="00472578">
        <w:rPr>
          <w:rFonts w:eastAsia="National-Book" w:cs="Times New Roman"/>
          <w:u w:val="single"/>
        </w:rPr>
        <w:t>, including</w:t>
      </w:r>
      <w:r w:rsidR="00B957F0">
        <w:rPr>
          <w:rFonts w:eastAsia="National-Book" w:cs="Times New Roman"/>
          <w:u w:val="single"/>
        </w:rPr>
        <w:t xml:space="preserve"> using</w:t>
      </w:r>
      <w:r w:rsidRPr="00472578">
        <w:rPr>
          <w:rStyle w:val="FootnoteReference"/>
          <w:rFonts w:eastAsia="National-Book" w:cs="Times New Roman"/>
        </w:rPr>
        <w:footnoteReference w:id="956"/>
      </w:r>
      <w:r w:rsidRPr="00472578">
        <w:rPr>
          <w:rFonts w:eastAsia="National-Book" w:cs="Times New Roman"/>
        </w:rPr>
        <w:t xml:space="preserve"> the Land Use Capability classification system,</w:t>
      </w:r>
    </w:p>
    <w:p w14:paraId="271BA592" w14:textId="77777777" w:rsidR="00D7784B" w:rsidRPr="00472578" w:rsidRDefault="00D7784B" w:rsidP="00E92686">
      <w:pPr>
        <w:ind w:left="1134" w:hanging="567"/>
        <w:jc w:val="both"/>
        <w:rPr>
          <w:rFonts w:eastAsia="National-Book" w:cs="Times New Roman"/>
        </w:rPr>
      </w:pPr>
      <w:r w:rsidRPr="00472578">
        <w:rPr>
          <w:rFonts w:eastAsia="National-Book" w:cs="Times New Roman"/>
        </w:rPr>
        <w:t>(b)</w:t>
      </w:r>
      <w:r w:rsidRPr="00472578">
        <w:rPr>
          <w:rFonts w:eastAsia="National-Book" w:cs="Times New Roman"/>
        </w:rPr>
        <w:tab/>
        <w:t xml:space="preserve">the suitability of the climate for </w:t>
      </w:r>
      <w:r w:rsidRPr="00472578">
        <w:rPr>
          <w:rFonts w:eastAsia="National-Book" w:cs="Times New Roman"/>
          <w:i/>
          <w:iCs/>
          <w:u w:val="single"/>
        </w:rPr>
        <w:t>food and fibre production</w:t>
      </w:r>
      <w:r w:rsidRPr="00472578">
        <w:rPr>
          <w:rFonts w:eastAsia="National-Book" w:cs="Times New Roman"/>
        </w:rPr>
        <w:t xml:space="preserve"> </w:t>
      </w:r>
      <w:r w:rsidRPr="00472578">
        <w:rPr>
          <w:rFonts w:eastAsia="National-Book" w:cs="Times New Roman"/>
          <w:strike/>
        </w:rPr>
        <w:t>primary production</w:t>
      </w:r>
      <w:r w:rsidRPr="00472578">
        <w:rPr>
          <w:rFonts w:eastAsia="National-Book" w:cs="Times New Roman"/>
        </w:rPr>
        <w:t>,</w:t>
      </w:r>
      <w:r w:rsidRPr="00472578">
        <w:rPr>
          <w:rStyle w:val="FootnoteReference"/>
        </w:rPr>
        <w:footnoteReference w:id="957"/>
      </w:r>
      <w:r w:rsidRPr="00472578">
        <w:rPr>
          <w:rFonts w:eastAsia="National-Book" w:cs="Times New Roman"/>
        </w:rPr>
        <w:t xml:space="preserve"> particularly crop production, and</w:t>
      </w:r>
    </w:p>
    <w:p w14:paraId="6AABAC07" w14:textId="77777777" w:rsidR="00D7784B" w:rsidRPr="00472578" w:rsidRDefault="00D7784B" w:rsidP="00E92686">
      <w:pPr>
        <w:ind w:left="1134" w:hanging="567"/>
        <w:jc w:val="both"/>
        <w:rPr>
          <w:rFonts w:eastAsia="National-Book" w:cs="Times New Roman"/>
        </w:rPr>
      </w:pPr>
      <w:r w:rsidRPr="00472578">
        <w:rPr>
          <w:rFonts w:eastAsia="National-Book" w:cs="Times New Roman"/>
        </w:rPr>
        <w:t>(c)</w:t>
      </w:r>
      <w:r w:rsidRPr="00472578">
        <w:rPr>
          <w:rFonts w:eastAsia="National-Book" w:cs="Times New Roman"/>
        </w:rPr>
        <w:tab/>
        <w:t xml:space="preserve">the size and cohesiveness of the area of </w:t>
      </w:r>
      <w:r w:rsidRPr="00472578">
        <w:rPr>
          <w:rFonts w:eastAsia="National-Book" w:cs="Times New Roman"/>
          <w:i/>
        </w:rPr>
        <w:t>land</w:t>
      </w:r>
      <w:r w:rsidRPr="00472578">
        <w:rPr>
          <w:rFonts w:eastAsia="National-Book" w:cs="Times New Roman"/>
        </w:rPr>
        <w:t xml:space="preserve"> for use for </w:t>
      </w:r>
      <w:r w:rsidRPr="00472578">
        <w:rPr>
          <w:rFonts w:eastAsia="National-Book" w:cs="Times New Roman"/>
          <w:i/>
          <w:iCs/>
          <w:u w:val="single"/>
        </w:rPr>
        <w:t>food and fibre production</w:t>
      </w:r>
      <w:r w:rsidRPr="00472578">
        <w:rPr>
          <w:rFonts w:eastAsia="National-Book" w:cs="Times New Roman"/>
        </w:rPr>
        <w:t xml:space="preserve"> </w:t>
      </w:r>
      <w:r w:rsidRPr="00472578">
        <w:rPr>
          <w:rFonts w:eastAsia="National-Book" w:cs="Times New Roman"/>
          <w:strike/>
        </w:rPr>
        <w:t>primary production</w:t>
      </w:r>
      <w:r w:rsidRPr="00472578">
        <w:rPr>
          <w:rFonts w:eastAsia="National-Book" w:cs="Times New Roman"/>
        </w:rPr>
        <w:t>,</w:t>
      </w:r>
      <w:r w:rsidRPr="00472578">
        <w:rPr>
          <w:rStyle w:val="FootnoteReference"/>
        </w:rPr>
        <w:footnoteReference w:id="958"/>
      </w:r>
      <w:r w:rsidRPr="00472578">
        <w:rPr>
          <w:rFonts w:eastAsia="National-Book" w:cs="Times New Roman"/>
        </w:rPr>
        <w:t xml:space="preserve"> and</w:t>
      </w:r>
    </w:p>
    <w:p w14:paraId="56F36827" w14:textId="70787640" w:rsidR="00D7784B" w:rsidRPr="00472578" w:rsidRDefault="00D7784B"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prioritising the use of </w:t>
      </w:r>
      <w:r w:rsidRPr="00236DCF">
        <w:rPr>
          <w:rFonts w:eastAsia="National-Book" w:cs="Times New Roman"/>
          <w:i/>
          <w:iCs/>
        </w:rPr>
        <w:t>highly productive land</w:t>
      </w:r>
      <w:r w:rsidRPr="00472578">
        <w:rPr>
          <w:rFonts w:eastAsia="National-Book" w:cs="Times New Roman"/>
        </w:rPr>
        <w:t xml:space="preserve"> for </w:t>
      </w:r>
      <w:r w:rsidRPr="00472578">
        <w:rPr>
          <w:rFonts w:eastAsia="National-Book" w:cs="Times New Roman"/>
          <w:i/>
          <w:iCs/>
          <w:u w:val="single"/>
        </w:rPr>
        <w:t>food and fibre production</w:t>
      </w:r>
      <w:r w:rsidRPr="00472578">
        <w:rPr>
          <w:rFonts w:eastAsia="National-Book" w:cs="Times New Roman"/>
        </w:rPr>
        <w:t xml:space="preserve"> </w:t>
      </w:r>
      <w:r w:rsidRPr="00472578">
        <w:rPr>
          <w:rFonts w:eastAsia="National-Book" w:cs="Times New Roman"/>
          <w:strike/>
        </w:rPr>
        <w:t>primary production</w:t>
      </w:r>
      <w:r w:rsidRPr="00472578">
        <w:rPr>
          <w:rStyle w:val="FootnoteReference"/>
        </w:rPr>
        <w:footnoteReference w:id="959"/>
      </w:r>
      <w:r w:rsidRPr="00472578">
        <w:rPr>
          <w:rFonts w:eastAsia="National-Book" w:cs="Times New Roman"/>
        </w:rPr>
        <w:t xml:space="preserve"> </w:t>
      </w:r>
      <w:r w:rsidRPr="00472578">
        <w:rPr>
          <w:rFonts w:eastAsia="National-Book" w:cs="Times New Roman"/>
          <w:strike/>
        </w:rPr>
        <w:t xml:space="preserve">ahead of other </w:t>
      </w:r>
      <w:r w:rsidRPr="00472578">
        <w:rPr>
          <w:rFonts w:eastAsia="National-Book" w:cs="Times New Roman"/>
          <w:i/>
          <w:strike/>
        </w:rPr>
        <w:t>land</w:t>
      </w:r>
      <w:r w:rsidRPr="00472578">
        <w:rPr>
          <w:rFonts w:eastAsia="National-Book" w:cs="Times New Roman"/>
          <w:strike/>
        </w:rPr>
        <w:t xml:space="preserve"> uses,</w:t>
      </w:r>
      <w:r w:rsidRPr="00472578">
        <w:rPr>
          <w:rFonts w:eastAsia="National-Book" w:cs="Times New Roman"/>
          <w:vertAlign w:val="superscript"/>
        </w:rPr>
        <w:footnoteReference w:id="960"/>
      </w:r>
      <w:r w:rsidRPr="00472578">
        <w:rPr>
          <w:rFonts w:eastAsia="National-Book" w:cs="Times New Roman"/>
        </w:rPr>
        <w:t xml:space="preserve"> </w:t>
      </w:r>
      <w:r w:rsidRPr="00472578">
        <w:rPr>
          <w:rFonts w:eastAsia="National-Book" w:cs="Times New Roman"/>
          <w:u w:val="single"/>
        </w:rPr>
        <w:t>except as provided by EIT-INF-P12 and EIT-INF-P16,</w:t>
      </w:r>
      <w:r w:rsidRPr="00472578">
        <w:rPr>
          <w:rFonts w:eastAsia="National-Book" w:cs="Times New Roman"/>
          <w:vertAlign w:val="superscript"/>
        </w:rPr>
        <w:footnoteReference w:id="961"/>
      </w:r>
      <w:r w:rsidRPr="00472578">
        <w:rPr>
          <w:rFonts w:eastAsia="National-Book" w:cs="Times New Roman"/>
        </w:rPr>
        <w:t xml:space="preserve"> and</w:t>
      </w:r>
    </w:p>
    <w:p w14:paraId="52EF7151" w14:textId="77777777" w:rsidR="00D7784B" w:rsidRPr="00472578" w:rsidRDefault="00D7784B" w:rsidP="00E92686">
      <w:pPr>
        <w:ind w:left="567" w:hanging="567"/>
        <w:jc w:val="both"/>
        <w:rPr>
          <w:rFonts w:eastAsia="National-Book" w:cs="Times New Roman"/>
        </w:rPr>
      </w:pPr>
      <w:r w:rsidRPr="00472578">
        <w:rPr>
          <w:rFonts w:eastAsia="National-Book" w:cs="Times New Roman"/>
        </w:rPr>
        <w:t>(3)</w:t>
      </w:r>
      <w:r w:rsidRPr="00472578">
        <w:rPr>
          <w:rFonts w:eastAsia="National-Book" w:cs="Times New Roman"/>
        </w:rPr>
        <w:tab/>
        <w:t>managing urban development in rural areas</w:t>
      </w:r>
      <w:r w:rsidRPr="00472578">
        <w:rPr>
          <w:rFonts w:eastAsia="National-Book" w:cs="Times New Roman"/>
          <w:strike/>
        </w:rPr>
        <w:t>, including rural lifestyle and rural residential areas,</w:t>
      </w:r>
      <w:r w:rsidRPr="00472578">
        <w:rPr>
          <w:rFonts w:eastAsia="National-Book" w:cs="Times New Roman"/>
          <w:vertAlign w:val="superscript"/>
        </w:rPr>
        <w:footnoteReference w:id="962"/>
      </w:r>
      <w:r w:rsidRPr="00472578">
        <w:rPr>
          <w:rFonts w:eastAsia="National-Book" w:cs="Times New Roman"/>
        </w:rPr>
        <w:t xml:space="preserve"> in accordance with UFD-</w:t>
      </w:r>
      <w:r w:rsidRPr="00472578">
        <w:t xml:space="preserve">P4, </w:t>
      </w:r>
      <w:r w:rsidRPr="00472578">
        <w:rPr>
          <w:rFonts w:eastAsia="National-Book" w:cs="Times New Roman"/>
        </w:rPr>
        <w:t>UFD-</w:t>
      </w:r>
      <w:r w:rsidRPr="00472578">
        <w:t>P7 and UFD-P8</w:t>
      </w:r>
      <w:r w:rsidRPr="00472578">
        <w:rPr>
          <w:rFonts w:eastAsia="National-Book" w:cs="Times New Roman"/>
        </w:rPr>
        <w:t>.</w:t>
      </w:r>
    </w:p>
    <w:p w14:paraId="46DAFF66"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LF-LS-P20 – </w:t>
      </w:r>
      <w:r w:rsidRPr="00472578">
        <w:rPr>
          <w:rFonts w:ascii="Calibri" w:eastAsia="Calibri" w:hAnsi="Calibri" w:cs="Times New Roman"/>
          <w:b/>
          <w:i/>
          <w:color w:val="1F3864" w:themeColor="accent1" w:themeShade="80"/>
        </w:rPr>
        <w:t>Land</w:t>
      </w:r>
      <w:r w:rsidRPr="00472578">
        <w:rPr>
          <w:rFonts w:ascii="Calibri" w:eastAsia="Calibri" w:hAnsi="Calibri" w:cs="Times New Roman"/>
          <w:b/>
          <w:color w:val="1F3864" w:themeColor="accent1" w:themeShade="80"/>
        </w:rPr>
        <w:t xml:space="preserve"> use change</w:t>
      </w:r>
    </w:p>
    <w:p w14:paraId="5A84D720" w14:textId="77777777" w:rsidR="00D7784B" w:rsidRPr="00472578" w:rsidRDefault="00D7784B" w:rsidP="00E92686">
      <w:pPr>
        <w:ind w:left="567" w:hanging="567"/>
        <w:jc w:val="both"/>
        <w:rPr>
          <w:rFonts w:eastAsia="National-Book" w:cs="Times New Roman"/>
        </w:rPr>
      </w:pPr>
      <w:bookmarkStart w:id="168" w:name="_Hlk69112370"/>
      <w:r w:rsidRPr="00472578">
        <w:rPr>
          <w:rFonts w:eastAsia="National-Book" w:cs="Times New Roman"/>
        </w:rPr>
        <w:t xml:space="preserve">Promote changes in </w:t>
      </w:r>
      <w:r w:rsidRPr="00472578">
        <w:rPr>
          <w:rFonts w:eastAsia="National-Book" w:cs="Times New Roman"/>
          <w:i/>
        </w:rPr>
        <w:t>land</w:t>
      </w:r>
      <w:r w:rsidRPr="00472578">
        <w:rPr>
          <w:rFonts w:eastAsia="National-Book" w:cs="Times New Roman"/>
        </w:rPr>
        <w:t xml:space="preserve"> use or </w:t>
      </w:r>
      <w:r w:rsidRPr="00472578">
        <w:rPr>
          <w:rFonts w:eastAsia="National-Book" w:cs="Times New Roman"/>
          <w:i/>
        </w:rPr>
        <w:t>land</w:t>
      </w:r>
      <w:r w:rsidRPr="00472578">
        <w:rPr>
          <w:rFonts w:eastAsia="National-Book" w:cs="Times New Roman"/>
        </w:rPr>
        <w:t xml:space="preserve"> management practices that </w:t>
      </w:r>
      <w:r w:rsidRPr="00472578">
        <w:rPr>
          <w:rFonts w:eastAsia="National-Book" w:cs="Times New Roman"/>
          <w:u w:val="single"/>
        </w:rPr>
        <w:t>support and</w:t>
      </w:r>
      <w:r w:rsidRPr="00472578">
        <w:rPr>
          <w:rFonts w:eastAsia="National-Book" w:cs="Times New Roman"/>
          <w:vertAlign w:val="superscript"/>
        </w:rPr>
        <w:footnoteReference w:id="963"/>
      </w:r>
      <w:r w:rsidRPr="00472578">
        <w:rPr>
          <w:rFonts w:eastAsia="National-Book" w:cs="Times New Roman"/>
        </w:rPr>
        <w:t xml:space="preserve"> improve: </w:t>
      </w:r>
    </w:p>
    <w:p w14:paraId="353DD61F" w14:textId="77777777" w:rsidR="00D7784B" w:rsidRPr="00472578" w:rsidRDefault="00D7784B"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the sustainability and efficiency of </w:t>
      </w:r>
      <w:r w:rsidRPr="00472578">
        <w:rPr>
          <w:rFonts w:eastAsia="National-Book" w:cs="Times New Roman"/>
          <w:i/>
        </w:rPr>
        <w:t>water</w:t>
      </w:r>
      <w:r w:rsidRPr="00472578">
        <w:rPr>
          <w:rFonts w:eastAsia="National-Book" w:cs="Times New Roman"/>
        </w:rPr>
        <w:t xml:space="preserve"> use,</w:t>
      </w:r>
    </w:p>
    <w:p w14:paraId="204C2188" w14:textId="77777777" w:rsidR="00D7784B" w:rsidRPr="00472578" w:rsidRDefault="00D7784B" w:rsidP="00E92686">
      <w:pPr>
        <w:ind w:left="567" w:hanging="567"/>
        <w:jc w:val="both"/>
        <w:rPr>
          <w:rFonts w:eastAsia="National-Book" w:cs="Times New Roman"/>
        </w:rPr>
      </w:pPr>
      <w:r w:rsidRPr="00472578">
        <w:rPr>
          <w:rFonts w:eastAsia="National-Book" w:cs="Times New Roman"/>
        </w:rPr>
        <w:t>(2)</w:t>
      </w:r>
      <w:r w:rsidRPr="00472578">
        <w:rPr>
          <w:rFonts w:eastAsia="National-Book" w:cs="Times New Roman"/>
        </w:rPr>
        <w:tab/>
        <w:t xml:space="preserve">resilience to the impacts of </w:t>
      </w:r>
      <w:r w:rsidRPr="00472578">
        <w:rPr>
          <w:rFonts w:eastAsia="National-Book" w:cs="Times New Roman"/>
          <w:i/>
        </w:rPr>
        <w:t xml:space="preserve">climate change, </w:t>
      </w:r>
      <w:r w:rsidRPr="00472578">
        <w:rPr>
          <w:rFonts w:eastAsia="National-Book" w:cs="Times New Roman"/>
          <w:strike/>
        </w:rPr>
        <w:t>or</w:t>
      </w:r>
    </w:p>
    <w:p w14:paraId="23AF0FB6" w14:textId="77777777" w:rsidR="00D7784B" w:rsidRPr="00472578" w:rsidRDefault="00D7784B" w:rsidP="00E92686">
      <w:pPr>
        <w:ind w:left="567" w:hanging="567"/>
        <w:jc w:val="both"/>
        <w:rPr>
          <w:rFonts w:eastAsia="National-Book" w:cs="Times New Roman"/>
          <w:strike/>
        </w:rPr>
      </w:pPr>
      <w:r w:rsidRPr="00472578">
        <w:rPr>
          <w:rFonts w:eastAsia="National-Book" w:cs="Times New Roman"/>
        </w:rPr>
        <w:t>(3)</w:t>
      </w:r>
      <w:r w:rsidRPr="00472578">
        <w:rPr>
          <w:rFonts w:eastAsia="National-Book" w:cs="Times New Roman"/>
        </w:rPr>
        <w:tab/>
        <w:t xml:space="preserve">the health and quality of </w:t>
      </w:r>
      <w:proofErr w:type="gramStart"/>
      <w:r w:rsidRPr="00472578">
        <w:rPr>
          <w:rFonts w:eastAsia="National-Book" w:cs="Times New Roman"/>
        </w:rPr>
        <w:t>soil</w:t>
      </w:r>
      <w:r w:rsidRPr="00472578">
        <w:rPr>
          <w:rFonts w:eastAsia="National-Book" w:cs="Times New Roman"/>
          <w:u w:val="single"/>
        </w:rPr>
        <w:t>,</w:t>
      </w:r>
      <w:r w:rsidRPr="00472578">
        <w:rPr>
          <w:rFonts w:eastAsia="National-Book" w:cs="Times New Roman"/>
          <w:strike/>
        </w:rPr>
        <w:t>.</w:t>
      </w:r>
      <w:proofErr w:type="gramEnd"/>
      <w:r w:rsidRPr="00472578">
        <w:rPr>
          <w:rFonts w:eastAsia="National-Book" w:cs="Times New Roman"/>
        </w:rPr>
        <w:t xml:space="preserve"> </w:t>
      </w:r>
      <w:r w:rsidRPr="00472578">
        <w:rPr>
          <w:rFonts w:eastAsia="National-Book" w:cs="Times New Roman"/>
          <w:u w:val="single"/>
        </w:rPr>
        <w:t>or</w:t>
      </w:r>
    </w:p>
    <w:p w14:paraId="0DFA8087" w14:textId="77777777" w:rsidR="00D7784B" w:rsidRPr="00472578" w:rsidRDefault="00D7784B" w:rsidP="00E92686">
      <w:pPr>
        <w:ind w:left="567" w:hanging="567"/>
        <w:jc w:val="both"/>
        <w:rPr>
          <w:rFonts w:eastAsia="National-Book" w:cs="Times New Roman"/>
          <w:u w:val="single"/>
        </w:rPr>
      </w:pPr>
      <w:r w:rsidRPr="00472578">
        <w:rPr>
          <w:rFonts w:eastAsia="National-Book" w:cs="Times New Roman"/>
          <w:u w:val="single"/>
        </w:rPr>
        <w:t>(4)</w:t>
      </w:r>
      <w:r w:rsidRPr="00472578">
        <w:rPr>
          <w:rFonts w:eastAsia="National-Book" w:cs="Times New Roman"/>
          <w:u w:val="single"/>
        </w:rPr>
        <w:tab/>
      </w:r>
      <w:r w:rsidRPr="00472578">
        <w:rPr>
          <w:rFonts w:eastAsia="National-Book" w:cs="Times New Roman"/>
          <w:i/>
          <w:iCs/>
          <w:u w:val="single"/>
        </w:rPr>
        <w:t>water</w:t>
      </w:r>
      <w:r w:rsidRPr="00472578">
        <w:rPr>
          <w:rFonts w:eastAsia="National-Book" w:cs="Times New Roman"/>
          <w:u w:val="single"/>
        </w:rPr>
        <w:t xml:space="preserve"> quality.</w:t>
      </w:r>
      <w:r w:rsidRPr="00472578">
        <w:rPr>
          <w:rFonts w:eastAsia="National-Book" w:cs="Times New Roman"/>
          <w:vertAlign w:val="superscript"/>
        </w:rPr>
        <w:footnoteReference w:id="964"/>
      </w:r>
    </w:p>
    <w:bookmarkEnd w:id="168"/>
    <w:p w14:paraId="5E21727D"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bCs/>
          <w:color w:val="1F3864" w:themeColor="accent1" w:themeShade="80"/>
        </w:rPr>
        <w:t xml:space="preserve">LF-LS-P21 – </w:t>
      </w:r>
      <w:r w:rsidRPr="00472578">
        <w:rPr>
          <w:rFonts w:ascii="Calibri" w:eastAsia="Calibri" w:hAnsi="Calibri" w:cs="Times New Roman"/>
          <w:b/>
          <w:bCs/>
          <w:i/>
          <w:iCs/>
          <w:color w:val="1F3864" w:themeColor="accent1" w:themeShade="80"/>
        </w:rPr>
        <w:t>Land</w:t>
      </w:r>
      <w:r w:rsidRPr="00472578">
        <w:rPr>
          <w:rFonts w:ascii="Calibri" w:eastAsia="Calibri" w:hAnsi="Calibri" w:cs="Times New Roman"/>
          <w:b/>
          <w:bCs/>
          <w:color w:val="1F3864" w:themeColor="accent1" w:themeShade="80"/>
        </w:rPr>
        <w:t xml:space="preserve"> use and</w:t>
      </w:r>
      <w:r w:rsidRPr="00472578">
        <w:rPr>
          <w:rFonts w:ascii="Calibri" w:eastAsia="Calibri" w:hAnsi="Calibri" w:cs="Times New Roman"/>
          <w:b/>
          <w:bCs/>
          <w:i/>
          <w:iCs/>
          <w:color w:val="1F3864" w:themeColor="accent1" w:themeShade="80"/>
        </w:rPr>
        <w:t xml:space="preserve"> fresh water</w:t>
      </w:r>
    </w:p>
    <w:p w14:paraId="44320F22" w14:textId="45F2FC4A" w:rsidR="00D7784B" w:rsidRPr="00472578" w:rsidRDefault="00D7784B" w:rsidP="00E92686">
      <w:pPr>
        <w:jc w:val="both"/>
        <w:rPr>
          <w:rFonts w:eastAsia="National-Book" w:cs="Times New Roman"/>
        </w:rPr>
      </w:pPr>
      <w:r w:rsidRPr="00AD26C7">
        <w:rPr>
          <w:strike/>
        </w:rPr>
        <w:t xml:space="preserve">Achieve the improvement or maintenance </w:t>
      </w:r>
      <w:r w:rsidRPr="00714869">
        <w:rPr>
          <w:strike/>
        </w:rPr>
        <w:t xml:space="preserve">of </w:t>
      </w:r>
      <w:proofErr w:type="gramStart"/>
      <w:r w:rsidRPr="00714869">
        <w:rPr>
          <w:i/>
          <w:strike/>
        </w:rPr>
        <w:t>fresh water</w:t>
      </w:r>
      <w:proofErr w:type="gramEnd"/>
      <w:r w:rsidRPr="00714869">
        <w:rPr>
          <w:strike/>
        </w:rPr>
        <w:t xml:space="preserve"> </w:t>
      </w:r>
      <w:r w:rsidRPr="005D3CC2">
        <w:rPr>
          <w:strike/>
        </w:rPr>
        <w:t>quantity,</w:t>
      </w:r>
      <w:r w:rsidRPr="00472578">
        <w:rPr>
          <w:strike/>
        </w:rPr>
        <w:t xml:space="preserve"> or quality</w:t>
      </w:r>
      <w:r w:rsidR="0076214E" w:rsidRPr="00714869">
        <w:t xml:space="preserve"> </w:t>
      </w:r>
      <w:r w:rsidR="0076214E" w:rsidRPr="00714869">
        <w:rPr>
          <w:u w:val="single"/>
        </w:rPr>
        <w:t xml:space="preserve">The health and well-being of </w:t>
      </w:r>
      <w:r w:rsidR="0076214E" w:rsidRPr="00714869">
        <w:rPr>
          <w:i/>
          <w:iCs/>
          <w:u w:val="single"/>
        </w:rPr>
        <w:t xml:space="preserve">water bodies </w:t>
      </w:r>
      <w:r w:rsidR="0076214E" w:rsidRPr="00714869">
        <w:rPr>
          <w:u w:val="single"/>
        </w:rPr>
        <w:t>is maintained</w:t>
      </w:r>
      <w:r w:rsidR="0076214E" w:rsidRPr="00714869">
        <w:rPr>
          <w:u w:val="single"/>
          <w:vertAlign w:val="superscript"/>
        </w:rPr>
        <w:footnoteReference w:id="965"/>
      </w:r>
      <w:r w:rsidR="0076214E">
        <w:rPr>
          <w:u w:val="single"/>
        </w:rPr>
        <w:t xml:space="preserve"> </w:t>
      </w:r>
      <w:r w:rsidR="0076214E" w:rsidRPr="00714869">
        <w:rPr>
          <w:u w:val="single"/>
        </w:rPr>
        <w:t xml:space="preserve"> or, if </w:t>
      </w:r>
      <w:r w:rsidR="0076214E" w:rsidRPr="00714869">
        <w:rPr>
          <w:i/>
          <w:iCs/>
          <w:u w:val="single"/>
        </w:rPr>
        <w:t>degraded</w:t>
      </w:r>
      <w:r w:rsidR="0076214E" w:rsidRPr="00714869">
        <w:rPr>
          <w:u w:val="single"/>
        </w:rPr>
        <w:t>, improved</w:t>
      </w:r>
      <w:r w:rsidRPr="00472578">
        <w:rPr>
          <w:vertAlign w:val="superscript"/>
        </w:rPr>
        <w:footnoteReference w:id="966"/>
      </w:r>
      <w:r w:rsidRPr="00472578">
        <w:t xml:space="preserve"> </w:t>
      </w:r>
      <w:r w:rsidRPr="00472578">
        <w:rPr>
          <w:rFonts w:eastAsia="National-Book" w:cs="Times New Roman"/>
        </w:rPr>
        <w:t xml:space="preserve">to meet </w:t>
      </w:r>
      <w:r w:rsidRPr="00472578">
        <w:rPr>
          <w:rFonts w:eastAsia="National-Book" w:cs="Times New Roman"/>
          <w:i/>
        </w:rPr>
        <w:t>environmental outcomes</w:t>
      </w:r>
      <w:r w:rsidRPr="00472578">
        <w:rPr>
          <w:rFonts w:eastAsia="National-Book" w:cs="Times New Roman"/>
        </w:rPr>
        <w:t xml:space="preserve"> set for </w:t>
      </w:r>
      <w:r w:rsidRPr="00472578">
        <w:rPr>
          <w:rFonts w:eastAsia="National-Book" w:cs="Times New Roman"/>
          <w:i/>
        </w:rPr>
        <w:t>Freshwater Management Units</w:t>
      </w:r>
      <w:r w:rsidRPr="00472578">
        <w:rPr>
          <w:rFonts w:eastAsia="National-Book" w:cs="Times New Roman"/>
        </w:rPr>
        <w:t xml:space="preserve"> and/or rohe by: </w:t>
      </w:r>
    </w:p>
    <w:p w14:paraId="4F7B7081" w14:textId="2398B8CE" w:rsidR="00D7784B" w:rsidRPr="00472578" w:rsidRDefault="00D7784B" w:rsidP="00E92686">
      <w:pPr>
        <w:ind w:left="567" w:hanging="567"/>
        <w:jc w:val="both"/>
        <w:rPr>
          <w:rFonts w:eastAsia="National-Book" w:cs="Times New Roman"/>
        </w:rPr>
      </w:pPr>
      <w:r w:rsidRPr="00472578">
        <w:rPr>
          <w:rFonts w:eastAsia="National-Book" w:cs="Times New Roman"/>
        </w:rPr>
        <w:t>(1)</w:t>
      </w:r>
      <w:r w:rsidRPr="00472578">
        <w:rPr>
          <w:rFonts w:eastAsia="National-Book" w:cs="Times New Roman"/>
        </w:rPr>
        <w:tab/>
        <w:t xml:space="preserve">reducing </w:t>
      </w:r>
      <w:r w:rsidRPr="00472578">
        <w:rPr>
          <w:rFonts w:eastAsia="National-Book" w:cs="Times New Roman"/>
          <w:u w:val="single"/>
        </w:rPr>
        <w:t>or otherwise managing</w:t>
      </w:r>
      <w:r w:rsidRPr="00472578">
        <w:rPr>
          <w:rFonts w:eastAsia="National-Book" w:cs="Times New Roman"/>
          <w:vertAlign w:val="superscript"/>
        </w:rPr>
        <w:footnoteReference w:id="967"/>
      </w:r>
      <w:r w:rsidRPr="00472578">
        <w:rPr>
          <w:rFonts w:eastAsia="National-Book" w:cs="Times New Roman"/>
        </w:rPr>
        <w:t xml:space="preserve"> </w:t>
      </w:r>
      <w:r w:rsidRPr="00472578">
        <w:rPr>
          <w:rFonts w:eastAsia="National-Book" w:cs="Times New Roman"/>
          <w:u w:val="single"/>
        </w:rPr>
        <w:t>the adverse effects of</w:t>
      </w:r>
      <w:r w:rsidRPr="00472578">
        <w:rPr>
          <w:rFonts w:eastAsia="National-Book" w:cs="Times New Roman"/>
          <w:vertAlign w:val="superscript"/>
        </w:rPr>
        <w:footnoteReference w:id="968"/>
      </w:r>
      <w:r w:rsidRPr="00472578">
        <w:rPr>
          <w:rFonts w:eastAsia="National-Book" w:cs="Times New Roman"/>
        </w:rPr>
        <w:t xml:space="preserve"> direct and indirect </w:t>
      </w:r>
      <w:r w:rsidRPr="00472578">
        <w:rPr>
          <w:rFonts w:eastAsia="National-Book" w:cs="Times New Roman"/>
          <w:i/>
        </w:rPr>
        <w:t>discharges</w:t>
      </w:r>
      <w:r w:rsidRPr="00472578">
        <w:rPr>
          <w:rFonts w:eastAsia="National-Book" w:cs="Times New Roman"/>
        </w:rPr>
        <w:t xml:space="preserve"> of </w:t>
      </w:r>
      <w:r w:rsidRPr="00472578">
        <w:rPr>
          <w:rFonts w:eastAsia="National-Book" w:cs="Times New Roman"/>
          <w:i/>
        </w:rPr>
        <w:t>contaminants</w:t>
      </w:r>
      <w:r w:rsidRPr="00472578">
        <w:rPr>
          <w:rFonts w:eastAsia="National-Book" w:cs="Times New Roman"/>
        </w:rPr>
        <w:t xml:space="preserve"> to </w:t>
      </w:r>
      <w:r w:rsidRPr="00472578">
        <w:rPr>
          <w:rFonts w:eastAsia="National-Book" w:cs="Times New Roman"/>
          <w:i/>
        </w:rPr>
        <w:t>water</w:t>
      </w:r>
      <w:r w:rsidRPr="00472578">
        <w:rPr>
          <w:rFonts w:eastAsia="National-Book" w:cs="Times New Roman"/>
        </w:rPr>
        <w:t xml:space="preserve"> from the use and development of </w:t>
      </w:r>
      <w:r w:rsidRPr="00472578">
        <w:rPr>
          <w:rFonts w:eastAsia="National-Book" w:cs="Times New Roman"/>
          <w:i/>
        </w:rPr>
        <w:t xml:space="preserve">land </w:t>
      </w:r>
      <w:r w:rsidRPr="00472578">
        <w:rPr>
          <w:rFonts w:eastAsia="National-Book" w:cs="Times New Roman"/>
          <w:iCs/>
          <w:u w:val="single"/>
        </w:rPr>
        <w:t xml:space="preserve">to meet </w:t>
      </w:r>
      <w:r w:rsidRPr="00472578">
        <w:rPr>
          <w:rFonts w:eastAsia="National-Book" w:cs="Times New Roman"/>
          <w:i/>
          <w:u w:val="single"/>
        </w:rPr>
        <w:t>environmental outcomes</w:t>
      </w:r>
      <w:r w:rsidRPr="00472578">
        <w:rPr>
          <w:rFonts w:eastAsia="National-Book" w:cs="Times New Roman"/>
        </w:rPr>
        <w:t>,</w:t>
      </w:r>
      <w:r w:rsidRPr="00472578">
        <w:rPr>
          <w:rFonts w:eastAsia="National-Book" w:cs="Times New Roman"/>
          <w:vertAlign w:val="superscript"/>
        </w:rPr>
        <w:footnoteReference w:id="969"/>
      </w:r>
      <w:r w:rsidRPr="00472578">
        <w:rPr>
          <w:rFonts w:eastAsia="National-Book" w:cs="Times New Roman"/>
        </w:rPr>
        <w:t xml:space="preserve"> </w:t>
      </w:r>
      <w:r w:rsidRPr="00472578">
        <w:rPr>
          <w:rFonts w:eastAsia="National-Book" w:cs="Times New Roman"/>
          <w:strike/>
        </w:rPr>
        <w:t>and</w:t>
      </w:r>
    </w:p>
    <w:p w14:paraId="4D97E6F2" w14:textId="77777777" w:rsidR="00D7784B" w:rsidRPr="00472578" w:rsidRDefault="00D7784B" w:rsidP="00E92686">
      <w:pPr>
        <w:ind w:left="567" w:hanging="567"/>
        <w:jc w:val="both"/>
        <w:rPr>
          <w:rFonts w:eastAsia="National-Book" w:cs="Times New Roman"/>
          <w:u w:val="single"/>
        </w:rPr>
      </w:pPr>
      <w:r w:rsidRPr="00472578">
        <w:rPr>
          <w:rFonts w:eastAsia="National-Book" w:cs="Times New Roman"/>
        </w:rPr>
        <w:lastRenderedPageBreak/>
        <w:t>(2)</w:t>
      </w:r>
      <w:r w:rsidRPr="00472578">
        <w:rPr>
          <w:rFonts w:eastAsia="National-Book" w:cs="Times New Roman"/>
        </w:rPr>
        <w:tab/>
        <w:t xml:space="preserve">managing </w:t>
      </w:r>
      <w:r w:rsidRPr="00472578">
        <w:rPr>
          <w:rFonts w:eastAsia="National-Book" w:cs="Times New Roman"/>
          <w:i/>
        </w:rPr>
        <w:t xml:space="preserve">land </w:t>
      </w:r>
      <w:r w:rsidRPr="00472578">
        <w:rPr>
          <w:rFonts w:eastAsia="National-Book" w:cs="Times New Roman"/>
        </w:rPr>
        <w:t xml:space="preserve">uses that may have adverse </w:t>
      </w:r>
      <w:r w:rsidRPr="00472578">
        <w:rPr>
          <w:rFonts w:eastAsia="National-Book" w:cs="Times New Roman"/>
          <w:i/>
        </w:rPr>
        <w:t>effects</w:t>
      </w:r>
      <w:r w:rsidRPr="00472578">
        <w:rPr>
          <w:rFonts w:eastAsia="National-Book" w:cs="Times New Roman"/>
        </w:rPr>
        <w:t xml:space="preserve"> on the flow of </w:t>
      </w:r>
      <w:r w:rsidRPr="00472578">
        <w:rPr>
          <w:rFonts w:eastAsia="National-Book" w:cs="Times New Roman"/>
          <w:i/>
        </w:rPr>
        <w:t>water</w:t>
      </w:r>
      <w:r w:rsidRPr="00472578">
        <w:rPr>
          <w:rFonts w:eastAsia="National-Book" w:cs="Times New Roman"/>
        </w:rPr>
        <w:t xml:space="preserve"> in surface </w:t>
      </w:r>
      <w:r w:rsidRPr="00472578">
        <w:rPr>
          <w:rFonts w:eastAsia="National-Book" w:cs="Times New Roman"/>
          <w:i/>
        </w:rPr>
        <w:t>water bodies</w:t>
      </w:r>
      <w:r w:rsidRPr="00472578">
        <w:rPr>
          <w:rFonts w:eastAsia="National-Book" w:cs="Times New Roman"/>
        </w:rPr>
        <w:t xml:space="preserve"> or the recharge of </w:t>
      </w:r>
      <w:r w:rsidRPr="00472578">
        <w:rPr>
          <w:rFonts w:eastAsia="National-Book" w:cs="Times New Roman"/>
          <w:i/>
        </w:rPr>
        <w:t>groundwater</w:t>
      </w:r>
      <w:r w:rsidRPr="00472578">
        <w:rPr>
          <w:rFonts w:eastAsia="National-Book" w:cs="Times New Roman"/>
          <w:i/>
          <w:strike/>
        </w:rPr>
        <w:t>.</w:t>
      </w:r>
      <w:r w:rsidRPr="00472578">
        <w:rPr>
          <w:rFonts w:eastAsia="National-Book" w:cs="Times New Roman"/>
          <w:u w:val="single"/>
        </w:rPr>
        <w:t>, and</w:t>
      </w:r>
    </w:p>
    <w:p w14:paraId="5783A2D6" w14:textId="5379EBB1" w:rsidR="00D7784B" w:rsidRPr="00472578" w:rsidRDefault="00D7784B" w:rsidP="00E92686">
      <w:pPr>
        <w:ind w:left="567" w:hanging="567"/>
        <w:jc w:val="both"/>
        <w:rPr>
          <w:rFonts w:eastAsia="National-Book" w:cs="Times New Roman"/>
          <w:u w:val="single"/>
        </w:rPr>
      </w:pPr>
      <w:r w:rsidRPr="00472578">
        <w:rPr>
          <w:rFonts w:eastAsia="National-Book" w:cs="Times New Roman"/>
          <w:u w:val="single"/>
        </w:rPr>
        <w:t>(3)</w:t>
      </w:r>
      <w:r w:rsidRPr="00472578">
        <w:rPr>
          <w:rFonts w:eastAsia="National-Book" w:cs="Times New Roman"/>
          <w:u w:val="single"/>
        </w:rPr>
        <w:tab/>
        <w:t xml:space="preserve">maintaining or, where degraded, enhancing the habitat and biodiversity values of riparian margins </w:t>
      </w:r>
      <w:proofErr w:type="gramStart"/>
      <w:r w:rsidR="00C74212">
        <w:rPr>
          <w:rFonts w:eastAsia="National-Book" w:cs="Times New Roman"/>
          <w:u w:val="single"/>
        </w:rPr>
        <w:t xml:space="preserve">in order </w:t>
      </w:r>
      <w:r w:rsidRPr="00472578">
        <w:rPr>
          <w:rFonts w:eastAsia="National-Book" w:cs="Times New Roman"/>
          <w:u w:val="single"/>
        </w:rPr>
        <w:t>to</w:t>
      </w:r>
      <w:proofErr w:type="gramEnd"/>
      <w:r w:rsidRPr="00472578">
        <w:rPr>
          <w:rFonts w:eastAsia="National-Book" w:cs="Times New Roman"/>
          <w:u w:val="single"/>
        </w:rPr>
        <w:t xml:space="preserve"> reduce sedimentation of water bodies and support improved functioning of catchment processes.</w:t>
      </w:r>
      <w:r w:rsidRPr="00472578">
        <w:rPr>
          <w:vertAlign w:val="superscript"/>
        </w:rPr>
        <w:footnoteReference w:id="970"/>
      </w:r>
    </w:p>
    <w:p w14:paraId="700ACC2C"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LF-LS-P22 – Public access </w:t>
      </w:r>
    </w:p>
    <w:p w14:paraId="6947AB6B" w14:textId="77777777" w:rsidR="00D7784B" w:rsidRPr="00472578" w:rsidRDefault="00D7784B" w:rsidP="00E92686">
      <w:pPr>
        <w:jc w:val="both"/>
        <w:rPr>
          <w:rFonts w:eastAsiaTheme="majorEastAsia"/>
        </w:rPr>
      </w:pPr>
      <w:r w:rsidRPr="00472578">
        <w:rPr>
          <w:rFonts w:eastAsiaTheme="majorEastAsia"/>
        </w:rPr>
        <w:t xml:space="preserve">Provide for public access to and along </w:t>
      </w:r>
      <w:r w:rsidRPr="00472578">
        <w:rPr>
          <w:rFonts w:eastAsiaTheme="majorEastAsia"/>
          <w:i/>
          <w:iCs/>
        </w:rPr>
        <w:t>lakes</w:t>
      </w:r>
      <w:r w:rsidRPr="00472578">
        <w:rPr>
          <w:rFonts w:eastAsiaTheme="majorEastAsia"/>
        </w:rPr>
        <w:t xml:space="preserve"> and </w:t>
      </w:r>
      <w:r w:rsidRPr="00472578">
        <w:rPr>
          <w:rFonts w:eastAsiaTheme="majorEastAsia"/>
          <w:i/>
          <w:iCs/>
        </w:rPr>
        <w:t xml:space="preserve">rivers </w:t>
      </w:r>
      <w:r w:rsidRPr="00472578">
        <w:rPr>
          <w:rFonts w:eastAsiaTheme="majorEastAsia"/>
        </w:rPr>
        <w:t>by:</w:t>
      </w:r>
    </w:p>
    <w:p w14:paraId="7D881663" w14:textId="77777777" w:rsidR="00D7784B" w:rsidRPr="00472578" w:rsidRDefault="00D7784B" w:rsidP="00E92686">
      <w:pPr>
        <w:ind w:left="567" w:hanging="567"/>
        <w:jc w:val="both"/>
        <w:rPr>
          <w:rFonts w:eastAsiaTheme="majorEastAsia"/>
        </w:rPr>
      </w:pPr>
      <w:r w:rsidRPr="00472578">
        <w:rPr>
          <w:rFonts w:eastAsiaTheme="majorEastAsia"/>
        </w:rPr>
        <w:t>(1)</w:t>
      </w:r>
      <w:r w:rsidRPr="00472578">
        <w:rPr>
          <w:rFonts w:eastAsiaTheme="majorEastAsia"/>
        </w:rPr>
        <w:tab/>
        <w:t>maintaining existing public access,</w:t>
      </w:r>
    </w:p>
    <w:p w14:paraId="68CFD118" w14:textId="63CEE9BE" w:rsidR="00D7784B" w:rsidRPr="00472578" w:rsidRDefault="00D7784B" w:rsidP="00E92686">
      <w:pPr>
        <w:ind w:left="567" w:hanging="567"/>
        <w:jc w:val="both"/>
        <w:rPr>
          <w:rFonts w:eastAsiaTheme="majorEastAsia"/>
        </w:rPr>
      </w:pPr>
      <w:r w:rsidRPr="00472578">
        <w:rPr>
          <w:rFonts w:eastAsiaTheme="majorEastAsia"/>
        </w:rPr>
        <w:t>(2)</w:t>
      </w:r>
      <w:r w:rsidRPr="00472578">
        <w:rPr>
          <w:rFonts w:eastAsiaTheme="majorEastAsia"/>
        </w:rPr>
        <w:tab/>
        <w:t xml:space="preserve">seeking opportunities to enhance public access, including </w:t>
      </w:r>
      <w:r w:rsidRPr="00472578">
        <w:rPr>
          <w:rFonts w:eastAsiaTheme="majorEastAsia"/>
          <w:u w:val="single"/>
        </w:rPr>
        <w:t>access</w:t>
      </w:r>
      <w:r w:rsidRPr="00472578">
        <w:rPr>
          <w:rFonts w:eastAsiaTheme="majorEastAsia"/>
          <w:vertAlign w:val="superscript"/>
        </w:rPr>
        <w:footnoteReference w:id="971"/>
      </w:r>
      <w:r w:rsidRPr="00472578">
        <w:rPr>
          <w:rFonts w:eastAsiaTheme="majorEastAsia"/>
        </w:rPr>
        <w:t xml:space="preserve"> by </w:t>
      </w:r>
      <w:r w:rsidRPr="00472578">
        <w:rPr>
          <w:rFonts w:eastAsiaTheme="majorEastAsia"/>
          <w:i/>
        </w:rPr>
        <w:t>mana whenua</w:t>
      </w:r>
      <w:r w:rsidRPr="00472578">
        <w:rPr>
          <w:rFonts w:eastAsiaTheme="majorEastAsia"/>
        </w:rPr>
        <w:t xml:space="preserve"> in their role as kaitiaki and for gathering of </w:t>
      </w:r>
      <w:r w:rsidRPr="009C237D">
        <w:rPr>
          <w:strike/>
        </w:rPr>
        <w:t>mahika kai</w:t>
      </w:r>
      <w:r w:rsidR="00A00191" w:rsidRPr="00472578">
        <w:t xml:space="preserve"> </w:t>
      </w:r>
      <w:r w:rsidR="00A00191" w:rsidRPr="00645B28">
        <w:rPr>
          <w:i/>
          <w:iCs/>
          <w:u w:val="single"/>
        </w:rPr>
        <w:t>mahika kai</w:t>
      </w:r>
      <w:r w:rsidR="00A00191">
        <w:rPr>
          <w:rStyle w:val="FootnoteReference"/>
        </w:rPr>
        <w:footnoteReference w:id="972"/>
      </w:r>
      <w:r w:rsidRPr="00472578">
        <w:rPr>
          <w:rFonts w:eastAsiaTheme="majorEastAsia"/>
        </w:rPr>
        <w:t xml:space="preserve">, and </w:t>
      </w:r>
    </w:p>
    <w:p w14:paraId="07956CC0" w14:textId="77777777" w:rsidR="00D7784B" w:rsidRPr="00472578" w:rsidRDefault="00D7784B" w:rsidP="00E92686">
      <w:pPr>
        <w:ind w:left="567" w:hanging="567"/>
        <w:jc w:val="both"/>
        <w:rPr>
          <w:rFonts w:eastAsiaTheme="majorEastAsia"/>
        </w:rPr>
      </w:pPr>
      <w:r w:rsidRPr="00472578">
        <w:rPr>
          <w:rFonts w:eastAsiaTheme="majorEastAsia"/>
        </w:rPr>
        <w:t>(3)</w:t>
      </w:r>
      <w:r w:rsidRPr="00472578">
        <w:rPr>
          <w:rFonts w:eastAsiaTheme="majorEastAsia"/>
        </w:rPr>
        <w:tab/>
        <w:t xml:space="preserve">encouraging landowners to </w:t>
      </w:r>
      <w:r w:rsidRPr="00472578">
        <w:rPr>
          <w:rFonts w:eastAsiaTheme="majorEastAsia"/>
          <w:strike/>
        </w:rPr>
        <w:t>only</w:t>
      </w:r>
      <w:r w:rsidRPr="00472578">
        <w:rPr>
          <w:rFonts w:eastAsiaTheme="majorEastAsia"/>
        </w:rPr>
        <w:t xml:space="preserve"> </w:t>
      </w:r>
      <w:r w:rsidRPr="00472578">
        <w:rPr>
          <w:rFonts w:eastAsiaTheme="majorEastAsia"/>
          <w:u w:val="single"/>
        </w:rPr>
        <w:t>avoid</w:t>
      </w:r>
      <w:r w:rsidRPr="00472578">
        <w:rPr>
          <w:rFonts w:eastAsiaTheme="majorEastAsia"/>
        </w:rPr>
        <w:t xml:space="preserve"> restrict</w:t>
      </w:r>
      <w:r w:rsidRPr="00472578">
        <w:rPr>
          <w:rFonts w:eastAsiaTheme="majorEastAsia"/>
          <w:u w:val="single"/>
        </w:rPr>
        <w:t>ing</w:t>
      </w:r>
      <w:r w:rsidRPr="00472578">
        <w:rPr>
          <w:rFonts w:eastAsiaTheme="majorEastAsia"/>
        </w:rPr>
        <w:t xml:space="preserve"> access </w:t>
      </w:r>
      <w:r w:rsidRPr="00472578">
        <w:rPr>
          <w:rFonts w:eastAsiaTheme="majorEastAsia"/>
          <w:strike/>
        </w:rPr>
        <w:t>where</w:t>
      </w:r>
      <w:r w:rsidRPr="00472578">
        <w:rPr>
          <w:rFonts w:eastAsiaTheme="majorEastAsia"/>
        </w:rPr>
        <w:t xml:space="preserve"> </w:t>
      </w:r>
      <w:r w:rsidRPr="00472578">
        <w:rPr>
          <w:rFonts w:eastAsiaTheme="majorEastAsia"/>
          <w:u w:val="single"/>
        </w:rPr>
        <w:t>unless</w:t>
      </w:r>
      <w:r w:rsidRPr="00472578">
        <w:rPr>
          <w:rFonts w:eastAsiaTheme="majorEastAsia"/>
          <w:vertAlign w:val="superscript"/>
        </w:rPr>
        <w:footnoteReference w:id="973"/>
      </w:r>
      <w:r w:rsidRPr="00472578">
        <w:rPr>
          <w:rFonts w:eastAsiaTheme="majorEastAsia"/>
        </w:rPr>
        <w:t xml:space="preserve"> it is necessary to protect:</w:t>
      </w:r>
      <w:r w:rsidRPr="00472578">
        <w:rPr>
          <w:rFonts w:eastAsiaTheme="majorEastAsia"/>
          <w:vertAlign w:val="superscript"/>
        </w:rPr>
        <w:footnoteReference w:id="974"/>
      </w:r>
    </w:p>
    <w:p w14:paraId="0A79ABDD" w14:textId="77777777" w:rsidR="00D7784B" w:rsidRPr="00472578" w:rsidRDefault="00D7784B" w:rsidP="00E92686">
      <w:pPr>
        <w:ind w:left="1134" w:hanging="567"/>
        <w:jc w:val="both"/>
        <w:rPr>
          <w:rFonts w:ascii="Calibri" w:eastAsia="Calibri" w:hAnsi="Calibri" w:cs="Times New Roman"/>
        </w:rPr>
      </w:pPr>
      <w:r w:rsidRPr="00472578">
        <w:rPr>
          <w:rFonts w:ascii="Calibri" w:eastAsia="Calibri" w:hAnsi="Calibri" w:cs="Times New Roman"/>
        </w:rPr>
        <w:t>(a)</w:t>
      </w:r>
      <w:r w:rsidRPr="00472578">
        <w:rPr>
          <w:rFonts w:ascii="Calibri" w:eastAsia="Calibri" w:hAnsi="Calibri" w:cs="Times New Roman"/>
        </w:rPr>
        <w:tab/>
      </w:r>
      <w:r w:rsidRPr="00472578">
        <w:rPr>
          <w:rFonts w:ascii="Calibri" w:eastAsia="Calibri" w:hAnsi="Calibri" w:cs="Times New Roman"/>
          <w:strike/>
        </w:rPr>
        <w:t>public</w:t>
      </w:r>
      <w:r w:rsidRPr="00472578">
        <w:rPr>
          <w:rFonts w:ascii="Calibri" w:eastAsia="Calibri" w:hAnsi="Calibri" w:cs="Times New Roman"/>
          <w:vertAlign w:val="superscript"/>
        </w:rPr>
        <w:footnoteReference w:id="975"/>
      </w:r>
      <w:r w:rsidRPr="00472578">
        <w:rPr>
          <w:rFonts w:ascii="Calibri" w:eastAsia="Calibri" w:hAnsi="Calibri" w:cs="Times New Roman"/>
        </w:rPr>
        <w:t xml:space="preserve"> health and safety, </w:t>
      </w:r>
    </w:p>
    <w:p w14:paraId="78C2F3E8" w14:textId="77777777" w:rsidR="00D7784B" w:rsidRPr="00472578" w:rsidRDefault="00D7784B" w:rsidP="00E92686">
      <w:pPr>
        <w:ind w:left="1134" w:hanging="567"/>
        <w:jc w:val="both"/>
        <w:rPr>
          <w:rFonts w:ascii="Calibri" w:eastAsia="Calibri" w:hAnsi="Calibri" w:cs="Times New Roman"/>
        </w:rPr>
      </w:pPr>
      <w:r w:rsidRPr="00472578">
        <w:rPr>
          <w:rFonts w:ascii="Calibri" w:eastAsia="Calibri" w:hAnsi="Calibri" w:cs="Times New Roman"/>
        </w:rPr>
        <w:t>(b)</w:t>
      </w:r>
      <w:r w:rsidRPr="00472578">
        <w:rPr>
          <w:rFonts w:ascii="Calibri" w:eastAsia="Calibri" w:hAnsi="Calibri" w:cs="Times New Roman"/>
        </w:rPr>
        <w:tab/>
      </w:r>
      <w:r w:rsidRPr="00472578">
        <w:rPr>
          <w:rFonts w:ascii="Calibri" w:eastAsia="Calibri" w:hAnsi="Calibri" w:cs="Times New Roman"/>
          <w:i/>
        </w:rPr>
        <w:t>significant natural areas</w:t>
      </w:r>
      <w:r w:rsidRPr="00472578">
        <w:rPr>
          <w:rFonts w:ascii="Calibri" w:eastAsia="Calibri" w:hAnsi="Calibri" w:cs="Times New Roman"/>
        </w:rPr>
        <w:t>,</w:t>
      </w:r>
    </w:p>
    <w:p w14:paraId="6A13F514" w14:textId="77777777" w:rsidR="00D7784B" w:rsidRPr="00472578" w:rsidRDefault="00D7784B" w:rsidP="00E92686">
      <w:pPr>
        <w:ind w:left="1134" w:hanging="567"/>
        <w:jc w:val="both"/>
        <w:rPr>
          <w:rFonts w:ascii="Calibri" w:eastAsia="Calibri" w:hAnsi="Calibri" w:cs="Times New Roman"/>
        </w:rPr>
      </w:pPr>
      <w:r w:rsidRPr="00472578">
        <w:rPr>
          <w:rFonts w:ascii="Calibri" w:eastAsia="Calibri" w:hAnsi="Calibri" w:cs="Times New Roman"/>
        </w:rPr>
        <w:t>(c)</w:t>
      </w:r>
      <w:r w:rsidRPr="00472578">
        <w:rPr>
          <w:rFonts w:ascii="Calibri" w:eastAsia="Calibri" w:hAnsi="Calibri" w:cs="Times New Roman"/>
        </w:rPr>
        <w:tab/>
        <w:t>areas of outstanding natural character,</w:t>
      </w:r>
    </w:p>
    <w:p w14:paraId="1AADEC64" w14:textId="77777777" w:rsidR="00D7784B" w:rsidRPr="00472578" w:rsidRDefault="00D7784B" w:rsidP="00E92686">
      <w:pPr>
        <w:ind w:left="1134" w:hanging="567"/>
        <w:jc w:val="both"/>
      </w:pPr>
      <w:r w:rsidRPr="00472578">
        <w:rPr>
          <w:rFonts w:ascii="Calibri" w:eastAsia="Calibri" w:hAnsi="Calibri" w:cs="Times New Roman"/>
        </w:rPr>
        <w:t>(d)</w:t>
      </w:r>
      <w:r w:rsidRPr="00472578">
        <w:rPr>
          <w:rFonts w:ascii="Calibri" w:eastAsia="Calibri" w:hAnsi="Calibri" w:cs="Times New Roman"/>
        </w:rPr>
        <w:tab/>
        <w:t>outst</w:t>
      </w:r>
      <w:r w:rsidRPr="00472578">
        <w:t>anding natural features and landscapes,</w:t>
      </w:r>
    </w:p>
    <w:p w14:paraId="1D526FED" w14:textId="77777777" w:rsidR="00D7784B" w:rsidRPr="00472578" w:rsidRDefault="00D7784B" w:rsidP="00E92686">
      <w:pPr>
        <w:ind w:left="1134" w:hanging="567"/>
        <w:jc w:val="both"/>
      </w:pPr>
      <w:r w:rsidRPr="00472578">
        <w:t>(e)</w:t>
      </w:r>
      <w:r w:rsidRPr="00472578">
        <w:tab/>
        <w:t xml:space="preserve">places </w:t>
      </w:r>
      <w:r w:rsidRPr="00472578">
        <w:rPr>
          <w:rFonts w:ascii="Calibri" w:eastAsia="Calibri" w:hAnsi="Calibri" w:cs="Times New Roman"/>
        </w:rPr>
        <w:t>or</w:t>
      </w:r>
      <w:r w:rsidRPr="00472578">
        <w:t xml:space="preserve"> areas with special or outstanding </w:t>
      </w:r>
      <w:r w:rsidRPr="00472578">
        <w:rPr>
          <w:i/>
          <w:iCs/>
        </w:rPr>
        <w:t>historic heritage</w:t>
      </w:r>
      <w:r w:rsidRPr="00472578">
        <w:t xml:space="preserve"> values, </w:t>
      </w:r>
      <w:r w:rsidRPr="00472578">
        <w:rPr>
          <w:strike/>
        </w:rPr>
        <w:t>or</w:t>
      </w:r>
    </w:p>
    <w:p w14:paraId="7E9CA864" w14:textId="77777777" w:rsidR="00D7784B" w:rsidRPr="00472578" w:rsidRDefault="00D7784B" w:rsidP="00E92686">
      <w:pPr>
        <w:ind w:left="1134" w:hanging="567"/>
        <w:jc w:val="both"/>
        <w:rPr>
          <w:strike/>
        </w:rPr>
      </w:pPr>
      <w:r w:rsidRPr="00472578">
        <w:rPr>
          <w:rFonts w:ascii="Calibri" w:eastAsia="Calibri" w:hAnsi="Calibri" w:cs="Times New Roman"/>
        </w:rPr>
        <w:t>(f)</w:t>
      </w:r>
      <w:r w:rsidRPr="00472578">
        <w:tab/>
      </w:r>
      <w:r w:rsidRPr="00472578">
        <w:rPr>
          <w:rFonts w:ascii="Calibri" w:eastAsia="Calibri" w:hAnsi="Calibri" w:cs="Times New Roman"/>
        </w:rPr>
        <w:t>places</w:t>
      </w:r>
      <w:r w:rsidRPr="00472578">
        <w:t xml:space="preserve"> or areas of significance to </w:t>
      </w:r>
      <w:r w:rsidRPr="00472578">
        <w:rPr>
          <w:i/>
          <w:iCs/>
          <w:strike/>
        </w:rPr>
        <w:t>takata whenua</w:t>
      </w:r>
      <w:r w:rsidRPr="00472578">
        <w:rPr>
          <w:i/>
          <w:iCs/>
        </w:rPr>
        <w:t xml:space="preserve"> </w:t>
      </w:r>
      <w:r w:rsidRPr="00472578">
        <w:rPr>
          <w:u w:val="single"/>
        </w:rPr>
        <w:t>Kāi Tahu</w:t>
      </w:r>
      <w:r w:rsidRPr="00472578">
        <w:t xml:space="preserve">, including </w:t>
      </w:r>
      <w:r w:rsidRPr="00472578">
        <w:rPr>
          <w:u w:val="single"/>
        </w:rPr>
        <w:t>wāhi taoka,</w:t>
      </w:r>
      <w:r w:rsidRPr="00472578">
        <w:rPr>
          <w:vertAlign w:val="superscript"/>
        </w:rPr>
        <w:footnoteReference w:id="976"/>
      </w:r>
      <w:r w:rsidRPr="00472578">
        <w:t xml:space="preserve"> wāhi tapu and wāhi </w:t>
      </w:r>
      <w:proofErr w:type="gramStart"/>
      <w:r w:rsidRPr="00472578">
        <w:rPr>
          <w:rFonts w:ascii="Calibri" w:eastAsia="Calibri" w:hAnsi="Calibri" w:cs="Calibri"/>
        </w:rPr>
        <w:t>tūpuna</w:t>
      </w:r>
      <w:r w:rsidRPr="00472578">
        <w:rPr>
          <w:rFonts w:ascii="Calibri" w:eastAsia="Calibri" w:hAnsi="Calibri" w:cs="Calibri"/>
          <w:u w:val="single"/>
        </w:rPr>
        <w:t>,</w:t>
      </w:r>
      <w:r w:rsidRPr="00472578">
        <w:rPr>
          <w:strike/>
        </w:rPr>
        <w:t>.</w:t>
      </w:r>
      <w:bookmarkStart w:id="169" w:name="_Toc49763511"/>
      <w:proofErr w:type="gramEnd"/>
    </w:p>
    <w:p w14:paraId="5AF5079A" w14:textId="77777777" w:rsidR="00D7784B" w:rsidRPr="00472578" w:rsidRDefault="00D7784B" w:rsidP="00E92686">
      <w:pPr>
        <w:ind w:left="1134" w:hanging="567"/>
        <w:jc w:val="both"/>
        <w:rPr>
          <w:u w:val="single"/>
        </w:rPr>
      </w:pPr>
      <w:r w:rsidRPr="00472578">
        <w:rPr>
          <w:u w:val="single"/>
        </w:rPr>
        <w:t>(g)</w:t>
      </w:r>
      <w:r w:rsidRPr="00472578">
        <w:rPr>
          <w:u w:val="single"/>
        </w:rPr>
        <w:tab/>
        <w:t>establishing vegetation, or</w:t>
      </w:r>
      <w:r w:rsidRPr="00472578">
        <w:rPr>
          <w:vertAlign w:val="superscript"/>
        </w:rPr>
        <w:footnoteReference w:id="977"/>
      </w:r>
    </w:p>
    <w:p w14:paraId="053181C8" w14:textId="7DD95F2A" w:rsidR="00D7784B" w:rsidRPr="00472578" w:rsidRDefault="00D7784B" w:rsidP="00E92686">
      <w:pPr>
        <w:ind w:left="1134" w:hanging="567"/>
        <w:jc w:val="both"/>
        <w:rPr>
          <w:u w:val="single"/>
        </w:rPr>
      </w:pPr>
      <w:r w:rsidRPr="00472578">
        <w:rPr>
          <w:u w:val="single"/>
        </w:rPr>
        <w:t>(h)</w:t>
      </w:r>
      <w:r w:rsidRPr="00472578">
        <w:rPr>
          <w:u w:val="single"/>
        </w:rPr>
        <w:tab/>
      </w:r>
      <w:r w:rsidR="00A567F9">
        <w:rPr>
          <w:u w:val="single"/>
        </w:rPr>
        <w:t xml:space="preserve">a </w:t>
      </w:r>
      <w:r w:rsidRPr="00472578">
        <w:rPr>
          <w:u w:val="single"/>
        </w:rPr>
        <w:t>level of security consistent with the operational requirements of a lawfully established activity.</w:t>
      </w:r>
      <w:r w:rsidRPr="00472578">
        <w:rPr>
          <w:vertAlign w:val="superscript"/>
        </w:rPr>
        <w:footnoteReference w:id="978"/>
      </w:r>
    </w:p>
    <w:p w14:paraId="574C792C" w14:textId="77777777" w:rsidR="00D7784B" w:rsidRPr="00472578" w:rsidRDefault="00D7784B" w:rsidP="00E92686">
      <w:pPr>
        <w:keepNext/>
        <w:keepLines/>
        <w:spacing w:before="360" w:line="240" w:lineRule="auto"/>
        <w:jc w:val="both"/>
        <w:outlineLvl w:val="3"/>
        <w:rPr>
          <w:rFonts w:eastAsia="National-Book" w:cstheme="majorBidi"/>
          <w:b/>
          <w:color w:val="1F3864" w:themeColor="accent1" w:themeShade="80"/>
          <w:sz w:val="24"/>
        </w:rPr>
      </w:pPr>
      <w:r w:rsidRPr="00472578">
        <w:rPr>
          <w:rFonts w:eastAsia="National-Book" w:cstheme="majorBidi"/>
          <w:b/>
          <w:color w:val="1F3864" w:themeColor="accent1" w:themeShade="80"/>
          <w:sz w:val="24"/>
        </w:rPr>
        <w:t>Methods</w:t>
      </w:r>
      <w:bookmarkStart w:id="170" w:name="_Hlk49418579"/>
      <w:bookmarkEnd w:id="169"/>
    </w:p>
    <w:p w14:paraId="2BD16A92"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bookmarkStart w:id="171" w:name="_Hlk52197288"/>
      <w:bookmarkEnd w:id="170"/>
      <w:r w:rsidRPr="00472578">
        <w:rPr>
          <w:rFonts w:ascii="Calibri" w:eastAsia="Calibri" w:hAnsi="Calibri" w:cs="Times New Roman"/>
          <w:b/>
          <w:color w:val="1F3864" w:themeColor="accent1" w:themeShade="80"/>
        </w:rPr>
        <w:t xml:space="preserve">LF-LS-M11 – </w:t>
      </w:r>
      <w:r w:rsidRPr="00472578">
        <w:rPr>
          <w:rFonts w:ascii="Calibri" w:eastAsia="Calibri" w:hAnsi="Calibri" w:cs="Times New Roman"/>
          <w:b/>
          <w:i/>
          <w:color w:val="1F3864" w:themeColor="accent1" w:themeShade="80"/>
        </w:rPr>
        <w:t>Regional plans</w:t>
      </w:r>
    </w:p>
    <w:p w14:paraId="1BF237DC" w14:textId="77777777" w:rsidR="00D7784B" w:rsidRPr="00472578" w:rsidRDefault="00D7784B" w:rsidP="00E92686">
      <w:pPr>
        <w:jc w:val="both"/>
      </w:pPr>
      <w:r w:rsidRPr="00472578">
        <w:t xml:space="preserve">Otago Regional Council must publicly notify a Land and Water </w:t>
      </w:r>
      <w:r w:rsidRPr="00CB78D6">
        <w:rPr>
          <w:iCs/>
        </w:rPr>
        <w:t>Regional Plan</w:t>
      </w:r>
      <w:r w:rsidRPr="00472578">
        <w:t xml:space="preserve"> no later than 31 December 2023 and then, when it is made operative, maintain that </w:t>
      </w:r>
      <w:r w:rsidRPr="00472578">
        <w:rPr>
          <w:i/>
          <w:iCs/>
        </w:rPr>
        <w:t>regional plan</w:t>
      </w:r>
      <w:r w:rsidRPr="00472578">
        <w:t xml:space="preserve"> to:</w:t>
      </w:r>
    </w:p>
    <w:p w14:paraId="3655BE13" w14:textId="77777777" w:rsidR="00D7784B" w:rsidRPr="00472578" w:rsidRDefault="00D7784B" w:rsidP="00E92686">
      <w:pPr>
        <w:ind w:left="567" w:hanging="567"/>
        <w:jc w:val="both"/>
      </w:pPr>
      <w:r w:rsidRPr="00472578">
        <w:t>(1)</w:t>
      </w:r>
      <w:r w:rsidRPr="00472578">
        <w:tab/>
        <w:t xml:space="preserve">manage </w:t>
      </w:r>
      <w:r w:rsidRPr="00472578">
        <w:rPr>
          <w:i/>
          <w:iCs/>
        </w:rPr>
        <w:t xml:space="preserve">land </w:t>
      </w:r>
      <w:r w:rsidRPr="00472578">
        <w:t xml:space="preserve">uses that may affect the ability of </w:t>
      </w:r>
      <w:r w:rsidRPr="00472578">
        <w:rPr>
          <w:i/>
          <w:iCs/>
        </w:rPr>
        <w:t>environmental outcomes</w:t>
      </w:r>
      <w:r w:rsidRPr="00472578">
        <w:t xml:space="preserve"> for </w:t>
      </w:r>
      <w:r w:rsidRPr="00472578">
        <w:rPr>
          <w:i/>
        </w:rPr>
        <w:t>water</w:t>
      </w:r>
      <w:r w:rsidRPr="00472578">
        <w:t xml:space="preserve"> quality to be achieved by requiring:</w:t>
      </w:r>
    </w:p>
    <w:p w14:paraId="1269BFDD" w14:textId="4EAAB67A" w:rsidR="00D7784B" w:rsidRPr="00472578" w:rsidRDefault="00D7784B" w:rsidP="00E92686">
      <w:pPr>
        <w:ind w:left="1134" w:hanging="567"/>
        <w:jc w:val="both"/>
        <w:rPr>
          <w:rFonts w:eastAsia="National-Book" w:cs="Times New Roman"/>
        </w:rPr>
      </w:pPr>
      <w:r w:rsidRPr="00472578">
        <w:rPr>
          <w:rFonts w:eastAsia="National-Book" w:cs="Times New Roman"/>
        </w:rPr>
        <w:lastRenderedPageBreak/>
        <w:t>(a)</w:t>
      </w:r>
      <w:r w:rsidRPr="00472578">
        <w:rPr>
          <w:rFonts w:eastAsia="National-Book" w:cs="Times New Roman"/>
        </w:rPr>
        <w:tab/>
        <w:t xml:space="preserve">the development and implementation of </w:t>
      </w:r>
      <w:r w:rsidRPr="00472578">
        <w:rPr>
          <w:rFonts w:eastAsia="National-Book" w:cs="Times New Roman"/>
          <w:i/>
        </w:rPr>
        <w:t xml:space="preserve">certified freshwater farm </w:t>
      </w:r>
      <w:proofErr w:type="gramStart"/>
      <w:r w:rsidRPr="00A567F9">
        <w:rPr>
          <w:rFonts w:eastAsia="National-Book" w:cs="Times New Roman"/>
          <w:i/>
        </w:rPr>
        <w:t>plans</w:t>
      </w:r>
      <w:r w:rsidR="00A567F9" w:rsidRPr="00A567F9">
        <w:rPr>
          <w:rFonts w:eastAsia="National-Book" w:cs="Times New Roman"/>
          <w:i/>
        </w:rPr>
        <w:t xml:space="preserve"> </w:t>
      </w:r>
      <w:r w:rsidRPr="00A567F9">
        <w:rPr>
          <w:rFonts w:eastAsia="National-Book" w:cs="Times New Roman"/>
          <w:strike/>
        </w:rPr>
        <w:t xml:space="preserve"> </w:t>
      </w:r>
      <w:r w:rsidRPr="00472578">
        <w:rPr>
          <w:rFonts w:eastAsia="National-Book" w:cs="Times New Roman"/>
          <w:strike/>
        </w:rPr>
        <w:t>as</w:t>
      </w:r>
      <w:proofErr w:type="gramEnd"/>
      <w:r w:rsidRPr="00472578">
        <w:rPr>
          <w:rFonts w:eastAsia="National-Book" w:cs="Times New Roman"/>
          <w:strike/>
        </w:rPr>
        <w:t xml:space="preserve"> required by the RMA and any regulations</w:t>
      </w:r>
      <w:r w:rsidRPr="00A567F9">
        <w:rPr>
          <w:rFonts w:eastAsia="National-Book" w:cs="Times New Roman"/>
        </w:rPr>
        <w:t>,</w:t>
      </w:r>
      <w:r w:rsidRPr="00472578">
        <w:rPr>
          <w:rFonts w:eastAsia="National-Book" w:cs="Times New Roman"/>
          <w:vertAlign w:val="superscript"/>
        </w:rPr>
        <w:footnoteReference w:id="979"/>
      </w:r>
    </w:p>
    <w:p w14:paraId="7DF23668" w14:textId="77777777" w:rsidR="00D7784B" w:rsidRPr="00472578" w:rsidRDefault="00D7784B" w:rsidP="00E92686">
      <w:pPr>
        <w:ind w:left="1134" w:hanging="567"/>
        <w:jc w:val="both"/>
        <w:rPr>
          <w:rFonts w:eastAsia="National-Book" w:cs="Times New Roman"/>
        </w:rPr>
      </w:pPr>
      <w:r w:rsidRPr="00472578">
        <w:rPr>
          <w:rFonts w:eastAsia="National-Book" w:cs="Times New Roman"/>
        </w:rPr>
        <w:t>(b)</w:t>
      </w:r>
      <w:r w:rsidRPr="00472578">
        <w:rPr>
          <w:rFonts w:eastAsia="National-Book" w:cs="Times New Roman"/>
        </w:rPr>
        <w:tab/>
        <w:t xml:space="preserve">the adoption of practices that reduce the </w:t>
      </w:r>
      <w:r w:rsidRPr="00472578">
        <w:rPr>
          <w:rFonts w:eastAsia="National-Book" w:cs="Times New Roman"/>
          <w:i/>
        </w:rPr>
        <w:t>risk</w:t>
      </w:r>
      <w:r w:rsidRPr="00472578">
        <w:rPr>
          <w:rFonts w:eastAsia="National-Book" w:cs="Times New Roman"/>
        </w:rPr>
        <w:t xml:space="preserve"> of sediment and nutrient loss to </w:t>
      </w:r>
      <w:r w:rsidRPr="00472578">
        <w:rPr>
          <w:rFonts w:eastAsia="National-Book" w:cs="Times New Roman"/>
          <w:i/>
        </w:rPr>
        <w:t>water</w:t>
      </w:r>
      <w:r w:rsidRPr="00472578">
        <w:rPr>
          <w:rFonts w:eastAsia="National-Book" w:cs="Times New Roman"/>
        </w:rPr>
        <w:t>, including by minimising the area and duration of exposed soil, using buffers, and actively managing critical source areas,</w:t>
      </w:r>
    </w:p>
    <w:p w14:paraId="501E2BAA" w14:textId="77777777" w:rsidR="00D7784B" w:rsidRPr="00472578" w:rsidRDefault="00D7784B" w:rsidP="00E92686">
      <w:pPr>
        <w:ind w:left="1134" w:hanging="567"/>
        <w:jc w:val="both"/>
        <w:rPr>
          <w:rFonts w:eastAsia="National-Book" w:cs="Times New Roman"/>
        </w:rPr>
      </w:pPr>
      <w:r w:rsidRPr="00472578">
        <w:rPr>
          <w:rFonts w:eastAsia="National-Book" w:cs="Times New Roman"/>
        </w:rPr>
        <w:t>(c)</w:t>
      </w:r>
      <w:r w:rsidRPr="00472578">
        <w:rPr>
          <w:rFonts w:eastAsia="National-Book" w:cs="Times New Roman"/>
        </w:rPr>
        <w:tab/>
        <w:t xml:space="preserve">effective management of </w:t>
      </w:r>
      <w:r w:rsidRPr="00472578">
        <w:rPr>
          <w:rFonts w:eastAsia="National-Book" w:cs="Times New Roman"/>
          <w:u w:val="single"/>
        </w:rPr>
        <w:t>animal</w:t>
      </w:r>
      <w:r w:rsidRPr="00472578">
        <w:rPr>
          <w:rFonts w:eastAsia="National-Book" w:cs="Times New Roman"/>
        </w:rPr>
        <w:t xml:space="preserve"> effluent </w:t>
      </w:r>
      <w:r w:rsidRPr="00472578">
        <w:rPr>
          <w:rFonts w:eastAsia="National-Book" w:cs="Times New Roman"/>
          <w:u w:val="single"/>
        </w:rPr>
        <w:t xml:space="preserve">systems </w:t>
      </w:r>
      <w:r w:rsidRPr="00472578">
        <w:rPr>
          <w:rFonts w:eastAsia="National-Book" w:cs="Times New Roman"/>
          <w:strike/>
        </w:rPr>
        <w:t>storage</w:t>
      </w:r>
      <w:r w:rsidRPr="00472578">
        <w:rPr>
          <w:rFonts w:eastAsia="National-Book" w:cs="Times New Roman"/>
        </w:rPr>
        <w:t xml:space="preserve"> and </w:t>
      </w:r>
      <w:r w:rsidRPr="00472578">
        <w:rPr>
          <w:rFonts w:eastAsia="National-Book" w:cs="Times New Roman"/>
          <w:u w:val="single"/>
        </w:rPr>
        <w:t>the</w:t>
      </w:r>
      <w:r w:rsidRPr="00472578">
        <w:rPr>
          <w:rFonts w:eastAsia="National-Book" w:cs="Times New Roman"/>
        </w:rPr>
        <w:t xml:space="preserve"> application</w:t>
      </w:r>
      <w:r w:rsidRPr="00472578">
        <w:rPr>
          <w:rFonts w:eastAsia="National-Book" w:cs="Times New Roman"/>
          <w:strike/>
        </w:rPr>
        <w:t>s systems</w:t>
      </w:r>
      <w:r w:rsidRPr="00472578">
        <w:rPr>
          <w:rFonts w:eastAsia="National-Book" w:cs="Times New Roman"/>
          <w:u w:val="single"/>
        </w:rPr>
        <w:t xml:space="preserve"> of animal effluent to land,</w:t>
      </w:r>
      <w:r w:rsidRPr="00472578">
        <w:rPr>
          <w:rFonts w:eastAsia="National-Book" w:cs="Times New Roman"/>
          <w:vertAlign w:val="superscript"/>
        </w:rPr>
        <w:footnoteReference w:id="980"/>
      </w:r>
      <w:r w:rsidRPr="00472578">
        <w:rPr>
          <w:rFonts w:eastAsia="National-Book" w:cs="Times New Roman"/>
        </w:rPr>
        <w:t xml:space="preserve"> and</w:t>
      </w:r>
    </w:p>
    <w:p w14:paraId="307E0A93" w14:textId="77777777" w:rsidR="00D7784B" w:rsidRPr="00472578" w:rsidRDefault="00D7784B" w:rsidP="00E92686">
      <w:pPr>
        <w:ind w:left="1134" w:hanging="567"/>
        <w:jc w:val="both"/>
      </w:pPr>
      <w:r w:rsidRPr="00472578">
        <w:rPr>
          <w:rFonts w:eastAsia="National-Book" w:cs="Times New Roman"/>
        </w:rPr>
        <w:t>(d)</w:t>
      </w:r>
      <w:r w:rsidRPr="00472578">
        <w:rPr>
          <w:rFonts w:eastAsia="National-Book" w:cs="Times New Roman"/>
        </w:rPr>
        <w:tab/>
      </w:r>
      <w:r w:rsidRPr="00472578">
        <w:rPr>
          <w:i/>
          <w:iCs/>
        </w:rPr>
        <w:t>earthworks</w:t>
      </w:r>
      <w:r w:rsidRPr="00472578">
        <w:t xml:space="preserve"> activities to implement effective sediment and erosion control practices and setbacks from </w:t>
      </w:r>
      <w:r w:rsidRPr="00472578">
        <w:rPr>
          <w:i/>
          <w:iCs/>
        </w:rPr>
        <w:t>water bodies</w:t>
      </w:r>
      <w:r w:rsidRPr="00472578">
        <w:t xml:space="preserve"> to reduce the </w:t>
      </w:r>
      <w:r w:rsidRPr="00472578">
        <w:rPr>
          <w:i/>
          <w:iCs/>
        </w:rPr>
        <w:t>risk</w:t>
      </w:r>
      <w:r w:rsidRPr="00472578">
        <w:t xml:space="preserve"> of sediment loss to </w:t>
      </w:r>
      <w:r w:rsidRPr="00472578">
        <w:rPr>
          <w:i/>
          <w:iCs/>
        </w:rPr>
        <w:t>water</w:t>
      </w:r>
      <w:r w:rsidRPr="00472578">
        <w:t>, and</w:t>
      </w:r>
    </w:p>
    <w:p w14:paraId="6E687FDE" w14:textId="77777777" w:rsidR="00D7784B" w:rsidRPr="00472578" w:rsidRDefault="00D7784B" w:rsidP="00E92686">
      <w:pPr>
        <w:ind w:left="567" w:hanging="567"/>
        <w:jc w:val="both"/>
      </w:pPr>
      <w:r w:rsidRPr="00472578">
        <w:t>(2)</w:t>
      </w:r>
      <w:r w:rsidRPr="00472578">
        <w:tab/>
        <w:t xml:space="preserve">provide for changes in </w:t>
      </w:r>
      <w:r w:rsidRPr="00472578">
        <w:rPr>
          <w:i/>
          <w:iCs/>
        </w:rPr>
        <w:t xml:space="preserve">land </w:t>
      </w:r>
      <w:r w:rsidRPr="00472578">
        <w:t xml:space="preserve">use that improve the sustainable and efficient allocation and use of </w:t>
      </w:r>
      <w:r w:rsidRPr="00472578">
        <w:rPr>
          <w:i/>
          <w:iCs/>
        </w:rPr>
        <w:t>fresh water</w:t>
      </w:r>
      <w:r w:rsidRPr="00472578">
        <w:t>, and</w:t>
      </w:r>
    </w:p>
    <w:p w14:paraId="39FE5904" w14:textId="77777777" w:rsidR="00D7784B" w:rsidRPr="00472578" w:rsidRDefault="00D7784B" w:rsidP="00E92686">
      <w:pPr>
        <w:ind w:left="567" w:hanging="567"/>
        <w:jc w:val="both"/>
      </w:pPr>
      <w:r w:rsidRPr="00472578">
        <w:t>(3)</w:t>
      </w:r>
      <w:r w:rsidRPr="00472578">
        <w:tab/>
        <w:t>implement policies LF-LS-P16 to LF-L</w:t>
      </w:r>
      <w:r w:rsidRPr="00472578">
        <w:rPr>
          <w:u w:val="single"/>
        </w:rPr>
        <w:t>S</w:t>
      </w:r>
      <w:r w:rsidRPr="00472578">
        <w:rPr>
          <w:strike/>
        </w:rPr>
        <w:t>F</w:t>
      </w:r>
      <w:r w:rsidRPr="00472578">
        <w:t>-P22.</w:t>
      </w:r>
      <w:r w:rsidRPr="00472578">
        <w:rPr>
          <w:vertAlign w:val="superscript"/>
        </w:rPr>
        <w:t xml:space="preserve"> </w:t>
      </w:r>
      <w:r w:rsidRPr="00472578">
        <w:rPr>
          <w:vertAlign w:val="superscript"/>
        </w:rPr>
        <w:footnoteReference w:id="981"/>
      </w:r>
    </w:p>
    <w:p w14:paraId="6DA9C18C"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LF-LS-M12 – </w:t>
      </w:r>
      <w:r w:rsidRPr="00472578">
        <w:rPr>
          <w:rFonts w:ascii="Calibri" w:eastAsia="Calibri" w:hAnsi="Calibri" w:cs="Times New Roman"/>
          <w:b/>
          <w:i/>
          <w:color w:val="1F3864" w:themeColor="accent1" w:themeShade="80"/>
        </w:rPr>
        <w:t>District plans</w:t>
      </w:r>
    </w:p>
    <w:p w14:paraId="2473028F" w14:textId="77777777" w:rsidR="00D7784B" w:rsidRPr="00472578" w:rsidRDefault="00D7784B" w:rsidP="00E92686">
      <w:pPr>
        <w:jc w:val="both"/>
      </w:pPr>
      <w:r w:rsidRPr="00472578">
        <w:rPr>
          <w:i/>
          <w:iCs/>
        </w:rPr>
        <w:t>Territorial authorities</w:t>
      </w:r>
      <w:r w:rsidRPr="00472578">
        <w:t xml:space="preserve"> must </w:t>
      </w:r>
      <w:r w:rsidRPr="00472578">
        <w:rPr>
          <w:rFonts w:ascii="Calibri" w:eastAsia="Calibri" w:hAnsi="Calibri" w:cs="Times New Roman"/>
        </w:rPr>
        <w:t>prepare or amend and maintain</w:t>
      </w:r>
      <w:r w:rsidRPr="00472578">
        <w:t xml:space="preserve"> their </w:t>
      </w:r>
      <w:r w:rsidRPr="00472578">
        <w:rPr>
          <w:i/>
          <w:iCs/>
        </w:rPr>
        <w:t>district plans</w:t>
      </w:r>
      <w:r w:rsidRPr="00472578">
        <w:t xml:space="preserve"> no later than 31 December 2026 to:</w:t>
      </w:r>
    </w:p>
    <w:p w14:paraId="6B35F499" w14:textId="77777777" w:rsidR="00D7784B" w:rsidRPr="00472578" w:rsidRDefault="00D7784B" w:rsidP="00E92686">
      <w:pPr>
        <w:ind w:left="567" w:hanging="567"/>
        <w:jc w:val="both"/>
      </w:pPr>
      <w:r w:rsidRPr="00472578">
        <w:t>(1)</w:t>
      </w:r>
      <w:r w:rsidRPr="00472578">
        <w:tab/>
        <w:t xml:space="preserve">manage </w:t>
      </w:r>
      <w:r w:rsidRPr="00472578">
        <w:rPr>
          <w:i/>
          <w:iCs/>
        </w:rPr>
        <w:t xml:space="preserve">land </w:t>
      </w:r>
      <w:r w:rsidRPr="00472578">
        <w:t xml:space="preserve">use change by: </w:t>
      </w:r>
    </w:p>
    <w:p w14:paraId="0FF58AD2" w14:textId="77777777" w:rsidR="00D7784B" w:rsidRPr="00472578" w:rsidRDefault="00D7784B" w:rsidP="00E92686">
      <w:pPr>
        <w:ind w:left="1134" w:hanging="567"/>
        <w:jc w:val="both"/>
      </w:pPr>
      <w:r w:rsidRPr="00472578">
        <w:t>(a)</w:t>
      </w:r>
      <w:r w:rsidRPr="00472578">
        <w:tab/>
        <w:t xml:space="preserve">controlling the establishment of new or any spatial extension of existing </w:t>
      </w:r>
      <w:r w:rsidRPr="00472578">
        <w:rPr>
          <w:i/>
          <w:iCs/>
        </w:rPr>
        <w:t xml:space="preserve">plantation </w:t>
      </w:r>
      <w:r w:rsidRPr="00472578">
        <w:rPr>
          <w:i/>
        </w:rPr>
        <w:t>forestry activities</w:t>
      </w:r>
      <w:r w:rsidRPr="00472578">
        <w:t xml:space="preserve"> </w:t>
      </w:r>
      <w:r w:rsidRPr="00472578">
        <w:rPr>
          <w:u w:val="single"/>
        </w:rPr>
        <w:t>or permanent forestry activities</w:t>
      </w:r>
      <w:r w:rsidRPr="00472578">
        <w:rPr>
          <w:rStyle w:val="FootnoteReference"/>
        </w:rPr>
        <w:footnoteReference w:id="982"/>
      </w:r>
      <w:r w:rsidRPr="00472578">
        <w:t xml:space="preserve"> where necessary to give effect to an objective developed under the NPSFM, and</w:t>
      </w:r>
    </w:p>
    <w:p w14:paraId="59DB49DE" w14:textId="77777777" w:rsidR="00D7784B" w:rsidRPr="00472578" w:rsidRDefault="00D7784B" w:rsidP="00E92686">
      <w:pPr>
        <w:ind w:left="1134" w:hanging="567"/>
        <w:jc w:val="both"/>
        <w:rPr>
          <w:u w:val="single"/>
        </w:rPr>
      </w:pPr>
      <w:r w:rsidRPr="00472578">
        <w:t>(b)</w:t>
      </w:r>
      <w:r w:rsidRPr="00472578">
        <w:tab/>
      </w:r>
      <w:r w:rsidRPr="00472578">
        <w:rPr>
          <w:strike/>
        </w:rPr>
        <w:t xml:space="preserve">minimising </w:t>
      </w:r>
      <w:r w:rsidRPr="00472578">
        <w:rPr>
          <w:u w:val="single"/>
        </w:rPr>
        <w:t>avoiding</w:t>
      </w:r>
      <w:r w:rsidRPr="00472578">
        <w:rPr>
          <w:vertAlign w:val="superscript"/>
        </w:rPr>
        <w:footnoteReference w:id="983"/>
      </w:r>
      <w:r w:rsidRPr="00472578">
        <w:t xml:space="preserve"> the removal of </w:t>
      </w:r>
      <w:r w:rsidRPr="00472578">
        <w:rPr>
          <w:u w:val="single"/>
        </w:rPr>
        <w:t>montane</w:t>
      </w:r>
      <w:r w:rsidRPr="00472578">
        <w:rPr>
          <w:vertAlign w:val="superscript"/>
        </w:rPr>
        <w:footnoteReference w:id="984"/>
      </w:r>
      <w:r w:rsidRPr="00472578">
        <w:t xml:space="preserve"> tall tussock grasslands, </w:t>
      </w:r>
    </w:p>
    <w:p w14:paraId="4CADB099" w14:textId="77777777" w:rsidR="00D7784B" w:rsidRPr="00472578" w:rsidRDefault="00D7784B" w:rsidP="00E92686">
      <w:pPr>
        <w:ind w:left="567" w:hanging="567"/>
        <w:jc w:val="both"/>
      </w:pPr>
      <w:r w:rsidRPr="00472578">
        <w:t>(2)</w:t>
      </w:r>
      <w:r w:rsidRPr="00472578">
        <w:tab/>
        <w:t xml:space="preserve">provide for and </w:t>
      </w:r>
      <w:r w:rsidRPr="00472578">
        <w:rPr>
          <w:strike/>
        </w:rPr>
        <w:t>encourage</w:t>
      </w:r>
      <w:r w:rsidRPr="00472578">
        <w:t xml:space="preserve"> </w:t>
      </w:r>
      <w:r w:rsidRPr="00472578">
        <w:rPr>
          <w:u w:val="single"/>
        </w:rPr>
        <w:t>promote</w:t>
      </w:r>
      <w:r w:rsidRPr="00472578">
        <w:rPr>
          <w:vertAlign w:val="superscript"/>
        </w:rPr>
        <w:footnoteReference w:id="985"/>
      </w:r>
      <w:r w:rsidRPr="00472578">
        <w:t xml:space="preserve"> the creation and enhancement of vegetated riparian margins and constructed </w:t>
      </w:r>
      <w:r w:rsidRPr="00472578">
        <w:rPr>
          <w:i/>
          <w:iCs/>
        </w:rPr>
        <w:t>wetlands</w:t>
      </w:r>
      <w:r w:rsidRPr="00472578">
        <w:t xml:space="preserve">, and maintain these where they already exist, </w:t>
      </w:r>
      <w:r w:rsidRPr="00DD1BE6">
        <w:rPr>
          <w:strike/>
        </w:rPr>
        <w:t>and</w:t>
      </w:r>
    </w:p>
    <w:p w14:paraId="3E5CCD73" w14:textId="77777777" w:rsidR="00D7784B" w:rsidRPr="00472578" w:rsidRDefault="00D7784B" w:rsidP="00E92686">
      <w:pPr>
        <w:ind w:left="567" w:hanging="567"/>
        <w:jc w:val="both"/>
      </w:pPr>
      <w:r w:rsidRPr="00472578">
        <w:t>(3)</w:t>
      </w:r>
      <w:r w:rsidRPr="00472578">
        <w:tab/>
        <w:t>facilitate public access to</w:t>
      </w:r>
      <w:r w:rsidRPr="00472578">
        <w:rPr>
          <w:u w:val="single"/>
        </w:rPr>
        <w:t xml:space="preserve"> and along</w:t>
      </w:r>
      <w:r w:rsidRPr="00472578">
        <w:rPr>
          <w:vertAlign w:val="superscript"/>
        </w:rPr>
        <w:footnoteReference w:id="986"/>
      </w:r>
      <w:r w:rsidRPr="00472578">
        <w:rPr>
          <w:i/>
          <w:iCs/>
        </w:rPr>
        <w:t xml:space="preserve"> lakes</w:t>
      </w:r>
      <w:r w:rsidRPr="00472578">
        <w:t xml:space="preserve"> and </w:t>
      </w:r>
      <w:r w:rsidRPr="00472578">
        <w:rPr>
          <w:i/>
          <w:iCs/>
        </w:rPr>
        <w:t>rivers</w:t>
      </w:r>
      <w:r w:rsidRPr="00472578">
        <w:t xml:space="preserve"> by:</w:t>
      </w:r>
    </w:p>
    <w:p w14:paraId="094295E3" w14:textId="77777777" w:rsidR="00D7784B" w:rsidRPr="00472578" w:rsidRDefault="00D7784B" w:rsidP="00E92686">
      <w:pPr>
        <w:ind w:left="1134" w:hanging="567"/>
        <w:jc w:val="both"/>
      </w:pPr>
      <w:r w:rsidRPr="00472578">
        <w:t>(a)</w:t>
      </w:r>
      <w:r w:rsidRPr="00472578">
        <w:tab/>
        <w:t xml:space="preserve">requiring the establishment of </w:t>
      </w:r>
      <w:r w:rsidRPr="00472578">
        <w:rPr>
          <w:i/>
          <w:iCs/>
        </w:rPr>
        <w:t>esplanade reserves</w:t>
      </w:r>
      <w:r w:rsidRPr="00472578">
        <w:t xml:space="preserve"> and </w:t>
      </w:r>
      <w:r w:rsidRPr="00472578">
        <w:rPr>
          <w:i/>
          <w:iCs/>
        </w:rPr>
        <w:t>esplanade strips</w:t>
      </w:r>
      <w:r w:rsidRPr="00472578">
        <w:t>, and</w:t>
      </w:r>
    </w:p>
    <w:p w14:paraId="5A7CE886" w14:textId="3A4F23E2" w:rsidR="00D7784B" w:rsidRPr="00472578" w:rsidRDefault="00D7784B" w:rsidP="00E92686">
      <w:pPr>
        <w:ind w:left="1134" w:hanging="567"/>
        <w:jc w:val="both"/>
      </w:pPr>
      <w:r w:rsidRPr="00472578">
        <w:t>(b)</w:t>
      </w:r>
      <w:r w:rsidRPr="00472578">
        <w:tab/>
        <w:t xml:space="preserve">promoting the use of legal </w:t>
      </w:r>
      <w:r w:rsidRPr="00472578">
        <w:rPr>
          <w:i/>
        </w:rPr>
        <w:t>roads</w:t>
      </w:r>
      <w:r w:rsidRPr="00472578">
        <w:t xml:space="preserve">, including paper </w:t>
      </w:r>
      <w:r w:rsidRPr="00472578">
        <w:rPr>
          <w:i/>
        </w:rPr>
        <w:t>roads</w:t>
      </w:r>
      <w:r w:rsidRPr="00472578">
        <w:t xml:space="preserve">, that connect with </w:t>
      </w:r>
      <w:r w:rsidRPr="00472578">
        <w:rPr>
          <w:i/>
          <w:iCs/>
        </w:rPr>
        <w:t>esplanade reserves</w:t>
      </w:r>
      <w:r w:rsidRPr="00472578">
        <w:t xml:space="preserve"> and </w:t>
      </w:r>
      <w:r w:rsidRPr="00472578">
        <w:rPr>
          <w:i/>
          <w:iCs/>
        </w:rPr>
        <w:t>esplanade strips</w:t>
      </w:r>
      <w:r w:rsidRPr="00DD1BE6">
        <w:rPr>
          <w:strike/>
        </w:rPr>
        <w:t>.</w:t>
      </w:r>
      <w:r w:rsidR="00DD1BE6" w:rsidRPr="00DD1BE6">
        <w:rPr>
          <w:u w:val="single"/>
        </w:rPr>
        <w:t xml:space="preserve">, and </w:t>
      </w:r>
    </w:p>
    <w:p w14:paraId="04F14C54" w14:textId="77777777" w:rsidR="00D7784B" w:rsidRPr="00472578" w:rsidRDefault="00D7784B" w:rsidP="00E92686">
      <w:pPr>
        <w:ind w:left="567" w:hanging="567"/>
        <w:jc w:val="both"/>
      </w:pPr>
      <w:r w:rsidRPr="00472578">
        <w:t>(4)</w:t>
      </w:r>
      <w:r w:rsidRPr="00472578">
        <w:tab/>
      </w:r>
      <w:r w:rsidRPr="00472578">
        <w:rPr>
          <w:rFonts w:eastAsia="National-Book" w:cs="Times New Roman"/>
          <w:u w:val="single"/>
        </w:rPr>
        <w:t xml:space="preserve">maintain the availability and productive capacity of </w:t>
      </w:r>
      <w:r w:rsidRPr="00472578">
        <w:rPr>
          <w:rFonts w:eastAsia="National-Book" w:cs="Times New Roman"/>
          <w:i/>
          <w:iCs/>
          <w:u w:val="single"/>
        </w:rPr>
        <w:t>highly productive land</w:t>
      </w:r>
      <w:r w:rsidRPr="00472578">
        <w:rPr>
          <w:rFonts w:eastAsia="National-Book" w:cs="Times New Roman"/>
          <w:u w:val="single"/>
        </w:rPr>
        <w:t xml:space="preserve"> in accordance with LF-LS-P19.</w:t>
      </w:r>
      <w:r w:rsidRPr="00472578">
        <w:rPr>
          <w:rFonts w:eastAsia="National-Book" w:cs="Times New Roman"/>
          <w:vertAlign w:val="superscript"/>
        </w:rPr>
        <w:footnoteReference w:id="987"/>
      </w:r>
    </w:p>
    <w:p w14:paraId="3809D85B"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LF-LS-M13 – Management of </w:t>
      </w:r>
      <w:r w:rsidRPr="00472578">
        <w:rPr>
          <w:rFonts w:ascii="Calibri" w:eastAsia="Calibri" w:hAnsi="Calibri" w:cs="Times New Roman"/>
          <w:b/>
          <w:i/>
          <w:color w:val="1F3864" w:themeColor="accent1" w:themeShade="80"/>
        </w:rPr>
        <w:t>beds</w:t>
      </w:r>
      <w:r w:rsidRPr="00472578">
        <w:rPr>
          <w:rFonts w:ascii="Calibri" w:eastAsia="Calibri" w:hAnsi="Calibri" w:cs="Times New Roman"/>
          <w:b/>
          <w:color w:val="1F3864" w:themeColor="accent1" w:themeShade="80"/>
        </w:rPr>
        <w:t xml:space="preserve"> and riparian margins</w:t>
      </w:r>
    </w:p>
    <w:p w14:paraId="6CBDEA7B" w14:textId="03C18DFD" w:rsidR="00D7784B" w:rsidRPr="00472578" w:rsidRDefault="00D7784B" w:rsidP="00E92686">
      <w:pPr>
        <w:jc w:val="both"/>
        <w:rPr>
          <w:rFonts w:cstheme="minorHAnsi"/>
        </w:rPr>
      </w:pPr>
      <w:r w:rsidRPr="639E38F9">
        <w:rPr>
          <w:i/>
        </w:rPr>
        <w:lastRenderedPageBreak/>
        <w:t>Local authorities</w:t>
      </w:r>
      <w:r w:rsidRPr="639E38F9">
        <w:t xml:space="preserve"> must prepare or amend and maintain their </w:t>
      </w:r>
      <w:r w:rsidRPr="639E38F9">
        <w:rPr>
          <w:i/>
        </w:rPr>
        <w:t>regional</w:t>
      </w:r>
      <w:r w:rsidRPr="639E38F9">
        <w:t xml:space="preserve"> </w:t>
      </w:r>
      <w:r w:rsidR="00256160" w:rsidRPr="639E38F9">
        <w:rPr>
          <w:i/>
          <w:u w:val="single"/>
        </w:rPr>
        <w:t>plans</w:t>
      </w:r>
      <w:r w:rsidR="00256160" w:rsidRPr="639E38F9">
        <w:rPr>
          <w:rStyle w:val="FootnoteReference"/>
        </w:rPr>
        <w:footnoteReference w:id="988"/>
      </w:r>
      <w:r w:rsidR="00CB78D6" w:rsidRPr="639E38F9">
        <w:t xml:space="preserve"> a</w:t>
      </w:r>
      <w:r w:rsidRPr="639E38F9">
        <w:t xml:space="preserve">nd </w:t>
      </w:r>
      <w:r w:rsidRPr="639E38F9">
        <w:rPr>
          <w:i/>
        </w:rPr>
        <w:t>district plans</w:t>
      </w:r>
      <w:r w:rsidRPr="639E38F9">
        <w:t xml:space="preserve"> to manage the condition of the </w:t>
      </w:r>
      <w:r w:rsidRPr="639E38F9">
        <w:rPr>
          <w:i/>
        </w:rPr>
        <w:t>bed</w:t>
      </w:r>
      <w:r w:rsidRPr="639E38F9">
        <w:t xml:space="preserve"> and banks of </w:t>
      </w:r>
      <w:r w:rsidRPr="639E38F9">
        <w:rPr>
          <w:i/>
        </w:rPr>
        <w:t>water bodies</w:t>
      </w:r>
      <w:r w:rsidRPr="639E38F9">
        <w:t xml:space="preserve">, riparian </w:t>
      </w:r>
      <w:proofErr w:type="gramStart"/>
      <w:r w:rsidRPr="639E38F9">
        <w:t>margins</w:t>
      </w:r>
      <w:proofErr w:type="gramEnd"/>
      <w:r w:rsidRPr="639E38F9">
        <w:t xml:space="preserve"> and associated </w:t>
      </w:r>
      <w:r w:rsidRPr="639E38F9">
        <w:rPr>
          <w:i/>
        </w:rPr>
        <w:t>lands</w:t>
      </w:r>
      <w:r w:rsidRPr="639E38F9">
        <w:t>, including vegetative cover, to:</w:t>
      </w:r>
    </w:p>
    <w:p w14:paraId="4CD95F34" w14:textId="77777777" w:rsidR="00D7784B" w:rsidRPr="00472578" w:rsidRDefault="00D7784B" w:rsidP="00E92686">
      <w:pPr>
        <w:spacing w:line="252" w:lineRule="auto"/>
        <w:ind w:left="567" w:hanging="567"/>
        <w:jc w:val="both"/>
        <w:rPr>
          <w:rFonts w:cstheme="minorHAnsi"/>
        </w:rPr>
      </w:pPr>
      <w:r w:rsidRPr="00472578">
        <w:t>(1)</w:t>
      </w:r>
      <w:r w:rsidRPr="00472578">
        <w:rPr>
          <w:rFonts w:cstheme="minorHAnsi"/>
        </w:rPr>
        <w:tab/>
      </w:r>
      <w:r w:rsidRPr="00472578">
        <w:t>maintain</w:t>
      </w:r>
      <w:r w:rsidRPr="00472578">
        <w:rPr>
          <w:u w:val="single"/>
        </w:rPr>
        <w:t xml:space="preserve"> or enhance</w:t>
      </w:r>
      <w:r w:rsidRPr="00472578">
        <w:rPr>
          <w:vertAlign w:val="superscript"/>
        </w:rPr>
        <w:footnoteReference w:id="989"/>
      </w:r>
      <w:r w:rsidRPr="00472578">
        <w:t xml:space="preserve"> existing</w:t>
      </w:r>
      <w:r w:rsidRPr="00472578">
        <w:rPr>
          <w:u w:val="single"/>
        </w:rPr>
        <w:t xml:space="preserve"> indigenous</w:t>
      </w:r>
      <w:r w:rsidRPr="00472578">
        <w:rPr>
          <w:vertAlign w:val="superscript"/>
        </w:rPr>
        <w:footnoteReference w:id="990"/>
      </w:r>
      <w:r w:rsidRPr="00472578">
        <w:t xml:space="preserve"> </w:t>
      </w:r>
      <w:r w:rsidRPr="00472578">
        <w:rPr>
          <w:i/>
        </w:rPr>
        <w:t>biodiversity</w:t>
      </w:r>
      <w:r w:rsidRPr="00472578">
        <w:t xml:space="preserve"> values, </w:t>
      </w:r>
    </w:p>
    <w:p w14:paraId="4A2624BB" w14:textId="624BEE81" w:rsidR="00D7784B" w:rsidRPr="00472578" w:rsidRDefault="00D7784B" w:rsidP="00E92686">
      <w:pPr>
        <w:spacing w:line="252" w:lineRule="auto"/>
        <w:ind w:left="567" w:hanging="567"/>
        <w:jc w:val="both"/>
        <w:rPr>
          <w:rFonts w:cstheme="minorHAnsi"/>
        </w:rPr>
      </w:pPr>
      <w:r w:rsidRPr="00472578">
        <w:t>(2)</w:t>
      </w:r>
      <w:r w:rsidRPr="00472578">
        <w:rPr>
          <w:rFonts w:cstheme="minorHAnsi"/>
        </w:rPr>
        <w:tab/>
      </w:r>
      <w:r w:rsidRPr="00472578">
        <w:t>increase the presence, resilience and abundance of indigenous flora and fauna, particularly taoka species, including by providing for</w:t>
      </w:r>
      <w:r w:rsidRPr="00472578">
        <w:rPr>
          <w:u w:val="single"/>
        </w:rPr>
        <w:t xml:space="preserve"> wetlands</w:t>
      </w:r>
      <w:r w:rsidR="00092058">
        <w:rPr>
          <w:u w:val="single"/>
        </w:rPr>
        <w:t xml:space="preserve"> and</w:t>
      </w:r>
      <w:r w:rsidRPr="00472578">
        <w:rPr>
          <w:vertAlign w:val="superscript"/>
        </w:rPr>
        <w:footnoteReference w:id="991"/>
      </w:r>
      <w:r w:rsidRPr="00472578">
        <w:rPr>
          <w:i/>
        </w:rPr>
        <w:t xml:space="preserve"> biodiversity</w:t>
      </w:r>
      <w:r w:rsidRPr="00472578">
        <w:t xml:space="preserve"> corridors within </w:t>
      </w:r>
      <w:r w:rsidRPr="00472578">
        <w:rPr>
          <w:i/>
        </w:rPr>
        <w:t>river</w:t>
      </w:r>
      <w:r w:rsidRPr="00472578">
        <w:t xml:space="preserve"> systems, and requiring riparian buffers that are sufficient to maintain indigenous </w:t>
      </w:r>
      <w:r w:rsidRPr="00472578">
        <w:rPr>
          <w:i/>
        </w:rPr>
        <w:t>biodiversity</w:t>
      </w:r>
      <w:r w:rsidRPr="00472578">
        <w:t>,</w:t>
      </w:r>
    </w:p>
    <w:p w14:paraId="345C07C8" w14:textId="77777777" w:rsidR="00D7784B" w:rsidRPr="00472578" w:rsidRDefault="00D7784B" w:rsidP="00E92686">
      <w:pPr>
        <w:spacing w:line="252" w:lineRule="auto"/>
        <w:ind w:left="567" w:hanging="567"/>
        <w:jc w:val="both"/>
        <w:rPr>
          <w:rFonts w:cstheme="minorHAnsi"/>
        </w:rPr>
      </w:pPr>
      <w:r w:rsidRPr="00472578">
        <w:rPr>
          <w:rFonts w:cstheme="minorHAnsi"/>
        </w:rPr>
        <w:t>(3)</w:t>
      </w:r>
      <w:r w:rsidRPr="00472578">
        <w:rPr>
          <w:rFonts w:cstheme="minorHAnsi"/>
        </w:rPr>
        <w:tab/>
        <w:t xml:space="preserve">support improvement in the functioning of catchment processes where these have been adversely affected by changes in margins and connected </w:t>
      </w:r>
      <w:r w:rsidRPr="00472578">
        <w:rPr>
          <w:rFonts w:cstheme="minorHAnsi"/>
          <w:i/>
        </w:rPr>
        <w:t>lands</w:t>
      </w:r>
      <w:r w:rsidRPr="00472578">
        <w:rPr>
          <w:rFonts w:cstheme="minorHAnsi"/>
        </w:rPr>
        <w:t xml:space="preserve"> over time, and</w:t>
      </w:r>
    </w:p>
    <w:p w14:paraId="49A34212" w14:textId="77777777" w:rsidR="00D7784B" w:rsidRPr="00472578" w:rsidRDefault="00D7784B" w:rsidP="00E92686">
      <w:pPr>
        <w:spacing w:line="252" w:lineRule="auto"/>
        <w:ind w:left="567" w:hanging="567"/>
        <w:jc w:val="both"/>
        <w:rPr>
          <w:rFonts w:cstheme="minorHAnsi"/>
        </w:rPr>
      </w:pPr>
      <w:r w:rsidRPr="00472578">
        <w:rPr>
          <w:rFonts w:cstheme="minorHAnsi"/>
        </w:rPr>
        <w:t>(4)</w:t>
      </w:r>
      <w:r w:rsidRPr="00472578">
        <w:rPr>
          <w:rFonts w:cstheme="minorHAnsi"/>
        </w:rPr>
        <w:tab/>
        <w:t xml:space="preserve">reduce unnatural sedimentation of </w:t>
      </w:r>
      <w:r w:rsidRPr="00472578">
        <w:rPr>
          <w:rFonts w:cstheme="minorHAnsi"/>
          <w:i/>
          <w:iCs/>
        </w:rPr>
        <w:t>water bodies</w:t>
      </w:r>
      <w:r w:rsidRPr="00472578">
        <w:rPr>
          <w:rFonts w:cstheme="minorHAnsi"/>
        </w:rPr>
        <w:t>.</w:t>
      </w:r>
    </w:p>
    <w:p w14:paraId="172A9225"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LF-LS-M14 – Other methods</w:t>
      </w:r>
    </w:p>
    <w:p w14:paraId="5735549B" w14:textId="77777777" w:rsidR="00D7784B" w:rsidRPr="00472578" w:rsidRDefault="00D7784B" w:rsidP="00E92686">
      <w:pPr>
        <w:jc w:val="both"/>
      </w:pPr>
      <w:r w:rsidRPr="00472578">
        <w:t>In addition to methods LF-LS-M11 to LF-LS-M13, the methods in the LF-WAI, LF-VM and LF-FW sections are also applicable.</w:t>
      </w:r>
    </w:p>
    <w:bookmarkEnd w:id="171"/>
    <w:p w14:paraId="33FB9CDF" w14:textId="77777777" w:rsidR="00D7784B" w:rsidRPr="00472578" w:rsidRDefault="00D7784B" w:rsidP="00E92686">
      <w:pPr>
        <w:keepNext/>
        <w:keepLines/>
        <w:spacing w:before="360" w:line="240" w:lineRule="auto"/>
        <w:jc w:val="both"/>
        <w:outlineLvl w:val="3"/>
        <w:rPr>
          <w:rFonts w:eastAsia="National-Book" w:cstheme="majorBidi"/>
          <w:b/>
          <w:color w:val="1F3864" w:themeColor="accent1" w:themeShade="80"/>
          <w:sz w:val="24"/>
        </w:rPr>
      </w:pPr>
      <w:r w:rsidRPr="00472578">
        <w:rPr>
          <w:rFonts w:eastAsia="National-Book" w:cstheme="majorBidi"/>
          <w:b/>
          <w:color w:val="1F3864" w:themeColor="accent1" w:themeShade="80"/>
          <w:sz w:val="24"/>
        </w:rPr>
        <w:t>Explanation</w:t>
      </w:r>
      <w:bookmarkStart w:id="172" w:name="_Toc49763512"/>
    </w:p>
    <w:p w14:paraId="56BDD354"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 xml:space="preserve">LF-LS-E4 – Explanation </w:t>
      </w:r>
    </w:p>
    <w:p w14:paraId="4B611FD2" w14:textId="77777777" w:rsidR="00D7784B" w:rsidRPr="00472578" w:rsidRDefault="00D7784B" w:rsidP="00E92686">
      <w:pPr>
        <w:spacing w:before="240" w:line="252" w:lineRule="auto"/>
        <w:jc w:val="both"/>
        <w:rPr>
          <w:rFonts w:ascii="Calibri" w:eastAsia="Calibri" w:hAnsi="Calibri" w:cs="Times New Roman"/>
        </w:rPr>
      </w:pPr>
      <w:bookmarkStart w:id="173" w:name="_Hlk72411705"/>
      <w:r w:rsidRPr="00472578">
        <w:rPr>
          <w:rFonts w:ascii="Calibri" w:eastAsia="Calibri" w:hAnsi="Calibri" w:cs="Times New Roman"/>
        </w:rPr>
        <w:t xml:space="preserve">The policies in this section of the LF chapter seek to maintain the health of Otago’s soils and manage </w:t>
      </w:r>
      <w:r w:rsidRPr="00472578">
        <w:rPr>
          <w:rFonts w:ascii="Calibri" w:eastAsia="Calibri" w:hAnsi="Calibri" w:cs="Times New Roman"/>
          <w:i/>
        </w:rPr>
        <w:t>land</w:t>
      </w:r>
      <w:r w:rsidRPr="00472578">
        <w:rPr>
          <w:rFonts w:ascii="Calibri" w:eastAsia="Calibri" w:hAnsi="Calibri" w:cs="Times New Roman"/>
        </w:rPr>
        <w:t xml:space="preserve"> uses as part of an integrated approach to sustaining soil and </w:t>
      </w:r>
      <w:r w:rsidRPr="00472578">
        <w:rPr>
          <w:rFonts w:ascii="Calibri" w:eastAsia="Calibri" w:hAnsi="Calibri" w:cs="Times New Roman"/>
          <w:i/>
        </w:rPr>
        <w:t>water</w:t>
      </w:r>
      <w:r w:rsidRPr="00472578">
        <w:rPr>
          <w:rFonts w:ascii="Calibri" w:eastAsia="Calibri" w:hAnsi="Calibri" w:cs="Times New Roman"/>
        </w:rPr>
        <w:t xml:space="preserve"> health. The connections and interactions between these resources require a holistic approach to management.</w:t>
      </w:r>
    </w:p>
    <w:p w14:paraId="680EA11D" w14:textId="7010C5ED" w:rsidR="00D7784B" w:rsidRPr="00472578" w:rsidRDefault="00D7784B" w:rsidP="00E92686">
      <w:pPr>
        <w:spacing w:before="240" w:line="252" w:lineRule="auto"/>
        <w:jc w:val="both"/>
        <w:rPr>
          <w:rFonts w:ascii="Calibri" w:eastAsia="Calibri" w:hAnsi="Calibri" w:cs="Times New Roman"/>
        </w:rPr>
      </w:pPr>
      <w:r w:rsidRPr="00472578">
        <w:rPr>
          <w:rFonts w:ascii="Calibri" w:eastAsia="Calibri" w:hAnsi="Calibri" w:cs="Times New Roman"/>
        </w:rPr>
        <w:t>Managing soil resources</w:t>
      </w:r>
      <w:proofErr w:type="gramStart"/>
      <w:r w:rsidRPr="00472578">
        <w:rPr>
          <w:rFonts w:ascii="Calibri" w:eastAsia="Calibri" w:hAnsi="Calibri" w:cs="Times New Roman"/>
        </w:rPr>
        <w:t>, in particular, cannot</w:t>
      </w:r>
      <w:proofErr w:type="gramEnd"/>
      <w:r w:rsidRPr="00472578">
        <w:rPr>
          <w:rFonts w:ascii="Calibri" w:eastAsia="Calibri" w:hAnsi="Calibri" w:cs="Times New Roman"/>
        </w:rPr>
        <w:t xml:space="preserve"> be undertaken in isolation. The policies require managing the use and development of </w:t>
      </w:r>
      <w:r w:rsidRPr="00472578">
        <w:rPr>
          <w:rFonts w:ascii="Calibri" w:eastAsia="Calibri" w:hAnsi="Calibri" w:cs="Times New Roman"/>
          <w:i/>
        </w:rPr>
        <w:t>land</w:t>
      </w:r>
      <w:r w:rsidRPr="00472578">
        <w:rPr>
          <w:rFonts w:ascii="Calibri" w:eastAsia="Calibri" w:hAnsi="Calibri" w:cs="Times New Roman"/>
        </w:rPr>
        <w:t xml:space="preserve"> and </w:t>
      </w:r>
      <w:r w:rsidRPr="00472578">
        <w:rPr>
          <w:rFonts w:ascii="Calibri" w:eastAsia="Calibri" w:hAnsi="Calibri" w:cs="Times New Roman"/>
          <w:i/>
        </w:rPr>
        <w:t>fresh water</w:t>
      </w:r>
      <w:r w:rsidRPr="00472578">
        <w:rPr>
          <w:rFonts w:ascii="Calibri" w:eastAsia="Calibri" w:hAnsi="Calibri" w:cs="Times New Roman"/>
        </w:rPr>
        <w:t xml:space="preserve"> to maintain soil values, recognising that soil can be valued for more than its productive use and those values should be maintained. Soil erosion is problematic for both soil and </w:t>
      </w:r>
      <w:r w:rsidRPr="00472578">
        <w:rPr>
          <w:rFonts w:ascii="Calibri" w:eastAsia="Calibri" w:hAnsi="Calibri" w:cs="Times New Roman"/>
          <w:i/>
        </w:rPr>
        <w:t>water</w:t>
      </w:r>
      <w:r w:rsidRPr="00472578">
        <w:rPr>
          <w:rFonts w:ascii="Calibri" w:eastAsia="Calibri" w:hAnsi="Calibri" w:cs="Times New Roman"/>
        </w:rPr>
        <w:t xml:space="preserve"> health. The policies provide direction on managing erosion resulting from </w:t>
      </w:r>
      <w:r w:rsidRPr="00472578">
        <w:rPr>
          <w:rFonts w:ascii="Calibri" w:eastAsia="Calibri" w:hAnsi="Calibri" w:cs="Times New Roman"/>
          <w:i/>
        </w:rPr>
        <w:t>land</w:t>
      </w:r>
      <w:r w:rsidRPr="00472578">
        <w:rPr>
          <w:rFonts w:ascii="Calibri" w:eastAsia="Calibri" w:hAnsi="Calibri" w:cs="Times New Roman"/>
        </w:rPr>
        <w:t xml:space="preserve"> use activities to, primarily, retain soil and prevent its </w:t>
      </w:r>
      <w:r w:rsidRPr="00472578">
        <w:rPr>
          <w:rFonts w:ascii="Calibri" w:eastAsia="Calibri" w:hAnsi="Calibri" w:cs="Times New Roman"/>
          <w:i/>
        </w:rPr>
        <w:t>discharge</w:t>
      </w:r>
      <w:r w:rsidRPr="00472578">
        <w:rPr>
          <w:rFonts w:ascii="Calibri" w:eastAsia="Calibri" w:hAnsi="Calibri" w:cs="Times New Roman"/>
        </w:rPr>
        <w:t xml:space="preserve"> to </w:t>
      </w:r>
      <w:r w:rsidRPr="00472578">
        <w:rPr>
          <w:rFonts w:ascii="Calibri" w:eastAsia="Calibri" w:hAnsi="Calibri" w:cs="Times New Roman"/>
          <w:i/>
        </w:rPr>
        <w:t>water</w:t>
      </w:r>
      <w:r w:rsidRPr="00472578">
        <w:rPr>
          <w:rFonts w:ascii="Calibri" w:eastAsia="Calibri" w:hAnsi="Calibri" w:cs="Times New Roman"/>
        </w:rPr>
        <w:t>.</w:t>
      </w:r>
    </w:p>
    <w:p w14:paraId="1447CFF9" w14:textId="4C871D75" w:rsidR="00D7784B" w:rsidRPr="00472578" w:rsidRDefault="00D7784B" w:rsidP="00E92686">
      <w:pPr>
        <w:jc w:val="both"/>
        <w:rPr>
          <w:rFonts w:ascii="Calibri" w:eastAsia="Calibri" w:hAnsi="Calibri" w:cs="Times New Roman"/>
        </w:rPr>
      </w:pPr>
      <w:r w:rsidRPr="005918EC">
        <w:rPr>
          <w:rFonts w:eastAsia="National-Book" w:cs="Times New Roman"/>
          <w:i/>
          <w:iCs/>
        </w:rPr>
        <w:t>Highly productive land</w:t>
      </w:r>
      <w:r w:rsidRPr="00472578">
        <w:rPr>
          <w:rFonts w:ascii="Calibri" w:eastAsia="Calibri" w:hAnsi="Calibri" w:cs="Times New Roman"/>
        </w:rPr>
        <w:t xml:space="preserve"> is </w:t>
      </w:r>
      <w:r w:rsidRPr="00472578">
        <w:rPr>
          <w:rFonts w:ascii="Calibri" w:eastAsia="Calibri" w:hAnsi="Calibri" w:cs="Times New Roman"/>
          <w:i/>
        </w:rPr>
        <w:t>land</w:t>
      </w:r>
      <w:r w:rsidRPr="00472578">
        <w:rPr>
          <w:rFonts w:ascii="Calibri" w:eastAsia="Calibri" w:hAnsi="Calibri" w:cs="Times New Roman"/>
        </w:rPr>
        <w:t xml:space="preserve"> used for </w:t>
      </w:r>
      <w:r w:rsidRPr="00472578">
        <w:rPr>
          <w:rFonts w:eastAsia="National-Book" w:cs="Times New Roman"/>
          <w:i/>
          <w:iCs/>
          <w:u w:val="single"/>
        </w:rPr>
        <w:t>food and fibre production</w:t>
      </w:r>
      <w:r w:rsidRPr="00472578">
        <w:rPr>
          <w:rFonts w:eastAsia="National-Book" w:cs="Times New Roman"/>
        </w:rPr>
        <w:t xml:space="preserve"> </w:t>
      </w:r>
      <w:r w:rsidRPr="00472578">
        <w:rPr>
          <w:rFonts w:eastAsia="National-Book" w:cs="Times New Roman"/>
          <w:strike/>
        </w:rPr>
        <w:t>primary production</w:t>
      </w:r>
      <w:r w:rsidRPr="00472578">
        <w:rPr>
          <w:rStyle w:val="FootnoteReference"/>
        </w:rPr>
        <w:footnoteReference w:id="992"/>
      </w:r>
      <w:r w:rsidRPr="00472578">
        <w:rPr>
          <w:rFonts w:eastAsia="National-Book" w:cs="Times New Roman"/>
        </w:rPr>
        <w:t xml:space="preserve"> </w:t>
      </w:r>
      <w:r w:rsidRPr="00472578">
        <w:rPr>
          <w:rFonts w:ascii="Calibri" w:eastAsia="Calibri" w:hAnsi="Calibri" w:cs="Times New Roman"/>
        </w:rPr>
        <w:t xml:space="preserve">that provides economic and employment benefits. Providing for and managing such </w:t>
      </w:r>
      <w:r w:rsidRPr="00472578">
        <w:rPr>
          <w:rFonts w:ascii="Calibri" w:eastAsia="Calibri" w:hAnsi="Calibri" w:cs="Times New Roman"/>
          <w:i/>
        </w:rPr>
        <w:t>land</w:t>
      </w:r>
      <w:r w:rsidRPr="00472578">
        <w:rPr>
          <w:rFonts w:ascii="Calibri" w:eastAsia="Calibri" w:hAnsi="Calibri" w:cs="Times New Roman"/>
        </w:rPr>
        <w:t xml:space="preserve"> types is essential to ensure its sustainability. The policies seek to identify and prioritise </w:t>
      </w:r>
      <w:r w:rsidRPr="00472578">
        <w:rPr>
          <w:rFonts w:ascii="Calibri" w:eastAsia="Calibri" w:hAnsi="Calibri" w:cs="Times New Roman"/>
          <w:i/>
        </w:rPr>
        <w:t>land</w:t>
      </w:r>
      <w:r w:rsidRPr="00472578">
        <w:rPr>
          <w:rFonts w:ascii="Calibri" w:eastAsia="Calibri" w:hAnsi="Calibri" w:cs="Times New Roman"/>
        </w:rPr>
        <w:t xml:space="preserve"> used for productive purposes</w:t>
      </w:r>
      <w:r w:rsidRPr="00472578">
        <w:t xml:space="preserve"> </w:t>
      </w:r>
      <w:r w:rsidRPr="00472578">
        <w:rPr>
          <w:rFonts w:ascii="Calibri" w:eastAsia="Calibri" w:hAnsi="Calibri" w:cs="Times New Roman"/>
        </w:rPr>
        <w:t xml:space="preserve">managing urban encroachment into rural environments where appropriate. </w:t>
      </w:r>
    </w:p>
    <w:p w14:paraId="22022F4B" w14:textId="77777777" w:rsidR="00D7784B" w:rsidRPr="00472578" w:rsidRDefault="00D7784B" w:rsidP="00E92686">
      <w:pPr>
        <w:jc w:val="both"/>
        <w:rPr>
          <w:rFonts w:ascii="Calibri" w:eastAsia="Calibri" w:hAnsi="Calibri" w:cs="Times New Roman"/>
        </w:rPr>
      </w:pPr>
      <w:r w:rsidRPr="00472578">
        <w:rPr>
          <w:rFonts w:ascii="Calibri" w:eastAsia="Calibri" w:hAnsi="Calibri" w:cs="Times New Roman"/>
        </w:rPr>
        <w:t xml:space="preserve">Responding to </w:t>
      </w:r>
      <w:r w:rsidRPr="00472578">
        <w:rPr>
          <w:rFonts w:ascii="Calibri" w:eastAsia="Calibri" w:hAnsi="Calibri" w:cs="Times New Roman"/>
          <w:i/>
          <w:iCs/>
        </w:rPr>
        <w:t>climate change</w:t>
      </w:r>
      <w:r w:rsidRPr="00472578">
        <w:rPr>
          <w:rFonts w:ascii="Calibri" w:eastAsia="Calibri" w:hAnsi="Calibri" w:cs="Times New Roman"/>
        </w:rPr>
        <w:t xml:space="preserve"> and achieving </w:t>
      </w:r>
      <w:r w:rsidRPr="00472578">
        <w:rPr>
          <w:rFonts w:ascii="Calibri" w:eastAsia="Calibri" w:hAnsi="Calibri" w:cs="Times New Roman"/>
          <w:i/>
          <w:iCs/>
        </w:rPr>
        <w:t>freshwater</w:t>
      </w:r>
      <w:r w:rsidRPr="00472578">
        <w:rPr>
          <w:rFonts w:ascii="Calibri" w:eastAsia="Calibri" w:hAnsi="Calibri" w:cs="Times New Roman"/>
        </w:rPr>
        <w:t xml:space="preserve"> visions is likely to require changes in </w:t>
      </w:r>
      <w:r w:rsidRPr="00472578">
        <w:rPr>
          <w:rFonts w:ascii="Calibri" w:eastAsia="Calibri" w:hAnsi="Calibri" w:cs="Times New Roman"/>
          <w:i/>
          <w:iCs/>
        </w:rPr>
        <w:t>land</w:t>
      </w:r>
      <w:r w:rsidRPr="00472578">
        <w:rPr>
          <w:rFonts w:ascii="Calibri" w:eastAsia="Calibri" w:hAnsi="Calibri" w:cs="Times New Roman"/>
        </w:rPr>
        <w:t xml:space="preserve"> uses and land management practices in parts of Otago. This is recognised in the policies which seek to promote changes in </w:t>
      </w:r>
      <w:r w:rsidRPr="00472578">
        <w:rPr>
          <w:rFonts w:ascii="Calibri" w:eastAsia="Calibri" w:hAnsi="Calibri" w:cs="Times New Roman"/>
          <w:i/>
          <w:iCs/>
        </w:rPr>
        <w:t>land</w:t>
      </w:r>
      <w:r w:rsidRPr="00472578">
        <w:rPr>
          <w:rFonts w:ascii="Calibri" w:eastAsia="Calibri" w:hAnsi="Calibri" w:cs="Times New Roman"/>
        </w:rPr>
        <w:t xml:space="preserve"> use or management that improve efficient use of </w:t>
      </w:r>
      <w:r w:rsidRPr="00472578">
        <w:rPr>
          <w:rFonts w:ascii="Calibri" w:eastAsia="Calibri" w:hAnsi="Calibri" w:cs="Times New Roman"/>
          <w:i/>
          <w:iCs/>
        </w:rPr>
        <w:t>water</w:t>
      </w:r>
      <w:r w:rsidRPr="00472578">
        <w:rPr>
          <w:rFonts w:ascii="Calibri" w:eastAsia="Calibri" w:hAnsi="Calibri" w:cs="Times New Roman"/>
        </w:rPr>
        <w:t xml:space="preserve">, </w:t>
      </w:r>
      <w:r w:rsidRPr="00472578">
        <w:rPr>
          <w:rFonts w:ascii="Calibri" w:eastAsia="Calibri" w:hAnsi="Calibri" w:cs="Times New Roman"/>
          <w:i/>
          <w:iCs/>
        </w:rPr>
        <w:t>resilience</w:t>
      </w:r>
      <w:r w:rsidRPr="00472578">
        <w:rPr>
          <w:rFonts w:ascii="Calibri" w:eastAsia="Calibri" w:hAnsi="Calibri" w:cs="Times New Roman"/>
        </w:rPr>
        <w:t xml:space="preserve"> to </w:t>
      </w:r>
      <w:r w:rsidRPr="00472578">
        <w:rPr>
          <w:rFonts w:ascii="Calibri" w:eastAsia="Calibri" w:hAnsi="Calibri" w:cs="Times New Roman"/>
          <w:i/>
          <w:iCs/>
        </w:rPr>
        <w:t>climate change</w:t>
      </w:r>
      <w:r w:rsidRPr="00472578">
        <w:rPr>
          <w:rFonts w:ascii="Calibri" w:eastAsia="Calibri" w:hAnsi="Calibri" w:cs="Times New Roman"/>
          <w:strike/>
        </w:rPr>
        <w:t xml:space="preserve"> and</w:t>
      </w:r>
      <w:r w:rsidRPr="00CA18C5">
        <w:rPr>
          <w:rFonts w:ascii="Calibri" w:eastAsia="Calibri" w:hAnsi="Calibri" w:cs="Times New Roman"/>
          <w:u w:val="single"/>
        </w:rPr>
        <w:t>,</w:t>
      </w:r>
      <w:r w:rsidRPr="00472578">
        <w:rPr>
          <w:rFonts w:ascii="Calibri" w:eastAsia="Calibri" w:hAnsi="Calibri" w:cs="Times New Roman"/>
        </w:rPr>
        <w:t xml:space="preserve"> the health and quality of soil</w:t>
      </w:r>
      <w:r w:rsidRPr="00472578">
        <w:rPr>
          <w:rFonts w:ascii="Calibri" w:eastAsia="Calibri" w:hAnsi="Calibri" w:cs="Times New Roman"/>
          <w:u w:val="single"/>
        </w:rPr>
        <w:t>, and water quality</w:t>
      </w:r>
      <w:r w:rsidRPr="00CA18C5">
        <w:rPr>
          <w:rFonts w:ascii="Calibri" w:eastAsia="Calibri" w:hAnsi="Calibri" w:cs="Times New Roman"/>
        </w:rPr>
        <w:t>.</w:t>
      </w:r>
      <w:r w:rsidRPr="00472578">
        <w:rPr>
          <w:rFonts w:eastAsia="Calibri" w:cs="Times New Roman"/>
          <w:vertAlign w:val="superscript"/>
        </w:rPr>
        <w:footnoteReference w:id="993"/>
      </w:r>
      <w:r w:rsidRPr="00472578">
        <w:rPr>
          <w:rFonts w:ascii="Calibri" w:eastAsia="Calibri" w:hAnsi="Calibri" w:cs="Times New Roman"/>
        </w:rPr>
        <w:t xml:space="preserve"> The policies also require reducing </w:t>
      </w:r>
      <w:r w:rsidRPr="00472578">
        <w:rPr>
          <w:rFonts w:ascii="Calibri" w:eastAsia="Calibri" w:hAnsi="Calibri" w:cs="Times New Roman"/>
          <w:i/>
          <w:iCs/>
        </w:rPr>
        <w:t>discharges</w:t>
      </w:r>
      <w:r w:rsidRPr="00472578">
        <w:rPr>
          <w:rFonts w:ascii="Calibri" w:eastAsia="Calibri" w:hAnsi="Calibri" w:cs="Times New Roman"/>
        </w:rPr>
        <w:t xml:space="preserve"> to </w:t>
      </w:r>
      <w:r w:rsidRPr="00472578">
        <w:rPr>
          <w:rFonts w:ascii="Calibri" w:eastAsia="Calibri" w:hAnsi="Calibri" w:cs="Times New Roman"/>
          <w:i/>
          <w:iCs/>
        </w:rPr>
        <w:t>water</w:t>
      </w:r>
      <w:r w:rsidRPr="00472578">
        <w:rPr>
          <w:rFonts w:ascii="Calibri" w:eastAsia="Calibri" w:hAnsi="Calibri" w:cs="Times New Roman"/>
        </w:rPr>
        <w:t xml:space="preserve"> from the use and development of </w:t>
      </w:r>
      <w:r w:rsidRPr="00472578">
        <w:rPr>
          <w:rFonts w:ascii="Calibri" w:eastAsia="Calibri" w:hAnsi="Calibri" w:cs="Times New Roman"/>
          <w:i/>
          <w:iCs/>
        </w:rPr>
        <w:t>land</w:t>
      </w:r>
      <w:r w:rsidRPr="00472578">
        <w:rPr>
          <w:rFonts w:ascii="Calibri" w:eastAsia="Calibri" w:hAnsi="Calibri" w:cs="Times New Roman"/>
        </w:rPr>
        <w:t xml:space="preserve"> and managing </w:t>
      </w:r>
      <w:r w:rsidRPr="00472578">
        <w:rPr>
          <w:rFonts w:ascii="Calibri" w:eastAsia="Calibri" w:hAnsi="Calibri" w:cs="Times New Roman"/>
          <w:i/>
          <w:iCs/>
        </w:rPr>
        <w:t>land</w:t>
      </w:r>
      <w:r w:rsidRPr="00472578">
        <w:rPr>
          <w:rFonts w:ascii="Calibri" w:eastAsia="Calibri" w:hAnsi="Calibri" w:cs="Times New Roman"/>
        </w:rPr>
        <w:t xml:space="preserve"> uses that are unsupportive of </w:t>
      </w:r>
      <w:r w:rsidRPr="00472578">
        <w:rPr>
          <w:rFonts w:ascii="Calibri" w:eastAsia="Calibri" w:hAnsi="Calibri" w:cs="Times New Roman"/>
          <w:i/>
          <w:iCs/>
        </w:rPr>
        <w:t>environmental outcomes</w:t>
      </w:r>
      <w:r w:rsidRPr="00472578">
        <w:rPr>
          <w:rFonts w:ascii="Calibri" w:eastAsia="Calibri" w:hAnsi="Calibri" w:cs="Times New Roman"/>
        </w:rPr>
        <w:t xml:space="preserve"> for </w:t>
      </w:r>
      <w:r w:rsidRPr="00472578">
        <w:rPr>
          <w:rFonts w:ascii="Calibri" w:eastAsia="Calibri" w:hAnsi="Calibri" w:cs="Times New Roman"/>
          <w:i/>
          <w:iCs/>
        </w:rPr>
        <w:t>fresh water</w:t>
      </w:r>
      <w:r w:rsidRPr="00472578">
        <w:rPr>
          <w:rFonts w:ascii="Calibri" w:eastAsia="Calibri" w:hAnsi="Calibri" w:cs="Times New Roman"/>
        </w:rPr>
        <w:t xml:space="preserve"> as identified by each </w:t>
      </w:r>
      <w:r w:rsidRPr="00472578">
        <w:rPr>
          <w:rFonts w:ascii="Calibri" w:eastAsia="Calibri" w:hAnsi="Calibri" w:cs="Times New Roman"/>
          <w:i/>
          <w:iCs/>
        </w:rPr>
        <w:t>FMU</w:t>
      </w:r>
      <w:r w:rsidRPr="00472578">
        <w:rPr>
          <w:rFonts w:ascii="Calibri" w:eastAsia="Calibri" w:hAnsi="Calibri" w:cs="Times New Roman"/>
        </w:rPr>
        <w:t>.</w:t>
      </w:r>
    </w:p>
    <w:p w14:paraId="48DD0DB0" w14:textId="43B8AD08" w:rsidR="00D7784B" w:rsidRPr="00472578" w:rsidRDefault="00D7784B" w:rsidP="00E92686">
      <w:pPr>
        <w:jc w:val="both"/>
        <w:rPr>
          <w:rFonts w:ascii="Calibri" w:eastAsia="Calibri" w:hAnsi="Calibri" w:cs="Times New Roman"/>
        </w:rPr>
      </w:pPr>
      <w:r w:rsidRPr="00472578">
        <w:rPr>
          <w:rFonts w:ascii="Calibri" w:eastAsia="Calibri" w:hAnsi="Calibri" w:cs="Times New Roman"/>
        </w:rPr>
        <w:lastRenderedPageBreak/>
        <w:t xml:space="preserve">Maintaining public access to and along </w:t>
      </w:r>
      <w:r w:rsidRPr="00472578">
        <w:rPr>
          <w:rFonts w:ascii="Calibri" w:eastAsia="Calibri" w:hAnsi="Calibri" w:cs="Times New Roman"/>
          <w:i/>
        </w:rPr>
        <w:t>lakes</w:t>
      </w:r>
      <w:r w:rsidRPr="00472578">
        <w:rPr>
          <w:rFonts w:ascii="Calibri" w:eastAsia="Calibri" w:hAnsi="Calibri" w:cs="Times New Roman"/>
        </w:rPr>
        <w:t xml:space="preserve"> and </w:t>
      </w:r>
      <w:r w:rsidRPr="00472578">
        <w:rPr>
          <w:rFonts w:ascii="Calibri" w:eastAsia="Calibri" w:hAnsi="Calibri" w:cs="Times New Roman"/>
          <w:i/>
        </w:rPr>
        <w:t>rivers</w:t>
      </w:r>
      <w:r w:rsidRPr="00472578">
        <w:rPr>
          <w:rFonts w:ascii="Calibri" w:eastAsia="Calibri" w:hAnsi="Calibri" w:cs="Times New Roman"/>
        </w:rPr>
        <w:t xml:space="preserve"> is a matter of national importance under section 6 of the RMA</w:t>
      </w:r>
      <w:r w:rsidRPr="00B861AA">
        <w:rPr>
          <w:rFonts w:ascii="Calibri" w:eastAsia="Calibri" w:hAnsi="Calibri" w:cs="Times New Roman"/>
          <w:strike/>
        </w:rPr>
        <w:t xml:space="preserve"> 1991</w:t>
      </w:r>
      <w:r w:rsidRPr="00472578">
        <w:rPr>
          <w:rFonts w:ascii="Calibri" w:eastAsia="Calibri" w:hAnsi="Calibri" w:cs="Times New Roman"/>
        </w:rPr>
        <w:t>.</w:t>
      </w:r>
      <w:r w:rsidR="00512E24">
        <w:rPr>
          <w:rStyle w:val="FootnoteReference"/>
          <w:rFonts w:ascii="Calibri" w:eastAsia="Calibri" w:hAnsi="Calibri" w:cs="Times New Roman"/>
        </w:rPr>
        <w:footnoteReference w:id="994"/>
      </w:r>
      <w:r w:rsidRPr="00472578">
        <w:rPr>
          <w:rFonts w:ascii="Calibri" w:eastAsia="Calibri" w:hAnsi="Calibri" w:cs="Times New Roman"/>
        </w:rPr>
        <w:t xml:space="preserve"> The policies in this section seek to maintain existing </w:t>
      </w:r>
      <w:r w:rsidRPr="00472578">
        <w:rPr>
          <w:rFonts w:ascii="Calibri" w:eastAsia="Calibri" w:hAnsi="Calibri" w:cs="Times New Roman"/>
          <w:u w:val="single"/>
        </w:rPr>
        <w:t>public access opportunities</w:t>
      </w:r>
      <w:r w:rsidRPr="00472578">
        <w:rPr>
          <w:rFonts w:eastAsia="Calibri" w:cs="Times New Roman"/>
          <w:vertAlign w:val="superscript"/>
        </w:rPr>
        <w:footnoteReference w:id="995"/>
      </w:r>
      <w:r w:rsidRPr="00472578">
        <w:rPr>
          <w:rFonts w:ascii="Calibri" w:eastAsia="Calibri" w:hAnsi="Calibri" w:cs="Times New Roman"/>
        </w:rPr>
        <w:t xml:space="preserve"> and where appropriate promote</w:t>
      </w:r>
      <w:r w:rsidRPr="00472578">
        <w:rPr>
          <w:rFonts w:ascii="Calibri" w:eastAsia="Calibri" w:hAnsi="Calibri" w:cs="Times New Roman"/>
          <w:u w:val="single"/>
        </w:rPr>
        <w:t xml:space="preserve"> enhanced</w:t>
      </w:r>
      <w:r w:rsidRPr="00472578">
        <w:rPr>
          <w:rFonts w:eastAsia="Calibri" w:cs="Times New Roman"/>
          <w:vertAlign w:val="superscript"/>
        </w:rPr>
        <w:footnoteReference w:id="996"/>
      </w:r>
      <w:r w:rsidRPr="00472578">
        <w:rPr>
          <w:rFonts w:ascii="Calibri" w:eastAsia="Calibri" w:hAnsi="Calibri" w:cs="Times New Roman"/>
        </w:rPr>
        <w:t xml:space="preserve"> public access to and along </w:t>
      </w:r>
      <w:r w:rsidRPr="00472578">
        <w:rPr>
          <w:rFonts w:ascii="Calibri" w:eastAsia="Calibri" w:hAnsi="Calibri" w:cs="Times New Roman"/>
          <w:i/>
        </w:rPr>
        <w:t>lakes</w:t>
      </w:r>
      <w:r w:rsidRPr="00472578">
        <w:rPr>
          <w:rFonts w:ascii="Calibri" w:eastAsia="Calibri" w:hAnsi="Calibri" w:cs="Times New Roman"/>
        </w:rPr>
        <w:t xml:space="preserve"> and </w:t>
      </w:r>
      <w:r w:rsidRPr="00472578">
        <w:rPr>
          <w:rFonts w:ascii="Calibri" w:eastAsia="Calibri" w:hAnsi="Calibri" w:cs="Times New Roman"/>
          <w:i/>
        </w:rPr>
        <w:t>rivers</w:t>
      </w:r>
      <w:r w:rsidRPr="00472578">
        <w:rPr>
          <w:rFonts w:ascii="Calibri" w:eastAsia="Calibri" w:hAnsi="Calibri" w:cs="Times New Roman"/>
        </w:rPr>
        <w:t xml:space="preserve">. Circumstances which restrict public access are set out where, for example, </w:t>
      </w:r>
      <w:r w:rsidRPr="00472578">
        <w:rPr>
          <w:rFonts w:ascii="Calibri" w:eastAsia="Calibri" w:hAnsi="Calibri" w:cs="Times New Roman"/>
          <w:strike/>
        </w:rPr>
        <w:t xml:space="preserve">public </w:t>
      </w:r>
      <w:r w:rsidRPr="00472578">
        <w:rPr>
          <w:rFonts w:eastAsia="Calibri" w:cs="Times New Roman"/>
          <w:vertAlign w:val="superscript"/>
        </w:rPr>
        <w:footnoteReference w:id="997"/>
      </w:r>
      <w:r w:rsidRPr="00472578">
        <w:rPr>
          <w:rFonts w:ascii="Calibri" w:eastAsia="Calibri" w:hAnsi="Calibri" w:cs="Times New Roman"/>
        </w:rPr>
        <w:t xml:space="preserve">health and safety is at </w:t>
      </w:r>
      <w:r w:rsidRPr="00472578">
        <w:rPr>
          <w:rFonts w:ascii="Calibri" w:eastAsia="Calibri" w:hAnsi="Calibri" w:cs="Times New Roman"/>
          <w:i/>
        </w:rPr>
        <w:t>risk</w:t>
      </w:r>
      <w:r w:rsidRPr="00472578">
        <w:rPr>
          <w:rFonts w:ascii="Calibri" w:eastAsia="Calibri" w:hAnsi="Calibri" w:cs="Times New Roman"/>
        </w:rPr>
        <w:t xml:space="preserve"> or valued parts of the </w:t>
      </w:r>
      <w:r w:rsidRPr="00472578">
        <w:rPr>
          <w:rFonts w:ascii="Calibri" w:eastAsia="Calibri" w:hAnsi="Calibri" w:cs="Times New Roman"/>
          <w:i/>
        </w:rPr>
        <w:t>environment</w:t>
      </w:r>
      <w:r w:rsidRPr="00472578">
        <w:rPr>
          <w:rFonts w:ascii="Calibri" w:eastAsia="Calibri" w:hAnsi="Calibri" w:cs="Times New Roman"/>
        </w:rPr>
        <w:t xml:space="preserve"> may be compromised. </w:t>
      </w:r>
    </w:p>
    <w:bookmarkEnd w:id="173"/>
    <w:p w14:paraId="6362F0AD" w14:textId="77777777" w:rsidR="00D7784B" w:rsidRPr="00472578" w:rsidRDefault="00D7784B" w:rsidP="00E92686">
      <w:pPr>
        <w:keepNext/>
        <w:keepLines/>
        <w:spacing w:before="360" w:line="240" w:lineRule="auto"/>
        <w:jc w:val="both"/>
        <w:outlineLvl w:val="3"/>
        <w:rPr>
          <w:rFonts w:ascii="Calibri" w:eastAsia="Calibri" w:hAnsi="Calibri" w:cs="Times New Roman"/>
          <w:b/>
          <w:color w:val="1F3864" w:themeColor="accent1" w:themeShade="80"/>
          <w:sz w:val="24"/>
          <w:szCs w:val="24"/>
        </w:rPr>
      </w:pPr>
      <w:r w:rsidRPr="00472578">
        <w:rPr>
          <w:rFonts w:eastAsiaTheme="majorEastAsia" w:cstheme="majorBidi"/>
          <w:b/>
          <w:iCs/>
          <w:color w:val="1F3864" w:themeColor="accent1" w:themeShade="80"/>
          <w:sz w:val="24"/>
        </w:rPr>
        <w:t>Principal reasons</w:t>
      </w:r>
      <w:bookmarkEnd w:id="172"/>
    </w:p>
    <w:p w14:paraId="65B81195" w14:textId="77777777" w:rsidR="00D7784B" w:rsidRPr="00472578" w:rsidRDefault="00D7784B" w:rsidP="00E92686">
      <w:pPr>
        <w:autoSpaceDE w:val="0"/>
        <w:autoSpaceDN w:val="0"/>
        <w:adjustRightInd w:val="0"/>
        <w:spacing w:before="240" w:line="256" w:lineRule="auto"/>
        <w:jc w:val="both"/>
        <w:outlineLvl w:val="4"/>
        <w:rPr>
          <w:rFonts w:ascii="Calibri" w:eastAsia="Calibri" w:hAnsi="Calibri" w:cs="Times New Roman"/>
          <w:b/>
          <w:color w:val="1F3864" w:themeColor="accent1" w:themeShade="80"/>
        </w:rPr>
      </w:pPr>
      <w:r w:rsidRPr="00472578">
        <w:rPr>
          <w:rFonts w:ascii="Calibri" w:eastAsia="Calibri" w:hAnsi="Calibri" w:cs="Times New Roman"/>
          <w:b/>
          <w:color w:val="1F3864" w:themeColor="accent1" w:themeShade="80"/>
        </w:rPr>
        <w:t>LF-LS-PR4 – Principal reasons</w:t>
      </w:r>
    </w:p>
    <w:p w14:paraId="6187812E" w14:textId="2C23CE7C" w:rsidR="00D7784B" w:rsidRPr="00472578" w:rsidRDefault="00D7784B" w:rsidP="00E92686">
      <w:pPr>
        <w:spacing w:before="240" w:line="252" w:lineRule="auto"/>
        <w:jc w:val="both"/>
        <w:rPr>
          <w:rFonts w:ascii="Calibri" w:eastAsia="Calibri" w:hAnsi="Calibri" w:cs="Times New Roman"/>
        </w:rPr>
      </w:pPr>
      <w:r w:rsidRPr="00472578">
        <w:rPr>
          <w:rFonts w:ascii="Calibri" w:eastAsia="Calibri" w:hAnsi="Calibri" w:cs="Times New Roman"/>
        </w:rPr>
        <w:t xml:space="preserve">Population growth and </w:t>
      </w:r>
      <w:r w:rsidRPr="00472578">
        <w:rPr>
          <w:rFonts w:ascii="Calibri" w:eastAsia="Calibri" w:hAnsi="Calibri" w:cs="Times New Roman"/>
          <w:i/>
        </w:rPr>
        <w:t>land</w:t>
      </w:r>
      <w:r w:rsidRPr="00472578">
        <w:rPr>
          <w:rFonts w:ascii="Calibri" w:eastAsia="Calibri" w:hAnsi="Calibri" w:cs="Times New Roman"/>
        </w:rPr>
        <w:t xml:space="preserve"> use intensification in urban and rural environments has increased demand for </w:t>
      </w:r>
      <w:r w:rsidRPr="00472578">
        <w:rPr>
          <w:rFonts w:ascii="Calibri" w:eastAsia="Calibri" w:hAnsi="Calibri" w:cs="Times New Roman"/>
          <w:i/>
        </w:rPr>
        <w:t>land</w:t>
      </w:r>
      <w:r w:rsidRPr="00472578">
        <w:rPr>
          <w:rFonts w:ascii="Calibri" w:eastAsia="Calibri" w:hAnsi="Calibri" w:cs="Times New Roman"/>
        </w:rPr>
        <w:t xml:space="preserve"> and soil resources. It has also impacted on the quality of our </w:t>
      </w:r>
      <w:r w:rsidRPr="00472578">
        <w:rPr>
          <w:rFonts w:ascii="Calibri" w:eastAsia="Calibri" w:hAnsi="Calibri" w:cs="Times New Roman"/>
          <w:i/>
        </w:rPr>
        <w:t>water</w:t>
      </w:r>
      <w:r w:rsidRPr="00472578">
        <w:rPr>
          <w:rFonts w:ascii="Calibri" w:eastAsia="Calibri" w:hAnsi="Calibri" w:cs="Times New Roman"/>
        </w:rPr>
        <w:t xml:space="preserve">, increasing contamination such as by nutrients and sediment and harming ecosystems. In Otago, historical and contemporary </w:t>
      </w:r>
      <w:r w:rsidRPr="00472578">
        <w:rPr>
          <w:rFonts w:ascii="Calibri" w:eastAsia="Calibri" w:hAnsi="Calibri" w:cs="Times New Roman"/>
          <w:i/>
        </w:rPr>
        <w:t>land</w:t>
      </w:r>
      <w:r w:rsidRPr="00472578">
        <w:rPr>
          <w:rFonts w:ascii="Calibri" w:eastAsia="Calibri" w:hAnsi="Calibri" w:cs="Times New Roman"/>
        </w:rPr>
        <w:t xml:space="preserve"> uses have </w:t>
      </w:r>
      <w:r w:rsidRPr="00472578">
        <w:rPr>
          <w:rFonts w:ascii="Calibri" w:eastAsia="Calibri" w:hAnsi="Calibri" w:cs="Times New Roman"/>
          <w:i/>
        </w:rPr>
        <w:t>degraded</w:t>
      </w:r>
      <w:r w:rsidRPr="00472578">
        <w:rPr>
          <w:rFonts w:ascii="Calibri" w:eastAsia="Calibri" w:hAnsi="Calibri" w:cs="Times New Roman"/>
        </w:rPr>
        <w:t xml:space="preserve"> some </w:t>
      </w:r>
      <w:r w:rsidRPr="00472578">
        <w:rPr>
          <w:rFonts w:ascii="Calibri" w:eastAsia="Calibri" w:hAnsi="Calibri" w:cs="Times New Roman"/>
          <w:i/>
        </w:rPr>
        <w:t>water bodies</w:t>
      </w:r>
      <w:r w:rsidRPr="00472578">
        <w:rPr>
          <w:rFonts w:ascii="Calibri" w:eastAsia="Calibri" w:hAnsi="Calibri" w:cs="Times New Roman"/>
        </w:rPr>
        <w:t xml:space="preserve">, both in terms of their quantity and quality, leading to adverse effects on the mauri of </w:t>
      </w:r>
      <w:r w:rsidRPr="00472578">
        <w:rPr>
          <w:i/>
        </w:rPr>
        <w:t>water</w:t>
      </w:r>
      <w:r w:rsidRPr="00472578">
        <w:rPr>
          <w:rFonts w:ascii="Calibri" w:eastAsia="Calibri" w:hAnsi="Calibri" w:cs="Times New Roman"/>
        </w:rPr>
        <w:t xml:space="preserve"> and the diversity and abundance of </w:t>
      </w:r>
      <w:r w:rsidRPr="009C237D">
        <w:rPr>
          <w:strike/>
        </w:rPr>
        <w:t>mahika kai</w:t>
      </w:r>
      <w:r w:rsidRPr="00472578">
        <w:t xml:space="preserve"> </w:t>
      </w:r>
      <w:r w:rsidR="00A00191" w:rsidRPr="00645B28">
        <w:rPr>
          <w:i/>
          <w:iCs/>
          <w:u w:val="single"/>
        </w:rPr>
        <w:t>mahika kai</w:t>
      </w:r>
      <w:r w:rsidR="00A00191">
        <w:rPr>
          <w:rStyle w:val="FootnoteReference"/>
        </w:rPr>
        <w:footnoteReference w:id="998"/>
      </w:r>
      <w:r w:rsidR="00A00191" w:rsidRPr="00472578">
        <w:rPr>
          <w:iCs/>
        </w:rPr>
        <w:t xml:space="preserve"> </w:t>
      </w:r>
      <w:r w:rsidRPr="00472578">
        <w:rPr>
          <w:rFonts w:ascii="Calibri" w:eastAsia="Calibri" w:hAnsi="Calibri" w:cs="Times New Roman"/>
        </w:rPr>
        <w:t>resources.</w:t>
      </w:r>
    </w:p>
    <w:p w14:paraId="2673ABD0" w14:textId="77777777" w:rsidR="00D7784B" w:rsidRPr="00472578" w:rsidRDefault="00D7784B" w:rsidP="00E92686">
      <w:pPr>
        <w:spacing w:before="240" w:line="252" w:lineRule="auto"/>
        <w:jc w:val="both"/>
        <w:rPr>
          <w:rFonts w:ascii="Calibri" w:eastAsia="Calibri" w:hAnsi="Calibri" w:cs="Times New Roman"/>
        </w:rPr>
      </w:pPr>
      <w:r w:rsidRPr="00472578">
        <w:rPr>
          <w:rFonts w:ascii="Calibri" w:eastAsia="Calibri" w:hAnsi="Calibri" w:cs="Times New Roman"/>
        </w:rPr>
        <w:t xml:space="preserve">Soil health is vital to wider ecological health, human health, and economic </w:t>
      </w:r>
      <w:r w:rsidRPr="00472578">
        <w:rPr>
          <w:rFonts w:ascii="Calibri" w:eastAsia="Calibri" w:hAnsi="Calibri" w:cs="Times New Roman"/>
          <w:i/>
        </w:rPr>
        <w:t>resilience</w:t>
      </w:r>
      <w:r w:rsidRPr="00472578">
        <w:rPr>
          <w:rFonts w:ascii="Calibri" w:eastAsia="Calibri" w:hAnsi="Calibri" w:cs="Times New Roman"/>
        </w:rPr>
        <w:t xml:space="preserve">. Otago has a rich and long history of varied forms of </w:t>
      </w:r>
      <w:r w:rsidRPr="00472578">
        <w:rPr>
          <w:rFonts w:eastAsia="National-Book" w:cs="Times New Roman"/>
          <w:i/>
          <w:iCs/>
          <w:u w:val="single"/>
        </w:rPr>
        <w:t>food and fibre production</w:t>
      </w:r>
      <w:r w:rsidRPr="00472578">
        <w:rPr>
          <w:rFonts w:eastAsia="National-Book" w:cs="Times New Roman"/>
        </w:rPr>
        <w:t xml:space="preserve"> </w:t>
      </w:r>
      <w:r w:rsidRPr="00472578">
        <w:rPr>
          <w:rFonts w:eastAsia="National-Book" w:cs="Times New Roman"/>
          <w:strike/>
        </w:rPr>
        <w:t>primary production</w:t>
      </w:r>
      <w:r w:rsidRPr="00472578">
        <w:rPr>
          <w:rStyle w:val="FootnoteReference"/>
        </w:rPr>
        <w:footnoteReference w:id="999"/>
      </w:r>
      <w:r w:rsidRPr="00472578">
        <w:rPr>
          <w:rFonts w:eastAsia="National-Book" w:cs="Times New Roman"/>
        </w:rPr>
        <w:t xml:space="preserve"> </w:t>
      </w:r>
      <w:r w:rsidRPr="00472578">
        <w:rPr>
          <w:rFonts w:ascii="Calibri" w:eastAsia="Calibri" w:hAnsi="Calibri" w:cs="Times New Roman"/>
        </w:rPr>
        <w:t xml:space="preserve">on a wide range of soil types and in variable climatic conditions. Otago’s highest quality soils (in terms of suitability for </w:t>
      </w:r>
      <w:r w:rsidRPr="00472578">
        <w:rPr>
          <w:rFonts w:eastAsia="National-Book" w:cs="Times New Roman"/>
          <w:i/>
          <w:iCs/>
          <w:u w:val="single"/>
        </w:rPr>
        <w:t>food and fibre production</w:t>
      </w:r>
      <w:r w:rsidRPr="00472578">
        <w:rPr>
          <w:rFonts w:eastAsia="National-Book" w:cs="Times New Roman"/>
        </w:rPr>
        <w:t xml:space="preserve"> </w:t>
      </w:r>
      <w:r w:rsidRPr="00472578">
        <w:rPr>
          <w:rFonts w:eastAsia="National-Book" w:cs="Times New Roman"/>
          <w:strike/>
        </w:rPr>
        <w:t>primary production</w:t>
      </w:r>
      <w:r w:rsidRPr="00472578">
        <w:rPr>
          <w:rStyle w:val="FootnoteReference"/>
        </w:rPr>
        <w:footnoteReference w:id="1000"/>
      </w:r>
      <w:r w:rsidRPr="00472578">
        <w:rPr>
          <w:rFonts w:ascii="Calibri" w:eastAsia="Calibri" w:hAnsi="Calibri" w:cs="Times New Roman"/>
        </w:rPr>
        <w:t xml:space="preserve">) are mainly on the Taieri Plain, North Otago downlands, South Otago lowlands, parts of Central Otago and the Strath Taieri, and along some </w:t>
      </w:r>
      <w:r w:rsidRPr="00472578">
        <w:rPr>
          <w:rFonts w:ascii="Calibri" w:eastAsia="Calibri" w:hAnsi="Calibri" w:cs="Times New Roman"/>
          <w:i/>
        </w:rPr>
        <w:t>river</w:t>
      </w:r>
      <w:r w:rsidRPr="00472578">
        <w:rPr>
          <w:rFonts w:ascii="Calibri" w:eastAsia="Calibri" w:hAnsi="Calibri" w:cs="Times New Roman"/>
        </w:rPr>
        <w:t xml:space="preserve"> margins. Their extent is limited and use of these soils can be constrained by external factors such as economics, erosion, natural and human induced hazards, animal, and plant pests. </w:t>
      </w:r>
    </w:p>
    <w:p w14:paraId="3E9305D5" w14:textId="77777777" w:rsidR="00D7784B" w:rsidRPr="00472578" w:rsidRDefault="00D7784B" w:rsidP="00E92686">
      <w:pPr>
        <w:jc w:val="both"/>
      </w:pPr>
      <w:r w:rsidRPr="00472578">
        <w:rPr>
          <w:rFonts w:ascii="Calibri" w:eastAsia="Calibri" w:hAnsi="Calibri" w:cs="Times New Roman"/>
        </w:rPr>
        <w:t xml:space="preserve">Managing </w:t>
      </w:r>
      <w:r w:rsidRPr="00472578">
        <w:rPr>
          <w:rFonts w:ascii="Calibri" w:eastAsia="Calibri" w:hAnsi="Calibri" w:cs="Times New Roman"/>
          <w:i/>
        </w:rPr>
        <w:t>land</w:t>
      </w:r>
      <w:r w:rsidRPr="00472578">
        <w:rPr>
          <w:rFonts w:ascii="Calibri" w:eastAsia="Calibri" w:hAnsi="Calibri" w:cs="Times New Roman"/>
        </w:rPr>
        <w:t xml:space="preserve"> uses is a critical component of implementing the NPSFM </w:t>
      </w:r>
      <w:proofErr w:type="gramStart"/>
      <w:r w:rsidRPr="00472578">
        <w:rPr>
          <w:rFonts w:ascii="Calibri" w:eastAsia="Calibri" w:hAnsi="Calibri" w:cs="Times New Roman"/>
        </w:rPr>
        <w:t>due to the effects</w:t>
      </w:r>
      <w:proofErr w:type="gramEnd"/>
      <w:r w:rsidRPr="00472578">
        <w:rPr>
          <w:rFonts w:ascii="Calibri" w:eastAsia="Calibri" w:hAnsi="Calibri" w:cs="Times New Roman"/>
        </w:rPr>
        <w:t xml:space="preserve"> of </w:t>
      </w:r>
      <w:r w:rsidRPr="00472578">
        <w:rPr>
          <w:rFonts w:ascii="Calibri" w:eastAsia="Calibri" w:hAnsi="Calibri" w:cs="Times New Roman"/>
          <w:i/>
        </w:rPr>
        <w:t>land</w:t>
      </w:r>
      <w:r w:rsidRPr="00472578">
        <w:rPr>
          <w:rFonts w:ascii="Calibri" w:eastAsia="Calibri" w:hAnsi="Calibri" w:cs="Times New Roman"/>
        </w:rPr>
        <w:t xml:space="preserve"> use on the health and well-being of </w:t>
      </w:r>
      <w:r w:rsidRPr="00472578">
        <w:rPr>
          <w:rFonts w:ascii="Calibri" w:eastAsia="Calibri" w:hAnsi="Calibri" w:cs="Times New Roman"/>
          <w:i/>
        </w:rPr>
        <w:t>water</w:t>
      </w:r>
      <w:r w:rsidRPr="00472578">
        <w:rPr>
          <w:rFonts w:ascii="Calibri" w:eastAsia="Calibri" w:hAnsi="Calibri" w:cs="Times New Roman"/>
        </w:rPr>
        <w:t xml:space="preserve">. This chapter assists the Council to </w:t>
      </w:r>
      <w:r w:rsidRPr="00472578">
        <w:t xml:space="preserve">recognise and provide for the connections and interactions between Otago’s </w:t>
      </w:r>
      <w:r w:rsidRPr="00472578">
        <w:rPr>
          <w:i/>
        </w:rPr>
        <w:t>land</w:t>
      </w:r>
      <w:r w:rsidRPr="00472578">
        <w:t xml:space="preserve"> and </w:t>
      </w:r>
      <w:r w:rsidRPr="00472578">
        <w:rPr>
          <w:i/>
        </w:rPr>
        <w:t>fresh water</w:t>
      </w:r>
      <w:r w:rsidRPr="00472578">
        <w:t xml:space="preserve">, while managing the use and development of this </w:t>
      </w:r>
      <w:r w:rsidRPr="00472578">
        <w:rPr>
          <w:i/>
        </w:rPr>
        <w:t>land</w:t>
      </w:r>
      <w:r w:rsidRPr="00472578">
        <w:t xml:space="preserve">, and its effects on </w:t>
      </w:r>
      <w:r w:rsidRPr="00472578">
        <w:rPr>
          <w:i/>
        </w:rPr>
        <w:t>fresh water</w:t>
      </w:r>
      <w:r w:rsidRPr="00472578">
        <w:t>.</w:t>
      </w:r>
    </w:p>
    <w:p w14:paraId="295389DB" w14:textId="77777777" w:rsidR="00D7784B" w:rsidRPr="00472578" w:rsidRDefault="00D7784B" w:rsidP="00E92686">
      <w:pPr>
        <w:jc w:val="both"/>
      </w:pPr>
      <w:r w:rsidRPr="00472578">
        <w:rPr>
          <w:u w:val="single"/>
        </w:rPr>
        <w:t>Riparian areas</w:t>
      </w:r>
      <w:proofErr w:type="gramStart"/>
      <w:r w:rsidRPr="00472578">
        <w:rPr>
          <w:u w:val="single"/>
        </w:rPr>
        <w:t>, in particular, play</w:t>
      </w:r>
      <w:proofErr w:type="gramEnd"/>
      <w:r w:rsidRPr="00472578">
        <w:rPr>
          <w:u w:val="single"/>
        </w:rPr>
        <w:t xml:space="preserve"> a key role in supporting the </w:t>
      </w:r>
      <w:r w:rsidRPr="00472578">
        <w:rPr>
          <w:i/>
          <w:iCs/>
          <w:u w:val="single"/>
        </w:rPr>
        <w:t>water</w:t>
      </w:r>
      <w:r w:rsidRPr="00472578">
        <w:rPr>
          <w:u w:val="single"/>
        </w:rPr>
        <w:t xml:space="preserve"> quality and ecosystem values of </w:t>
      </w:r>
      <w:r w:rsidRPr="00472578">
        <w:rPr>
          <w:i/>
          <w:iCs/>
          <w:u w:val="single"/>
        </w:rPr>
        <w:t>water bodies</w:t>
      </w:r>
      <w:r w:rsidRPr="00472578">
        <w:rPr>
          <w:u w:val="single"/>
        </w:rPr>
        <w:t>, and it is important that this role is maintained.</w:t>
      </w:r>
      <w:r w:rsidRPr="00472578">
        <w:rPr>
          <w:vertAlign w:val="superscript"/>
        </w:rPr>
        <w:footnoteReference w:id="1001"/>
      </w:r>
    </w:p>
    <w:p w14:paraId="04DC695C" w14:textId="77777777" w:rsidR="00D7784B" w:rsidRPr="00472578" w:rsidRDefault="00D7784B" w:rsidP="00E92686">
      <w:pPr>
        <w:keepNext/>
        <w:keepLines/>
        <w:spacing w:before="360" w:line="240" w:lineRule="auto"/>
        <w:jc w:val="both"/>
        <w:outlineLvl w:val="3"/>
        <w:rPr>
          <w:rFonts w:eastAsia="National-Book" w:cstheme="majorBidi"/>
          <w:b/>
          <w:color w:val="1F3864" w:themeColor="accent1" w:themeShade="80"/>
          <w:sz w:val="24"/>
        </w:rPr>
      </w:pPr>
      <w:bookmarkStart w:id="174" w:name="_Toc49763513"/>
      <w:r w:rsidRPr="00472578">
        <w:rPr>
          <w:rFonts w:eastAsia="National-Book" w:cstheme="majorBidi"/>
          <w:b/>
          <w:color w:val="1F3864" w:themeColor="accent1" w:themeShade="80"/>
          <w:sz w:val="24"/>
        </w:rPr>
        <w:t>Anticipated environmental results</w:t>
      </w:r>
      <w:bookmarkEnd w:id="174"/>
    </w:p>
    <w:p w14:paraId="16C296E3" w14:textId="21F2A1F9" w:rsidR="00D7784B" w:rsidRPr="00472578" w:rsidRDefault="00D7784B"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t>LF</w:t>
      </w:r>
      <w:r w:rsidRPr="00472578">
        <w:rPr>
          <w:rFonts w:ascii="Calibri" w:eastAsia="Calibri" w:hAnsi="Calibri" w:cs="Times New Roman"/>
          <w:b/>
          <w:color w:val="1F3864" w:themeColor="accent1" w:themeShade="80"/>
        </w:rPr>
        <w:t>-LS-</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12</w:t>
      </w:r>
      <w:r w:rsidRPr="00472578">
        <w:tab/>
      </w:r>
      <w:r w:rsidRPr="00472578">
        <w:rPr>
          <w:rFonts w:ascii="Calibri" w:eastAsia="Calibri" w:hAnsi="Calibri" w:cs="Times New Roman"/>
        </w:rPr>
        <w:t>The life-supporting capacity of soil is maintained or improved throughout Otago.</w:t>
      </w:r>
    </w:p>
    <w:p w14:paraId="4223393D" w14:textId="66D7F6E4" w:rsidR="00D7784B" w:rsidRPr="00472578" w:rsidRDefault="00D7784B"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t>LF</w:t>
      </w:r>
      <w:r w:rsidRPr="00472578">
        <w:rPr>
          <w:rFonts w:ascii="Calibri" w:eastAsia="Calibri" w:hAnsi="Calibri" w:cs="Times New Roman"/>
          <w:b/>
          <w:color w:val="1F3864" w:themeColor="accent1" w:themeShade="80"/>
        </w:rPr>
        <w:t>-LS-</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13</w:t>
      </w:r>
      <w:r w:rsidRPr="00472578">
        <w:tab/>
      </w:r>
      <w:r w:rsidRPr="00472578">
        <w:rPr>
          <w:rFonts w:ascii="Calibri" w:eastAsia="Calibri" w:hAnsi="Calibri" w:cs="Times New Roman"/>
        </w:rPr>
        <w:t xml:space="preserve">The availability and capability of Otago’s </w:t>
      </w:r>
      <w:r w:rsidRPr="00140F47">
        <w:rPr>
          <w:rFonts w:eastAsia="National-Book" w:cs="Times New Roman"/>
          <w:i/>
          <w:iCs/>
        </w:rPr>
        <w:t>highly productive land</w:t>
      </w:r>
      <w:r w:rsidR="00140F47">
        <w:t xml:space="preserve"> </w:t>
      </w:r>
      <w:r w:rsidRPr="00472578">
        <w:rPr>
          <w:rFonts w:ascii="Calibri" w:eastAsia="Calibri" w:hAnsi="Calibri" w:cs="Times New Roman"/>
        </w:rPr>
        <w:t>is maintained.</w:t>
      </w:r>
    </w:p>
    <w:p w14:paraId="5C57AA88" w14:textId="77777777" w:rsidR="00D7784B" w:rsidRPr="00472578" w:rsidRDefault="00D7784B" w:rsidP="00E92686">
      <w:pPr>
        <w:spacing w:before="240" w:line="252" w:lineRule="auto"/>
        <w:ind w:left="2268" w:hanging="2268"/>
        <w:jc w:val="both"/>
        <w:rPr>
          <w:rFonts w:ascii="Calibri" w:eastAsia="Calibri" w:hAnsi="Calibri" w:cs="Times New Roman"/>
        </w:rPr>
      </w:pPr>
      <w:r w:rsidRPr="00472578" w:rsidDel="006933C9">
        <w:rPr>
          <w:rFonts w:ascii="Calibri" w:eastAsia="Calibri" w:hAnsi="Calibri" w:cs="Times New Roman"/>
          <w:b/>
          <w:color w:val="1F3864" w:themeColor="accent1" w:themeShade="80"/>
        </w:rPr>
        <w:lastRenderedPageBreak/>
        <w:t>LF</w:t>
      </w:r>
      <w:r w:rsidRPr="00472578">
        <w:rPr>
          <w:rFonts w:ascii="Calibri" w:eastAsia="Calibri" w:hAnsi="Calibri" w:cs="Times New Roman"/>
          <w:b/>
          <w:color w:val="1F3864" w:themeColor="accent1" w:themeShade="80"/>
        </w:rPr>
        <w:t>-LS-</w:t>
      </w:r>
      <w:r w:rsidRPr="00472578" w:rsidDel="006933C9">
        <w:rPr>
          <w:rFonts w:ascii="Calibri" w:eastAsia="Calibri" w:hAnsi="Calibri" w:cs="Times New Roman"/>
          <w:b/>
          <w:color w:val="1F3864" w:themeColor="accent1" w:themeShade="80"/>
        </w:rPr>
        <w:t>AER</w:t>
      </w:r>
      <w:r w:rsidRPr="00472578">
        <w:rPr>
          <w:rFonts w:ascii="Calibri" w:eastAsia="Calibri" w:hAnsi="Calibri" w:cs="Times New Roman"/>
          <w:b/>
          <w:color w:val="1F3864" w:themeColor="accent1" w:themeShade="80"/>
        </w:rPr>
        <w:t>14</w:t>
      </w:r>
      <w:r w:rsidRPr="00472578">
        <w:tab/>
      </w:r>
      <w:r w:rsidRPr="00472578">
        <w:rPr>
          <w:rFonts w:ascii="Calibri" w:eastAsia="Calibri" w:hAnsi="Calibri" w:cs="Times New Roman"/>
        </w:rPr>
        <w:t xml:space="preserve">The use of </w:t>
      </w:r>
      <w:r w:rsidRPr="00472578">
        <w:rPr>
          <w:rFonts w:ascii="Calibri" w:eastAsia="Calibri" w:hAnsi="Calibri" w:cs="Times New Roman"/>
          <w:i/>
        </w:rPr>
        <w:t>land</w:t>
      </w:r>
      <w:r w:rsidRPr="00472578">
        <w:rPr>
          <w:rFonts w:ascii="Calibri" w:eastAsia="Calibri" w:hAnsi="Calibri" w:cs="Times New Roman"/>
        </w:rPr>
        <w:t xml:space="preserve"> supports the achievement of </w:t>
      </w:r>
      <w:r w:rsidRPr="00472578">
        <w:rPr>
          <w:rFonts w:ascii="Calibri" w:eastAsia="Calibri" w:hAnsi="Calibri" w:cs="Times New Roman"/>
          <w:i/>
        </w:rPr>
        <w:t>environmental outcomes</w:t>
      </w:r>
      <w:r w:rsidRPr="00472578">
        <w:rPr>
          <w:rFonts w:ascii="Calibri" w:eastAsia="Calibri" w:hAnsi="Calibri" w:cs="Times New Roman"/>
        </w:rPr>
        <w:t xml:space="preserve"> and objectives in Otago’s </w:t>
      </w:r>
      <w:r w:rsidRPr="00472578">
        <w:rPr>
          <w:rFonts w:ascii="Calibri" w:eastAsia="Calibri" w:hAnsi="Calibri" w:cs="Times New Roman"/>
          <w:i/>
        </w:rPr>
        <w:t>FMUs</w:t>
      </w:r>
      <w:r w:rsidRPr="00472578">
        <w:rPr>
          <w:rFonts w:ascii="Calibri" w:eastAsia="Calibri" w:hAnsi="Calibri" w:cs="Times New Roman"/>
        </w:rPr>
        <w:t xml:space="preserve"> and rohe.</w:t>
      </w:r>
    </w:p>
    <w:p w14:paraId="777EB9B9" w14:textId="6081A5A9" w:rsidR="00874C9C" w:rsidRPr="00472578" w:rsidRDefault="00874C9C" w:rsidP="00E92686">
      <w:pPr>
        <w:jc w:val="both"/>
      </w:pPr>
      <w:r w:rsidRPr="00472578">
        <w:br w:type="page"/>
      </w:r>
    </w:p>
    <w:p w14:paraId="2CB7DBC9" w14:textId="77777777" w:rsidR="00080A9A" w:rsidRPr="00C12215" w:rsidRDefault="00080A9A" w:rsidP="00080A9A">
      <w:pPr>
        <w:pStyle w:val="Heading2"/>
        <w:rPr>
          <w:i/>
        </w:rPr>
      </w:pPr>
      <w:bookmarkStart w:id="175" w:name="_Toc73105363"/>
      <w:bookmarkStart w:id="176" w:name="_Toc102551283"/>
      <w:r w:rsidRPr="003D1C57">
        <w:lastRenderedPageBreak/>
        <w:t xml:space="preserve">ECO – Ecosystems and indigenous </w:t>
      </w:r>
      <w:r w:rsidRPr="00C5455A">
        <w:rPr>
          <w:i/>
        </w:rPr>
        <w:t>biodiversity</w:t>
      </w:r>
      <w:bookmarkEnd w:id="175"/>
      <w:bookmarkEnd w:id="176"/>
    </w:p>
    <w:p w14:paraId="247784B7" w14:textId="77777777" w:rsidR="00080A9A" w:rsidRPr="003D1C57" w:rsidRDefault="00080A9A" w:rsidP="00080A9A">
      <w:pPr>
        <w:pStyle w:val="Heading3"/>
        <w:rPr>
          <w:rFonts w:eastAsia="National-Book"/>
        </w:rPr>
      </w:pPr>
      <w:bookmarkStart w:id="177" w:name="_Toc49763518"/>
      <w:r w:rsidRPr="003D1C57">
        <w:rPr>
          <w:rFonts w:eastAsia="National-Book"/>
        </w:rPr>
        <w:t>Objectives</w:t>
      </w:r>
      <w:bookmarkEnd w:id="177"/>
    </w:p>
    <w:p w14:paraId="182B1A07" w14:textId="14DBF6C5" w:rsidR="00080A9A" w:rsidRPr="003D1C57" w:rsidRDefault="00080A9A" w:rsidP="00080A9A">
      <w:pPr>
        <w:pStyle w:val="Heading4"/>
        <w:rPr>
          <w:rFonts w:eastAsia="National-Book"/>
        </w:rPr>
      </w:pPr>
      <w:r>
        <w:rPr>
          <w:rFonts w:eastAsia="National-Book"/>
        </w:rPr>
        <w:t>ECO-</w:t>
      </w:r>
      <w:r w:rsidRPr="003D1C57">
        <w:rPr>
          <w:rFonts w:eastAsia="National-Book"/>
        </w:rPr>
        <w:t>O1</w:t>
      </w:r>
      <w:r w:rsidRPr="0028723B">
        <w:t xml:space="preserve"> </w:t>
      </w:r>
      <w:r>
        <w:t>–</w:t>
      </w:r>
      <w:r>
        <w:rPr>
          <w:rFonts w:eastAsia="National-Book"/>
        </w:rPr>
        <w:t xml:space="preserve"> I</w:t>
      </w:r>
      <w:r w:rsidRPr="003D1C57">
        <w:rPr>
          <w:rFonts w:eastAsia="National-Book"/>
        </w:rPr>
        <w:t xml:space="preserve">ndigenous </w:t>
      </w:r>
      <w:r w:rsidRPr="00C5455A">
        <w:rPr>
          <w:rFonts w:eastAsia="National-Book"/>
          <w:i/>
        </w:rPr>
        <w:t>biodiversity</w:t>
      </w:r>
    </w:p>
    <w:p w14:paraId="48924533" w14:textId="5996741B" w:rsidR="00080A9A" w:rsidRDefault="00080A9A" w:rsidP="00411B6E">
      <w:pPr>
        <w:jc w:val="both"/>
      </w:pPr>
      <w:r w:rsidRPr="003D1C57">
        <w:t xml:space="preserve">Otago’s indigenous </w:t>
      </w:r>
      <w:r w:rsidRPr="00C5455A">
        <w:rPr>
          <w:i/>
        </w:rPr>
        <w:t>biodiversity</w:t>
      </w:r>
      <w:r w:rsidRPr="003D1C57">
        <w:t xml:space="preserve"> </w:t>
      </w:r>
      <w:r>
        <w:t>is</w:t>
      </w:r>
      <w:r w:rsidRPr="003D1C57">
        <w:t xml:space="preserve"> healthy and thriving</w:t>
      </w:r>
      <w:r>
        <w:t xml:space="preserve"> and any </w:t>
      </w:r>
      <w:r w:rsidR="00157778" w:rsidRPr="1EE00A55">
        <w:rPr>
          <w:u w:val="single"/>
        </w:rPr>
        <w:t>net</w:t>
      </w:r>
      <w:r w:rsidR="00157778" w:rsidRPr="1EE00A55">
        <w:rPr>
          <w:rStyle w:val="FootnoteReference"/>
        </w:rPr>
        <w:footnoteReference w:id="1002"/>
      </w:r>
      <w:r w:rsidR="00157778">
        <w:t xml:space="preserve"> decline in </w:t>
      </w:r>
      <w:r w:rsidR="00157778" w:rsidRPr="1EE00A55">
        <w:rPr>
          <w:strike/>
        </w:rPr>
        <w:t>quality</w:t>
      </w:r>
      <w:r w:rsidR="00157778">
        <w:t xml:space="preserve"> </w:t>
      </w:r>
      <w:r w:rsidR="00157778" w:rsidRPr="1EE00A55">
        <w:rPr>
          <w:u w:val="single"/>
        </w:rPr>
        <w:t>condition</w:t>
      </w:r>
      <w:r w:rsidR="00157778">
        <w:t>,</w:t>
      </w:r>
      <w:r w:rsidR="00157778" w:rsidRPr="1EE00A55">
        <w:rPr>
          <w:rStyle w:val="FootnoteReference"/>
        </w:rPr>
        <w:footnoteReference w:id="1003"/>
      </w:r>
      <w:r w:rsidR="00157778">
        <w:t xml:space="preserve"> </w:t>
      </w:r>
      <w:r>
        <w:t xml:space="preserve"> </w:t>
      </w:r>
      <w:r w:rsidR="00157778">
        <w:t>quantity and diversity is halted.</w:t>
      </w:r>
    </w:p>
    <w:p w14:paraId="2E759A62" w14:textId="2E504C8F" w:rsidR="00080A9A" w:rsidRDefault="00080A9A" w:rsidP="00080A9A">
      <w:pPr>
        <w:pStyle w:val="Heading4"/>
      </w:pPr>
      <w:r>
        <w:t xml:space="preserve">ECO-O2 – Restoring </w:t>
      </w:r>
      <w:r w:rsidR="002E40AE" w:rsidRPr="005C228A">
        <w:rPr>
          <w:bCs/>
          <w:strike/>
        </w:rPr>
        <w:t>or</w:t>
      </w:r>
      <w:r w:rsidR="002E40AE" w:rsidRPr="002E40AE">
        <w:rPr>
          <w:bCs/>
        </w:rPr>
        <w:t xml:space="preserve"> </w:t>
      </w:r>
      <w:r w:rsidR="002E40AE" w:rsidRPr="005C228A">
        <w:rPr>
          <w:bCs/>
          <w:u w:val="single"/>
        </w:rPr>
        <w:t>and</w:t>
      </w:r>
      <w:r w:rsidR="002E40AE" w:rsidRPr="005C228A">
        <w:rPr>
          <w:rStyle w:val="FootnoteReference"/>
          <w:bCs/>
        </w:rPr>
        <w:footnoteReference w:id="1004"/>
      </w:r>
      <w:r>
        <w:t xml:space="preserve"> enhancing</w:t>
      </w:r>
    </w:p>
    <w:p w14:paraId="70B067CF" w14:textId="079649AE" w:rsidR="00080A9A" w:rsidRDefault="00E80572" w:rsidP="00411B6E">
      <w:pPr>
        <w:jc w:val="both"/>
      </w:pPr>
      <w:r w:rsidRPr="009C3360">
        <w:rPr>
          <w:u w:val="single"/>
        </w:rPr>
        <w:t xml:space="preserve">Restoration </w:t>
      </w:r>
      <w:r w:rsidRPr="00C87333">
        <w:rPr>
          <w:u w:val="single"/>
        </w:rPr>
        <w:t>or enhancement</w:t>
      </w:r>
      <w:r>
        <w:rPr>
          <w:u w:val="single"/>
        </w:rPr>
        <w:t xml:space="preserve"> activities </w:t>
      </w:r>
      <w:r w:rsidRPr="00C87333">
        <w:rPr>
          <w:u w:val="single"/>
        </w:rPr>
        <w:t>result in a</w:t>
      </w:r>
      <w:r>
        <w:rPr>
          <w:u w:val="single"/>
        </w:rPr>
        <w:t xml:space="preserve"> </w:t>
      </w:r>
      <w:r w:rsidRPr="00C87333">
        <w:rPr>
          <w:strike/>
        </w:rPr>
        <w:t>A</w:t>
      </w:r>
      <w:r>
        <w:t xml:space="preserve"> net increase in the extent and </w:t>
      </w:r>
      <w:r w:rsidRPr="1EE00A55">
        <w:rPr>
          <w:i/>
          <w:iCs/>
          <w:u w:val="single"/>
        </w:rPr>
        <w:t>occupancy</w:t>
      </w:r>
      <w:r w:rsidRPr="00EE03DD">
        <w:rPr>
          <w:rStyle w:val="FootnoteReference"/>
        </w:rPr>
        <w:footnoteReference w:id="1005"/>
      </w:r>
      <w:r w:rsidRPr="00BD5BFC">
        <w:rPr>
          <w:iCs/>
        </w:rPr>
        <w:t xml:space="preserve"> </w:t>
      </w:r>
      <w:r>
        <w:t xml:space="preserve">of Otago’s indigenous </w:t>
      </w:r>
      <w:r w:rsidRPr="1EE00A55">
        <w:rPr>
          <w:i/>
          <w:iCs/>
        </w:rPr>
        <w:t xml:space="preserve">biodiversity </w:t>
      </w:r>
      <w:r w:rsidRPr="1EE00A55">
        <w:rPr>
          <w:strike/>
        </w:rPr>
        <w:t>results from restoration or enhancement</w:t>
      </w:r>
      <w:r>
        <w:t>.</w:t>
      </w:r>
      <w:r w:rsidRPr="00051CB6">
        <w:rPr>
          <w:rStyle w:val="FootnoteReference"/>
        </w:rPr>
        <w:footnoteReference w:id="1006"/>
      </w:r>
    </w:p>
    <w:p w14:paraId="3A8B519B" w14:textId="1441578A" w:rsidR="00080A9A" w:rsidRDefault="00080A9A" w:rsidP="00080A9A">
      <w:pPr>
        <w:pStyle w:val="Heading4"/>
      </w:pPr>
      <w:r>
        <w:t xml:space="preserve">ECO-O3 – </w:t>
      </w:r>
      <w:r w:rsidR="00D5481E" w:rsidRPr="00921773">
        <w:rPr>
          <w:bCs/>
          <w:i/>
          <w:szCs w:val="24"/>
        </w:rPr>
        <w:t>Kaitiaki</w:t>
      </w:r>
      <w:r w:rsidR="00D5481E" w:rsidRPr="00921773">
        <w:rPr>
          <w:bCs/>
          <w:i/>
          <w:szCs w:val="24"/>
          <w:u w:val="single"/>
        </w:rPr>
        <w:t>t</w:t>
      </w:r>
      <w:r w:rsidR="00D5481E" w:rsidRPr="00921773">
        <w:rPr>
          <w:bCs/>
          <w:i/>
          <w:szCs w:val="24"/>
        </w:rPr>
        <w:t>aka</w:t>
      </w:r>
      <w:r w:rsidR="00D5481E" w:rsidRPr="005C228A">
        <w:rPr>
          <w:rStyle w:val="FootnoteReference"/>
          <w:bCs/>
          <w:sz w:val="22"/>
        </w:rPr>
        <w:footnoteReference w:id="1007"/>
      </w:r>
      <w:r w:rsidR="00D5481E" w:rsidRPr="005C228A">
        <w:rPr>
          <w:bCs/>
          <w:sz w:val="22"/>
        </w:rPr>
        <w:t xml:space="preserve"> </w:t>
      </w:r>
      <w:r>
        <w:t>and stewardship</w:t>
      </w:r>
    </w:p>
    <w:p w14:paraId="0DC6863F" w14:textId="00DE4388" w:rsidR="00080A9A" w:rsidRDefault="00080A9A" w:rsidP="00411B6E">
      <w:pPr>
        <w:jc w:val="both"/>
      </w:pPr>
      <w:r w:rsidRPr="00D1360D">
        <w:rPr>
          <w:i/>
        </w:rPr>
        <w:t>Mana whenua</w:t>
      </w:r>
      <w:r>
        <w:t xml:space="preserve"> </w:t>
      </w:r>
      <w:proofErr w:type="gramStart"/>
      <w:r w:rsidR="00CC3C98" w:rsidRPr="00474A23">
        <w:rPr>
          <w:u w:val="single"/>
        </w:rPr>
        <w:t>are able to</w:t>
      </w:r>
      <w:proofErr w:type="gramEnd"/>
      <w:r w:rsidR="00CC3C98" w:rsidRPr="00474A23">
        <w:rPr>
          <w:u w:val="single"/>
        </w:rPr>
        <w:t xml:space="preserve"> exercise their role</w:t>
      </w:r>
      <w:r w:rsidR="00CC3C98" w:rsidRPr="00474A23">
        <w:t xml:space="preserve"> </w:t>
      </w:r>
      <w:r w:rsidR="00CC3C98" w:rsidRPr="00474A23">
        <w:rPr>
          <w:strike/>
        </w:rPr>
        <w:t>recognised</w:t>
      </w:r>
      <w:r w:rsidR="00CC3C98" w:rsidRPr="00474A23">
        <w:rPr>
          <w:rStyle w:val="FootnoteReference"/>
          <w:szCs w:val="22"/>
        </w:rPr>
        <w:footnoteReference w:id="1008"/>
      </w:r>
      <w:r w:rsidR="00CC3C98" w:rsidRPr="00CC3C98">
        <w:t xml:space="preserve"> </w:t>
      </w:r>
      <w:r>
        <w:t xml:space="preserve">as kaitiaki of Otago’s indigenous </w:t>
      </w:r>
      <w:r w:rsidRPr="00D1360D">
        <w:rPr>
          <w:i/>
        </w:rPr>
        <w:t>biodiversity</w:t>
      </w:r>
      <w:r>
        <w:t>, and Otago’s communities are recognised as stewards, who are responsible for:</w:t>
      </w:r>
    </w:p>
    <w:p w14:paraId="1418D7AF" w14:textId="77777777" w:rsidR="00080A9A" w:rsidRDefault="00080A9A" w:rsidP="00411B6E">
      <w:pPr>
        <w:ind w:left="567" w:hanging="567"/>
        <w:jc w:val="both"/>
      </w:pPr>
      <w:r>
        <w:t>(1)</w:t>
      </w:r>
      <w:r>
        <w:tab/>
        <w:t xml:space="preserve">te hauora o te koiora (the health of indigenous </w:t>
      </w:r>
      <w:r w:rsidRPr="000569C6">
        <w:rPr>
          <w:i/>
          <w:iCs/>
        </w:rPr>
        <w:t>biodiversity</w:t>
      </w:r>
      <w:r>
        <w:t xml:space="preserve">), te hauora o te taoka (the health of species and ecosystems that are taoka), and te hauora o te taiao (the health of the wider </w:t>
      </w:r>
      <w:r w:rsidRPr="006920D6">
        <w:rPr>
          <w:i/>
        </w:rPr>
        <w:t>environment</w:t>
      </w:r>
      <w:r>
        <w:t>), while</w:t>
      </w:r>
    </w:p>
    <w:p w14:paraId="18172247" w14:textId="77777777" w:rsidR="00080A9A" w:rsidRDefault="00080A9A" w:rsidP="00080A9A">
      <w:pPr>
        <w:pStyle w:val="JustifiedSpacing"/>
        <w:ind w:left="567" w:hanging="567"/>
      </w:pPr>
      <w:r>
        <w:t>(2)</w:t>
      </w:r>
      <w:r>
        <w:tab/>
        <w:t>providing for te hauora o te takata (the health of the people).</w:t>
      </w:r>
    </w:p>
    <w:p w14:paraId="4A8ABF21" w14:textId="77777777" w:rsidR="00080A9A" w:rsidRPr="003D1C57" w:rsidRDefault="00080A9A" w:rsidP="00080A9A">
      <w:pPr>
        <w:pStyle w:val="Heading3"/>
        <w:rPr>
          <w:rFonts w:eastAsia="National-Book"/>
        </w:rPr>
      </w:pPr>
      <w:bookmarkStart w:id="178" w:name="_Toc49763519"/>
      <w:r w:rsidRPr="003D1C57">
        <w:rPr>
          <w:rFonts w:eastAsia="National-Book"/>
        </w:rPr>
        <w:t>Policies</w:t>
      </w:r>
      <w:bookmarkEnd w:id="178"/>
    </w:p>
    <w:p w14:paraId="47D33DD0" w14:textId="045474E5" w:rsidR="00080A9A" w:rsidRDefault="00080A9A" w:rsidP="00080A9A">
      <w:pPr>
        <w:pStyle w:val="Heading4"/>
      </w:pPr>
      <w:r>
        <w:t>ECO-</w:t>
      </w:r>
      <w:r w:rsidRPr="003D1C57">
        <w:t>P1</w:t>
      </w:r>
      <w:r w:rsidRPr="0028723B">
        <w:t xml:space="preserve"> </w:t>
      </w:r>
      <w:r>
        <w:t xml:space="preserve">– </w:t>
      </w:r>
      <w:r w:rsidRPr="006920D6">
        <w:rPr>
          <w:i/>
        </w:rPr>
        <w:t xml:space="preserve">Kaitiakitaka </w:t>
      </w:r>
    </w:p>
    <w:p w14:paraId="4CEA19EE" w14:textId="77777777" w:rsidR="003270D1" w:rsidRPr="00A474AE" w:rsidRDefault="003270D1" w:rsidP="003270D1">
      <w:pPr>
        <w:rPr>
          <w:szCs w:val="22"/>
        </w:rPr>
      </w:pPr>
      <w:r w:rsidRPr="00A474AE">
        <w:rPr>
          <w:strike/>
          <w:szCs w:val="22"/>
        </w:rPr>
        <w:t>Recognise the role of</w:t>
      </w:r>
      <w:r w:rsidRPr="00A474AE">
        <w:rPr>
          <w:szCs w:val="22"/>
        </w:rPr>
        <w:t xml:space="preserve"> </w:t>
      </w:r>
      <w:r w:rsidRPr="00A474AE">
        <w:rPr>
          <w:szCs w:val="22"/>
          <w:u w:val="single"/>
        </w:rPr>
        <w:t>Enable</w:t>
      </w:r>
      <w:r w:rsidRPr="00A474AE">
        <w:rPr>
          <w:rStyle w:val="FootnoteReference"/>
          <w:szCs w:val="22"/>
        </w:rPr>
        <w:footnoteReference w:id="1009"/>
      </w:r>
      <w:r w:rsidRPr="00A474AE">
        <w:rPr>
          <w:szCs w:val="22"/>
        </w:rPr>
        <w:t xml:space="preserve"> Kāi Tahu </w:t>
      </w:r>
      <w:r w:rsidRPr="00A474AE">
        <w:rPr>
          <w:szCs w:val="22"/>
          <w:u w:val="single"/>
        </w:rPr>
        <w:t>to exercise their role</w:t>
      </w:r>
      <w:r w:rsidRPr="00A474AE">
        <w:rPr>
          <w:rStyle w:val="FootnoteReference"/>
          <w:szCs w:val="22"/>
        </w:rPr>
        <w:footnoteReference w:id="1010"/>
      </w:r>
      <w:r w:rsidRPr="00A474AE">
        <w:rPr>
          <w:szCs w:val="22"/>
        </w:rPr>
        <w:t xml:space="preserve"> as kaitiaki of Otago’s indigenous </w:t>
      </w:r>
      <w:r w:rsidRPr="00BE11C1">
        <w:rPr>
          <w:i/>
          <w:szCs w:val="22"/>
        </w:rPr>
        <w:t>biodiversity</w:t>
      </w:r>
      <w:r w:rsidRPr="00A474AE">
        <w:rPr>
          <w:szCs w:val="22"/>
        </w:rPr>
        <w:t xml:space="preserve"> by:</w:t>
      </w:r>
    </w:p>
    <w:p w14:paraId="4BF1A79C" w14:textId="77777777" w:rsidR="003270D1" w:rsidRPr="00A474AE" w:rsidRDefault="003270D1" w:rsidP="003270D1">
      <w:pPr>
        <w:ind w:left="567" w:hanging="567"/>
        <w:rPr>
          <w:szCs w:val="22"/>
        </w:rPr>
      </w:pPr>
      <w:r w:rsidRPr="00A474AE">
        <w:rPr>
          <w:szCs w:val="22"/>
        </w:rPr>
        <w:t>(1)</w:t>
      </w:r>
      <w:r w:rsidRPr="00A474AE">
        <w:rPr>
          <w:szCs w:val="22"/>
        </w:rPr>
        <w:tab/>
        <w:t xml:space="preserve">involving Kāi Tahu in the management of indigenous </w:t>
      </w:r>
      <w:r w:rsidRPr="00BE11C1">
        <w:rPr>
          <w:i/>
          <w:iCs/>
          <w:szCs w:val="22"/>
        </w:rPr>
        <w:t>biodiversity</w:t>
      </w:r>
      <w:r w:rsidRPr="00A474AE">
        <w:rPr>
          <w:iCs/>
          <w:szCs w:val="22"/>
          <w:u w:val="single"/>
        </w:rPr>
        <w:t>,</w:t>
      </w:r>
      <w:r w:rsidRPr="00A474AE">
        <w:rPr>
          <w:szCs w:val="22"/>
        </w:rPr>
        <w:t xml:space="preserve"> </w:t>
      </w:r>
      <w:r w:rsidRPr="00A474AE">
        <w:rPr>
          <w:strike/>
          <w:szCs w:val="22"/>
        </w:rPr>
        <w:t>and</w:t>
      </w:r>
      <w:r w:rsidRPr="00A474AE">
        <w:rPr>
          <w:szCs w:val="22"/>
        </w:rPr>
        <w:t xml:space="preserve"> </w:t>
      </w:r>
    </w:p>
    <w:p w14:paraId="10B7F7F2" w14:textId="77777777" w:rsidR="003270D1" w:rsidRPr="00A474AE" w:rsidRDefault="003270D1" w:rsidP="003270D1">
      <w:pPr>
        <w:ind w:left="567" w:hanging="567"/>
        <w:rPr>
          <w:szCs w:val="22"/>
        </w:rPr>
      </w:pPr>
      <w:r w:rsidRPr="00A474AE">
        <w:rPr>
          <w:szCs w:val="22"/>
          <w:u w:val="single"/>
        </w:rPr>
        <w:t>(1A)</w:t>
      </w:r>
      <w:r w:rsidRPr="00A474AE">
        <w:rPr>
          <w:szCs w:val="22"/>
        </w:rPr>
        <w:tab/>
      </w:r>
      <w:r w:rsidRPr="00A474AE">
        <w:rPr>
          <w:szCs w:val="22"/>
          <w:u w:val="single"/>
        </w:rPr>
        <w:t>working with Kāi Tahu in</w:t>
      </w:r>
      <w:r w:rsidRPr="00A474AE">
        <w:rPr>
          <w:rStyle w:val="FootnoteReference"/>
          <w:szCs w:val="22"/>
        </w:rPr>
        <w:footnoteReference w:id="1011"/>
      </w:r>
      <w:r w:rsidRPr="00A474AE">
        <w:rPr>
          <w:szCs w:val="22"/>
        </w:rPr>
        <w:t xml:space="preserve"> the identification of indigenous species and ecosystems that are taoka,</w:t>
      </w:r>
    </w:p>
    <w:p w14:paraId="7CAFC472" w14:textId="19449692" w:rsidR="003270D1" w:rsidRPr="00A474AE" w:rsidRDefault="003270D1" w:rsidP="003270D1">
      <w:pPr>
        <w:ind w:left="567" w:hanging="567"/>
        <w:rPr>
          <w:szCs w:val="22"/>
        </w:rPr>
      </w:pPr>
      <w:r w:rsidRPr="00A474AE">
        <w:rPr>
          <w:szCs w:val="22"/>
        </w:rPr>
        <w:t xml:space="preserve">(2)   </w:t>
      </w:r>
      <w:r>
        <w:tab/>
      </w:r>
      <w:r w:rsidRPr="00A474AE">
        <w:rPr>
          <w:szCs w:val="22"/>
        </w:rPr>
        <w:t>incorporating the use of m</w:t>
      </w:r>
      <w:r w:rsidRPr="00A474AE">
        <w:rPr>
          <w:rFonts w:cstheme="minorHAnsi"/>
          <w:szCs w:val="22"/>
        </w:rPr>
        <w:t>ā</w:t>
      </w:r>
      <w:r w:rsidRPr="00A474AE">
        <w:rPr>
          <w:szCs w:val="22"/>
        </w:rPr>
        <w:t xml:space="preserve">tauraka Māori in the management and monitoring of indigenous </w:t>
      </w:r>
      <w:r w:rsidRPr="00BE11C1">
        <w:rPr>
          <w:i/>
          <w:iCs/>
          <w:szCs w:val="22"/>
        </w:rPr>
        <w:t>biodiversity</w:t>
      </w:r>
      <w:r w:rsidRPr="00A474AE">
        <w:rPr>
          <w:szCs w:val="22"/>
        </w:rPr>
        <w:t>, and</w:t>
      </w:r>
    </w:p>
    <w:p w14:paraId="7E1038D4" w14:textId="2DE30A58" w:rsidR="003270D1" w:rsidRPr="00A474AE" w:rsidRDefault="003270D1" w:rsidP="003270D1">
      <w:pPr>
        <w:ind w:left="567" w:hanging="567"/>
        <w:rPr>
          <w:szCs w:val="22"/>
        </w:rPr>
      </w:pPr>
      <w:r w:rsidRPr="00A474AE">
        <w:rPr>
          <w:szCs w:val="22"/>
        </w:rPr>
        <w:lastRenderedPageBreak/>
        <w:t>(3)</w:t>
      </w:r>
      <w:r w:rsidRPr="00A474AE">
        <w:rPr>
          <w:szCs w:val="22"/>
        </w:rPr>
        <w:tab/>
      </w:r>
      <w:r w:rsidRPr="00A474AE">
        <w:rPr>
          <w:strike/>
          <w:szCs w:val="22"/>
        </w:rPr>
        <w:t>providing for</w:t>
      </w:r>
      <w:r w:rsidRPr="003270D1">
        <w:t xml:space="preserve"> </w:t>
      </w:r>
      <w:r w:rsidRPr="00A474AE">
        <w:rPr>
          <w:szCs w:val="22"/>
          <w:u w:val="single"/>
        </w:rPr>
        <w:t>facili</w:t>
      </w:r>
      <w:r>
        <w:rPr>
          <w:u w:val="single"/>
        </w:rPr>
        <w:t>t</w:t>
      </w:r>
      <w:r w:rsidRPr="00A474AE">
        <w:rPr>
          <w:szCs w:val="22"/>
          <w:u w:val="single"/>
        </w:rPr>
        <w:t>ating</w:t>
      </w:r>
      <w:r w:rsidRPr="00A474AE">
        <w:rPr>
          <w:rStyle w:val="FootnoteReference"/>
          <w:szCs w:val="22"/>
        </w:rPr>
        <w:footnoteReference w:id="1012"/>
      </w:r>
      <w:r w:rsidRPr="00A474AE">
        <w:rPr>
          <w:szCs w:val="22"/>
        </w:rPr>
        <w:t xml:space="preserve"> access to and use of indigenous </w:t>
      </w:r>
      <w:r w:rsidRPr="00A474AE">
        <w:rPr>
          <w:iCs/>
          <w:szCs w:val="22"/>
        </w:rPr>
        <w:t>biodiversity</w:t>
      </w:r>
      <w:r w:rsidRPr="00A474AE">
        <w:rPr>
          <w:szCs w:val="22"/>
        </w:rPr>
        <w:t xml:space="preserve"> by Kāi Tahu, including </w:t>
      </w:r>
      <w:r w:rsidRPr="00BE11C1">
        <w:rPr>
          <w:i/>
          <w:szCs w:val="22"/>
          <w:u w:val="single"/>
        </w:rPr>
        <w:t>mahika kai</w:t>
      </w:r>
      <w:r w:rsidR="001A600E" w:rsidRPr="00A474AE">
        <w:rPr>
          <w:szCs w:val="22"/>
        </w:rPr>
        <w:t>,</w:t>
      </w:r>
      <w:r w:rsidRPr="00A474AE">
        <w:rPr>
          <w:rStyle w:val="FootnoteReference"/>
          <w:szCs w:val="22"/>
        </w:rPr>
        <w:footnoteReference w:id="1013"/>
      </w:r>
      <w:r w:rsidRPr="00A474AE">
        <w:rPr>
          <w:szCs w:val="22"/>
        </w:rPr>
        <w:t xml:space="preserve"> according to tikaka.</w:t>
      </w:r>
    </w:p>
    <w:p w14:paraId="2A3E448F" w14:textId="40394BA4" w:rsidR="00080A9A" w:rsidRPr="00D81AAE" w:rsidRDefault="00080A9A" w:rsidP="00080A9A">
      <w:pPr>
        <w:pStyle w:val="Heading4"/>
      </w:pPr>
      <w:r>
        <w:t>ECO-</w:t>
      </w:r>
      <w:r w:rsidRPr="003D1C57">
        <w:t>P</w:t>
      </w:r>
      <w:r>
        <w:t>2</w:t>
      </w:r>
      <w:r w:rsidRPr="0028723B">
        <w:t xml:space="preserve"> </w:t>
      </w:r>
      <w:r>
        <w:t xml:space="preserve">– Identifying </w:t>
      </w:r>
      <w:r>
        <w:rPr>
          <w:i/>
          <w:iCs w:val="0"/>
        </w:rPr>
        <w:t>s</w:t>
      </w:r>
      <w:r w:rsidRPr="00B97F01">
        <w:rPr>
          <w:i/>
          <w:iCs w:val="0"/>
        </w:rPr>
        <w:t>ignificant natural areas</w:t>
      </w:r>
      <w:r>
        <w:rPr>
          <w:i/>
          <w:iCs w:val="0"/>
        </w:rPr>
        <w:t xml:space="preserve"> </w:t>
      </w:r>
      <w:r>
        <w:t>and taoka</w:t>
      </w:r>
    </w:p>
    <w:p w14:paraId="0587956B" w14:textId="5C0DEB28" w:rsidR="007545BF" w:rsidRPr="007545BF" w:rsidRDefault="007545BF" w:rsidP="007545BF">
      <w:pPr>
        <w:jc w:val="both"/>
      </w:pPr>
      <w:r w:rsidRPr="007545BF">
        <w:t>Identify</w:t>
      </w:r>
      <w:r w:rsidRPr="007545BF">
        <w:rPr>
          <w:u w:val="single"/>
        </w:rPr>
        <w:t xml:space="preserve"> and map</w:t>
      </w:r>
      <w:r w:rsidRPr="007545BF">
        <w:t>:</w:t>
      </w:r>
      <w:r w:rsidRPr="007545BF">
        <w:rPr>
          <w:vertAlign w:val="superscript"/>
        </w:rPr>
        <w:footnoteReference w:id="1014"/>
      </w:r>
      <w:r w:rsidRPr="007545BF">
        <w:t xml:space="preserve"> </w:t>
      </w:r>
    </w:p>
    <w:p w14:paraId="3D7BEF1B" w14:textId="77777777" w:rsidR="007545BF" w:rsidRPr="007545BF" w:rsidRDefault="007545BF" w:rsidP="007545BF">
      <w:pPr>
        <w:ind w:left="567" w:hanging="567"/>
        <w:jc w:val="both"/>
      </w:pPr>
      <w:r w:rsidRPr="007545BF">
        <w:t>(1)</w:t>
      </w:r>
      <w:r w:rsidRPr="007545BF">
        <w:tab/>
        <w:t xml:space="preserve">the areas and </w:t>
      </w:r>
      <w:r w:rsidRPr="007545BF">
        <w:rPr>
          <w:u w:val="single"/>
        </w:rPr>
        <w:t xml:space="preserve">indigenous </w:t>
      </w:r>
      <w:r w:rsidRPr="007545BF">
        <w:rPr>
          <w:i/>
          <w:iCs/>
          <w:u w:val="single"/>
        </w:rPr>
        <w:t>biodiversity</w:t>
      </w:r>
      <w:r w:rsidRPr="007545BF">
        <w:rPr>
          <w:vertAlign w:val="superscript"/>
        </w:rPr>
        <w:footnoteReference w:id="1015"/>
      </w:r>
      <w:r w:rsidRPr="007545BF">
        <w:t xml:space="preserve"> values of </w:t>
      </w:r>
      <w:r w:rsidRPr="007545BF">
        <w:rPr>
          <w:i/>
          <w:iCs/>
        </w:rPr>
        <w:t>significant natural areas</w:t>
      </w:r>
      <w:r w:rsidRPr="007545BF">
        <w:t xml:space="preserve"> in accordance with APP2, and</w:t>
      </w:r>
    </w:p>
    <w:p w14:paraId="5690B25A" w14:textId="77777777" w:rsidR="007545BF" w:rsidRPr="007545BF" w:rsidRDefault="007545BF" w:rsidP="007545BF">
      <w:pPr>
        <w:ind w:left="567" w:hanging="567"/>
        <w:jc w:val="both"/>
      </w:pPr>
      <w:r w:rsidRPr="007545BF">
        <w:t>(2)</w:t>
      </w:r>
      <w:r w:rsidRPr="007545BF">
        <w:tab/>
      </w:r>
      <w:r w:rsidRPr="007545BF">
        <w:rPr>
          <w:u w:val="single"/>
        </w:rPr>
        <w:t>where appropriate,</w:t>
      </w:r>
      <w:r w:rsidRPr="007545BF">
        <w:rPr>
          <w:vertAlign w:val="superscript"/>
        </w:rPr>
        <w:footnoteReference w:id="1016"/>
      </w:r>
      <w:r w:rsidRPr="007545BF">
        <w:t xml:space="preserve"> indigenous species and ecosystems that are taoka in accordance with ECO–M3.</w:t>
      </w:r>
    </w:p>
    <w:p w14:paraId="7DDDD158" w14:textId="6DEFDDF7" w:rsidR="00080A9A" w:rsidRPr="00216DEC" w:rsidRDefault="00080A9A" w:rsidP="00080A9A">
      <w:pPr>
        <w:pStyle w:val="Heading4"/>
        <w:rPr>
          <w:bCs/>
        </w:rPr>
      </w:pPr>
      <w:r>
        <w:rPr>
          <w:bCs/>
        </w:rPr>
        <w:t>ECO-</w:t>
      </w:r>
      <w:r>
        <w:t xml:space="preserve">P3 – Protecting </w:t>
      </w:r>
      <w:r w:rsidRPr="00C5455A">
        <w:rPr>
          <w:i/>
        </w:rPr>
        <w:t>significant natural areas</w:t>
      </w:r>
      <w:r>
        <w:rPr>
          <w:i/>
        </w:rPr>
        <w:t xml:space="preserve"> </w:t>
      </w:r>
      <w:r>
        <w:rPr>
          <w:iCs w:val="0"/>
        </w:rPr>
        <w:t>and taoka</w:t>
      </w:r>
    </w:p>
    <w:p w14:paraId="1B3BA226" w14:textId="0E60828A" w:rsidR="008B3E59" w:rsidRPr="008F6A8E" w:rsidRDefault="008B3E59" w:rsidP="00411B6E">
      <w:pPr>
        <w:jc w:val="both"/>
        <w:rPr>
          <w:szCs w:val="22"/>
        </w:rPr>
      </w:pPr>
      <w:r w:rsidRPr="008F6A8E">
        <w:rPr>
          <w:szCs w:val="22"/>
        </w:rPr>
        <w:t>Except as provided for by ECO</w:t>
      </w:r>
      <w:r w:rsidR="00B94E65">
        <w:t>-</w:t>
      </w:r>
      <w:r w:rsidRPr="008F6A8E">
        <w:rPr>
          <w:szCs w:val="22"/>
        </w:rPr>
        <w:t>P4 and ECO</w:t>
      </w:r>
      <w:r w:rsidR="00B94E65">
        <w:t>-</w:t>
      </w:r>
      <w:r w:rsidRPr="008F6A8E">
        <w:rPr>
          <w:szCs w:val="22"/>
        </w:rPr>
        <w:t xml:space="preserve">P5, protect </w:t>
      </w:r>
      <w:r w:rsidRPr="008F6A8E">
        <w:rPr>
          <w:i/>
          <w:iCs/>
          <w:szCs w:val="22"/>
        </w:rPr>
        <w:t xml:space="preserve">significant natural areas </w:t>
      </w:r>
      <w:r w:rsidRPr="008F6A8E">
        <w:rPr>
          <w:szCs w:val="22"/>
          <w:u w:val="single"/>
        </w:rPr>
        <w:t>(outside the coastal environment)</w:t>
      </w:r>
      <w:r w:rsidRPr="008F6A8E">
        <w:rPr>
          <w:rStyle w:val="FootnoteReference"/>
          <w:szCs w:val="22"/>
        </w:rPr>
        <w:footnoteReference w:id="1017"/>
      </w:r>
      <w:r w:rsidRPr="008F6A8E">
        <w:rPr>
          <w:i/>
          <w:iCs/>
          <w:szCs w:val="22"/>
        </w:rPr>
        <w:t xml:space="preserve"> </w:t>
      </w:r>
      <w:r w:rsidRPr="008F6A8E">
        <w:rPr>
          <w:szCs w:val="22"/>
        </w:rPr>
        <w:t>and indigenous species and ecosystems that are taoka by:</w:t>
      </w:r>
    </w:p>
    <w:p w14:paraId="59C85CF3" w14:textId="466B760E" w:rsidR="008B3E59" w:rsidRPr="008F6A8E" w:rsidRDefault="008B3E59" w:rsidP="00411B6E">
      <w:pPr>
        <w:ind w:left="567" w:hanging="567"/>
        <w:jc w:val="both"/>
        <w:rPr>
          <w:szCs w:val="22"/>
        </w:rPr>
      </w:pPr>
      <w:r w:rsidRPr="008F6A8E">
        <w:rPr>
          <w:szCs w:val="22"/>
        </w:rPr>
        <w:t>(1)</w:t>
      </w:r>
      <w:r w:rsidRPr="008F6A8E">
        <w:rPr>
          <w:szCs w:val="22"/>
        </w:rPr>
        <w:tab/>
      </w:r>
      <w:r w:rsidRPr="008F6A8E">
        <w:rPr>
          <w:szCs w:val="22"/>
          <w:u w:val="single"/>
        </w:rPr>
        <w:t>first</w:t>
      </w:r>
      <w:r w:rsidRPr="00B94E65">
        <w:rPr>
          <w:rStyle w:val="FootnoteReference"/>
          <w:szCs w:val="22"/>
        </w:rPr>
        <w:footnoteReference w:id="1018"/>
      </w:r>
      <w:r w:rsidR="00B94E65" w:rsidRPr="00B94E65">
        <w:t xml:space="preserve"> </w:t>
      </w:r>
      <w:r w:rsidRPr="00B94E65">
        <w:rPr>
          <w:szCs w:val="22"/>
        </w:rPr>
        <w:t>a</w:t>
      </w:r>
      <w:r w:rsidRPr="008F6A8E">
        <w:rPr>
          <w:szCs w:val="22"/>
        </w:rPr>
        <w:t xml:space="preserve">voiding adverse </w:t>
      </w:r>
      <w:r w:rsidRPr="008F6A8E">
        <w:rPr>
          <w:i/>
          <w:iCs/>
          <w:szCs w:val="22"/>
        </w:rPr>
        <w:t>effects</w:t>
      </w:r>
      <w:r w:rsidRPr="008F6A8E">
        <w:rPr>
          <w:szCs w:val="22"/>
        </w:rPr>
        <w:t xml:space="preserve"> that result in:</w:t>
      </w:r>
    </w:p>
    <w:p w14:paraId="76A2CB9D" w14:textId="239CCD8E" w:rsidR="008B3E59" w:rsidRPr="008F6A8E" w:rsidRDefault="008B3E59" w:rsidP="00411B6E">
      <w:pPr>
        <w:ind w:left="1134" w:hanging="567"/>
        <w:jc w:val="both"/>
        <w:rPr>
          <w:szCs w:val="22"/>
          <w:u w:val="single"/>
        </w:rPr>
      </w:pPr>
      <w:r w:rsidRPr="008F6A8E">
        <w:rPr>
          <w:szCs w:val="22"/>
        </w:rPr>
        <w:t>(a)</w:t>
      </w:r>
      <w:r w:rsidRPr="008F6A8E">
        <w:rPr>
          <w:szCs w:val="22"/>
        </w:rPr>
        <w:tab/>
        <w:t xml:space="preserve">any reduction of the area or </w:t>
      </w:r>
      <w:r w:rsidRPr="008F6A8E">
        <w:rPr>
          <w:szCs w:val="22"/>
          <w:u w:val="single"/>
        </w:rPr>
        <w:t xml:space="preserve">indigenous </w:t>
      </w:r>
      <w:bookmarkStart w:id="179" w:name="_Hlk95733430"/>
      <w:r w:rsidRPr="008F6A8E">
        <w:rPr>
          <w:i/>
          <w:iCs/>
          <w:szCs w:val="22"/>
          <w:u w:val="single"/>
        </w:rPr>
        <w:t>biodiversity</w:t>
      </w:r>
      <w:r w:rsidRPr="008F6A8E">
        <w:rPr>
          <w:rStyle w:val="FootnoteReference"/>
          <w:szCs w:val="22"/>
        </w:rPr>
        <w:footnoteReference w:id="1019"/>
      </w:r>
      <w:r w:rsidRPr="008F6A8E">
        <w:rPr>
          <w:szCs w:val="22"/>
        </w:rPr>
        <w:t xml:space="preserve"> values </w:t>
      </w:r>
      <w:r w:rsidRPr="008F6A8E">
        <w:rPr>
          <w:szCs w:val="22"/>
          <w:u w:val="single"/>
        </w:rPr>
        <w:t>identified and mapped under ECO</w:t>
      </w:r>
      <w:r w:rsidR="00B94E65">
        <w:rPr>
          <w:u w:val="single"/>
        </w:rPr>
        <w:t>-</w:t>
      </w:r>
      <w:r w:rsidRPr="008F6A8E">
        <w:rPr>
          <w:szCs w:val="22"/>
          <w:u w:val="single"/>
        </w:rPr>
        <w:t>P2(1),</w:t>
      </w:r>
      <w:r w:rsidRPr="008F6A8E">
        <w:rPr>
          <w:rStyle w:val="FootnoteReference"/>
          <w:szCs w:val="22"/>
        </w:rPr>
        <w:footnoteReference w:id="1020"/>
      </w:r>
      <w:r w:rsidRPr="008F6A8E">
        <w:rPr>
          <w:szCs w:val="22"/>
        </w:rPr>
        <w:t xml:space="preserve"> (even if those values are not themselves significant</w:t>
      </w:r>
      <w:r w:rsidRPr="008F6A8E">
        <w:rPr>
          <w:szCs w:val="22"/>
          <w:u w:val="single"/>
        </w:rPr>
        <w:t xml:space="preserve"> but contribute to an area being identified as a </w:t>
      </w:r>
      <w:r w:rsidRPr="008F6A8E">
        <w:rPr>
          <w:i/>
          <w:iCs/>
          <w:szCs w:val="22"/>
          <w:u w:val="single"/>
        </w:rPr>
        <w:t>significant natural area</w:t>
      </w:r>
      <w:r w:rsidRPr="008F6A8E">
        <w:rPr>
          <w:rStyle w:val="FootnoteReference"/>
          <w:szCs w:val="22"/>
        </w:rPr>
        <w:footnoteReference w:id="1021"/>
      </w:r>
      <w:r w:rsidRPr="008F6A8E">
        <w:rPr>
          <w:szCs w:val="22"/>
        </w:rPr>
        <w:t xml:space="preserve">) </w:t>
      </w:r>
      <w:r w:rsidRPr="008F6A8E">
        <w:rPr>
          <w:strike/>
          <w:szCs w:val="22"/>
        </w:rPr>
        <w:t>identified under ECO–P2(1)</w:t>
      </w:r>
      <w:r w:rsidRPr="008F6A8E">
        <w:rPr>
          <w:szCs w:val="22"/>
        </w:rPr>
        <w:t xml:space="preserve">, </w:t>
      </w:r>
      <w:r w:rsidRPr="008F6A8E">
        <w:rPr>
          <w:strike/>
          <w:szCs w:val="22"/>
        </w:rPr>
        <w:t>or</w:t>
      </w:r>
      <w:r w:rsidRPr="00B94E65">
        <w:rPr>
          <w:rStyle w:val="FootnoteReference"/>
          <w:szCs w:val="22"/>
        </w:rPr>
        <w:footnoteReference w:id="1022"/>
      </w:r>
      <w:r w:rsidR="00B94E65" w:rsidRPr="00B94E65">
        <w:t xml:space="preserve"> </w:t>
      </w:r>
      <w:r w:rsidRPr="008F6A8E">
        <w:rPr>
          <w:szCs w:val="22"/>
          <w:u w:val="single"/>
        </w:rPr>
        <w:t>and</w:t>
      </w:r>
      <w:bookmarkEnd w:id="179"/>
    </w:p>
    <w:p w14:paraId="5E6A311B" w14:textId="15089DB0" w:rsidR="008B3E59" w:rsidRPr="008F6A8E" w:rsidRDefault="008B3E59" w:rsidP="00411B6E">
      <w:pPr>
        <w:ind w:left="1134" w:hanging="567"/>
        <w:jc w:val="both"/>
        <w:rPr>
          <w:szCs w:val="22"/>
        </w:rPr>
      </w:pPr>
      <w:r w:rsidRPr="008F6A8E">
        <w:rPr>
          <w:szCs w:val="22"/>
        </w:rPr>
        <w:t>(b)</w:t>
      </w:r>
      <w:r w:rsidRPr="008F6A8E">
        <w:rPr>
          <w:szCs w:val="22"/>
        </w:rPr>
        <w:tab/>
        <w:t xml:space="preserve">any loss of </w:t>
      </w:r>
      <w:r w:rsidRPr="008F6A8E">
        <w:rPr>
          <w:strike/>
          <w:szCs w:val="22"/>
        </w:rPr>
        <w:t>Kāi Tahu</w:t>
      </w:r>
      <w:r w:rsidRPr="008F6A8E">
        <w:rPr>
          <w:szCs w:val="22"/>
        </w:rPr>
        <w:t xml:space="preserve"> </w:t>
      </w:r>
      <w:r w:rsidRPr="008F6A8E">
        <w:rPr>
          <w:szCs w:val="22"/>
          <w:u w:val="single"/>
        </w:rPr>
        <w:t>taoka</w:t>
      </w:r>
      <w:r w:rsidRPr="008F6A8E">
        <w:rPr>
          <w:rStyle w:val="FootnoteReference"/>
          <w:szCs w:val="22"/>
        </w:rPr>
        <w:footnoteReference w:id="1023"/>
      </w:r>
      <w:r w:rsidRPr="008F6A8E">
        <w:rPr>
          <w:szCs w:val="22"/>
        </w:rPr>
        <w:t xml:space="preserve"> values</w:t>
      </w:r>
      <w:r w:rsidRPr="008F6A8E">
        <w:rPr>
          <w:szCs w:val="22"/>
          <w:u w:val="single"/>
        </w:rPr>
        <w:t xml:space="preserve"> identified and mapped under ECO</w:t>
      </w:r>
      <w:r w:rsidR="00B94E65">
        <w:rPr>
          <w:u w:val="single"/>
        </w:rPr>
        <w:t>-</w:t>
      </w:r>
      <w:r w:rsidRPr="008F6A8E">
        <w:rPr>
          <w:szCs w:val="22"/>
          <w:u w:val="single"/>
        </w:rPr>
        <w:t>P2(2)</w:t>
      </w:r>
      <w:r w:rsidRPr="008F6A8E">
        <w:rPr>
          <w:rStyle w:val="FootnoteReference"/>
          <w:szCs w:val="22"/>
        </w:rPr>
        <w:footnoteReference w:id="1024"/>
      </w:r>
      <w:r w:rsidRPr="008F6A8E">
        <w:rPr>
          <w:szCs w:val="22"/>
        </w:rPr>
        <w:t>, and</w:t>
      </w:r>
    </w:p>
    <w:p w14:paraId="2AEAC861" w14:textId="2DC691BF" w:rsidR="008B3E59" w:rsidRPr="008F6A8E" w:rsidRDefault="008B3E59" w:rsidP="00411B6E">
      <w:pPr>
        <w:ind w:left="567" w:hanging="567"/>
        <w:jc w:val="both"/>
        <w:rPr>
          <w:szCs w:val="22"/>
        </w:rPr>
      </w:pPr>
      <w:r w:rsidRPr="008F6A8E">
        <w:rPr>
          <w:szCs w:val="22"/>
        </w:rPr>
        <w:t>(2)</w:t>
      </w:r>
      <w:r w:rsidRPr="008F6A8E">
        <w:rPr>
          <w:szCs w:val="22"/>
        </w:rPr>
        <w:tab/>
        <w:t xml:space="preserve">after (1), applying the </w:t>
      </w:r>
      <w:r w:rsidRPr="008F6A8E">
        <w:rPr>
          <w:strike/>
          <w:szCs w:val="22"/>
        </w:rPr>
        <w:t>biodiversity</w:t>
      </w:r>
      <w:r w:rsidRPr="008F6A8E">
        <w:rPr>
          <w:szCs w:val="22"/>
        </w:rPr>
        <w:t xml:space="preserve"> </w:t>
      </w:r>
      <w:r w:rsidRPr="008F6A8E">
        <w:rPr>
          <w:i/>
          <w:iCs/>
          <w:szCs w:val="22"/>
          <w:u w:val="single"/>
        </w:rPr>
        <w:t xml:space="preserve">effects management hierarchy (in relation </w:t>
      </w:r>
      <w:r w:rsidRPr="008F6A8E">
        <w:rPr>
          <w:i/>
          <w:szCs w:val="22"/>
          <w:u w:val="single"/>
        </w:rPr>
        <w:t>to indigenous biodiversity</w:t>
      </w:r>
      <w:r w:rsidR="00574AB3" w:rsidRPr="00574AB3">
        <w:rPr>
          <w:rFonts w:ascii="Arial" w:hAnsi="Arial" w:cs="Arial"/>
          <w:i/>
          <w:iCs/>
          <w:u w:val="single"/>
        </w:rPr>
        <w:t>)</w:t>
      </w:r>
      <w:r w:rsidRPr="008F6A8E">
        <w:rPr>
          <w:rStyle w:val="FootnoteReference"/>
          <w:iCs/>
          <w:szCs w:val="22"/>
        </w:rPr>
        <w:footnoteReference w:id="1025"/>
      </w:r>
      <w:r w:rsidR="00574AB3" w:rsidRPr="00574AB3">
        <w:rPr>
          <w:rFonts w:ascii="Arial" w:hAnsi="Arial" w:cs="Arial"/>
          <w:i/>
          <w:iCs/>
        </w:rPr>
        <w:t xml:space="preserve"> </w:t>
      </w:r>
      <w:r w:rsidRPr="00574AB3">
        <w:rPr>
          <w:szCs w:val="22"/>
        </w:rPr>
        <w:t>in</w:t>
      </w:r>
      <w:r w:rsidRPr="008F6A8E">
        <w:rPr>
          <w:szCs w:val="22"/>
        </w:rPr>
        <w:t xml:space="preserve"> ECO</w:t>
      </w:r>
      <w:r w:rsidR="00B94E65">
        <w:t>-</w:t>
      </w:r>
      <w:r w:rsidRPr="008F6A8E">
        <w:rPr>
          <w:szCs w:val="22"/>
        </w:rPr>
        <w:t>P6, and</w:t>
      </w:r>
    </w:p>
    <w:p w14:paraId="0C15F67A" w14:textId="69FE344D" w:rsidR="008B3E59" w:rsidRPr="00972B9F" w:rsidRDefault="008B3E59" w:rsidP="00411B6E">
      <w:pPr>
        <w:ind w:left="567" w:hanging="567"/>
        <w:jc w:val="both"/>
        <w:rPr>
          <w:szCs w:val="22"/>
        </w:rPr>
      </w:pPr>
      <w:r w:rsidRPr="008F6A8E">
        <w:rPr>
          <w:szCs w:val="22"/>
        </w:rPr>
        <w:t>(3)</w:t>
      </w:r>
      <w:r w:rsidRPr="008F6A8E">
        <w:rPr>
          <w:szCs w:val="22"/>
        </w:rPr>
        <w:tab/>
        <w:t xml:space="preserve">prior to </w:t>
      </w:r>
      <w:r w:rsidRPr="008F6A8E">
        <w:rPr>
          <w:i/>
          <w:iCs/>
          <w:szCs w:val="22"/>
        </w:rPr>
        <w:t>significant natural areas</w:t>
      </w:r>
      <w:r w:rsidRPr="008F6A8E">
        <w:rPr>
          <w:szCs w:val="22"/>
        </w:rPr>
        <w:t xml:space="preserve"> and indigenous species and ecosystems that are taoka being identified</w:t>
      </w:r>
      <w:r w:rsidRPr="008F6A8E">
        <w:rPr>
          <w:szCs w:val="22"/>
          <w:u w:val="single"/>
        </w:rPr>
        <w:t xml:space="preserve"> and mapped</w:t>
      </w:r>
      <w:r w:rsidRPr="002A50A7">
        <w:rPr>
          <w:rStyle w:val="FootnoteReference"/>
          <w:szCs w:val="22"/>
        </w:rPr>
        <w:footnoteReference w:id="1026"/>
      </w:r>
      <w:r w:rsidRPr="002A50A7">
        <w:rPr>
          <w:szCs w:val="22"/>
        </w:rPr>
        <w:t xml:space="preserve"> in accordance with ECO</w:t>
      </w:r>
      <w:r w:rsidR="00B94E65">
        <w:t>-</w:t>
      </w:r>
      <w:r w:rsidRPr="002A50A7">
        <w:rPr>
          <w:szCs w:val="22"/>
        </w:rPr>
        <w:t xml:space="preserve">P2, adopt a precautionary approach towards activities in accordance with </w:t>
      </w:r>
      <w:r w:rsidRPr="002A50A7">
        <w:rPr>
          <w:strike/>
          <w:szCs w:val="22"/>
        </w:rPr>
        <w:t>IM–P15</w:t>
      </w:r>
      <w:r w:rsidRPr="002A50A7">
        <w:rPr>
          <w:szCs w:val="22"/>
          <w:u w:val="single"/>
        </w:rPr>
        <w:t>IM</w:t>
      </w:r>
      <w:r w:rsidR="00B94E65">
        <w:rPr>
          <w:u w:val="single"/>
        </w:rPr>
        <w:t>-</w:t>
      </w:r>
      <w:r w:rsidRPr="002A50A7">
        <w:rPr>
          <w:szCs w:val="22"/>
          <w:u w:val="single"/>
        </w:rPr>
        <w:t>P6(2)</w:t>
      </w:r>
      <w:r w:rsidR="00B94E65" w:rsidRPr="00972B9F">
        <w:rPr>
          <w:szCs w:val="22"/>
        </w:rPr>
        <w:t>.</w:t>
      </w:r>
      <w:r w:rsidRPr="00972B9F">
        <w:rPr>
          <w:rStyle w:val="FootnoteReference"/>
          <w:szCs w:val="22"/>
        </w:rPr>
        <w:footnoteReference w:id="1027"/>
      </w:r>
      <w:r w:rsidRPr="00972B9F">
        <w:rPr>
          <w:szCs w:val="22"/>
        </w:rPr>
        <w:t xml:space="preserve"> </w:t>
      </w:r>
    </w:p>
    <w:p w14:paraId="0C387745" w14:textId="18969389" w:rsidR="00080A9A" w:rsidRDefault="00080A9A" w:rsidP="00080A9A">
      <w:pPr>
        <w:pStyle w:val="Heading4"/>
      </w:pPr>
      <w:r>
        <w:lastRenderedPageBreak/>
        <w:t>ECO-P4 – Provision for new activities</w:t>
      </w:r>
    </w:p>
    <w:p w14:paraId="4504D810" w14:textId="302B3000" w:rsidR="005E0FED" w:rsidRPr="00DC2E4E" w:rsidRDefault="005E0FED" w:rsidP="00796584">
      <w:pPr>
        <w:jc w:val="both"/>
        <w:rPr>
          <w:rFonts w:eastAsia="National-Book" w:cs="Times New Roman"/>
          <w:szCs w:val="22"/>
        </w:rPr>
      </w:pPr>
      <w:r w:rsidRPr="00DC2E4E">
        <w:rPr>
          <w:rFonts w:eastAsia="National-Book" w:cs="Times New Roman"/>
          <w:szCs w:val="22"/>
        </w:rPr>
        <w:t xml:space="preserve">Maintain Otago’s indigenous </w:t>
      </w:r>
      <w:r w:rsidRPr="00DC2E4E">
        <w:rPr>
          <w:rFonts w:eastAsia="National-Book" w:cs="Times New Roman"/>
          <w:i/>
          <w:iCs/>
          <w:szCs w:val="22"/>
        </w:rPr>
        <w:t>biodiversity</w:t>
      </w:r>
      <w:r w:rsidRPr="00DC2E4E">
        <w:rPr>
          <w:rFonts w:eastAsia="National-Book" w:cs="Times New Roman"/>
          <w:szCs w:val="22"/>
        </w:rPr>
        <w:t xml:space="preserve"> by following the sequential steps in the </w:t>
      </w:r>
      <w:r w:rsidRPr="00DC2E4E">
        <w:rPr>
          <w:rFonts w:eastAsia="National-Book" w:cs="Times New Roman"/>
          <w:i/>
          <w:iCs/>
          <w:szCs w:val="22"/>
        </w:rPr>
        <w:t>effects management hierarchy</w:t>
      </w:r>
      <w:r w:rsidRPr="00DC2E4E">
        <w:rPr>
          <w:rFonts w:eastAsia="National-Book" w:cs="Times New Roman"/>
          <w:i/>
          <w:iCs/>
          <w:szCs w:val="22"/>
          <w:u w:val="single"/>
        </w:rPr>
        <w:t xml:space="preserve"> </w:t>
      </w:r>
      <w:r w:rsidRPr="00DC2E4E">
        <w:rPr>
          <w:rFonts w:eastAsia="National-Book" w:cs="Times New Roman"/>
          <w:i/>
          <w:szCs w:val="22"/>
          <w:u w:val="single"/>
        </w:rPr>
        <w:t>(in relation to indigenous biodiversity)</w:t>
      </w:r>
      <w:r w:rsidRPr="00DC2E4E">
        <w:rPr>
          <w:rStyle w:val="FootnoteReference"/>
          <w:rFonts w:eastAsia="National-Book" w:cs="Times New Roman"/>
          <w:szCs w:val="22"/>
        </w:rPr>
        <w:footnoteReference w:id="1028"/>
      </w:r>
      <w:r w:rsidRPr="00DC2E4E">
        <w:rPr>
          <w:rFonts w:eastAsia="National-Book" w:cs="Times New Roman"/>
          <w:szCs w:val="22"/>
        </w:rPr>
        <w:t xml:space="preserve"> set out in ECO</w:t>
      </w:r>
      <w:r w:rsidR="00796584">
        <w:t>-</w:t>
      </w:r>
      <w:r w:rsidRPr="00DC2E4E">
        <w:rPr>
          <w:rFonts w:eastAsia="National-Book" w:cs="Times New Roman"/>
          <w:szCs w:val="22"/>
        </w:rPr>
        <w:t xml:space="preserve">P6 when making decisions on plans, applications for </w:t>
      </w:r>
      <w:r w:rsidRPr="00DC2E4E">
        <w:rPr>
          <w:rFonts w:eastAsia="National-Book" w:cs="Times New Roman"/>
          <w:i/>
          <w:iCs/>
          <w:szCs w:val="22"/>
        </w:rPr>
        <w:t>resource consent</w:t>
      </w:r>
      <w:r w:rsidRPr="00DC2E4E">
        <w:rPr>
          <w:rFonts w:eastAsia="National-Book" w:cs="Times New Roman"/>
          <w:szCs w:val="22"/>
        </w:rPr>
        <w:t xml:space="preserve"> or notices of requirement for the following activities in </w:t>
      </w:r>
      <w:r w:rsidRPr="00DC2E4E">
        <w:rPr>
          <w:rFonts w:eastAsia="National-Book" w:cs="Times New Roman"/>
          <w:i/>
          <w:iCs/>
          <w:szCs w:val="22"/>
        </w:rPr>
        <w:t xml:space="preserve">significant natural areas </w:t>
      </w:r>
      <w:r w:rsidRPr="00DC2E4E">
        <w:rPr>
          <w:rFonts w:eastAsia="National-Book" w:cs="Times New Roman"/>
          <w:szCs w:val="22"/>
          <w:u w:val="single"/>
        </w:rPr>
        <w:t>(outside the coastal environment)</w:t>
      </w:r>
      <w:r w:rsidR="00C50D0B" w:rsidRPr="00DC2E4E">
        <w:rPr>
          <w:rFonts w:eastAsia="National-Book" w:cs="Times New Roman"/>
          <w:szCs w:val="22"/>
        </w:rPr>
        <w:t>,</w:t>
      </w:r>
      <w:r w:rsidRPr="00DC2E4E">
        <w:rPr>
          <w:rStyle w:val="FootnoteReference"/>
          <w:rFonts w:eastAsia="National-Book" w:cs="Times New Roman"/>
          <w:szCs w:val="22"/>
        </w:rPr>
        <w:footnoteReference w:id="1029"/>
      </w:r>
      <w:r w:rsidRPr="00DC2E4E">
        <w:rPr>
          <w:rFonts w:eastAsia="National-Book" w:cs="Times New Roman"/>
          <w:szCs w:val="22"/>
        </w:rPr>
        <w:t xml:space="preserve"> or where they may adversely affect indigenous species and ecosystems that are taoka:</w:t>
      </w:r>
    </w:p>
    <w:p w14:paraId="65E1B853" w14:textId="77777777" w:rsidR="005E0FED" w:rsidRPr="00DC2E4E" w:rsidRDefault="005E0FED" w:rsidP="00C50D0B">
      <w:pPr>
        <w:ind w:left="567" w:hanging="567"/>
        <w:jc w:val="both"/>
        <w:rPr>
          <w:rFonts w:eastAsia="National-Book" w:cs="Times New Roman"/>
          <w:szCs w:val="22"/>
        </w:rPr>
      </w:pPr>
      <w:r w:rsidRPr="00DC2E4E">
        <w:rPr>
          <w:rFonts w:eastAsia="National-Book" w:cs="Times New Roman"/>
          <w:szCs w:val="22"/>
        </w:rPr>
        <w:t>(1)</w:t>
      </w:r>
      <w:r w:rsidRPr="00DC2E4E">
        <w:rPr>
          <w:rFonts w:eastAsia="National-Book" w:cs="Times New Roman"/>
          <w:szCs w:val="22"/>
        </w:rPr>
        <w:tab/>
        <w:t>the development</w:t>
      </w:r>
      <w:r w:rsidRPr="00DC2E4E">
        <w:rPr>
          <w:rFonts w:eastAsia="National-Book" w:cs="Times New Roman"/>
          <w:szCs w:val="22"/>
          <w:u w:val="single"/>
        </w:rPr>
        <w:t>, operation, maintenance</w:t>
      </w:r>
      <w:r w:rsidRPr="00DC2E4E">
        <w:rPr>
          <w:rStyle w:val="FootnoteReference"/>
          <w:rFonts w:eastAsia="National-Book" w:cs="Times New Roman"/>
          <w:szCs w:val="22"/>
        </w:rPr>
        <w:footnoteReference w:id="1030"/>
      </w:r>
      <w:r w:rsidRPr="00DC2E4E">
        <w:rPr>
          <w:rFonts w:eastAsia="National-Book" w:cs="Times New Roman"/>
          <w:szCs w:val="22"/>
        </w:rPr>
        <w:t xml:space="preserve"> or upgrade of </w:t>
      </w:r>
      <w:r w:rsidRPr="00DC2E4E">
        <w:rPr>
          <w:rFonts w:eastAsia="National-Book" w:cs="Times New Roman"/>
          <w:i/>
          <w:iCs/>
          <w:szCs w:val="22"/>
        </w:rPr>
        <w:t>nationally</w:t>
      </w:r>
      <w:r w:rsidRPr="00DC2E4E">
        <w:rPr>
          <w:rFonts w:eastAsia="National-Book" w:cs="Times New Roman"/>
          <w:i/>
          <w:iCs/>
          <w:szCs w:val="22"/>
          <w:u w:val="single"/>
        </w:rPr>
        <w:t xml:space="preserve"> significant infrastructure</w:t>
      </w:r>
      <w:r w:rsidRPr="00746D55">
        <w:rPr>
          <w:rStyle w:val="FootnoteReference"/>
          <w:rFonts w:eastAsia="National-Book" w:cs="Times New Roman"/>
          <w:szCs w:val="22"/>
        </w:rPr>
        <w:footnoteReference w:id="1031"/>
      </w:r>
      <w:r w:rsidRPr="00DC2E4E">
        <w:rPr>
          <w:rFonts w:eastAsia="National-Book" w:cs="Times New Roman"/>
          <w:i/>
          <w:iCs/>
          <w:szCs w:val="22"/>
        </w:rPr>
        <w:t xml:space="preserve"> </w:t>
      </w:r>
      <w:r w:rsidRPr="00DC2E4E">
        <w:rPr>
          <w:rFonts w:eastAsia="National-Book" w:cs="Times New Roman"/>
          <w:szCs w:val="22"/>
        </w:rPr>
        <w:t xml:space="preserve">and </w:t>
      </w:r>
      <w:r w:rsidRPr="00DC2E4E">
        <w:rPr>
          <w:rFonts w:eastAsia="National-Book" w:cs="Times New Roman"/>
          <w:i/>
          <w:iCs/>
          <w:szCs w:val="22"/>
        </w:rPr>
        <w:t>regionally significant infrastructure</w:t>
      </w:r>
      <w:r w:rsidRPr="00DC2E4E">
        <w:rPr>
          <w:rFonts w:eastAsia="National-Book" w:cs="Times New Roman"/>
          <w:szCs w:val="22"/>
        </w:rPr>
        <w:t xml:space="preserve"> that has a </w:t>
      </w:r>
      <w:r w:rsidRPr="00DC2E4E">
        <w:rPr>
          <w:rFonts w:eastAsia="National-Book" w:cs="Times New Roman"/>
          <w:i/>
          <w:iCs/>
          <w:szCs w:val="22"/>
        </w:rPr>
        <w:t xml:space="preserve">functional </w:t>
      </w:r>
      <w:r w:rsidRPr="00DC2E4E">
        <w:rPr>
          <w:rFonts w:eastAsia="National-Book" w:cs="Times New Roman"/>
          <w:i/>
          <w:iCs/>
          <w:szCs w:val="22"/>
          <w:u w:val="single"/>
        </w:rPr>
        <w:t>need</w:t>
      </w:r>
      <w:r w:rsidRPr="00746D55">
        <w:rPr>
          <w:rStyle w:val="FootnoteReference"/>
          <w:rFonts w:eastAsia="National-Book" w:cs="Times New Roman"/>
          <w:szCs w:val="22"/>
        </w:rPr>
        <w:footnoteReference w:id="1032"/>
      </w:r>
      <w:r w:rsidRPr="00DC2E4E">
        <w:rPr>
          <w:rFonts w:eastAsia="National-Book" w:cs="Times New Roman"/>
          <w:szCs w:val="22"/>
        </w:rPr>
        <w:t xml:space="preserve"> or </w:t>
      </w:r>
      <w:r w:rsidRPr="00DC2E4E">
        <w:rPr>
          <w:rFonts w:eastAsia="National-Book" w:cs="Times New Roman"/>
          <w:i/>
          <w:iCs/>
          <w:szCs w:val="22"/>
        </w:rPr>
        <w:t>operational need</w:t>
      </w:r>
      <w:r w:rsidRPr="00DC2E4E">
        <w:rPr>
          <w:rFonts w:eastAsia="National-Book" w:cs="Times New Roman"/>
          <w:szCs w:val="22"/>
        </w:rPr>
        <w:t xml:space="preserve"> to locate within the relevant </w:t>
      </w:r>
      <w:r w:rsidRPr="00DC2E4E">
        <w:rPr>
          <w:rFonts w:eastAsia="National-Book" w:cs="Times New Roman"/>
          <w:i/>
          <w:iCs/>
          <w:szCs w:val="22"/>
        </w:rPr>
        <w:t xml:space="preserve">significant natural area(s) </w:t>
      </w:r>
      <w:r w:rsidRPr="00DC2E4E">
        <w:rPr>
          <w:rFonts w:eastAsia="National-Book" w:cs="Times New Roman"/>
          <w:szCs w:val="22"/>
        </w:rPr>
        <w:t>or where they may adversely affect indigenous species or ecosystems that are taoka,</w:t>
      </w:r>
    </w:p>
    <w:p w14:paraId="1F69322E" w14:textId="09A37FC0" w:rsidR="005E0FED" w:rsidRPr="00DC2E4E" w:rsidRDefault="005E0FED" w:rsidP="00C50D0B">
      <w:pPr>
        <w:ind w:left="567" w:hanging="567"/>
        <w:jc w:val="both"/>
        <w:rPr>
          <w:rFonts w:eastAsia="National-Book" w:cs="Times New Roman"/>
          <w:szCs w:val="22"/>
        </w:rPr>
      </w:pPr>
      <w:r w:rsidRPr="00DC2E4E">
        <w:rPr>
          <w:rFonts w:eastAsia="National-Book" w:cs="Times New Roman"/>
          <w:szCs w:val="22"/>
        </w:rPr>
        <w:t>(2)</w:t>
      </w:r>
      <w:r w:rsidRPr="00DC2E4E">
        <w:rPr>
          <w:rFonts w:eastAsia="National-Book" w:cs="Times New Roman"/>
          <w:szCs w:val="22"/>
        </w:rPr>
        <w:tab/>
        <w:t xml:space="preserve">the development of </w:t>
      </w:r>
      <w:r w:rsidRPr="00DC2E4E">
        <w:rPr>
          <w:rFonts w:eastAsia="National-Book" w:cs="Times New Roman"/>
          <w:i/>
          <w:iCs/>
          <w:szCs w:val="22"/>
        </w:rPr>
        <w:t>papak</w:t>
      </w:r>
      <w:r w:rsidRPr="00DC2E4E">
        <w:rPr>
          <w:rFonts w:eastAsia="National-Book"/>
          <w:i/>
          <w:iCs/>
          <w:szCs w:val="22"/>
        </w:rPr>
        <w:t>ā</w:t>
      </w:r>
      <w:r w:rsidRPr="00DC2E4E">
        <w:rPr>
          <w:rFonts w:eastAsia="National-Book" w:cs="Times New Roman"/>
          <w:i/>
          <w:iCs/>
          <w:szCs w:val="22"/>
        </w:rPr>
        <w:t>ika</w:t>
      </w:r>
      <w:r w:rsidRPr="00DC2E4E">
        <w:rPr>
          <w:rFonts w:eastAsia="National-Book" w:cs="Times New Roman"/>
          <w:szCs w:val="22"/>
        </w:rPr>
        <w:t>, marae and ancillary facilities associated with customary activities on Māori land</w:t>
      </w:r>
      <w:r w:rsidR="00746D55" w:rsidRPr="00DC2E4E">
        <w:rPr>
          <w:rFonts w:eastAsia="National-Book" w:cs="Times New Roman"/>
          <w:szCs w:val="22"/>
        </w:rPr>
        <w:t>,</w:t>
      </w:r>
      <w:r w:rsidRPr="00DC2E4E">
        <w:rPr>
          <w:rStyle w:val="FootnoteReference"/>
          <w:rFonts w:eastAsia="National-Book" w:cs="Times New Roman"/>
          <w:szCs w:val="22"/>
          <w:highlight w:val="lightGray"/>
        </w:rPr>
        <w:footnoteReference w:id="1033"/>
      </w:r>
    </w:p>
    <w:p w14:paraId="21B6C303" w14:textId="1FC72702" w:rsidR="005E0FED" w:rsidRPr="00DC2E4E" w:rsidRDefault="005E0FED" w:rsidP="00C50D0B">
      <w:pPr>
        <w:ind w:left="567" w:hanging="567"/>
        <w:jc w:val="both"/>
        <w:rPr>
          <w:rFonts w:eastAsia="National-Book" w:cs="Times New Roman"/>
          <w:szCs w:val="22"/>
        </w:rPr>
      </w:pPr>
      <w:r w:rsidRPr="00DC2E4E">
        <w:rPr>
          <w:rFonts w:eastAsia="National-Book" w:cs="Times New Roman"/>
          <w:szCs w:val="22"/>
          <w:u w:val="single"/>
        </w:rPr>
        <w:t>(2</w:t>
      </w:r>
      <w:proofErr w:type="gramStart"/>
      <w:r w:rsidRPr="00DC2E4E">
        <w:rPr>
          <w:rFonts w:eastAsia="National-Book" w:cs="Times New Roman"/>
          <w:szCs w:val="22"/>
          <w:u w:val="single"/>
        </w:rPr>
        <w:t>A)</w:t>
      </w:r>
      <w:r w:rsidRPr="00DC2E4E">
        <w:rPr>
          <w:rFonts w:eastAsia="National-Book" w:cs="Times New Roman"/>
          <w:szCs w:val="22"/>
        </w:rPr>
        <w:t xml:space="preserve">   </w:t>
      </w:r>
      <w:proofErr w:type="gramEnd"/>
      <w:r w:rsidRPr="00DC2E4E">
        <w:rPr>
          <w:szCs w:val="22"/>
          <w:u w:val="single"/>
        </w:rPr>
        <w:t xml:space="preserve">the sustainable use of </w:t>
      </w:r>
      <w:r w:rsidRPr="00DC2E4E">
        <w:rPr>
          <w:i/>
          <w:iCs/>
          <w:szCs w:val="22"/>
          <w:u w:val="single"/>
        </w:rPr>
        <w:t>mahika kai</w:t>
      </w:r>
      <w:r w:rsidRPr="00DC2E4E">
        <w:rPr>
          <w:rStyle w:val="FootnoteReference"/>
          <w:szCs w:val="22"/>
          <w:u w:val="single"/>
        </w:rPr>
        <w:footnoteReference w:id="1034"/>
      </w:r>
      <w:r w:rsidRPr="00DC2E4E">
        <w:rPr>
          <w:szCs w:val="22"/>
          <w:u w:val="single"/>
        </w:rPr>
        <w:t xml:space="preserve"> and kaimoana </w:t>
      </w:r>
      <w:r w:rsidR="00132F17">
        <w:rPr>
          <w:u w:val="single"/>
        </w:rPr>
        <w:t xml:space="preserve">(seafood) </w:t>
      </w:r>
      <w:r w:rsidRPr="00DC2E4E">
        <w:rPr>
          <w:szCs w:val="22"/>
          <w:u w:val="single"/>
        </w:rPr>
        <w:t xml:space="preserve">by </w:t>
      </w:r>
      <w:r w:rsidRPr="00DC2E4E">
        <w:rPr>
          <w:i/>
          <w:szCs w:val="22"/>
          <w:u w:val="single"/>
        </w:rPr>
        <w:t>mana whenua</w:t>
      </w:r>
      <w:r w:rsidRPr="00DC2E4E">
        <w:rPr>
          <w:szCs w:val="22"/>
          <w:u w:val="single"/>
        </w:rPr>
        <w:t>,</w:t>
      </w:r>
      <w:r w:rsidRPr="00DC2E4E">
        <w:rPr>
          <w:rStyle w:val="FootnoteReference"/>
          <w:szCs w:val="22"/>
        </w:rPr>
        <w:footnoteReference w:id="1035"/>
      </w:r>
    </w:p>
    <w:p w14:paraId="7B641BAF" w14:textId="0AC613A9" w:rsidR="005E0FED" w:rsidRPr="00DC2E4E" w:rsidRDefault="005E0FED" w:rsidP="00C50D0B">
      <w:pPr>
        <w:ind w:left="567" w:hanging="567"/>
        <w:jc w:val="both"/>
        <w:rPr>
          <w:rFonts w:eastAsia="National-Book" w:cs="Times New Roman"/>
          <w:szCs w:val="22"/>
        </w:rPr>
      </w:pPr>
      <w:r w:rsidRPr="00DC2E4E">
        <w:rPr>
          <w:rFonts w:eastAsia="National-Book" w:cs="Times New Roman"/>
          <w:szCs w:val="22"/>
        </w:rPr>
        <w:t>(3)</w:t>
      </w:r>
      <w:r w:rsidRPr="00DC2E4E">
        <w:rPr>
          <w:szCs w:val="22"/>
        </w:rPr>
        <w:tab/>
      </w:r>
      <w:r w:rsidRPr="00DC2E4E">
        <w:rPr>
          <w:rFonts w:eastAsia="National-Book" w:cs="Times New Roman"/>
          <w:szCs w:val="22"/>
        </w:rPr>
        <w:t xml:space="preserve">the use of Māori land </w:t>
      </w:r>
      <w:r w:rsidRPr="00DC2E4E">
        <w:rPr>
          <w:rFonts w:eastAsia="National-Book" w:cs="Times New Roman"/>
          <w:strike/>
          <w:szCs w:val="22"/>
        </w:rPr>
        <w:t>in a way that will make a significant contribution</w:t>
      </w:r>
      <w:r w:rsidRPr="00DC2E4E">
        <w:rPr>
          <w:rStyle w:val="FootnoteReference"/>
          <w:rFonts w:eastAsia="National-Book" w:cs="Times New Roman"/>
          <w:szCs w:val="22"/>
        </w:rPr>
        <w:footnoteReference w:id="1036"/>
      </w:r>
      <w:r w:rsidRPr="00DC2E4E">
        <w:rPr>
          <w:rFonts w:eastAsia="National-Book" w:cs="Times New Roman"/>
          <w:szCs w:val="22"/>
        </w:rPr>
        <w:t xml:space="preserve"> to </w:t>
      </w:r>
      <w:r w:rsidRPr="00DC2E4E">
        <w:rPr>
          <w:rFonts w:eastAsia="National-Book" w:cs="Times New Roman"/>
          <w:szCs w:val="22"/>
          <w:u w:val="single"/>
        </w:rPr>
        <w:t xml:space="preserve">enable </w:t>
      </w:r>
      <w:r w:rsidRPr="00DC2E4E">
        <w:rPr>
          <w:rFonts w:eastAsia="National-Book" w:cs="Times New Roman"/>
          <w:i/>
          <w:szCs w:val="22"/>
          <w:u w:val="single"/>
        </w:rPr>
        <w:t>mana whenua</w:t>
      </w:r>
      <w:r w:rsidRPr="00DC2E4E">
        <w:rPr>
          <w:rFonts w:eastAsia="National-Book" w:cs="Times New Roman"/>
          <w:szCs w:val="22"/>
          <w:u w:val="single"/>
        </w:rPr>
        <w:t xml:space="preserve"> to maintain their connection to their whenua and</w:t>
      </w:r>
      <w:r w:rsidRPr="00DC2E4E">
        <w:rPr>
          <w:rFonts w:eastAsia="National-Book" w:cs="Times New Roman"/>
          <w:szCs w:val="22"/>
        </w:rPr>
        <w:t xml:space="preserve"> enhanc</w:t>
      </w:r>
      <w:r w:rsidRPr="00DC2E4E">
        <w:rPr>
          <w:rFonts w:eastAsia="National-Book" w:cs="Times New Roman"/>
          <w:szCs w:val="22"/>
          <w:u w:val="single"/>
        </w:rPr>
        <w:t>e</w:t>
      </w:r>
      <w:r w:rsidRPr="00DC2E4E">
        <w:rPr>
          <w:rFonts w:eastAsia="National-Book" w:cs="Times New Roman"/>
          <w:strike/>
          <w:szCs w:val="22"/>
        </w:rPr>
        <w:t>ing</w:t>
      </w:r>
      <w:r w:rsidRPr="00DC2E4E">
        <w:rPr>
          <w:rFonts w:eastAsia="National-Book" w:cs="Times New Roman"/>
          <w:szCs w:val="22"/>
        </w:rPr>
        <w:t xml:space="preserve"> </w:t>
      </w:r>
      <w:r w:rsidRPr="00DC2E4E">
        <w:rPr>
          <w:rFonts w:eastAsia="National-Book" w:cs="Times New Roman"/>
          <w:strike/>
          <w:szCs w:val="22"/>
        </w:rPr>
        <w:t>the</w:t>
      </w:r>
      <w:r w:rsidRPr="00DC2E4E">
        <w:rPr>
          <w:rStyle w:val="FootnoteReference"/>
          <w:rFonts w:eastAsia="National-Book" w:cs="Times New Roman"/>
          <w:szCs w:val="22"/>
        </w:rPr>
        <w:footnoteReference w:id="1037"/>
      </w:r>
      <w:r w:rsidRPr="00DC2E4E">
        <w:rPr>
          <w:rFonts w:eastAsia="National-Book" w:cs="Times New Roman"/>
          <w:szCs w:val="22"/>
        </w:rPr>
        <w:t xml:space="preserve"> social, </w:t>
      </w:r>
      <w:proofErr w:type="gramStart"/>
      <w:r w:rsidRPr="00DC2E4E">
        <w:rPr>
          <w:rFonts w:eastAsia="National-Book" w:cs="Times New Roman"/>
          <w:szCs w:val="22"/>
        </w:rPr>
        <w:t>cultural</w:t>
      </w:r>
      <w:proofErr w:type="gramEnd"/>
      <w:r w:rsidRPr="00DC2E4E">
        <w:rPr>
          <w:rFonts w:eastAsia="National-Book" w:cs="Times New Roman"/>
          <w:szCs w:val="22"/>
        </w:rPr>
        <w:t xml:space="preserve"> or economic well-being</w:t>
      </w:r>
      <w:r w:rsidR="00066806" w:rsidRPr="00066806">
        <w:rPr>
          <w:rFonts w:eastAsia="National-Book" w:cs="Times New Roman"/>
          <w:szCs w:val="22"/>
          <w:u w:val="single"/>
        </w:rPr>
        <w:t>,</w:t>
      </w:r>
      <w:r w:rsidRPr="00DC2E4E">
        <w:rPr>
          <w:rFonts w:eastAsia="National-Book" w:cs="Times New Roman"/>
          <w:szCs w:val="22"/>
        </w:rPr>
        <w:t xml:space="preserve"> </w:t>
      </w:r>
      <w:r w:rsidRPr="00DC2E4E">
        <w:rPr>
          <w:rFonts w:eastAsia="National-Book" w:cs="Times New Roman"/>
          <w:strike/>
          <w:szCs w:val="22"/>
        </w:rPr>
        <w:t xml:space="preserve">of </w:t>
      </w:r>
      <w:r w:rsidRPr="00DC2E4E">
        <w:rPr>
          <w:rFonts w:eastAsia="National-Book" w:cs="Times New Roman"/>
          <w:i/>
          <w:iCs/>
          <w:strike/>
          <w:szCs w:val="22"/>
        </w:rPr>
        <w:t>takata whenua</w:t>
      </w:r>
      <w:r w:rsidR="00066806">
        <w:rPr>
          <w:rFonts w:eastAsia="National-Book" w:cs="Times New Roman"/>
          <w:i/>
          <w:iCs/>
          <w:strike/>
        </w:rPr>
        <w:t>,</w:t>
      </w:r>
      <w:r w:rsidRPr="00DC2E4E">
        <w:rPr>
          <w:rStyle w:val="FootnoteReference"/>
          <w:rFonts w:eastAsia="National-Book" w:cs="Times New Roman"/>
          <w:szCs w:val="22"/>
        </w:rPr>
        <w:footnoteReference w:id="1038"/>
      </w:r>
    </w:p>
    <w:p w14:paraId="4A87015C" w14:textId="77777777" w:rsidR="005E0FED" w:rsidRPr="00DC2E4E" w:rsidRDefault="005E0FED" w:rsidP="00C50D0B">
      <w:pPr>
        <w:ind w:left="567" w:hanging="567"/>
        <w:jc w:val="both"/>
        <w:rPr>
          <w:rFonts w:eastAsia="National-Book" w:cs="Times New Roman"/>
          <w:szCs w:val="22"/>
        </w:rPr>
      </w:pPr>
      <w:r w:rsidRPr="00DC2E4E">
        <w:rPr>
          <w:rFonts w:eastAsia="National-Book" w:cs="Times New Roman"/>
          <w:szCs w:val="22"/>
        </w:rPr>
        <w:t>(4)</w:t>
      </w:r>
      <w:r w:rsidRPr="00DC2E4E">
        <w:rPr>
          <w:szCs w:val="22"/>
        </w:rPr>
        <w:tab/>
      </w:r>
      <w:r w:rsidRPr="00DC2E4E">
        <w:rPr>
          <w:rFonts w:eastAsia="National-Book" w:cs="Times New Roman"/>
          <w:szCs w:val="22"/>
        </w:rPr>
        <w:t xml:space="preserve">activities that are for the purpose of protecting, </w:t>
      </w:r>
      <w:proofErr w:type="gramStart"/>
      <w:r w:rsidRPr="00DC2E4E">
        <w:rPr>
          <w:rFonts w:eastAsia="National-Book" w:cs="Times New Roman"/>
          <w:szCs w:val="22"/>
        </w:rPr>
        <w:t>restoring</w:t>
      </w:r>
      <w:proofErr w:type="gramEnd"/>
      <w:r w:rsidRPr="00DC2E4E">
        <w:rPr>
          <w:rFonts w:eastAsia="National-Book" w:cs="Times New Roman"/>
          <w:szCs w:val="22"/>
        </w:rPr>
        <w:t xml:space="preserve"> or enhancing a </w:t>
      </w:r>
      <w:r w:rsidRPr="00DC2E4E">
        <w:rPr>
          <w:rFonts w:eastAsia="National-Book" w:cs="Times New Roman"/>
          <w:i/>
          <w:iCs/>
          <w:szCs w:val="22"/>
        </w:rPr>
        <w:t xml:space="preserve">significant natural area </w:t>
      </w:r>
      <w:r w:rsidRPr="00DC2E4E">
        <w:rPr>
          <w:rFonts w:eastAsia="National-Book" w:cs="Times New Roman"/>
          <w:szCs w:val="22"/>
        </w:rPr>
        <w:t>or indigenous species or ecosystems that are taoka, or</w:t>
      </w:r>
    </w:p>
    <w:p w14:paraId="55AC7DBC" w14:textId="6BECE507" w:rsidR="00080A9A" w:rsidRDefault="005E0FED" w:rsidP="00C50D0B">
      <w:pPr>
        <w:ind w:left="567" w:hanging="567"/>
        <w:jc w:val="both"/>
        <w:rPr>
          <w:rFonts w:eastAsia="National-Book" w:cs="Times New Roman"/>
        </w:rPr>
      </w:pPr>
      <w:r w:rsidRPr="00DC2E4E">
        <w:rPr>
          <w:rFonts w:eastAsia="National-Book" w:cs="Times New Roman"/>
          <w:szCs w:val="22"/>
        </w:rPr>
        <w:t>(5)</w:t>
      </w:r>
      <w:r w:rsidRPr="00DC2E4E">
        <w:rPr>
          <w:rFonts w:eastAsia="National-Book" w:cs="Times New Roman"/>
          <w:szCs w:val="22"/>
        </w:rPr>
        <w:tab/>
        <w:t xml:space="preserve">activities that are for the purpose of addressing a severe </w:t>
      </w:r>
      <w:r w:rsidRPr="00DC2E4E">
        <w:rPr>
          <w:rFonts w:eastAsia="National-Book" w:cs="Times New Roman"/>
          <w:strike/>
          <w:szCs w:val="22"/>
        </w:rPr>
        <w:t>and</w:t>
      </w:r>
      <w:r w:rsidR="00066806" w:rsidRPr="00066806">
        <w:rPr>
          <w:rFonts w:eastAsia="National-Book" w:cs="Times New Roman"/>
        </w:rPr>
        <w:t xml:space="preserve"> </w:t>
      </w:r>
      <w:r w:rsidRPr="00DC2E4E">
        <w:rPr>
          <w:rFonts w:eastAsia="National-Book" w:cs="Times New Roman"/>
          <w:szCs w:val="22"/>
          <w:u w:val="single"/>
        </w:rPr>
        <w:t>or</w:t>
      </w:r>
      <w:r w:rsidRPr="00DC2E4E">
        <w:rPr>
          <w:rStyle w:val="FootnoteReference"/>
          <w:rFonts w:eastAsia="National-Book" w:cs="Times New Roman"/>
          <w:szCs w:val="22"/>
        </w:rPr>
        <w:footnoteReference w:id="1039"/>
      </w:r>
      <w:r w:rsidRPr="00DC2E4E">
        <w:rPr>
          <w:rFonts w:eastAsia="National-Book" w:cs="Times New Roman"/>
          <w:szCs w:val="22"/>
        </w:rPr>
        <w:t xml:space="preserve"> immediate </w:t>
      </w:r>
      <w:r w:rsidRPr="00DC2E4E">
        <w:rPr>
          <w:rFonts w:eastAsia="National-Book" w:cs="Times New Roman"/>
          <w:i/>
          <w:iCs/>
          <w:szCs w:val="22"/>
        </w:rPr>
        <w:t>risk</w:t>
      </w:r>
      <w:r w:rsidRPr="00DC2E4E">
        <w:rPr>
          <w:rFonts w:eastAsia="National-Book" w:cs="Times New Roman"/>
          <w:szCs w:val="22"/>
        </w:rPr>
        <w:t xml:space="preserve"> to public health or safety.</w:t>
      </w:r>
    </w:p>
    <w:p w14:paraId="55607A00" w14:textId="062D5D32" w:rsidR="00080A9A" w:rsidRDefault="00080A9A" w:rsidP="00080A9A">
      <w:pPr>
        <w:pStyle w:val="Heading4"/>
      </w:pPr>
      <w:r>
        <w:t xml:space="preserve">ECO-P5 – Existing activities in </w:t>
      </w:r>
      <w:r w:rsidRPr="00CB7F1D">
        <w:rPr>
          <w:i/>
        </w:rPr>
        <w:t>significant natural areas</w:t>
      </w:r>
    </w:p>
    <w:p w14:paraId="52856D7B" w14:textId="77777777" w:rsidR="0090206A" w:rsidRPr="00962671" w:rsidRDefault="0090206A" w:rsidP="0090206A">
      <w:pPr>
        <w:jc w:val="both"/>
        <w:rPr>
          <w:rFonts w:eastAsia="National-Book" w:cs="Times New Roman"/>
          <w:szCs w:val="22"/>
        </w:rPr>
      </w:pPr>
      <w:r w:rsidRPr="00962671">
        <w:rPr>
          <w:rFonts w:eastAsia="National-Book" w:cs="Times New Roman"/>
          <w:strike/>
          <w:szCs w:val="22"/>
        </w:rPr>
        <w:t>Except as provided for by ECO</w:t>
      </w:r>
      <w:r w:rsidRPr="00962671">
        <w:rPr>
          <w:strike/>
          <w:szCs w:val="22"/>
        </w:rPr>
        <w:t>–</w:t>
      </w:r>
      <w:r w:rsidRPr="00962671">
        <w:rPr>
          <w:rFonts w:eastAsia="National-Book" w:cs="Times New Roman"/>
          <w:strike/>
          <w:szCs w:val="22"/>
        </w:rPr>
        <w:t>P4,</w:t>
      </w:r>
      <w:r w:rsidRPr="00962671">
        <w:rPr>
          <w:rFonts w:eastAsia="National-Book" w:cs="Times New Roman"/>
          <w:szCs w:val="22"/>
        </w:rPr>
        <w:t xml:space="preserve"> </w:t>
      </w:r>
      <w:r w:rsidRPr="00962671">
        <w:rPr>
          <w:rFonts w:eastAsia="National-Book" w:cs="Times New Roman"/>
          <w:strike/>
          <w:szCs w:val="22"/>
        </w:rPr>
        <w:t>p</w:t>
      </w:r>
      <w:r w:rsidRPr="00962671">
        <w:rPr>
          <w:rFonts w:eastAsia="National-Book" w:cs="Times New Roman"/>
          <w:szCs w:val="22"/>
          <w:u w:val="single"/>
        </w:rPr>
        <w:t>P</w:t>
      </w:r>
      <w:r w:rsidRPr="00962671">
        <w:rPr>
          <w:rFonts w:eastAsia="National-Book" w:cs="Times New Roman"/>
          <w:szCs w:val="22"/>
        </w:rPr>
        <w:t>rovide</w:t>
      </w:r>
      <w:r w:rsidRPr="00962671">
        <w:rPr>
          <w:rStyle w:val="FootnoteReference"/>
          <w:rFonts w:eastAsia="National-Book" w:cs="Times New Roman"/>
          <w:szCs w:val="22"/>
        </w:rPr>
        <w:footnoteReference w:id="1040"/>
      </w:r>
      <w:r w:rsidRPr="00962671">
        <w:rPr>
          <w:rFonts w:eastAsia="National-Book" w:cs="Times New Roman"/>
          <w:szCs w:val="22"/>
        </w:rPr>
        <w:t xml:space="preserve">  for existing activities </w:t>
      </w:r>
      <w:r w:rsidRPr="00962671">
        <w:rPr>
          <w:rFonts w:eastAsia="National-Book" w:cs="Times New Roman"/>
          <w:szCs w:val="22"/>
          <w:u w:val="single"/>
        </w:rPr>
        <w:t>that are lawfully established</w:t>
      </w:r>
      <w:r w:rsidRPr="00ED3F80">
        <w:rPr>
          <w:rStyle w:val="FootnoteReference"/>
          <w:rFonts w:eastAsia="National-Book" w:cs="Times New Roman"/>
          <w:szCs w:val="22"/>
        </w:rPr>
        <w:footnoteReference w:id="1041"/>
      </w:r>
      <w:r w:rsidRPr="00ED3F80">
        <w:rPr>
          <w:rFonts w:eastAsia="National-Book" w:cs="Times New Roman"/>
          <w:szCs w:val="22"/>
        </w:rPr>
        <w:t xml:space="preserve"> </w:t>
      </w:r>
      <w:r w:rsidRPr="00962671">
        <w:rPr>
          <w:rFonts w:eastAsia="National-Book" w:cs="Times New Roman"/>
          <w:szCs w:val="22"/>
        </w:rPr>
        <w:t xml:space="preserve">within </w:t>
      </w:r>
      <w:r w:rsidRPr="00962671">
        <w:rPr>
          <w:rFonts w:eastAsia="National-Book" w:cs="Times New Roman"/>
          <w:i/>
          <w:iCs/>
          <w:szCs w:val="22"/>
        </w:rPr>
        <w:t xml:space="preserve">significant natural areas </w:t>
      </w:r>
      <w:r w:rsidRPr="00962671">
        <w:rPr>
          <w:rFonts w:eastAsia="National-Book" w:cs="Times New Roman"/>
          <w:szCs w:val="22"/>
          <w:u w:val="single"/>
        </w:rPr>
        <w:t>(outside the coastal environment)</w:t>
      </w:r>
      <w:r w:rsidRPr="00962671">
        <w:rPr>
          <w:rStyle w:val="FootnoteReference"/>
          <w:rFonts w:eastAsia="National-Book" w:cs="Times New Roman"/>
          <w:szCs w:val="22"/>
        </w:rPr>
        <w:footnoteReference w:id="1042"/>
      </w:r>
      <w:r w:rsidRPr="00962671">
        <w:rPr>
          <w:rFonts w:eastAsia="National-Book" w:cs="Times New Roman"/>
          <w:szCs w:val="22"/>
        </w:rPr>
        <w:t xml:space="preserve"> and that may adversely affect indigenous species and ecosystems that are taoka, if:</w:t>
      </w:r>
    </w:p>
    <w:p w14:paraId="63C5E185" w14:textId="77777777" w:rsidR="0090206A" w:rsidRPr="00962671" w:rsidRDefault="0090206A" w:rsidP="0090206A">
      <w:pPr>
        <w:ind w:left="567" w:hanging="567"/>
        <w:jc w:val="both"/>
        <w:rPr>
          <w:rFonts w:eastAsia="National-Book" w:cs="Times New Roman"/>
          <w:szCs w:val="22"/>
        </w:rPr>
      </w:pPr>
      <w:r w:rsidRPr="00962671">
        <w:rPr>
          <w:rFonts w:eastAsia="National-Book" w:cs="Times New Roman"/>
          <w:szCs w:val="22"/>
        </w:rPr>
        <w:t>(1)</w:t>
      </w:r>
      <w:r w:rsidRPr="00962671">
        <w:rPr>
          <w:rFonts w:eastAsia="National-Book" w:cs="Times New Roman"/>
          <w:szCs w:val="22"/>
        </w:rPr>
        <w:tab/>
        <w:t>the continuation</w:t>
      </w:r>
      <w:r w:rsidRPr="00962671">
        <w:rPr>
          <w:rFonts w:eastAsia="National-Book" w:cs="Times New Roman"/>
          <w:szCs w:val="22"/>
          <w:u w:val="single"/>
        </w:rPr>
        <w:t>, maintenance and minor upgrades</w:t>
      </w:r>
      <w:r w:rsidRPr="00962671">
        <w:rPr>
          <w:rFonts w:eastAsia="National-Book" w:cs="Times New Roman"/>
          <w:szCs w:val="22"/>
        </w:rPr>
        <w:t xml:space="preserve"> of an existing activity </w:t>
      </w:r>
      <w:r w:rsidRPr="00962671">
        <w:rPr>
          <w:rFonts w:eastAsia="National-Book" w:cs="Times New Roman"/>
          <w:szCs w:val="22"/>
          <w:u w:val="single"/>
        </w:rPr>
        <w:t>that is lawfully established</w:t>
      </w:r>
      <w:r w:rsidRPr="00ED3F80">
        <w:rPr>
          <w:rStyle w:val="FootnoteReference"/>
          <w:rFonts w:eastAsia="National-Book" w:cs="Times New Roman"/>
          <w:szCs w:val="22"/>
        </w:rPr>
        <w:footnoteReference w:id="1043"/>
      </w:r>
      <w:r w:rsidRPr="00962671">
        <w:rPr>
          <w:rFonts w:eastAsia="National-Book" w:cs="Times New Roman"/>
          <w:szCs w:val="22"/>
        </w:rPr>
        <w:t xml:space="preserve"> will not lead to the loss (including through cumulative loss) of extent or </w:t>
      </w:r>
      <w:r w:rsidRPr="00962671">
        <w:rPr>
          <w:rFonts w:eastAsia="National-Book" w:cs="Times New Roman"/>
          <w:szCs w:val="22"/>
          <w:u w:val="single"/>
        </w:rPr>
        <w:lastRenderedPageBreak/>
        <w:t>degradation</w:t>
      </w:r>
      <w:r w:rsidRPr="00962671">
        <w:rPr>
          <w:rStyle w:val="FootnoteReference"/>
          <w:rFonts w:eastAsia="National-Book" w:cs="Times New Roman"/>
          <w:szCs w:val="22"/>
        </w:rPr>
        <w:footnoteReference w:id="1044"/>
      </w:r>
      <w:r w:rsidRPr="00962671">
        <w:rPr>
          <w:rFonts w:eastAsia="National-Book" w:cs="Times New Roman"/>
          <w:szCs w:val="22"/>
        </w:rPr>
        <w:t xml:space="preserve"> of the ecological integrity of any </w:t>
      </w:r>
      <w:r w:rsidRPr="00962671">
        <w:rPr>
          <w:rFonts w:eastAsia="National-Book" w:cs="Times New Roman"/>
          <w:i/>
          <w:iCs/>
          <w:szCs w:val="22"/>
        </w:rPr>
        <w:t xml:space="preserve">significant natural area </w:t>
      </w:r>
      <w:r w:rsidRPr="00962671">
        <w:rPr>
          <w:rFonts w:eastAsia="National-Book" w:cs="Times New Roman"/>
          <w:szCs w:val="22"/>
        </w:rPr>
        <w:t>or indigenous species or ecosystems that are taoka, and</w:t>
      </w:r>
    </w:p>
    <w:p w14:paraId="73F52CD5" w14:textId="3F2C05EA" w:rsidR="00080A9A" w:rsidRDefault="0090206A" w:rsidP="0090206A">
      <w:pPr>
        <w:ind w:left="567" w:hanging="567"/>
        <w:jc w:val="both"/>
        <w:rPr>
          <w:rFonts w:eastAsia="National-Book" w:cs="Times New Roman"/>
        </w:rPr>
      </w:pPr>
      <w:r w:rsidRPr="00962671">
        <w:rPr>
          <w:rFonts w:eastAsia="National-Book" w:cs="Times New Roman"/>
          <w:szCs w:val="22"/>
        </w:rPr>
        <w:t>(2)</w:t>
      </w:r>
      <w:r w:rsidRPr="00195888">
        <w:rPr>
          <w:rFonts w:eastAsia="National-Book" w:cs="Times New Roman"/>
        </w:rPr>
        <w:tab/>
      </w:r>
      <w:r w:rsidRPr="00962671">
        <w:rPr>
          <w:rFonts w:eastAsia="National-Book" w:cs="Times New Roman"/>
          <w:szCs w:val="22"/>
        </w:rPr>
        <w:t xml:space="preserve">the adverse </w:t>
      </w:r>
      <w:r w:rsidRPr="00962671">
        <w:rPr>
          <w:rFonts w:eastAsia="National-Book" w:cs="Times New Roman"/>
          <w:i/>
          <w:iCs/>
          <w:szCs w:val="22"/>
        </w:rPr>
        <w:t xml:space="preserve">effects </w:t>
      </w:r>
      <w:r w:rsidRPr="00962671">
        <w:rPr>
          <w:rFonts w:eastAsia="National-Book" w:cs="Times New Roman"/>
          <w:szCs w:val="22"/>
          <w:u w:val="single"/>
        </w:rPr>
        <w:t>from the continuation, maintenance and minor upgrades</w:t>
      </w:r>
      <w:r w:rsidRPr="00962671">
        <w:rPr>
          <w:rFonts w:eastAsia="National-Book" w:cs="Times New Roman"/>
          <w:szCs w:val="22"/>
        </w:rPr>
        <w:t xml:space="preserve"> of an existing activity </w:t>
      </w:r>
      <w:r w:rsidRPr="00962671">
        <w:rPr>
          <w:rFonts w:eastAsia="National-Book" w:cs="Times New Roman"/>
          <w:szCs w:val="22"/>
          <w:u w:val="single"/>
        </w:rPr>
        <w:t>that is lawfully established</w:t>
      </w:r>
      <w:r w:rsidRPr="00962671">
        <w:rPr>
          <w:rStyle w:val="FootnoteReference"/>
          <w:rFonts w:eastAsia="National-Book" w:cs="Times New Roman"/>
          <w:szCs w:val="22"/>
        </w:rPr>
        <w:footnoteReference w:id="1045"/>
      </w:r>
      <w:r w:rsidRPr="00962671">
        <w:rPr>
          <w:rFonts w:eastAsia="National-Book" w:cs="Times New Roman"/>
          <w:szCs w:val="22"/>
        </w:rPr>
        <w:t xml:space="preserve"> are no greater in character, spatial extent, </w:t>
      </w:r>
      <w:proofErr w:type="gramStart"/>
      <w:r w:rsidRPr="00962671">
        <w:rPr>
          <w:rFonts w:eastAsia="National-Book" w:cs="Times New Roman"/>
          <w:szCs w:val="22"/>
        </w:rPr>
        <w:t>intensity</w:t>
      </w:r>
      <w:proofErr w:type="gramEnd"/>
      <w:r w:rsidRPr="00962671">
        <w:rPr>
          <w:rFonts w:eastAsia="National-Book" w:cs="Times New Roman"/>
          <w:szCs w:val="22"/>
        </w:rPr>
        <w:t xml:space="preserve"> or scale than they were before this RPS became operative.</w:t>
      </w:r>
    </w:p>
    <w:p w14:paraId="1FC5DB85" w14:textId="26D92944" w:rsidR="00080A9A" w:rsidRPr="003D1C57" w:rsidRDefault="00080A9A" w:rsidP="00080A9A">
      <w:pPr>
        <w:pStyle w:val="Heading4"/>
        <w:rPr>
          <w:rFonts w:eastAsia="National-Book"/>
        </w:rPr>
      </w:pPr>
      <w:r>
        <w:rPr>
          <w:rFonts w:eastAsia="National-Book"/>
        </w:rPr>
        <w:t>ECO-</w:t>
      </w:r>
      <w:r w:rsidRPr="003D1C57">
        <w:rPr>
          <w:rFonts w:eastAsia="National-Book"/>
        </w:rPr>
        <w:t>P</w:t>
      </w:r>
      <w:r>
        <w:rPr>
          <w:rFonts w:eastAsia="National-Book"/>
        </w:rPr>
        <w:t>6</w:t>
      </w:r>
      <w:r w:rsidRPr="0028723B">
        <w:t xml:space="preserve"> </w:t>
      </w:r>
      <w:r>
        <w:t xml:space="preserve">– </w:t>
      </w:r>
      <w:r w:rsidRPr="003D1C57">
        <w:rPr>
          <w:rFonts w:eastAsia="National-Book"/>
        </w:rPr>
        <w:t xml:space="preserve">Maintaining indigenous </w:t>
      </w:r>
      <w:r w:rsidRPr="00C5455A">
        <w:rPr>
          <w:rFonts w:eastAsia="National-Book"/>
          <w:i/>
        </w:rPr>
        <w:t>biodiversity</w:t>
      </w:r>
    </w:p>
    <w:p w14:paraId="048345C7" w14:textId="474A039E" w:rsidR="00080A9A" w:rsidRPr="00440504" w:rsidRDefault="00440504" w:rsidP="003C3A3C">
      <w:pPr>
        <w:jc w:val="both"/>
      </w:pPr>
      <w:r w:rsidRPr="00440504">
        <w:t xml:space="preserve">Maintain Otago’s indigenous </w:t>
      </w:r>
      <w:r w:rsidRPr="00440504">
        <w:rPr>
          <w:i/>
          <w:iCs/>
        </w:rPr>
        <w:t>biodiversity</w:t>
      </w:r>
      <w:r w:rsidRPr="00440504">
        <w:t xml:space="preserve"> (excluding the coastal environment and areas </w:t>
      </w:r>
      <w:r w:rsidRPr="00440504">
        <w:rPr>
          <w:strike/>
        </w:rPr>
        <w:t>managed</w:t>
      </w:r>
      <w:r w:rsidRPr="00440504">
        <w:t xml:space="preserve"> </w:t>
      </w:r>
      <w:r w:rsidRPr="00440504">
        <w:rPr>
          <w:u w:val="single"/>
        </w:rPr>
        <w:t>protected</w:t>
      </w:r>
      <w:r w:rsidRPr="00440504">
        <w:rPr>
          <w:vertAlign w:val="superscript"/>
        </w:rPr>
        <w:footnoteReference w:id="1046"/>
      </w:r>
      <w:r w:rsidRPr="00440504">
        <w:t xml:space="preserve"> under ECO</w:t>
      </w:r>
      <w:r>
        <w:t>-</w:t>
      </w:r>
      <w:r w:rsidRPr="00440504">
        <w:t xml:space="preserve">P3) by applying the following </w:t>
      </w:r>
      <w:r w:rsidRPr="00440504">
        <w:rPr>
          <w:i/>
          <w:iCs/>
          <w:strike/>
        </w:rPr>
        <w:t>biodiversity</w:t>
      </w:r>
      <w:r w:rsidRPr="00440504">
        <w:rPr>
          <w:i/>
          <w:iCs/>
        </w:rPr>
        <w:t xml:space="preserve"> </w:t>
      </w:r>
      <w:r w:rsidRPr="00440504">
        <w:rPr>
          <w:i/>
          <w:iCs/>
          <w:u w:val="single"/>
        </w:rPr>
        <w:t>effects management hierarchy</w:t>
      </w:r>
      <w:r w:rsidRPr="00440504">
        <w:rPr>
          <w:u w:val="single"/>
        </w:rPr>
        <w:t xml:space="preserve"> </w:t>
      </w:r>
      <w:r w:rsidRPr="00440504">
        <w:rPr>
          <w:i/>
          <w:iCs/>
          <w:u w:val="single"/>
        </w:rPr>
        <w:t>(in relation to indigenous biodiversity)</w:t>
      </w:r>
      <w:r w:rsidRPr="00440504">
        <w:rPr>
          <w:vertAlign w:val="superscript"/>
        </w:rPr>
        <w:footnoteReference w:id="1047"/>
      </w:r>
      <w:r w:rsidRPr="00440504">
        <w:t xml:space="preserve"> in decision-making on applications for </w:t>
      </w:r>
      <w:r w:rsidRPr="00440504">
        <w:rPr>
          <w:i/>
          <w:iCs/>
        </w:rPr>
        <w:t>resource consent</w:t>
      </w:r>
      <w:r w:rsidRPr="00440504">
        <w:t xml:space="preserve"> and notices of requirement:</w:t>
      </w:r>
    </w:p>
    <w:p w14:paraId="3B188935" w14:textId="77777777" w:rsidR="00080A9A" w:rsidRPr="00FE5399" w:rsidRDefault="00080A9A" w:rsidP="003C3A3C">
      <w:pPr>
        <w:ind w:left="567" w:hanging="567"/>
        <w:jc w:val="both"/>
        <w:rPr>
          <w:rFonts w:eastAsia="National-Book" w:cs="Times New Roman"/>
        </w:rPr>
      </w:pPr>
      <w:r>
        <w:rPr>
          <w:rFonts w:eastAsia="National-Book" w:cs="Times New Roman"/>
        </w:rPr>
        <w:t>(1)</w:t>
      </w:r>
      <w:r>
        <w:rPr>
          <w:rFonts w:eastAsia="National-Book" w:cs="Times New Roman"/>
        </w:rPr>
        <w:tab/>
      </w:r>
      <w:r w:rsidRPr="00FE5399">
        <w:rPr>
          <w:rFonts w:eastAsia="National-Book" w:cs="Times New Roman"/>
        </w:rPr>
        <w:t xml:space="preserve">avoid adverse </w:t>
      </w:r>
      <w:r w:rsidRPr="00FE5399">
        <w:rPr>
          <w:rFonts w:eastAsia="National-Book" w:cs="Times New Roman"/>
          <w:i/>
        </w:rPr>
        <w:t>effects</w:t>
      </w:r>
      <w:r w:rsidRPr="00FE5399">
        <w:rPr>
          <w:rFonts w:eastAsia="National-Book" w:cs="Times New Roman"/>
        </w:rPr>
        <w:t xml:space="preserve"> as </w:t>
      </w:r>
      <w:r>
        <w:rPr>
          <w:rFonts w:eastAsia="National-Book" w:cs="Times New Roman"/>
        </w:rPr>
        <w:t>the</w:t>
      </w:r>
      <w:r w:rsidRPr="00FE5399">
        <w:rPr>
          <w:rFonts w:eastAsia="National-Book" w:cs="Times New Roman"/>
        </w:rPr>
        <w:t xml:space="preserve"> </w:t>
      </w:r>
      <w:proofErr w:type="gramStart"/>
      <w:r w:rsidRPr="00FE5399">
        <w:rPr>
          <w:rFonts w:eastAsia="National-Book" w:cs="Times New Roman"/>
        </w:rPr>
        <w:t>first priority</w:t>
      </w:r>
      <w:proofErr w:type="gramEnd"/>
      <w:r w:rsidRPr="00FE5399">
        <w:rPr>
          <w:rFonts w:eastAsia="National-Book" w:cs="Times New Roman"/>
        </w:rPr>
        <w:t xml:space="preserve">, </w:t>
      </w:r>
    </w:p>
    <w:p w14:paraId="37548CA6" w14:textId="77777777" w:rsidR="00080A9A" w:rsidRPr="00FE5399" w:rsidRDefault="00080A9A" w:rsidP="003C3A3C">
      <w:pPr>
        <w:ind w:left="567" w:hanging="567"/>
        <w:jc w:val="both"/>
        <w:rPr>
          <w:rFonts w:eastAsia="National-Book" w:cs="Times New Roman"/>
        </w:rPr>
      </w:pPr>
      <w:r>
        <w:rPr>
          <w:rFonts w:eastAsia="National-Book" w:cs="Times New Roman"/>
        </w:rPr>
        <w:t>(2)</w:t>
      </w:r>
      <w:r>
        <w:rPr>
          <w:rFonts w:eastAsia="National-Book" w:cs="Times New Roman"/>
        </w:rPr>
        <w:tab/>
      </w:r>
      <w:r w:rsidRPr="00FE5399">
        <w:rPr>
          <w:rFonts w:eastAsia="National-Book" w:cs="Times New Roman"/>
        </w:rPr>
        <w:t xml:space="preserve">where adverse </w:t>
      </w:r>
      <w:r w:rsidRPr="00FE5399">
        <w:rPr>
          <w:rFonts w:eastAsia="National-Book" w:cs="Times New Roman"/>
          <w:i/>
        </w:rPr>
        <w:t>effects</w:t>
      </w:r>
      <w:r w:rsidRPr="00FE5399">
        <w:rPr>
          <w:rFonts w:eastAsia="National-Book" w:cs="Times New Roman"/>
        </w:rPr>
        <w:t xml:space="preserve"> </w:t>
      </w:r>
      <w:r>
        <w:rPr>
          <w:rFonts w:eastAsia="National-Book" w:cs="Times New Roman"/>
        </w:rPr>
        <w:t xml:space="preserve">demonstrably </w:t>
      </w:r>
      <w:r w:rsidRPr="00FE5399">
        <w:rPr>
          <w:rFonts w:eastAsia="National-Book" w:cs="Times New Roman"/>
        </w:rPr>
        <w:t xml:space="preserve">cannot be </w:t>
      </w:r>
      <w:r>
        <w:rPr>
          <w:rFonts w:eastAsia="National-Book" w:cs="Times New Roman"/>
        </w:rPr>
        <w:t xml:space="preserve">completely </w:t>
      </w:r>
      <w:r w:rsidRPr="00FE5399">
        <w:rPr>
          <w:rFonts w:eastAsia="National-Book" w:cs="Times New Roman"/>
        </w:rPr>
        <w:t xml:space="preserve">avoided, they are </w:t>
      </w:r>
      <w:r>
        <w:rPr>
          <w:rFonts w:eastAsia="National-Book" w:cs="Times New Roman"/>
        </w:rPr>
        <w:t>remedied</w:t>
      </w:r>
      <w:r w:rsidRPr="00FE5399">
        <w:rPr>
          <w:rFonts w:eastAsia="National-Book" w:cs="Times New Roman"/>
        </w:rPr>
        <w:t xml:space="preserve">, </w:t>
      </w:r>
    </w:p>
    <w:p w14:paraId="41A48057" w14:textId="77777777" w:rsidR="00080A9A" w:rsidRDefault="00080A9A" w:rsidP="003C3A3C">
      <w:pPr>
        <w:ind w:left="567" w:hanging="567"/>
        <w:jc w:val="both"/>
        <w:rPr>
          <w:rFonts w:eastAsia="National-Book" w:cs="Times New Roman"/>
        </w:rPr>
      </w:pPr>
      <w:r>
        <w:rPr>
          <w:rFonts w:eastAsia="National-Book" w:cs="Times New Roman"/>
        </w:rPr>
        <w:t>(3)</w:t>
      </w:r>
      <w:r>
        <w:rPr>
          <w:rFonts w:eastAsia="National-Book" w:cs="Times New Roman"/>
        </w:rPr>
        <w:tab/>
      </w:r>
      <w:r w:rsidRPr="00FE5399">
        <w:rPr>
          <w:rFonts w:eastAsia="National-Book" w:cs="Times New Roman"/>
        </w:rPr>
        <w:t xml:space="preserve">where adverse </w:t>
      </w:r>
      <w:r w:rsidRPr="00FE5399">
        <w:rPr>
          <w:rFonts w:eastAsia="National-Book" w:cs="Times New Roman"/>
          <w:i/>
        </w:rPr>
        <w:t>effects</w:t>
      </w:r>
      <w:r w:rsidRPr="00FE5399">
        <w:rPr>
          <w:rFonts w:eastAsia="National-Book" w:cs="Times New Roman"/>
        </w:rPr>
        <w:t xml:space="preserve"> </w:t>
      </w:r>
      <w:r>
        <w:rPr>
          <w:rFonts w:eastAsia="National-Book" w:cs="Times New Roman"/>
        </w:rPr>
        <w:t xml:space="preserve">demonstrably </w:t>
      </w:r>
      <w:r w:rsidRPr="00FE5399">
        <w:rPr>
          <w:rFonts w:eastAsia="National-Book" w:cs="Times New Roman"/>
        </w:rPr>
        <w:t xml:space="preserve">cannot be </w:t>
      </w:r>
      <w:r>
        <w:rPr>
          <w:rFonts w:eastAsia="National-Book" w:cs="Times New Roman"/>
        </w:rPr>
        <w:t xml:space="preserve">completely </w:t>
      </w:r>
      <w:r w:rsidRPr="00FE5399">
        <w:rPr>
          <w:rFonts w:eastAsia="National-Book" w:cs="Times New Roman"/>
        </w:rPr>
        <w:t xml:space="preserve">avoided or </w:t>
      </w:r>
      <w:r>
        <w:rPr>
          <w:rFonts w:eastAsia="National-Book" w:cs="Times New Roman"/>
        </w:rPr>
        <w:t>remedied</w:t>
      </w:r>
      <w:r w:rsidRPr="00FE5399">
        <w:rPr>
          <w:rFonts w:eastAsia="National-Book" w:cs="Times New Roman"/>
        </w:rPr>
        <w:t xml:space="preserve">, they are </w:t>
      </w:r>
      <w:r>
        <w:rPr>
          <w:rFonts w:eastAsia="National-Book" w:cs="Times New Roman"/>
        </w:rPr>
        <w:t>mitigated</w:t>
      </w:r>
      <w:r w:rsidRPr="00FE5399">
        <w:rPr>
          <w:rFonts w:eastAsia="National-Book" w:cs="Times New Roman"/>
        </w:rPr>
        <w:t xml:space="preserve">, </w:t>
      </w:r>
    </w:p>
    <w:p w14:paraId="5EDC60BF" w14:textId="77777777" w:rsidR="00080A9A" w:rsidRDefault="00080A9A" w:rsidP="003C3A3C">
      <w:pPr>
        <w:ind w:left="567" w:hanging="567"/>
        <w:jc w:val="both"/>
        <w:rPr>
          <w:rFonts w:eastAsia="National-Book" w:cs="Times New Roman"/>
        </w:rPr>
      </w:pPr>
      <w:r>
        <w:rPr>
          <w:rFonts w:eastAsia="National-Book" w:cs="Times New Roman"/>
        </w:rPr>
        <w:t>(4)</w:t>
      </w:r>
      <w:r>
        <w:rPr>
          <w:rFonts w:eastAsia="National-Book" w:cs="Times New Roman"/>
        </w:rPr>
        <w:tab/>
        <w:t xml:space="preserve">where there are residual adverse </w:t>
      </w:r>
      <w:r w:rsidRPr="00AC422C">
        <w:rPr>
          <w:rFonts w:eastAsia="National-Book" w:cs="Times New Roman"/>
          <w:i/>
        </w:rPr>
        <w:t>effects</w:t>
      </w:r>
      <w:r>
        <w:rPr>
          <w:rFonts w:eastAsia="National-Book" w:cs="Times New Roman"/>
        </w:rPr>
        <w:t xml:space="preserve"> after avoidance, remediation, and mitigation, then the residual adverse </w:t>
      </w:r>
      <w:r w:rsidRPr="00AC422C">
        <w:rPr>
          <w:rFonts w:eastAsia="National-Book" w:cs="Times New Roman"/>
          <w:i/>
        </w:rPr>
        <w:t>effects</w:t>
      </w:r>
      <w:r>
        <w:rPr>
          <w:rFonts w:eastAsia="National-Book" w:cs="Times New Roman"/>
        </w:rPr>
        <w:t xml:space="preserve"> are offset in accordance with APP3, and</w:t>
      </w:r>
    </w:p>
    <w:p w14:paraId="477862BE" w14:textId="77777777" w:rsidR="00080A9A" w:rsidRDefault="00080A9A" w:rsidP="003C3A3C">
      <w:pPr>
        <w:ind w:left="567" w:hanging="567"/>
        <w:jc w:val="both"/>
        <w:rPr>
          <w:rFonts w:eastAsia="National-Book" w:cs="Times New Roman"/>
        </w:rPr>
      </w:pPr>
      <w:r>
        <w:rPr>
          <w:rFonts w:eastAsia="National-Book" w:cs="Times New Roman"/>
        </w:rPr>
        <w:t>(5)</w:t>
      </w:r>
      <w:r>
        <w:rPr>
          <w:rFonts w:eastAsia="National-Book" w:cs="Times New Roman"/>
        </w:rPr>
        <w:tab/>
        <w:t xml:space="preserve">if </w:t>
      </w:r>
      <w:r w:rsidRPr="006920D6">
        <w:rPr>
          <w:rFonts w:eastAsia="National-Book" w:cs="Times New Roman"/>
          <w:i/>
        </w:rPr>
        <w:t>biodiversity</w:t>
      </w:r>
      <w:r>
        <w:rPr>
          <w:rFonts w:eastAsia="National-Book" w:cs="Times New Roman"/>
        </w:rPr>
        <w:t xml:space="preserve"> offsetting of residual adverse </w:t>
      </w:r>
      <w:r w:rsidRPr="00AC422C">
        <w:rPr>
          <w:rFonts w:eastAsia="National-Book" w:cs="Times New Roman"/>
          <w:i/>
        </w:rPr>
        <w:t>effects</w:t>
      </w:r>
      <w:r>
        <w:rPr>
          <w:rFonts w:eastAsia="National-Book" w:cs="Times New Roman"/>
        </w:rPr>
        <w:t xml:space="preserve"> is not possible, then: </w:t>
      </w:r>
    </w:p>
    <w:p w14:paraId="7070E751" w14:textId="77777777" w:rsidR="00080A9A" w:rsidRDefault="00080A9A" w:rsidP="003C3A3C">
      <w:pPr>
        <w:ind w:left="1134" w:hanging="567"/>
        <w:jc w:val="both"/>
        <w:rPr>
          <w:rFonts w:eastAsia="National-Book" w:cs="Times New Roman"/>
        </w:rPr>
      </w:pPr>
      <w:r>
        <w:rPr>
          <w:rFonts w:eastAsia="National-Book" w:cs="Times New Roman"/>
        </w:rPr>
        <w:t>(a)</w:t>
      </w:r>
      <w:r>
        <w:rPr>
          <w:rFonts w:eastAsia="National-Book" w:cs="Times New Roman"/>
        </w:rPr>
        <w:tab/>
        <w:t xml:space="preserve">the residual adverse </w:t>
      </w:r>
      <w:r w:rsidRPr="00AC422C">
        <w:rPr>
          <w:rFonts w:eastAsia="National-Book" w:cs="Times New Roman"/>
          <w:i/>
        </w:rPr>
        <w:t>effects</w:t>
      </w:r>
      <w:r>
        <w:rPr>
          <w:rFonts w:eastAsia="National-Book" w:cs="Times New Roman"/>
        </w:rPr>
        <w:t xml:space="preserve"> are compensated for in accordance with APP4, and</w:t>
      </w:r>
    </w:p>
    <w:p w14:paraId="3666F587" w14:textId="77777777" w:rsidR="00080A9A" w:rsidRPr="00FE5399" w:rsidRDefault="00080A9A" w:rsidP="003C3A3C">
      <w:pPr>
        <w:ind w:left="1134" w:hanging="567"/>
        <w:jc w:val="both"/>
        <w:rPr>
          <w:rFonts w:eastAsia="National-Book" w:cs="Times New Roman"/>
        </w:rPr>
      </w:pPr>
      <w:r>
        <w:rPr>
          <w:rFonts w:eastAsia="National-Book" w:cs="Times New Roman"/>
        </w:rPr>
        <w:t>(b)</w:t>
      </w:r>
      <w:r>
        <w:rPr>
          <w:rFonts w:eastAsia="National-Book" w:cs="Times New Roman"/>
        </w:rPr>
        <w:tab/>
        <w:t xml:space="preserve">if the residual adverse </w:t>
      </w:r>
      <w:r w:rsidRPr="00AC422C">
        <w:rPr>
          <w:rFonts w:eastAsia="National-Book" w:cs="Times New Roman"/>
          <w:i/>
        </w:rPr>
        <w:t>effects</w:t>
      </w:r>
      <w:r>
        <w:rPr>
          <w:rFonts w:eastAsia="National-Book" w:cs="Times New Roman"/>
        </w:rPr>
        <w:t xml:space="preserve"> cannot be compensated for in accordance with APP4, the activity is avoided.</w:t>
      </w:r>
    </w:p>
    <w:p w14:paraId="26E6137C" w14:textId="3844F10F" w:rsidR="00080A9A" w:rsidRDefault="00080A9A" w:rsidP="00080A9A">
      <w:pPr>
        <w:pStyle w:val="Heading4"/>
      </w:pPr>
      <w:r>
        <w:t xml:space="preserve">ECO-P7 – Coastal indigenous </w:t>
      </w:r>
      <w:r w:rsidRPr="00E75DC1">
        <w:rPr>
          <w:i/>
        </w:rPr>
        <w:t>biodiversity</w:t>
      </w:r>
    </w:p>
    <w:p w14:paraId="20C32486" w14:textId="77777777" w:rsidR="005C5963" w:rsidRDefault="005C5963" w:rsidP="003C3A3C">
      <w:pPr>
        <w:pStyle w:val="Paragraphs"/>
        <w:numPr>
          <w:ilvl w:val="0"/>
          <w:numId w:val="0"/>
        </w:numPr>
        <w:jc w:val="both"/>
      </w:pPr>
      <w:r w:rsidRPr="00F91B21">
        <w:rPr>
          <w:strike/>
          <w:lang w:eastAsia="en-NZ"/>
        </w:rPr>
        <w:t xml:space="preserve">Coastal indigenous </w:t>
      </w:r>
      <w:r w:rsidRPr="00F91B21">
        <w:rPr>
          <w:i/>
          <w:iCs/>
          <w:strike/>
          <w:lang w:eastAsia="en-NZ"/>
        </w:rPr>
        <w:t>biodiversity</w:t>
      </w:r>
      <w:r w:rsidRPr="00F91B21">
        <w:rPr>
          <w:strike/>
          <w:lang w:eastAsia="en-NZ"/>
        </w:rPr>
        <w:t xml:space="preserve"> is managed by CE–P5, and implementation of CE–P5 also contributes to achieving ECO–O1</w:t>
      </w:r>
      <w:r w:rsidRPr="008730F0">
        <w:rPr>
          <w:lang w:eastAsia="en-NZ"/>
        </w:rPr>
        <w:t>.  </w:t>
      </w:r>
    </w:p>
    <w:p w14:paraId="795CF567" w14:textId="77777777" w:rsidR="005C5963" w:rsidRPr="00F91B21" w:rsidRDefault="005C5963" w:rsidP="003C3A3C">
      <w:pPr>
        <w:pStyle w:val="Paragraphs"/>
        <w:numPr>
          <w:ilvl w:val="0"/>
          <w:numId w:val="0"/>
        </w:numPr>
        <w:jc w:val="both"/>
        <w:rPr>
          <w:rFonts w:ascii="Segoe UI" w:hAnsi="Segoe UI" w:cs="Segoe UI"/>
          <w:sz w:val="18"/>
          <w:szCs w:val="18"/>
          <w:u w:val="single"/>
          <w:lang w:eastAsia="en-NZ"/>
        </w:rPr>
      </w:pPr>
      <w:r w:rsidRPr="00F91B21">
        <w:rPr>
          <w:u w:val="single"/>
          <w:lang w:eastAsia="en-NZ"/>
        </w:rPr>
        <w:t>Indigenous biodiversity in the coastal environment is managed by the relevant provisions of this chapter, except that: </w:t>
      </w:r>
    </w:p>
    <w:p w14:paraId="7E3F709E" w14:textId="23488BF4" w:rsidR="005C5963" w:rsidRPr="00F91B21" w:rsidRDefault="005C5963" w:rsidP="003C3A3C">
      <w:pPr>
        <w:pStyle w:val="Paragraphs"/>
        <w:numPr>
          <w:ilvl w:val="0"/>
          <w:numId w:val="0"/>
        </w:numPr>
        <w:ind w:left="567" w:hanging="567"/>
        <w:jc w:val="both"/>
        <w:rPr>
          <w:rFonts w:ascii="Segoe UI" w:hAnsi="Segoe UI" w:cs="Segoe UI"/>
          <w:sz w:val="18"/>
          <w:szCs w:val="18"/>
          <w:u w:val="single"/>
          <w:lang w:eastAsia="en-NZ"/>
        </w:rPr>
      </w:pPr>
      <w:r w:rsidRPr="00F91B21">
        <w:rPr>
          <w:u w:val="single"/>
          <w:lang w:eastAsia="en-NZ"/>
        </w:rPr>
        <w:t xml:space="preserve">(1) </w:t>
      </w:r>
      <w:r>
        <w:rPr>
          <w:u w:val="single"/>
          <w:lang w:eastAsia="en-NZ"/>
        </w:rPr>
        <w:tab/>
      </w:r>
      <w:r w:rsidRPr="00F91B21">
        <w:rPr>
          <w:u w:val="single"/>
          <w:lang w:eastAsia="en-NZ"/>
        </w:rPr>
        <w:t>significant natural areas in the coastal environment are managed by CE</w:t>
      </w:r>
      <w:r w:rsidR="00755738">
        <w:rPr>
          <w:u w:val="single"/>
          <w:lang w:eastAsia="en-NZ"/>
        </w:rPr>
        <w:t>-</w:t>
      </w:r>
      <w:r w:rsidRPr="00F91B21">
        <w:rPr>
          <w:u w:val="single"/>
          <w:lang w:eastAsia="en-NZ"/>
        </w:rPr>
        <w:t>P5(1) instead of ECO</w:t>
      </w:r>
      <w:r w:rsidR="00755738">
        <w:rPr>
          <w:u w:val="single"/>
          <w:lang w:eastAsia="en-NZ"/>
        </w:rPr>
        <w:t>-</w:t>
      </w:r>
      <w:r w:rsidRPr="00F91B21">
        <w:rPr>
          <w:u w:val="single"/>
          <w:lang w:eastAsia="en-NZ"/>
        </w:rPr>
        <w:t>P3 to ECO</w:t>
      </w:r>
      <w:r w:rsidR="00755738">
        <w:rPr>
          <w:u w:val="single"/>
          <w:lang w:eastAsia="en-NZ"/>
        </w:rPr>
        <w:t>-</w:t>
      </w:r>
      <w:r w:rsidRPr="00F91B21">
        <w:rPr>
          <w:u w:val="single"/>
          <w:lang w:eastAsia="en-NZ"/>
        </w:rPr>
        <w:t>P5, and  </w:t>
      </w:r>
    </w:p>
    <w:p w14:paraId="62D05582" w14:textId="566F47E7" w:rsidR="005C5963" w:rsidRPr="00F91B21" w:rsidRDefault="005C5963" w:rsidP="003C3A3C">
      <w:pPr>
        <w:pStyle w:val="Paragraphs"/>
        <w:numPr>
          <w:ilvl w:val="0"/>
          <w:numId w:val="0"/>
        </w:numPr>
        <w:ind w:left="567" w:hanging="567"/>
        <w:jc w:val="both"/>
        <w:rPr>
          <w:rFonts w:ascii="Segoe UI" w:hAnsi="Segoe UI" w:cs="Segoe UI"/>
          <w:sz w:val="18"/>
          <w:szCs w:val="18"/>
          <w:u w:val="single"/>
          <w:lang w:eastAsia="en-NZ"/>
        </w:rPr>
      </w:pPr>
      <w:r w:rsidRPr="00F91B21">
        <w:rPr>
          <w:u w:val="single"/>
          <w:lang w:eastAsia="en-NZ"/>
        </w:rPr>
        <w:t xml:space="preserve">(2) </w:t>
      </w:r>
      <w:r>
        <w:rPr>
          <w:u w:val="single"/>
          <w:lang w:eastAsia="en-NZ"/>
        </w:rPr>
        <w:tab/>
      </w:r>
      <w:r w:rsidRPr="00F91B21">
        <w:rPr>
          <w:u w:val="single"/>
          <w:lang w:eastAsia="en-NZ"/>
        </w:rPr>
        <w:t>other indigenous biodiversity in the coastal environment that is not part of a significant natural area are also managed by CE</w:t>
      </w:r>
      <w:r w:rsidR="00755738">
        <w:rPr>
          <w:u w:val="single"/>
          <w:lang w:eastAsia="en-NZ"/>
        </w:rPr>
        <w:t>-</w:t>
      </w:r>
      <w:r w:rsidRPr="00F91B21">
        <w:rPr>
          <w:u w:val="single"/>
          <w:lang w:eastAsia="en-NZ"/>
        </w:rPr>
        <w:t>P5(2)</w:t>
      </w:r>
      <w:r w:rsidR="0014260A">
        <w:rPr>
          <w:u w:val="single"/>
          <w:lang w:eastAsia="en-NZ"/>
        </w:rPr>
        <w:t>.</w:t>
      </w:r>
      <w:r w:rsidR="0014260A" w:rsidRPr="00FB68B2">
        <w:rPr>
          <w:rStyle w:val="FootnoteReference"/>
          <w:lang w:eastAsia="en-NZ"/>
        </w:rPr>
        <w:footnoteReference w:id="1048"/>
      </w:r>
    </w:p>
    <w:p w14:paraId="62AEE12F" w14:textId="77777777" w:rsidR="00FE2803" w:rsidRPr="008301B2" w:rsidRDefault="00FE2803" w:rsidP="00FE2803">
      <w:pPr>
        <w:pStyle w:val="Heading4"/>
        <w:rPr>
          <w:rFonts w:eastAsia="National-Book"/>
        </w:rPr>
      </w:pPr>
      <w:r w:rsidRPr="008301B2">
        <w:rPr>
          <w:rFonts w:eastAsia="National-Book"/>
        </w:rPr>
        <w:lastRenderedPageBreak/>
        <w:t>ECO</w:t>
      </w:r>
      <w:r w:rsidRPr="008301B2">
        <w:t>–</w:t>
      </w:r>
      <w:r w:rsidRPr="008301B2">
        <w:rPr>
          <w:rFonts w:eastAsia="National-Book"/>
        </w:rPr>
        <w:t>P8</w:t>
      </w:r>
      <w:r w:rsidRPr="008301B2">
        <w:t xml:space="preserve"> – </w:t>
      </w:r>
      <w:r w:rsidRPr="008301B2">
        <w:rPr>
          <w:u w:val="single"/>
        </w:rPr>
        <w:t>Restoration and e</w:t>
      </w:r>
      <w:r w:rsidRPr="008301B2">
        <w:rPr>
          <w:strike/>
        </w:rPr>
        <w:t>E</w:t>
      </w:r>
      <w:r w:rsidRPr="008301B2">
        <w:t>nhancement</w:t>
      </w:r>
      <w:r w:rsidRPr="008301B2">
        <w:rPr>
          <w:rStyle w:val="FootnoteReference"/>
          <w:bCs/>
          <w:sz w:val="22"/>
        </w:rPr>
        <w:footnoteReference w:id="1049"/>
      </w:r>
    </w:p>
    <w:p w14:paraId="6A01C008" w14:textId="77777777" w:rsidR="00FE2803" w:rsidRPr="008301B2" w:rsidRDefault="00FE2803" w:rsidP="003C3A3C">
      <w:pPr>
        <w:jc w:val="both"/>
        <w:rPr>
          <w:rFonts w:ascii="Calibri" w:eastAsia="Calibri" w:hAnsi="Calibri" w:cs="Times New Roman"/>
          <w:szCs w:val="22"/>
        </w:rPr>
      </w:pPr>
      <w:r w:rsidRPr="008301B2">
        <w:rPr>
          <w:rFonts w:ascii="Calibri" w:eastAsia="Calibri" w:hAnsi="Calibri" w:cs="Times New Roman"/>
          <w:szCs w:val="22"/>
        </w:rPr>
        <w:t xml:space="preserve">The extent, </w:t>
      </w:r>
      <w:r w:rsidRPr="008301B2">
        <w:rPr>
          <w:rFonts w:ascii="Calibri" w:eastAsia="Calibri" w:hAnsi="Calibri" w:cs="Times New Roman"/>
          <w:i/>
          <w:iCs/>
          <w:szCs w:val="22"/>
          <w:u w:val="single"/>
        </w:rPr>
        <w:t>occupancy</w:t>
      </w:r>
      <w:r w:rsidRPr="008301B2">
        <w:rPr>
          <w:rStyle w:val="FootnoteReference"/>
          <w:rFonts w:ascii="Calibri" w:eastAsia="Calibri" w:hAnsi="Calibri" w:cs="Times New Roman"/>
          <w:szCs w:val="22"/>
        </w:rPr>
        <w:footnoteReference w:id="1050"/>
      </w:r>
      <w:r w:rsidRPr="008301B2">
        <w:rPr>
          <w:rFonts w:ascii="Calibri" w:eastAsia="Calibri" w:hAnsi="Calibri" w:cs="Times New Roman"/>
          <w:szCs w:val="22"/>
        </w:rPr>
        <w:t xml:space="preserve"> and condition of Otago’s indigenous </w:t>
      </w:r>
      <w:r w:rsidRPr="008301B2">
        <w:rPr>
          <w:rFonts w:ascii="Calibri" w:eastAsia="Calibri" w:hAnsi="Calibri" w:cs="Times New Roman"/>
          <w:i/>
          <w:iCs/>
          <w:szCs w:val="22"/>
        </w:rPr>
        <w:t>biodiversity</w:t>
      </w:r>
      <w:r w:rsidRPr="008301B2">
        <w:rPr>
          <w:rFonts w:ascii="Calibri" w:eastAsia="Calibri" w:hAnsi="Calibri" w:cs="Times New Roman"/>
          <w:szCs w:val="22"/>
        </w:rPr>
        <w:t xml:space="preserve"> is increased by:</w:t>
      </w:r>
    </w:p>
    <w:p w14:paraId="6030EBB0" w14:textId="77777777" w:rsidR="00FE2803" w:rsidRPr="008301B2" w:rsidRDefault="00FE2803" w:rsidP="003C3A3C">
      <w:pPr>
        <w:ind w:left="567" w:hanging="567"/>
        <w:jc w:val="both"/>
        <w:rPr>
          <w:szCs w:val="22"/>
        </w:rPr>
      </w:pPr>
      <w:r w:rsidRPr="008301B2">
        <w:rPr>
          <w:szCs w:val="22"/>
        </w:rPr>
        <w:t>(1)</w:t>
      </w:r>
      <w:r w:rsidRPr="008301B2">
        <w:rPr>
          <w:szCs w:val="22"/>
        </w:rPr>
        <w:tab/>
        <w:t xml:space="preserve">restoring and enhancing habitat for indigenous species, including taoka and </w:t>
      </w:r>
      <w:r w:rsidRPr="008301B2">
        <w:rPr>
          <w:i/>
          <w:iCs/>
          <w:szCs w:val="22"/>
          <w:u w:val="single"/>
        </w:rPr>
        <w:t>mahika kai</w:t>
      </w:r>
      <w:r w:rsidRPr="008301B2">
        <w:rPr>
          <w:rStyle w:val="FootnoteReference"/>
          <w:szCs w:val="22"/>
        </w:rPr>
        <w:footnoteReference w:id="1051"/>
      </w:r>
      <w:r w:rsidRPr="008301B2">
        <w:rPr>
          <w:szCs w:val="22"/>
        </w:rPr>
        <w:t xml:space="preserve"> species,</w:t>
      </w:r>
    </w:p>
    <w:p w14:paraId="4FCEB7A5" w14:textId="77777777" w:rsidR="00FE2803" w:rsidRPr="008301B2" w:rsidRDefault="00FE2803" w:rsidP="003C3A3C">
      <w:pPr>
        <w:ind w:left="567" w:hanging="567"/>
        <w:jc w:val="both"/>
        <w:rPr>
          <w:szCs w:val="22"/>
        </w:rPr>
      </w:pPr>
      <w:r w:rsidRPr="008301B2">
        <w:rPr>
          <w:szCs w:val="22"/>
        </w:rPr>
        <w:t>(2)</w:t>
      </w:r>
      <w:r w:rsidRPr="008301B2">
        <w:rPr>
          <w:szCs w:val="22"/>
        </w:rPr>
        <w:tab/>
        <w:t xml:space="preserve">improving the health and </w:t>
      </w:r>
      <w:r w:rsidRPr="008301B2">
        <w:rPr>
          <w:i/>
          <w:iCs/>
          <w:szCs w:val="22"/>
        </w:rPr>
        <w:t xml:space="preserve">resilience </w:t>
      </w:r>
      <w:r w:rsidRPr="008301B2">
        <w:rPr>
          <w:szCs w:val="22"/>
        </w:rPr>
        <w:t xml:space="preserve">of indigenous </w:t>
      </w:r>
      <w:r w:rsidRPr="008301B2">
        <w:rPr>
          <w:i/>
          <w:iCs/>
          <w:szCs w:val="22"/>
        </w:rPr>
        <w:t>biodiversity</w:t>
      </w:r>
      <w:r w:rsidRPr="008301B2">
        <w:rPr>
          <w:szCs w:val="22"/>
        </w:rPr>
        <w:t xml:space="preserve">, including ecosystems, species, </w:t>
      </w:r>
      <w:r w:rsidRPr="008301B2">
        <w:rPr>
          <w:strike/>
          <w:szCs w:val="22"/>
        </w:rPr>
        <w:t>important</w:t>
      </w:r>
      <w:r w:rsidRPr="008301B2">
        <w:rPr>
          <w:rStyle w:val="FootnoteReference"/>
          <w:szCs w:val="22"/>
        </w:rPr>
        <w:footnoteReference w:id="1052"/>
      </w:r>
      <w:r w:rsidRPr="008301B2">
        <w:rPr>
          <w:szCs w:val="22"/>
        </w:rPr>
        <w:t xml:space="preserve"> ecosystem function, and </w:t>
      </w:r>
      <w:r w:rsidRPr="008301B2">
        <w:rPr>
          <w:i/>
          <w:iCs/>
          <w:szCs w:val="22"/>
        </w:rPr>
        <w:t>intrinsic values</w:t>
      </w:r>
      <w:r w:rsidRPr="008301B2">
        <w:rPr>
          <w:szCs w:val="22"/>
        </w:rPr>
        <w:t>, and</w:t>
      </w:r>
    </w:p>
    <w:p w14:paraId="486826AF" w14:textId="6A43BC0B" w:rsidR="00FE2803" w:rsidRPr="008301B2" w:rsidRDefault="00FE2803" w:rsidP="003C3A3C">
      <w:pPr>
        <w:ind w:left="567" w:hanging="567"/>
        <w:jc w:val="both"/>
        <w:rPr>
          <w:szCs w:val="22"/>
          <w:u w:val="single"/>
        </w:rPr>
      </w:pPr>
      <w:r w:rsidRPr="008301B2">
        <w:rPr>
          <w:szCs w:val="22"/>
        </w:rPr>
        <w:t>(3)</w:t>
      </w:r>
      <w:r w:rsidRPr="008301B2">
        <w:rPr>
          <w:szCs w:val="22"/>
        </w:rPr>
        <w:tab/>
        <w:t xml:space="preserve">buffering or linking ecosystems, </w:t>
      </w:r>
      <w:bookmarkStart w:id="181" w:name="_Hlk95742844"/>
      <w:proofErr w:type="gramStart"/>
      <w:r w:rsidRPr="008301B2">
        <w:rPr>
          <w:szCs w:val="22"/>
        </w:rPr>
        <w:t>habitats</w:t>
      </w:r>
      <w:proofErr w:type="gramEnd"/>
      <w:r w:rsidRPr="008301B2">
        <w:rPr>
          <w:szCs w:val="22"/>
        </w:rPr>
        <w:t xml:space="preserve"> and ecological corridors</w:t>
      </w:r>
      <w:r w:rsidRPr="008301B2">
        <w:rPr>
          <w:szCs w:val="22"/>
          <w:u w:val="single"/>
        </w:rPr>
        <w:t>, ki uta ki tai</w:t>
      </w:r>
      <w:r w:rsidRPr="008301B2">
        <w:rPr>
          <w:szCs w:val="22"/>
        </w:rPr>
        <w:t>.</w:t>
      </w:r>
      <w:r w:rsidRPr="008301B2">
        <w:rPr>
          <w:rStyle w:val="FootnoteReference"/>
          <w:szCs w:val="22"/>
        </w:rPr>
        <w:footnoteReference w:id="1053"/>
      </w:r>
    </w:p>
    <w:bookmarkEnd w:id="181"/>
    <w:p w14:paraId="4CA0D926" w14:textId="787EBA65" w:rsidR="00080A9A" w:rsidRPr="003D1C57" w:rsidRDefault="00080A9A" w:rsidP="00080A9A">
      <w:pPr>
        <w:pStyle w:val="Heading4"/>
        <w:rPr>
          <w:rFonts w:eastAsia="National-Book"/>
        </w:rPr>
      </w:pPr>
      <w:r>
        <w:rPr>
          <w:rFonts w:eastAsia="National-Book"/>
        </w:rPr>
        <w:t>ECO-</w:t>
      </w:r>
      <w:r w:rsidRPr="003D1C57">
        <w:rPr>
          <w:rFonts w:eastAsia="National-Book"/>
        </w:rPr>
        <w:t>P</w:t>
      </w:r>
      <w:r>
        <w:rPr>
          <w:rFonts w:eastAsia="National-Book"/>
        </w:rPr>
        <w:t>9</w:t>
      </w:r>
      <w:r w:rsidRPr="0028723B">
        <w:t xml:space="preserve"> </w:t>
      </w:r>
      <w:r>
        <w:t xml:space="preserve">– </w:t>
      </w:r>
      <w:r w:rsidRPr="003750CF">
        <w:rPr>
          <w:rFonts w:eastAsia="National-Book"/>
          <w:i/>
        </w:rPr>
        <w:t>Wilding conifers</w:t>
      </w:r>
    </w:p>
    <w:p w14:paraId="51B751F5" w14:textId="77777777" w:rsidR="00080A9A" w:rsidRPr="003D1C57" w:rsidRDefault="00080A9A" w:rsidP="003C3A3C">
      <w:pPr>
        <w:spacing w:line="256" w:lineRule="auto"/>
        <w:jc w:val="both"/>
        <w:rPr>
          <w:rFonts w:ascii="Calibri" w:eastAsia="Calibri" w:hAnsi="Calibri" w:cs="Times New Roman"/>
        </w:rPr>
      </w:pPr>
      <w:r>
        <w:rPr>
          <w:rFonts w:ascii="Calibri" w:eastAsia="Calibri" w:hAnsi="Calibri" w:cs="Times New Roman"/>
        </w:rPr>
        <w:t>Reduce t</w:t>
      </w:r>
      <w:r w:rsidRPr="003D1C57">
        <w:rPr>
          <w:rFonts w:ascii="Calibri" w:eastAsia="Calibri" w:hAnsi="Calibri" w:cs="Times New Roman"/>
        </w:rPr>
        <w:t xml:space="preserve">he impact of </w:t>
      </w:r>
      <w:r w:rsidRPr="003750CF">
        <w:rPr>
          <w:rFonts w:ascii="Calibri" w:eastAsia="Calibri" w:hAnsi="Calibri" w:cs="Times New Roman"/>
          <w:i/>
          <w:iCs/>
        </w:rPr>
        <w:t>wilding conifers</w:t>
      </w:r>
      <w:r w:rsidRPr="003D1C57">
        <w:rPr>
          <w:rFonts w:ascii="Calibri" w:eastAsia="Calibri" w:hAnsi="Calibri" w:cs="Times New Roman"/>
        </w:rPr>
        <w:t xml:space="preserve"> on </w:t>
      </w:r>
      <w:r>
        <w:rPr>
          <w:rFonts w:ascii="Calibri" w:eastAsia="Calibri" w:hAnsi="Calibri" w:cs="Times New Roman"/>
        </w:rPr>
        <w:t xml:space="preserve">indigenous </w:t>
      </w:r>
      <w:r w:rsidRPr="002C4324">
        <w:rPr>
          <w:rFonts w:ascii="Calibri" w:eastAsia="Calibri" w:hAnsi="Calibri" w:cs="Times New Roman"/>
          <w:i/>
        </w:rPr>
        <w:t>biodiversity</w:t>
      </w:r>
      <w:r w:rsidRPr="003D1C57">
        <w:rPr>
          <w:rFonts w:ascii="Calibri" w:eastAsia="Calibri" w:hAnsi="Calibri" w:cs="Times New Roman"/>
        </w:rPr>
        <w:t xml:space="preserve"> by:</w:t>
      </w:r>
    </w:p>
    <w:p w14:paraId="00D004F7" w14:textId="3785EC58" w:rsidR="00080A9A" w:rsidRDefault="00080A9A" w:rsidP="003C3A3C">
      <w:pPr>
        <w:ind w:left="567" w:hanging="567"/>
        <w:jc w:val="both"/>
        <w:rPr>
          <w:rFonts w:eastAsia="National-Book" w:cs="Times New Roman"/>
        </w:rPr>
      </w:pPr>
      <w:r>
        <w:rPr>
          <w:rFonts w:eastAsia="National-Book" w:cs="Times New Roman"/>
        </w:rPr>
        <w:t>(1)</w:t>
      </w:r>
      <w:r>
        <w:rPr>
          <w:rFonts w:eastAsia="National-Book" w:cs="Times New Roman"/>
        </w:rPr>
        <w:tab/>
      </w:r>
      <w:r w:rsidRPr="00CC2C02">
        <w:rPr>
          <w:rFonts w:eastAsia="National-Book" w:cs="Times New Roman"/>
        </w:rPr>
        <w:t xml:space="preserve">avoiding </w:t>
      </w:r>
      <w:proofErr w:type="gramStart"/>
      <w:r w:rsidR="00D13532" w:rsidRPr="00D13532">
        <w:rPr>
          <w:rFonts w:cs="Times New Roman"/>
          <w:iCs/>
          <w:strike/>
        </w:rPr>
        <w:t>afforestation</w:t>
      </w:r>
      <w:proofErr w:type="gramEnd"/>
      <w:r w:rsidR="00D13532" w:rsidRPr="00D13532">
        <w:rPr>
          <w:rFonts w:cs="Times New Roman"/>
          <w:iCs/>
        </w:rPr>
        <w:t xml:space="preserve"> </w:t>
      </w:r>
      <w:r w:rsidR="00D13532" w:rsidRPr="00D13532">
        <w:rPr>
          <w:rFonts w:cs="Times New Roman"/>
          <w:u w:val="single"/>
        </w:rPr>
        <w:t>the planting</w:t>
      </w:r>
      <w:r w:rsidR="00D13532" w:rsidRPr="00D13532">
        <w:rPr>
          <w:rFonts w:eastAsia="National-Book" w:cs="Times New Roman"/>
          <w:vertAlign w:val="superscript"/>
        </w:rPr>
        <w:footnoteReference w:id="1054"/>
      </w:r>
      <w:r w:rsidRPr="00D13532">
        <w:rPr>
          <w:rFonts w:eastAsia="National-Book" w:cs="Times New Roman"/>
        </w:rPr>
        <w:t xml:space="preserve"> </w:t>
      </w:r>
      <w:r w:rsidRPr="00CC2C02">
        <w:rPr>
          <w:rFonts w:eastAsia="National-Book" w:cs="Times New Roman"/>
        </w:rPr>
        <w:t xml:space="preserve">and </w:t>
      </w:r>
      <w:r w:rsidRPr="00CC2C02">
        <w:rPr>
          <w:rFonts w:eastAsia="National-Book" w:cs="Times New Roman"/>
          <w:i/>
        </w:rPr>
        <w:t>replanting</w:t>
      </w:r>
      <w:r w:rsidRPr="00CC2C02">
        <w:rPr>
          <w:rFonts w:eastAsia="National-Book" w:cs="Times New Roman"/>
        </w:rPr>
        <w:t xml:space="preserve"> of </w:t>
      </w:r>
      <w:r w:rsidRPr="00CC2C02">
        <w:rPr>
          <w:rFonts w:eastAsia="National-Book" w:cs="Times New Roman"/>
          <w:i/>
        </w:rPr>
        <w:t>plantation forests</w:t>
      </w:r>
      <w:r w:rsidRPr="00CC2C02">
        <w:rPr>
          <w:rFonts w:eastAsia="National-Book" w:cs="Times New Roman"/>
        </w:rPr>
        <w:t xml:space="preserve"> </w:t>
      </w:r>
      <w:r w:rsidR="00D165EB" w:rsidRPr="00D165EB">
        <w:rPr>
          <w:rFonts w:cs="Times New Roman"/>
          <w:u w:val="single"/>
        </w:rPr>
        <w:t>and permanent forests</w:t>
      </w:r>
      <w:r w:rsidR="00D165EB" w:rsidRPr="00D165EB">
        <w:rPr>
          <w:rFonts w:eastAsia="National-Book" w:cs="Times New Roman"/>
          <w:vertAlign w:val="superscript"/>
        </w:rPr>
        <w:footnoteReference w:id="1055"/>
      </w:r>
      <w:r w:rsidR="00D165EB" w:rsidRPr="00D165EB">
        <w:rPr>
          <w:rFonts w:cs="Times New Roman"/>
        </w:rPr>
        <w:t xml:space="preserve"> </w:t>
      </w:r>
      <w:r w:rsidRPr="00D165EB">
        <w:rPr>
          <w:rFonts w:eastAsia="National-Book" w:cs="Times New Roman"/>
        </w:rPr>
        <w:t>with</w:t>
      </w:r>
      <w:r w:rsidRPr="00CC2C02">
        <w:rPr>
          <w:rFonts w:eastAsia="National-Book" w:cs="Times New Roman"/>
        </w:rPr>
        <w:t xml:space="preserve"> </w:t>
      </w:r>
      <w:r w:rsidRPr="00CC2C02">
        <w:rPr>
          <w:rFonts w:eastAsia="National-Book" w:cs="Times New Roman"/>
          <w:i/>
        </w:rPr>
        <w:t>wilding coni</w:t>
      </w:r>
      <w:r>
        <w:rPr>
          <w:rFonts w:eastAsia="National-Book" w:cs="Times New Roman"/>
          <w:i/>
        </w:rPr>
        <w:t>f</w:t>
      </w:r>
      <w:r w:rsidRPr="00CC2C02">
        <w:rPr>
          <w:rFonts w:eastAsia="National-Book" w:cs="Times New Roman"/>
          <w:i/>
        </w:rPr>
        <w:t>er</w:t>
      </w:r>
      <w:r w:rsidRPr="00CC2C02">
        <w:rPr>
          <w:rFonts w:eastAsia="National-Book" w:cs="Times New Roman"/>
        </w:rPr>
        <w:t xml:space="preserve"> </w:t>
      </w:r>
      <w:r>
        <w:rPr>
          <w:rFonts w:eastAsia="National-Book" w:cs="Times New Roman"/>
        </w:rPr>
        <w:t xml:space="preserve">species listed in APP5 </w:t>
      </w:r>
      <w:r w:rsidRPr="00CC2C02">
        <w:rPr>
          <w:rFonts w:eastAsia="National-Book" w:cs="Times New Roman"/>
        </w:rPr>
        <w:t>within</w:t>
      </w:r>
      <w:r>
        <w:rPr>
          <w:rFonts w:eastAsia="National-Book" w:cs="Times New Roman"/>
        </w:rPr>
        <w:t>:</w:t>
      </w:r>
      <w:r w:rsidRPr="00CC2C02">
        <w:rPr>
          <w:rFonts w:eastAsia="National-Book" w:cs="Times New Roman"/>
        </w:rPr>
        <w:t xml:space="preserve"> </w:t>
      </w:r>
    </w:p>
    <w:p w14:paraId="475B2CDB" w14:textId="77777777" w:rsidR="00080A9A" w:rsidRDefault="00080A9A" w:rsidP="003C3A3C">
      <w:pPr>
        <w:ind w:left="1134" w:hanging="567"/>
        <w:jc w:val="both"/>
        <w:rPr>
          <w:rFonts w:eastAsia="National-Book" w:cs="Times New Roman"/>
        </w:rPr>
      </w:pPr>
      <w:r>
        <w:rPr>
          <w:rFonts w:eastAsia="National-Book" w:cs="Times New Roman"/>
        </w:rPr>
        <w:t>(a)</w:t>
      </w:r>
      <w:r>
        <w:rPr>
          <w:rFonts w:eastAsia="National-Book" w:cs="Times New Roman"/>
        </w:rPr>
        <w:tab/>
      </w:r>
      <w:r w:rsidRPr="00CC2C02">
        <w:rPr>
          <w:rFonts w:eastAsia="National-Book" w:cs="Times New Roman"/>
        </w:rPr>
        <w:t xml:space="preserve">areas identified as </w:t>
      </w:r>
      <w:r w:rsidRPr="002C4324">
        <w:rPr>
          <w:rFonts w:eastAsia="National-Book" w:cs="Times New Roman"/>
          <w:i/>
        </w:rPr>
        <w:t>significant natural areas</w:t>
      </w:r>
      <w:r>
        <w:rPr>
          <w:rFonts w:eastAsia="National-Book" w:cs="Times New Roman"/>
          <w:i/>
        </w:rPr>
        <w:t>,</w:t>
      </w:r>
      <w:r w:rsidRPr="00CC2C02" w:rsidDel="004265DB">
        <w:rPr>
          <w:rFonts w:eastAsia="National-Book" w:cs="Times New Roman"/>
        </w:rPr>
        <w:t xml:space="preserve"> </w:t>
      </w:r>
      <w:r>
        <w:rPr>
          <w:rFonts w:eastAsia="National-Book" w:cs="Times New Roman"/>
        </w:rPr>
        <w:t>and</w:t>
      </w:r>
    </w:p>
    <w:p w14:paraId="0FD49F16" w14:textId="77777777" w:rsidR="00080A9A" w:rsidRPr="00CC2C02" w:rsidRDefault="00080A9A" w:rsidP="003C3A3C">
      <w:pPr>
        <w:ind w:left="1134" w:hanging="567"/>
        <w:jc w:val="both"/>
        <w:rPr>
          <w:rFonts w:eastAsia="National-Book" w:cs="Times New Roman"/>
        </w:rPr>
      </w:pPr>
      <w:r>
        <w:rPr>
          <w:rFonts w:eastAsia="National-Book" w:cs="Times New Roman"/>
        </w:rPr>
        <w:t>(b)</w:t>
      </w:r>
      <w:r>
        <w:rPr>
          <w:rFonts w:eastAsia="National-Book" w:cs="Times New Roman"/>
        </w:rPr>
        <w:tab/>
        <w:t xml:space="preserve">buffer zones adjacent to </w:t>
      </w:r>
      <w:r>
        <w:rPr>
          <w:rFonts w:eastAsia="National-Book" w:cs="Times New Roman"/>
          <w:i/>
        </w:rPr>
        <w:t xml:space="preserve">significant natural areas </w:t>
      </w:r>
      <w:r>
        <w:rPr>
          <w:rFonts w:eastAsia="National-Book" w:cs="Times New Roman"/>
        </w:rPr>
        <w:t xml:space="preserve">where it is necessary to protect the </w:t>
      </w:r>
      <w:r>
        <w:rPr>
          <w:rFonts w:eastAsia="National-Book" w:cs="Times New Roman"/>
          <w:i/>
        </w:rPr>
        <w:t>significant natural area</w:t>
      </w:r>
      <w:r w:rsidRPr="00CC2C02">
        <w:rPr>
          <w:rFonts w:eastAsia="National-Book" w:cs="Times New Roman"/>
        </w:rPr>
        <w:t>, and</w:t>
      </w:r>
    </w:p>
    <w:p w14:paraId="6AE7BF8B" w14:textId="77777777" w:rsidR="00080A9A" w:rsidRDefault="00080A9A" w:rsidP="003C3A3C">
      <w:pPr>
        <w:ind w:left="567" w:hanging="567"/>
        <w:jc w:val="both"/>
        <w:rPr>
          <w:rFonts w:eastAsia="National-Book" w:cs="Times New Roman"/>
        </w:rPr>
      </w:pPr>
      <w:r>
        <w:rPr>
          <w:rFonts w:eastAsia="National-Book" w:cs="Times New Roman"/>
        </w:rPr>
        <w:t>(2)</w:t>
      </w:r>
      <w:r>
        <w:rPr>
          <w:rFonts w:eastAsia="National-Book" w:cs="Times New Roman"/>
        </w:rPr>
        <w:tab/>
      </w:r>
      <w:r w:rsidRPr="00CC2C02">
        <w:rPr>
          <w:rFonts w:eastAsia="National-Book" w:cs="Times New Roman"/>
        </w:rPr>
        <w:t xml:space="preserve">supporting initiatives to control existing </w:t>
      </w:r>
      <w:r w:rsidRPr="00CC2C02">
        <w:rPr>
          <w:rFonts w:eastAsia="National-Book" w:cs="Times New Roman"/>
          <w:i/>
        </w:rPr>
        <w:t>wilding conifers</w:t>
      </w:r>
      <w:r w:rsidRPr="00CC2C02">
        <w:rPr>
          <w:rFonts w:eastAsia="National-Book" w:cs="Times New Roman"/>
        </w:rPr>
        <w:t xml:space="preserve"> and limit their further spread.</w:t>
      </w:r>
    </w:p>
    <w:p w14:paraId="57AC2C4F" w14:textId="1364FA02" w:rsidR="00080A9A" w:rsidRDefault="00080A9A" w:rsidP="00080A9A">
      <w:pPr>
        <w:pStyle w:val="Heading4"/>
        <w:jc w:val="both"/>
      </w:pPr>
      <w:r>
        <w:t>ECO-P10 – Integrated management</w:t>
      </w:r>
    </w:p>
    <w:p w14:paraId="032CB370" w14:textId="77777777" w:rsidR="00080A9A" w:rsidRDefault="00080A9A" w:rsidP="003C3A3C">
      <w:pPr>
        <w:jc w:val="both"/>
        <w:rPr>
          <w:rFonts w:eastAsia="National-Book" w:cs="Times New Roman"/>
        </w:rPr>
      </w:pPr>
      <w:r>
        <w:rPr>
          <w:rFonts w:eastAsia="National-Book" w:cs="Times New Roman"/>
        </w:rPr>
        <w:t>Implement an integrated and co-ordinated approach</w:t>
      </w:r>
      <w:r w:rsidDel="007055E5">
        <w:rPr>
          <w:rFonts w:eastAsia="National-Book" w:cs="Times New Roman"/>
        </w:rPr>
        <w:t xml:space="preserve"> to</w:t>
      </w:r>
      <w:r w:rsidDel="00EC1E13">
        <w:rPr>
          <w:rFonts w:eastAsia="National-Book" w:cs="Times New Roman"/>
        </w:rPr>
        <w:t xml:space="preserve"> managing Otago’s ecosystems and indigenous </w:t>
      </w:r>
      <w:r w:rsidRPr="000569C6" w:rsidDel="00EC1E13">
        <w:rPr>
          <w:rFonts w:eastAsia="National-Book" w:cs="Times New Roman"/>
          <w:i/>
        </w:rPr>
        <w:t>biodiversity</w:t>
      </w:r>
      <w:r>
        <w:rPr>
          <w:rFonts w:eastAsia="National-Book" w:cs="Times New Roman"/>
        </w:rPr>
        <w:t xml:space="preserve"> that:</w:t>
      </w:r>
    </w:p>
    <w:p w14:paraId="0739548F" w14:textId="31256CA2" w:rsidR="003C3A3C" w:rsidRPr="00B50242" w:rsidRDefault="003C3A3C" w:rsidP="003C3A3C">
      <w:pPr>
        <w:ind w:left="567" w:hanging="567"/>
        <w:jc w:val="both"/>
        <w:rPr>
          <w:rFonts w:cs="National-Book"/>
        </w:rPr>
      </w:pPr>
      <w:r w:rsidRPr="00B50242">
        <w:rPr>
          <w:rFonts w:eastAsia="National-Book" w:cs="Times New Roman"/>
        </w:rPr>
        <w:t>(1)</w:t>
      </w:r>
      <w:r w:rsidRPr="00B50242">
        <w:rPr>
          <w:rFonts w:eastAsia="National-Book" w:cs="Times New Roman"/>
        </w:rPr>
        <w:tab/>
      </w:r>
      <w:r w:rsidRPr="00B50242">
        <w:t xml:space="preserve">ensures </w:t>
      </w:r>
      <w:r w:rsidRPr="00B50242">
        <w:rPr>
          <w:rFonts w:eastAsia="National-Book" w:cs="Times New Roman"/>
        </w:rPr>
        <w:t>any</w:t>
      </w:r>
      <w:r w:rsidRPr="00B50242">
        <w:t xml:space="preserve"> permitted or controlled activity in a </w:t>
      </w:r>
      <w:r w:rsidRPr="00B50242">
        <w:rPr>
          <w:i/>
        </w:rPr>
        <w:t xml:space="preserve">regional </w:t>
      </w:r>
      <w:r w:rsidRPr="00B50242">
        <w:rPr>
          <w:i/>
          <w:u w:val="single"/>
        </w:rPr>
        <w:t>plan</w:t>
      </w:r>
      <w:r w:rsidRPr="00B50242">
        <w:rPr>
          <w:rStyle w:val="FootnoteReference"/>
          <w:i/>
          <w:szCs w:val="22"/>
        </w:rPr>
        <w:footnoteReference w:id="1056"/>
      </w:r>
      <w:r w:rsidRPr="00B50242">
        <w:t xml:space="preserve"> or </w:t>
      </w:r>
      <w:r w:rsidRPr="00B50242">
        <w:rPr>
          <w:i/>
        </w:rPr>
        <w:t>district plan</w:t>
      </w:r>
      <w:r w:rsidRPr="00B50242">
        <w:t xml:space="preserve"> rule does not compromise the achievement of ECO</w:t>
      </w:r>
      <w:r>
        <w:t>-</w:t>
      </w:r>
      <w:r w:rsidRPr="00B50242">
        <w:t>O1,</w:t>
      </w:r>
    </w:p>
    <w:p w14:paraId="3D6DAA25" w14:textId="77777777" w:rsidR="003C3A3C" w:rsidRPr="00B50242" w:rsidRDefault="003C3A3C" w:rsidP="003C3A3C">
      <w:pPr>
        <w:ind w:left="567" w:hanging="567"/>
        <w:jc w:val="both"/>
        <w:rPr>
          <w:rFonts w:eastAsia="National-Book" w:cs="Times New Roman"/>
        </w:rPr>
      </w:pPr>
      <w:r w:rsidRPr="00B50242">
        <w:rPr>
          <w:rFonts w:eastAsia="National-Book" w:cs="Times New Roman"/>
        </w:rPr>
        <w:t>(2)</w:t>
      </w:r>
      <w:r w:rsidRPr="00B50242">
        <w:rPr>
          <w:rFonts w:eastAsia="National-Book" w:cs="Times New Roman"/>
        </w:rPr>
        <w:tab/>
        <w:t xml:space="preserve">recognises the interactions ki uta ki tai (from the mountains to the sea) between the terrestrial </w:t>
      </w:r>
      <w:r w:rsidRPr="00B50242">
        <w:rPr>
          <w:rFonts w:eastAsia="National-Book" w:cs="Times New Roman"/>
          <w:i/>
        </w:rPr>
        <w:t>environment</w:t>
      </w:r>
      <w:r w:rsidRPr="00B50242">
        <w:rPr>
          <w:rFonts w:eastAsia="National-Book" w:cs="Times New Roman"/>
        </w:rPr>
        <w:t xml:space="preserve">, </w:t>
      </w:r>
      <w:r w:rsidRPr="00B50242">
        <w:rPr>
          <w:rFonts w:eastAsia="National-Book" w:cs="Times New Roman"/>
          <w:i/>
        </w:rPr>
        <w:t>fresh water</w:t>
      </w:r>
      <w:r w:rsidRPr="00B50242">
        <w:rPr>
          <w:rFonts w:eastAsia="National-Book" w:cs="Times New Roman"/>
        </w:rPr>
        <w:t xml:space="preserve">, and the </w:t>
      </w:r>
      <w:r w:rsidRPr="00B50242">
        <w:rPr>
          <w:rFonts w:eastAsia="National-Book" w:cs="Times New Roman"/>
          <w:i/>
        </w:rPr>
        <w:t>coastal marine area</w:t>
      </w:r>
      <w:r w:rsidRPr="00B50242">
        <w:rPr>
          <w:rFonts w:eastAsia="National-Book" w:cs="Times New Roman"/>
        </w:rPr>
        <w:t>, including</w:t>
      </w:r>
      <w:r w:rsidRPr="00B50242">
        <w:rPr>
          <w:rFonts w:eastAsia="National-Book" w:cs="Times New Roman"/>
          <w:u w:val="single"/>
        </w:rPr>
        <w:t>:</w:t>
      </w:r>
      <w:r w:rsidRPr="00B50242">
        <w:rPr>
          <w:rFonts w:eastAsia="National-Book" w:cs="Times New Roman"/>
        </w:rPr>
        <w:t xml:space="preserve"> </w:t>
      </w:r>
    </w:p>
    <w:p w14:paraId="33253020" w14:textId="77777777" w:rsidR="003C3A3C" w:rsidRPr="00B50242" w:rsidRDefault="003C3A3C" w:rsidP="003C3A3C">
      <w:pPr>
        <w:ind w:left="1134" w:hanging="567"/>
        <w:jc w:val="both"/>
        <w:rPr>
          <w:rFonts w:eastAsia="National-Book" w:cs="Times New Roman"/>
          <w:u w:val="single"/>
        </w:rPr>
      </w:pPr>
      <w:r w:rsidRPr="00B50242">
        <w:rPr>
          <w:rFonts w:eastAsia="National-Book" w:cs="Times New Roman"/>
          <w:u w:val="single"/>
        </w:rPr>
        <w:t>(a)</w:t>
      </w:r>
      <w:r w:rsidRPr="00B50242">
        <w:rPr>
          <w:rFonts w:eastAsia="National-Book" w:cs="Times New Roman"/>
          <w:u w:val="single"/>
        </w:rPr>
        <w:tab/>
      </w:r>
      <w:r w:rsidRPr="00B50242">
        <w:rPr>
          <w:rFonts w:eastAsia="National-Book" w:cs="Times New Roman"/>
        </w:rPr>
        <w:t xml:space="preserve">the migration of fish species between </w:t>
      </w:r>
      <w:r w:rsidRPr="00B50242">
        <w:rPr>
          <w:rFonts w:eastAsia="National-Book" w:cs="Times New Roman"/>
          <w:i/>
          <w:iCs/>
        </w:rPr>
        <w:t>fresh</w:t>
      </w:r>
      <w:r w:rsidRPr="00B50242">
        <w:rPr>
          <w:rFonts w:eastAsia="National-Book" w:cs="Times New Roman"/>
        </w:rPr>
        <w:t xml:space="preserve"> and </w:t>
      </w:r>
      <w:r w:rsidRPr="00B50242">
        <w:rPr>
          <w:rFonts w:eastAsia="National-Book" w:cs="Times New Roman"/>
          <w:i/>
          <w:iCs/>
        </w:rPr>
        <w:t>coastal waters</w:t>
      </w:r>
      <w:r w:rsidRPr="00B50242">
        <w:rPr>
          <w:rFonts w:eastAsia="National-Book" w:cs="Times New Roman"/>
        </w:rPr>
        <w:t xml:space="preserve">, </w:t>
      </w:r>
      <w:r w:rsidRPr="00B50242">
        <w:rPr>
          <w:rFonts w:eastAsia="National-Book" w:cs="Times New Roman"/>
          <w:u w:val="single"/>
        </w:rPr>
        <w:t>and</w:t>
      </w:r>
      <w:r w:rsidRPr="00B50242">
        <w:rPr>
          <w:rStyle w:val="FootnoteReference"/>
          <w:rFonts w:eastAsia="National-Book" w:cs="Times New Roman"/>
          <w:szCs w:val="22"/>
        </w:rPr>
        <w:footnoteReference w:id="1057"/>
      </w:r>
      <w:r w:rsidRPr="00B50242">
        <w:rPr>
          <w:rFonts w:eastAsia="National-Book" w:cs="Times New Roman"/>
        </w:rPr>
        <w:t xml:space="preserve"> </w:t>
      </w:r>
    </w:p>
    <w:p w14:paraId="34B3F792" w14:textId="77777777" w:rsidR="003C3A3C" w:rsidRPr="00B50242" w:rsidRDefault="003C3A3C" w:rsidP="003C3A3C">
      <w:pPr>
        <w:ind w:left="1134" w:hanging="567"/>
        <w:jc w:val="both"/>
        <w:rPr>
          <w:rFonts w:eastAsia="National-Book" w:cs="Times New Roman"/>
          <w:u w:val="single"/>
        </w:rPr>
      </w:pPr>
      <w:r w:rsidRPr="00B50242">
        <w:rPr>
          <w:rFonts w:eastAsia="National-Book" w:cs="Times New Roman"/>
          <w:u w:val="single"/>
        </w:rPr>
        <w:t>(b)       the effects of land-use activities on the coastal environment,</w:t>
      </w:r>
      <w:r w:rsidRPr="00B50242">
        <w:rPr>
          <w:rStyle w:val="FootnoteReference"/>
          <w:rFonts w:eastAsia="National-Book" w:cs="Times New Roman"/>
          <w:szCs w:val="22"/>
        </w:rPr>
        <w:footnoteReference w:id="1058"/>
      </w:r>
    </w:p>
    <w:p w14:paraId="772D5B80" w14:textId="77777777" w:rsidR="003C3A3C" w:rsidRPr="00B50242" w:rsidRDefault="003C3A3C" w:rsidP="003C3A3C">
      <w:pPr>
        <w:ind w:left="567" w:hanging="567"/>
        <w:jc w:val="both"/>
        <w:rPr>
          <w:rFonts w:eastAsia="National-Book" w:cs="Times New Roman"/>
          <w:u w:val="single"/>
        </w:rPr>
      </w:pPr>
      <w:r w:rsidRPr="00B50242">
        <w:rPr>
          <w:rFonts w:eastAsia="National-Book" w:cs="Times New Roman"/>
          <w:u w:val="single"/>
        </w:rPr>
        <w:t>(2</w:t>
      </w:r>
      <w:proofErr w:type="gramStart"/>
      <w:r w:rsidRPr="00B50242">
        <w:rPr>
          <w:rFonts w:eastAsia="National-Book" w:cs="Times New Roman"/>
          <w:u w:val="single"/>
        </w:rPr>
        <w:t xml:space="preserve">A)   </w:t>
      </w:r>
      <w:proofErr w:type="gramEnd"/>
      <w:r w:rsidRPr="00B50242">
        <w:rPr>
          <w:rFonts w:eastAsia="National-Book" w:cs="Times New Roman"/>
          <w:u w:val="single"/>
        </w:rPr>
        <w:t xml:space="preserve">acknowledges that </w:t>
      </w:r>
      <w:r w:rsidRPr="00B50242">
        <w:rPr>
          <w:rFonts w:eastAsia="National-Book" w:cs="Times New Roman"/>
          <w:i/>
          <w:iCs/>
          <w:u w:val="single"/>
        </w:rPr>
        <w:t>climate change</w:t>
      </w:r>
      <w:r w:rsidRPr="00B50242">
        <w:rPr>
          <w:rFonts w:eastAsia="National-Book" w:cs="Times New Roman"/>
          <w:u w:val="single"/>
        </w:rPr>
        <w:t xml:space="preserve"> will affect indigenous </w:t>
      </w:r>
      <w:r w:rsidRPr="00B50242">
        <w:rPr>
          <w:rFonts w:eastAsia="National-Book" w:cs="Times New Roman"/>
          <w:i/>
          <w:iCs/>
          <w:u w:val="single"/>
        </w:rPr>
        <w:t>biodiversity</w:t>
      </w:r>
      <w:r w:rsidRPr="00B50242">
        <w:rPr>
          <w:rFonts w:eastAsia="National-Book" w:cs="Times New Roman"/>
          <w:u w:val="single"/>
        </w:rPr>
        <w:t xml:space="preserve">, and manages activities which exacerbate the effects of </w:t>
      </w:r>
      <w:r w:rsidRPr="00B50242">
        <w:rPr>
          <w:rFonts w:eastAsia="National-Book" w:cs="Times New Roman"/>
          <w:i/>
          <w:iCs/>
          <w:u w:val="single"/>
        </w:rPr>
        <w:t>climate change</w:t>
      </w:r>
      <w:r w:rsidRPr="00B50242">
        <w:rPr>
          <w:rFonts w:eastAsia="National-Book" w:cs="Times New Roman"/>
          <w:u w:val="single"/>
        </w:rPr>
        <w:t>,</w:t>
      </w:r>
      <w:r w:rsidRPr="00B50242">
        <w:rPr>
          <w:rStyle w:val="FootnoteReference"/>
          <w:rFonts w:eastAsia="National-Book" w:cs="Times New Roman"/>
          <w:szCs w:val="22"/>
        </w:rPr>
        <w:footnoteReference w:id="1059"/>
      </w:r>
    </w:p>
    <w:p w14:paraId="2A0353F4" w14:textId="77777777" w:rsidR="00080A9A" w:rsidRDefault="00080A9A" w:rsidP="003C3A3C">
      <w:pPr>
        <w:ind w:left="567" w:hanging="567"/>
        <w:jc w:val="both"/>
        <w:rPr>
          <w:rFonts w:eastAsia="National-Book" w:cs="Times New Roman"/>
        </w:rPr>
      </w:pPr>
      <w:r>
        <w:rPr>
          <w:rFonts w:eastAsia="National-Book" w:cs="Times New Roman"/>
        </w:rPr>
        <w:t>(3)</w:t>
      </w:r>
      <w:r>
        <w:rPr>
          <w:rFonts w:eastAsia="National-Book" w:cs="Times New Roman"/>
        </w:rPr>
        <w:tab/>
        <w:t xml:space="preserve">promotes collaboration between individuals and agencies with </w:t>
      </w:r>
      <w:r w:rsidRPr="002C4324">
        <w:rPr>
          <w:rFonts w:eastAsia="National-Book" w:cs="Times New Roman"/>
          <w:i/>
        </w:rPr>
        <w:t>biodiversity</w:t>
      </w:r>
      <w:r>
        <w:rPr>
          <w:rFonts w:eastAsia="National-Book" w:cs="Times New Roman"/>
        </w:rPr>
        <w:t xml:space="preserve"> responsibilities,</w:t>
      </w:r>
    </w:p>
    <w:p w14:paraId="5CB88F9B" w14:textId="77777777" w:rsidR="00080A9A" w:rsidRDefault="00080A9A" w:rsidP="003C3A3C">
      <w:pPr>
        <w:ind w:left="567" w:hanging="567"/>
        <w:jc w:val="both"/>
        <w:rPr>
          <w:rFonts w:eastAsia="National-Book" w:cs="Times New Roman"/>
        </w:rPr>
      </w:pPr>
      <w:r>
        <w:rPr>
          <w:rFonts w:eastAsia="National-Book" w:cs="Times New Roman"/>
        </w:rPr>
        <w:lastRenderedPageBreak/>
        <w:t>(4)</w:t>
      </w:r>
      <w:r>
        <w:rPr>
          <w:rFonts w:eastAsia="National-Book" w:cs="Times New Roman"/>
        </w:rPr>
        <w:tab/>
        <w:t xml:space="preserve">supports the various statutory and non-statutory approaches adopted to manage indigenous </w:t>
      </w:r>
      <w:r w:rsidRPr="002C4324">
        <w:rPr>
          <w:rFonts w:eastAsia="National-Book" w:cs="Times New Roman"/>
          <w:i/>
        </w:rPr>
        <w:t>biodiversity</w:t>
      </w:r>
      <w:r>
        <w:rPr>
          <w:rFonts w:eastAsia="National-Book" w:cs="Times New Roman"/>
        </w:rPr>
        <w:t xml:space="preserve">, </w:t>
      </w:r>
    </w:p>
    <w:p w14:paraId="2F6A1097" w14:textId="77777777" w:rsidR="00080A9A" w:rsidRDefault="00080A9A" w:rsidP="003C3A3C">
      <w:pPr>
        <w:ind w:left="567" w:hanging="567"/>
        <w:jc w:val="both"/>
        <w:rPr>
          <w:rFonts w:eastAsia="National-Book" w:cs="Times New Roman"/>
          <w:i/>
        </w:rPr>
      </w:pPr>
      <w:r>
        <w:rPr>
          <w:rFonts w:eastAsia="National-Book" w:cs="Times New Roman"/>
        </w:rPr>
        <w:t>(5)</w:t>
      </w:r>
      <w:r>
        <w:rPr>
          <w:rFonts w:eastAsia="National-Book" w:cs="Times New Roman"/>
        </w:rPr>
        <w:tab/>
        <w:t xml:space="preserve">recognises the critical role of people and communities in actively managing the remaining indigenous </w:t>
      </w:r>
      <w:r w:rsidRPr="002C4324">
        <w:rPr>
          <w:rFonts w:eastAsia="National-Book" w:cs="Times New Roman"/>
          <w:i/>
        </w:rPr>
        <w:t>biodiversity</w:t>
      </w:r>
      <w:r>
        <w:rPr>
          <w:rFonts w:eastAsia="National-Book" w:cs="Times New Roman"/>
        </w:rPr>
        <w:t xml:space="preserve"> occurring on private </w:t>
      </w:r>
      <w:r w:rsidRPr="005C6A74">
        <w:rPr>
          <w:rFonts w:eastAsia="National-Book" w:cs="Times New Roman"/>
          <w:i/>
        </w:rPr>
        <w:t>land</w:t>
      </w:r>
      <w:r>
        <w:rPr>
          <w:rFonts w:eastAsia="National-Book" w:cs="Times New Roman"/>
          <w:i/>
        </w:rPr>
        <w:t xml:space="preserve">, </w:t>
      </w:r>
      <w:r w:rsidRPr="000569C6">
        <w:rPr>
          <w:rFonts w:eastAsia="National-Book" w:cs="Times New Roman"/>
          <w:iCs/>
        </w:rPr>
        <w:t>and</w:t>
      </w:r>
    </w:p>
    <w:p w14:paraId="130B3E2F" w14:textId="77777777" w:rsidR="00080A9A" w:rsidRDefault="00080A9A" w:rsidP="003C3A3C">
      <w:pPr>
        <w:ind w:left="567" w:hanging="567"/>
        <w:jc w:val="both"/>
        <w:rPr>
          <w:rFonts w:eastAsia="National-Book" w:cs="Times New Roman"/>
        </w:rPr>
      </w:pPr>
      <w:r w:rsidRPr="00813910">
        <w:rPr>
          <w:rFonts w:eastAsia="National-Book" w:cs="Times New Roman"/>
        </w:rPr>
        <w:t>(6)</w:t>
      </w:r>
      <w:r w:rsidRPr="00813910">
        <w:rPr>
          <w:rFonts w:eastAsia="National-Book" w:cs="Times New Roman"/>
        </w:rPr>
        <w:tab/>
      </w:r>
      <w:r>
        <w:rPr>
          <w:rFonts w:eastAsia="National-Book" w:cs="Times New Roman"/>
        </w:rPr>
        <w:t>adopts regulatory and non-regulatory regional pest management programmes.</w:t>
      </w:r>
    </w:p>
    <w:p w14:paraId="315D55EF" w14:textId="77777777" w:rsidR="00080A9A" w:rsidRPr="003D1C57" w:rsidRDefault="00080A9A" w:rsidP="00080A9A">
      <w:pPr>
        <w:pStyle w:val="Heading3"/>
        <w:rPr>
          <w:rFonts w:eastAsia="National-Book"/>
        </w:rPr>
      </w:pPr>
      <w:bookmarkStart w:id="182" w:name="_Toc49763521"/>
      <w:r w:rsidRPr="003D1C57">
        <w:rPr>
          <w:rFonts w:eastAsia="National-Book"/>
        </w:rPr>
        <w:t>Methods</w:t>
      </w:r>
      <w:bookmarkEnd w:id="182"/>
    </w:p>
    <w:p w14:paraId="64B688E4" w14:textId="28C19306" w:rsidR="00080A9A" w:rsidRPr="003D1C57" w:rsidRDefault="00080A9A" w:rsidP="00080A9A">
      <w:pPr>
        <w:pStyle w:val="Heading4"/>
        <w:rPr>
          <w:rFonts w:eastAsia="National-Book"/>
        </w:rPr>
      </w:pPr>
      <w:bookmarkStart w:id="183" w:name="_Hlk52271866"/>
      <w:r>
        <w:rPr>
          <w:rFonts w:eastAsia="National-Book"/>
        </w:rPr>
        <w:t>ECO-</w:t>
      </w:r>
      <w:r w:rsidRPr="003D1C57">
        <w:rPr>
          <w:rFonts w:eastAsia="National-Book"/>
        </w:rPr>
        <w:t>M1</w:t>
      </w:r>
      <w:r w:rsidRPr="0028723B">
        <w:t xml:space="preserve"> </w:t>
      </w:r>
      <w:r>
        <w:t xml:space="preserve">– </w:t>
      </w:r>
      <w:r w:rsidRPr="003D1C57">
        <w:rPr>
          <w:rFonts w:eastAsia="National-Book"/>
        </w:rPr>
        <w:t>Statement of responsibilities</w:t>
      </w:r>
    </w:p>
    <w:p w14:paraId="49AE6F37" w14:textId="77777777" w:rsidR="00080A9A" w:rsidRPr="003D1C57" w:rsidRDefault="00080A9A" w:rsidP="00080A9A">
      <w:pPr>
        <w:spacing w:line="240" w:lineRule="auto"/>
        <w:rPr>
          <w:rFonts w:ascii="Calibri" w:eastAsia="Calibri" w:hAnsi="Calibri" w:cs="Times New Roman"/>
        </w:rPr>
      </w:pPr>
      <w:r w:rsidRPr="003D1C57">
        <w:rPr>
          <w:rFonts w:ascii="Calibri" w:eastAsia="Calibri" w:hAnsi="Calibri" w:cs="Times New Roman"/>
        </w:rPr>
        <w:t>In accordance with section 62(1)(i)(iii) of the RMA</w:t>
      </w:r>
      <w:r>
        <w:rPr>
          <w:rFonts w:ascii="Calibri" w:eastAsia="Calibri" w:hAnsi="Calibri" w:cs="Times New Roman"/>
        </w:rPr>
        <w:t xml:space="preserve"> 1991</w:t>
      </w:r>
      <w:r w:rsidRPr="003D1C57">
        <w:rPr>
          <w:rFonts w:ascii="Calibri" w:eastAsia="Calibri" w:hAnsi="Calibri" w:cs="Times New Roman"/>
        </w:rPr>
        <w:t xml:space="preserve">, the </w:t>
      </w:r>
      <w:r w:rsidRPr="003D1C57">
        <w:rPr>
          <w:rFonts w:ascii="Calibri" w:eastAsia="Calibri" w:hAnsi="Calibri" w:cs="Times New Roman"/>
          <w:i/>
          <w:iCs/>
        </w:rPr>
        <w:t>local authorit</w:t>
      </w:r>
      <w:r>
        <w:rPr>
          <w:rFonts w:ascii="Calibri" w:eastAsia="Calibri" w:hAnsi="Calibri" w:cs="Times New Roman"/>
          <w:i/>
          <w:iCs/>
        </w:rPr>
        <w:t>ies</w:t>
      </w:r>
      <w:r w:rsidRPr="003D1C57">
        <w:rPr>
          <w:rFonts w:ascii="Calibri" w:eastAsia="Calibri" w:hAnsi="Calibri" w:cs="Times New Roman"/>
        </w:rPr>
        <w:t xml:space="preserve"> responsible for the control of </w:t>
      </w:r>
      <w:r w:rsidRPr="003D1C57">
        <w:rPr>
          <w:rFonts w:ascii="Calibri" w:eastAsia="Calibri" w:hAnsi="Calibri" w:cs="Times New Roman"/>
          <w:i/>
          <w:iCs/>
        </w:rPr>
        <w:t>land</w:t>
      </w:r>
      <w:r w:rsidRPr="003D1C57">
        <w:rPr>
          <w:rFonts w:ascii="Calibri" w:eastAsia="Calibri" w:hAnsi="Calibri" w:cs="Times New Roman"/>
        </w:rPr>
        <w:t xml:space="preserve"> </w:t>
      </w:r>
      <w:r w:rsidRPr="006920D6">
        <w:rPr>
          <w:rFonts w:ascii="Calibri" w:eastAsia="Calibri" w:hAnsi="Calibri" w:cs="Times New Roman"/>
        </w:rPr>
        <w:t>use</w:t>
      </w:r>
      <w:r w:rsidRPr="003D1C57">
        <w:rPr>
          <w:rFonts w:ascii="Calibri" w:eastAsia="Calibri" w:hAnsi="Calibri" w:cs="Times New Roman"/>
          <w:i/>
          <w:iCs/>
        </w:rPr>
        <w:t xml:space="preserve"> </w:t>
      </w:r>
      <w:r w:rsidRPr="003D1C57">
        <w:rPr>
          <w:rFonts w:ascii="Calibri" w:eastAsia="Calibri" w:hAnsi="Calibri" w:cs="Times New Roman"/>
        </w:rPr>
        <w:t xml:space="preserve">to maintain indigenous </w:t>
      </w:r>
      <w:r w:rsidRPr="003D1C57">
        <w:rPr>
          <w:rFonts w:ascii="Calibri" w:eastAsia="Calibri" w:hAnsi="Calibri" w:cs="Times New Roman"/>
          <w:i/>
          <w:iCs/>
        </w:rPr>
        <w:t>biological diversity</w:t>
      </w:r>
      <w:r w:rsidRPr="003D1C57">
        <w:rPr>
          <w:rFonts w:ascii="Calibri" w:eastAsia="Calibri" w:hAnsi="Calibri" w:cs="Times New Roman"/>
        </w:rPr>
        <w:t xml:space="preserve"> </w:t>
      </w:r>
      <w:r>
        <w:rPr>
          <w:rFonts w:ascii="Calibri" w:eastAsia="Calibri" w:hAnsi="Calibri" w:cs="Times New Roman"/>
        </w:rPr>
        <w:t>are</w:t>
      </w:r>
      <w:r w:rsidRPr="003D1C57">
        <w:rPr>
          <w:rFonts w:ascii="Calibri" w:eastAsia="Calibri" w:hAnsi="Calibri" w:cs="Times New Roman"/>
        </w:rPr>
        <w:t>:</w:t>
      </w:r>
    </w:p>
    <w:p w14:paraId="43ED6965" w14:textId="77777777" w:rsidR="00080A9A" w:rsidRPr="00314634" w:rsidRDefault="00080A9A" w:rsidP="00080A9A">
      <w:pPr>
        <w:ind w:left="567" w:hanging="567"/>
        <w:jc w:val="both"/>
        <w:rPr>
          <w:rFonts w:eastAsia="National-Book" w:cs="Times New Roman"/>
        </w:rPr>
      </w:pPr>
      <w:r>
        <w:rPr>
          <w:rFonts w:eastAsia="National-Book" w:cs="Times New Roman"/>
        </w:rPr>
        <w:t>(1)</w:t>
      </w:r>
      <w:r>
        <w:rPr>
          <w:rFonts w:eastAsia="National-Book" w:cs="Times New Roman"/>
        </w:rPr>
        <w:tab/>
        <w:t xml:space="preserve">the </w:t>
      </w:r>
      <w:r w:rsidRPr="006920D6">
        <w:rPr>
          <w:rFonts w:eastAsia="National-Book" w:cs="Times New Roman"/>
        </w:rPr>
        <w:t>Regional Council</w:t>
      </w:r>
      <w:r>
        <w:rPr>
          <w:rFonts w:eastAsia="National-Book" w:cs="Times New Roman"/>
        </w:rPr>
        <w:t xml:space="preserve"> and </w:t>
      </w:r>
      <w:r>
        <w:rPr>
          <w:rFonts w:eastAsia="National-Book" w:cs="Times New Roman"/>
          <w:i/>
        </w:rPr>
        <w:t>territorial authorities</w:t>
      </w:r>
      <w:r>
        <w:rPr>
          <w:rFonts w:eastAsia="National-Book" w:cs="Times New Roman"/>
        </w:rPr>
        <w:t xml:space="preserve"> are responsible for specifying objectives, </w:t>
      </w:r>
      <w:proofErr w:type="gramStart"/>
      <w:r>
        <w:rPr>
          <w:rFonts w:eastAsia="National-Book" w:cs="Times New Roman"/>
        </w:rPr>
        <w:t>policies</w:t>
      </w:r>
      <w:proofErr w:type="gramEnd"/>
      <w:r>
        <w:rPr>
          <w:rFonts w:eastAsia="National-Book" w:cs="Times New Roman"/>
        </w:rPr>
        <w:t xml:space="preserve"> and methods in </w:t>
      </w:r>
      <w:r>
        <w:rPr>
          <w:rFonts w:eastAsia="National-Book" w:cs="Times New Roman"/>
          <w:i/>
        </w:rPr>
        <w:t xml:space="preserve">regional </w:t>
      </w:r>
      <w:r>
        <w:rPr>
          <w:rFonts w:eastAsia="National-Book" w:cs="Times New Roman"/>
        </w:rPr>
        <w:t xml:space="preserve">and </w:t>
      </w:r>
      <w:r>
        <w:rPr>
          <w:rFonts w:eastAsia="National-Book" w:cs="Times New Roman"/>
          <w:i/>
        </w:rPr>
        <w:t>district plans</w:t>
      </w:r>
      <w:r>
        <w:rPr>
          <w:rFonts w:eastAsia="National-Book" w:cs="Times New Roman"/>
        </w:rPr>
        <w:t xml:space="preserve"> for managing the margins of </w:t>
      </w:r>
      <w:r>
        <w:rPr>
          <w:rFonts w:eastAsia="National-Book" w:cs="Times New Roman"/>
          <w:i/>
        </w:rPr>
        <w:t>wetlands</w:t>
      </w:r>
      <w:r>
        <w:rPr>
          <w:rFonts w:eastAsia="National-Book" w:cs="Times New Roman"/>
        </w:rPr>
        <w:t xml:space="preserve">, </w:t>
      </w:r>
      <w:r>
        <w:rPr>
          <w:rFonts w:eastAsia="National-Book" w:cs="Times New Roman"/>
          <w:i/>
        </w:rPr>
        <w:t xml:space="preserve">rivers </w:t>
      </w:r>
      <w:r>
        <w:rPr>
          <w:rFonts w:eastAsia="National-Book" w:cs="Times New Roman"/>
        </w:rPr>
        <w:t xml:space="preserve">and </w:t>
      </w:r>
      <w:r>
        <w:rPr>
          <w:rFonts w:eastAsia="National-Book" w:cs="Times New Roman"/>
          <w:i/>
        </w:rPr>
        <w:t>lakes</w:t>
      </w:r>
      <w:r>
        <w:rPr>
          <w:rFonts w:eastAsia="National-Book" w:cs="Times New Roman"/>
        </w:rPr>
        <w:t>,</w:t>
      </w:r>
    </w:p>
    <w:p w14:paraId="05F12E6C" w14:textId="77777777" w:rsidR="00080A9A" w:rsidRPr="00226710" w:rsidRDefault="00080A9A" w:rsidP="00080A9A">
      <w:pPr>
        <w:ind w:left="567" w:hanging="567"/>
        <w:jc w:val="both"/>
        <w:rPr>
          <w:rFonts w:eastAsia="National-Book" w:cs="Times New Roman"/>
        </w:rPr>
      </w:pPr>
      <w:r>
        <w:rPr>
          <w:rFonts w:eastAsia="National-Book" w:cs="Times New Roman"/>
        </w:rPr>
        <w:t>(2)</w:t>
      </w:r>
      <w:r>
        <w:rPr>
          <w:rFonts w:eastAsia="National-Book" w:cs="Times New Roman"/>
        </w:rPr>
        <w:tab/>
      </w:r>
      <w:r w:rsidRPr="00226710">
        <w:rPr>
          <w:rFonts w:eastAsia="National-Book" w:cs="Times New Roman"/>
        </w:rPr>
        <w:t xml:space="preserve">the </w:t>
      </w:r>
      <w:r w:rsidRPr="006920D6">
        <w:rPr>
          <w:rFonts w:eastAsia="National-Book" w:cs="Times New Roman"/>
        </w:rPr>
        <w:t>Regional Council</w:t>
      </w:r>
      <w:r w:rsidRPr="00226710">
        <w:rPr>
          <w:rFonts w:eastAsia="National-Book" w:cs="Times New Roman"/>
        </w:rPr>
        <w:t xml:space="preserve"> is responsible for specifying objectives, </w:t>
      </w:r>
      <w:proofErr w:type="gramStart"/>
      <w:r w:rsidRPr="00226710">
        <w:rPr>
          <w:rFonts w:eastAsia="National-Book" w:cs="Times New Roman"/>
        </w:rPr>
        <w:t>policies</w:t>
      </w:r>
      <w:proofErr w:type="gramEnd"/>
      <w:r w:rsidRPr="00226710">
        <w:rPr>
          <w:rFonts w:eastAsia="National-Book" w:cs="Times New Roman"/>
        </w:rPr>
        <w:t xml:space="preserve"> and methods in </w:t>
      </w:r>
      <w:r w:rsidRPr="00226710">
        <w:rPr>
          <w:rFonts w:eastAsia="National-Book" w:cs="Times New Roman"/>
          <w:i/>
        </w:rPr>
        <w:t>regional plans</w:t>
      </w:r>
      <w:r w:rsidRPr="00226710">
        <w:rPr>
          <w:rFonts w:eastAsia="National-Book" w:cs="Times New Roman"/>
        </w:rPr>
        <w:t xml:space="preserve">: </w:t>
      </w:r>
    </w:p>
    <w:p w14:paraId="108E99D6" w14:textId="77777777" w:rsidR="00080A9A" w:rsidRPr="00226710" w:rsidRDefault="00080A9A" w:rsidP="00080A9A">
      <w:pPr>
        <w:ind w:left="1134" w:hanging="567"/>
        <w:jc w:val="both"/>
        <w:rPr>
          <w:rFonts w:eastAsia="National-Book" w:cs="Times New Roman"/>
        </w:rPr>
      </w:pPr>
      <w:r>
        <w:rPr>
          <w:rFonts w:eastAsia="National-Book" w:cs="Times New Roman"/>
        </w:rPr>
        <w:t>(a)</w:t>
      </w:r>
      <w:r>
        <w:rPr>
          <w:rFonts w:eastAsia="National-Book" w:cs="Times New Roman"/>
        </w:rPr>
        <w:tab/>
      </w:r>
      <w:r w:rsidRPr="00226710">
        <w:rPr>
          <w:rFonts w:eastAsia="National-Book" w:cs="Times New Roman"/>
        </w:rPr>
        <w:t xml:space="preserve">in the </w:t>
      </w:r>
      <w:r w:rsidRPr="00226710">
        <w:rPr>
          <w:rFonts w:eastAsia="National-Book" w:cs="Times New Roman"/>
          <w:i/>
        </w:rPr>
        <w:t>coastal marine area</w:t>
      </w:r>
      <w:r w:rsidRPr="00226710">
        <w:rPr>
          <w:rFonts w:eastAsia="National-Book" w:cs="Times New Roman"/>
        </w:rPr>
        <w:t xml:space="preserve">, </w:t>
      </w:r>
    </w:p>
    <w:p w14:paraId="49B06DD9" w14:textId="77777777" w:rsidR="00080A9A" w:rsidRPr="00226710" w:rsidRDefault="00080A9A" w:rsidP="00080A9A">
      <w:pPr>
        <w:ind w:left="1134" w:hanging="567"/>
        <w:jc w:val="both"/>
        <w:rPr>
          <w:rFonts w:eastAsia="National-Book" w:cs="Times New Roman"/>
        </w:rPr>
      </w:pPr>
      <w:r>
        <w:rPr>
          <w:rFonts w:eastAsia="National-Book" w:cs="Times New Roman"/>
        </w:rPr>
        <w:t>(b)</w:t>
      </w:r>
      <w:r>
        <w:rPr>
          <w:rFonts w:eastAsia="National-Book" w:cs="Times New Roman"/>
        </w:rPr>
        <w:tab/>
      </w:r>
      <w:r w:rsidRPr="00226710">
        <w:rPr>
          <w:rFonts w:eastAsia="National-Book" w:cs="Times New Roman"/>
        </w:rPr>
        <w:t xml:space="preserve">in </w:t>
      </w:r>
      <w:r w:rsidRPr="00226710">
        <w:rPr>
          <w:rFonts w:eastAsia="National-Book" w:cs="Times New Roman"/>
          <w:i/>
        </w:rPr>
        <w:t>wetlands</w:t>
      </w:r>
      <w:r w:rsidRPr="00226710">
        <w:rPr>
          <w:rFonts w:eastAsia="National-Book" w:cs="Times New Roman"/>
        </w:rPr>
        <w:t xml:space="preserve">, </w:t>
      </w:r>
      <w:proofErr w:type="gramStart"/>
      <w:r w:rsidRPr="00226710">
        <w:rPr>
          <w:rFonts w:eastAsia="National-Book" w:cs="Times New Roman"/>
          <w:i/>
        </w:rPr>
        <w:t>lakes</w:t>
      </w:r>
      <w:proofErr w:type="gramEnd"/>
      <w:r w:rsidRPr="00226710">
        <w:rPr>
          <w:rFonts w:eastAsia="National-Book" w:cs="Times New Roman"/>
        </w:rPr>
        <w:t xml:space="preserve"> and </w:t>
      </w:r>
      <w:r w:rsidRPr="00226710">
        <w:rPr>
          <w:rFonts w:eastAsia="National-Book" w:cs="Times New Roman"/>
          <w:i/>
        </w:rPr>
        <w:t>rivers</w:t>
      </w:r>
      <w:r w:rsidRPr="00226710">
        <w:rPr>
          <w:rFonts w:eastAsia="National-Book" w:cs="Times New Roman"/>
        </w:rPr>
        <w:t>, and</w:t>
      </w:r>
    </w:p>
    <w:p w14:paraId="10730623" w14:textId="77777777" w:rsidR="00080A9A" w:rsidRPr="00226710" w:rsidRDefault="00080A9A" w:rsidP="00080A9A">
      <w:pPr>
        <w:ind w:left="1134" w:hanging="567"/>
        <w:jc w:val="both"/>
        <w:rPr>
          <w:rFonts w:eastAsia="National-Book" w:cs="Times New Roman"/>
        </w:rPr>
      </w:pPr>
      <w:r>
        <w:rPr>
          <w:rFonts w:eastAsia="National-Book" w:cs="Times New Roman"/>
        </w:rPr>
        <w:t>(c)</w:t>
      </w:r>
      <w:r>
        <w:rPr>
          <w:rFonts w:eastAsia="National-Book" w:cs="Times New Roman"/>
        </w:rPr>
        <w:tab/>
      </w:r>
      <w:r w:rsidRPr="00226710">
        <w:rPr>
          <w:rFonts w:eastAsia="National-Book" w:cs="Times New Roman"/>
        </w:rPr>
        <w:t xml:space="preserve">in, on or under the </w:t>
      </w:r>
      <w:r w:rsidRPr="00226710">
        <w:rPr>
          <w:rFonts w:eastAsia="National-Book" w:cs="Times New Roman"/>
          <w:i/>
        </w:rPr>
        <w:t>beds</w:t>
      </w:r>
      <w:r w:rsidRPr="00226710">
        <w:rPr>
          <w:rFonts w:eastAsia="National-Book" w:cs="Times New Roman"/>
        </w:rPr>
        <w:t xml:space="preserve"> of </w:t>
      </w:r>
      <w:r w:rsidRPr="00226710">
        <w:rPr>
          <w:rFonts w:eastAsia="National-Book" w:cs="Times New Roman"/>
          <w:i/>
        </w:rPr>
        <w:t>rivers</w:t>
      </w:r>
      <w:r w:rsidRPr="00226710">
        <w:rPr>
          <w:rFonts w:eastAsia="National-Book" w:cs="Times New Roman"/>
        </w:rPr>
        <w:t xml:space="preserve"> and </w:t>
      </w:r>
      <w:r w:rsidRPr="00226710">
        <w:rPr>
          <w:rFonts w:eastAsia="National-Book" w:cs="Times New Roman"/>
          <w:i/>
        </w:rPr>
        <w:t>lakes</w:t>
      </w:r>
      <w:r>
        <w:rPr>
          <w:rFonts w:eastAsia="National-Book" w:cs="Times New Roman"/>
        </w:rPr>
        <w:t>,</w:t>
      </w:r>
      <w:r w:rsidRPr="00226710">
        <w:rPr>
          <w:rFonts w:eastAsia="National-Book" w:cs="Times New Roman"/>
        </w:rPr>
        <w:t xml:space="preserve"> </w:t>
      </w:r>
    </w:p>
    <w:p w14:paraId="27BF1A33" w14:textId="77777777" w:rsidR="00080A9A" w:rsidRDefault="00080A9A" w:rsidP="00080A9A">
      <w:pPr>
        <w:ind w:left="567" w:hanging="567"/>
        <w:jc w:val="both"/>
        <w:rPr>
          <w:rFonts w:eastAsia="National-Book" w:cs="Times New Roman"/>
        </w:rPr>
      </w:pPr>
      <w:r>
        <w:rPr>
          <w:rFonts w:eastAsia="National-Book" w:cs="Times New Roman"/>
        </w:rPr>
        <w:t>(3)</w:t>
      </w:r>
      <w:r>
        <w:rPr>
          <w:rFonts w:eastAsia="National-Book" w:cs="Times New Roman"/>
        </w:rPr>
        <w:tab/>
        <w:t xml:space="preserve">in addition to (1), </w:t>
      </w:r>
      <w:r w:rsidRPr="00226710">
        <w:rPr>
          <w:rFonts w:eastAsia="National-Book" w:cs="Times New Roman"/>
          <w:i/>
        </w:rPr>
        <w:t>territorial authorities</w:t>
      </w:r>
      <w:r w:rsidRPr="00226710">
        <w:rPr>
          <w:rFonts w:eastAsia="National-Book" w:cs="Times New Roman"/>
        </w:rPr>
        <w:t xml:space="preserve"> are responsible for specifying objectives, policies and methods in </w:t>
      </w:r>
      <w:r w:rsidRPr="00226710">
        <w:rPr>
          <w:rFonts w:eastAsia="National-Book" w:cs="Times New Roman"/>
          <w:i/>
        </w:rPr>
        <w:t>district plans</w:t>
      </w:r>
      <w:r w:rsidRPr="00226710">
        <w:rPr>
          <w:rFonts w:eastAsia="National-Book" w:cs="Times New Roman"/>
        </w:rPr>
        <w:t xml:space="preserve"> outside of the areas listed in (</w:t>
      </w:r>
      <w:r>
        <w:rPr>
          <w:rFonts w:eastAsia="National-Book" w:cs="Times New Roman"/>
        </w:rPr>
        <w:t>2</w:t>
      </w:r>
      <w:r w:rsidRPr="00226710">
        <w:rPr>
          <w:rFonts w:eastAsia="National-Book" w:cs="Times New Roman"/>
        </w:rPr>
        <w:t>) above</w:t>
      </w:r>
      <w:r>
        <w:rPr>
          <w:rFonts w:eastAsia="National-Book" w:cs="Times New Roman"/>
        </w:rPr>
        <w:t xml:space="preserve"> if they are not managed by the </w:t>
      </w:r>
      <w:r w:rsidRPr="006920D6">
        <w:rPr>
          <w:rFonts w:eastAsia="National-Book" w:cs="Times New Roman"/>
        </w:rPr>
        <w:t>Regional Council</w:t>
      </w:r>
      <w:r>
        <w:rPr>
          <w:rFonts w:eastAsia="National-Book" w:cs="Times New Roman"/>
        </w:rPr>
        <w:t xml:space="preserve"> under (4), and</w:t>
      </w:r>
    </w:p>
    <w:p w14:paraId="695CD3D1" w14:textId="77777777" w:rsidR="00080A9A" w:rsidRDefault="00080A9A" w:rsidP="00080A9A">
      <w:pPr>
        <w:ind w:left="567" w:hanging="567"/>
        <w:jc w:val="both"/>
        <w:rPr>
          <w:rFonts w:eastAsia="National-Book" w:cs="Times New Roman"/>
        </w:rPr>
      </w:pPr>
      <w:r>
        <w:rPr>
          <w:rFonts w:eastAsia="National-Book" w:cs="Times New Roman"/>
        </w:rPr>
        <w:t>(4)</w:t>
      </w:r>
      <w:r>
        <w:rPr>
          <w:rFonts w:eastAsia="National-Book" w:cs="Times New Roman"/>
        </w:rPr>
        <w:tab/>
        <w:t>t</w:t>
      </w:r>
      <w:r w:rsidRPr="00226710">
        <w:rPr>
          <w:rFonts w:eastAsia="National-Book" w:cs="Times New Roman"/>
        </w:rPr>
        <w:t xml:space="preserve">he </w:t>
      </w:r>
      <w:r w:rsidRPr="006920D6">
        <w:rPr>
          <w:rFonts w:eastAsia="National-Book" w:cs="Times New Roman"/>
        </w:rPr>
        <w:t>Regional Council</w:t>
      </w:r>
      <w:r w:rsidRPr="00226710">
        <w:rPr>
          <w:rFonts w:eastAsia="National-Book" w:cs="Times New Roman"/>
        </w:rPr>
        <w:t xml:space="preserve"> may be responsible for specifying objectives, </w:t>
      </w:r>
      <w:proofErr w:type="gramStart"/>
      <w:r w:rsidRPr="00226710">
        <w:rPr>
          <w:rFonts w:eastAsia="National-Book" w:cs="Times New Roman"/>
        </w:rPr>
        <w:t>policies</w:t>
      </w:r>
      <w:proofErr w:type="gramEnd"/>
      <w:r w:rsidRPr="00226710">
        <w:rPr>
          <w:rFonts w:eastAsia="National-Book" w:cs="Times New Roman"/>
        </w:rPr>
        <w:t xml:space="preserve"> and methods in </w:t>
      </w:r>
      <w:r w:rsidRPr="00226710">
        <w:rPr>
          <w:rFonts w:eastAsia="National-Book" w:cs="Times New Roman"/>
          <w:i/>
        </w:rPr>
        <w:t>regional plans</w:t>
      </w:r>
      <w:r w:rsidRPr="00226710">
        <w:rPr>
          <w:rFonts w:eastAsia="National-Book" w:cs="Times New Roman"/>
        </w:rPr>
        <w:t xml:space="preserve"> outside of the areas listed (1) above</w:t>
      </w:r>
      <w:r>
        <w:rPr>
          <w:rFonts w:eastAsia="National-Book" w:cs="Times New Roman"/>
        </w:rPr>
        <w:t xml:space="preserve"> if:</w:t>
      </w:r>
    </w:p>
    <w:p w14:paraId="2936E918" w14:textId="77777777" w:rsidR="00080A9A" w:rsidRDefault="00080A9A" w:rsidP="00080A9A">
      <w:pPr>
        <w:ind w:left="1134" w:hanging="567"/>
        <w:jc w:val="both"/>
        <w:rPr>
          <w:rFonts w:eastAsia="National-Book" w:cs="Times New Roman"/>
        </w:rPr>
      </w:pPr>
      <w:r>
        <w:rPr>
          <w:rFonts w:eastAsia="National-Book" w:cs="Times New Roman"/>
        </w:rPr>
        <w:t>(a)</w:t>
      </w:r>
      <w:r>
        <w:rPr>
          <w:rFonts w:eastAsia="National-Book" w:cs="Times New Roman"/>
        </w:rPr>
        <w:tab/>
        <w:t xml:space="preserve">the </w:t>
      </w:r>
      <w:r w:rsidRPr="006920D6">
        <w:rPr>
          <w:rFonts w:eastAsia="National-Book" w:cs="Times New Roman"/>
        </w:rPr>
        <w:t>Regional Council</w:t>
      </w:r>
      <w:r>
        <w:rPr>
          <w:rFonts w:eastAsia="National-Book" w:cs="Times New Roman"/>
        </w:rPr>
        <w:t xml:space="preserve"> reaches agreement with the relevant </w:t>
      </w:r>
      <w:r w:rsidRPr="00501DC1">
        <w:rPr>
          <w:rFonts w:eastAsia="National-Book" w:cs="Times New Roman"/>
          <w:i/>
        </w:rPr>
        <w:t>territorial authority</w:t>
      </w:r>
      <w:r>
        <w:rPr>
          <w:rFonts w:eastAsia="National-Book" w:cs="Times New Roman"/>
        </w:rPr>
        <w:t xml:space="preserve"> or </w:t>
      </w:r>
      <w:r w:rsidRPr="00501DC1">
        <w:rPr>
          <w:rFonts w:eastAsia="National-Book" w:cs="Times New Roman"/>
          <w:i/>
        </w:rPr>
        <w:t>territorial authorities</w:t>
      </w:r>
      <w:r>
        <w:rPr>
          <w:rFonts w:eastAsia="National-Book" w:cs="Times New Roman"/>
        </w:rPr>
        <w:t>, and</w:t>
      </w:r>
    </w:p>
    <w:p w14:paraId="3A991456" w14:textId="77777777" w:rsidR="00080A9A" w:rsidRPr="00226710" w:rsidRDefault="00080A9A" w:rsidP="00080A9A">
      <w:pPr>
        <w:ind w:left="1134" w:hanging="567"/>
        <w:jc w:val="both"/>
        <w:rPr>
          <w:rFonts w:eastAsia="National-Book" w:cs="Times New Roman"/>
        </w:rPr>
      </w:pPr>
      <w:r>
        <w:rPr>
          <w:rFonts w:eastAsia="National-Book" w:cs="Times New Roman"/>
        </w:rPr>
        <w:t>(b)</w:t>
      </w:r>
      <w:r>
        <w:rPr>
          <w:rFonts w:eastAsia="National-Book" w:cs="Times New Roman"/>
        </w:rPr>
        <w:tab/>
        <w:t xml:space="preserve">if applicable, a transfer of powers in accordance with section 33 of the RMA 1991 occurs from the relevant </w:t>
      </w:r>
      <w:r w:rsidRPr="00DF78D3">
        <w:rPr>
          <w:rFonts w:eastAsia="National-Book" w:cs="Times New Roman"/>
          <w:i/>
        </w:rPr>
        <w:t>territorial authority</w:t>
      </w:r>
      <w:r>
        <w:rPr>
          <w:rFonts w:eastAsia="National-Book" w:cs="Times New Roman"/>
        </w:rPr>
        <w:t xml:space="preserve"> or </w:t>
      </w:r>
      <w:r w:rsidRPr="00DF78D3">
        <w:rPr>
          <w:rFonts w:eastAsia="National-Book" w:cs="Times New Roman"/>
          <w:i/>
        </w:rPr>
        <w:t>territorial authorities</w:t>
      </w:r>
      <w:r>
        <w:rPr>
          <w:rFonts w:eastAsia="National-Book" w:cs="Times New Roman"/>
        </w:rPr>
        <w:t xml:space="preserve"> to the </w:t>
      </w:r>
      <w:r w:rsidRPr="006920D6">
        <w:rPr>
          <w:rFonts w:eastAsia="National-Book" w:cs="Times New Roman"/>
        </w:rPr>
        <w:t>Regional Council</w:t>
      </w:r>
      <w:r>
        <w:rPr>
          <w:rFonts w:eastAsia="National-Book" w:cs="Times New Roman"/>
        </w:rPr>
        <w:t>.</w:t>
      </w:r>
      <w:bookmarkEnd w:id="183"/>
    </w:p>
    <w:p w14:paraId="1DAE002F" w14:textId="0D5DDB88" w:rsidR="00080A9A" w:rsidRPr="003D1C57" w:rsidRDefault="00080A9A" w:rsidP="00080A9A">
      <w:pPr>
        <w:pStyle w:val="Heading4"/>
        <w:rPr>
          <w:rFonts w:eastAsia="National-Book"/>
        </w:rPr>
      </w:pPr>
      <w:r>
        <w:rPr>
          <w:rFonts w:eastAsia="National-Book"/>
        </w:rPr>
        <w:t>ECO-</w:t>
      </w:r>
      <w:r w:rsidRPr="003D1C57">
        <w:rPr>
          <w:rFonts w:eastAsia="National-Book"/>
        </w:rPr>
        <w:t>M2</w:t>
      </w:r>
      <w:r w:rsidRPr="0028723B">
        <w:t xml:space="preserve"> </w:t>
      </w:r>
      <w:r>
        <w:t xml:space="preserve">– </w:t>
      </w:r>
      <w:r w:rsidRPr="003D1C57">
        <w:rPr>
          <w:rFonts w:eastAsia="National-Book"/>
        </w:rPr>
        <w:t>Identification</w:t>
      </w:r>
      <w:r>
        <w:rPr>
          <w:rFonts w:eastAsia="National-Book"/>
        </w:rPr>
        <w:t xml:space="preserve"> of </w:t>
      </w:r>
      <w:r>
        <w:rPr>
          <w:rFonts w:eastAsia="National-Book"/>
          <w:i/>
        </w:rPr>
        <w:t>significant natural areas</w:t>
      </w:r>
    </w:p>
    <w:p w14:paraId="3749D5DA" w14:textId="77777777" w:rsidR="00080A9A" w:rsidRPr="003D1C57" w:rsidRDefault="00080A9A" w:rsidP="00080A9A">
      <w:pPr>
        <w:spacing w:line="256" w:lineRule="auto"/>
        <w:rPr>
          <w:rFonts w:ascii="Calibri" w:eastAsia="Calibri" w:hAnsi="Calibri" w:cs="Times New Roman"/>
        </w:rPr>
      </w:pPr>
      <w:r w:rsidRPr="00917742">
        <w:rPr>
          <w:rFonts w:ascii="Calibri" w:eastAsia="Calibri" w:hAnsi="Calibri" w:cs="Times New Roman"/>
          <w:i/>
          <w:iCs/>
        </w:rPr>
        <w:t>Local authorities</w:t>
      </w:r>
      <w:r w:rsidRPr="003D1C57">
        <w:rPr>
          <w:rFonts w:ascii="Calibri" w:eastAsia="Calibri" w:hAnsi="Calibri" w:cs="Times New Roman"/>
        </w:rPr>
        <w:t xml:space="preserve"> </w:t>
      </w:r>
      <w:r>
        <w:t>must</w:t>
      </w:r>
      <w:r w:rsidRPr="003D1C57">
        <w:rPr>
          <w:rFonts w:ascii="Calibri" w:eastAsia="Calibri" w:hAnsi="Calibri" w:cs="Times New Roman"/>
        </w:rPr>
        <w:t>:</w:t>
      </w:r>
    </w:p>
    <w:p w14:paraId="74B58899" w14:textId="45206E8F" w:rsidR="00A05A6D" w:rsidRPr="00F46BDB" w:rsidRDefault="00A05A6D" w:rsidP="00A05A6D">
      <w:pPr>
        <w:ind w:left="567" w:hanging="567"/>
        <w:jc w:val="both"/>
        <w:rPr>
          <w:rFonts w:cs="Times New Roman"/>
          <w:szCs w:val="22"/>
        </w:rPr>
      </w:pPr>
      <w:bookmarkStart w:id="184" w:name="_Hlk52272603"/>
      <w:r w:rsidRPr="00F46BDB">
        <w:rPr>
          <w:rFonts w:cs="Times New Roman"/>
          <w:szCs w:val="22"/>
        </w:rPr>
        <w:t>(1)</w:t>
      </w:r>
      <w:r w:rsidRPr="00F46BDB">
        <w:rPr>
          <w:rFonts w:cs="Times New Roman"/>
          <w:szCs w:val="22"/>
        </w:rPr>
        <w:tab/>
        <w:t>in accordance with the statement of responsibilities in ECO</w:t>
      </w:r>
      <w:r w:rsidR="00A13938">
        <w:t>-</w:t>
      </w:r>
      <w:r w:rsidRPr="00F46BDB">
        <w:rPr>
          <w:rFonts w:cs="Times New Roman"/>
          <w:szCs w:val="22"/>
        </w:rPr>
        <w:t xml:space="preserve">M1, </w:t>
      </w:r>
      <w:bookmarkStart w:id="185" w:name="_Hlk95747613"/>
      <w:r w:rsidRPr="00F46BDB">
        <w:rPr>
          <w:rFonts w:cs="Times New Roman"/>
          <w:szCs w:val="22"/>
        </w:rPr>
        <w:t xml:space="preserve">identify the areas and </w:t>
      </w:r>
      <w:r w:rsidRPr="00F46BDB">
        <w:rPr>
          <w:rFonts w:cs="Times New Roman"/>
          <w:szCs w:val="22"/>
          <w:u w:val="single"/>
        </w:rPr>
        <w:t xml:space="preserve">indigenous </w:t>
      </w:r>
      <w:r w:rsidRPr="00F46BDB">
        <w:rPr>
          <w:rFonts w:cs="Times New Roman"/>
          <w:i/>
          <w:iCs/>
          <w:szCs w:val="22"/>
          <w:u w:val="single"/>
        </w:rPr>
        <w:t>biodiversity</w:t>
      </w:r>
      <w:r w:rsidRPr="00F46BDB">
        <w:rPr>
          <w:rStyle w:val="FootnoteReference"/>
          <w:rFonts w:eastAsia="National-Book" w:cs="Times New Roman"/>
          <w:szCs w:val="22"/>
        </w:rPr>
        <w:footnoteReference w:id="1060"/>
      </w:r>
      <w:r w:rsidRPr="00F46BDB">
        <w:rPr>
          <w:rFonts w:cs="Times New Roman"/>
          <w:szCs w:val="22"/>
        </w:rPr>
        <w:t xml:space="preserve"> values of </w:t>
      </w:r>
      <w:r w:rsidRPr="00F46BDB">
        <w:rPr>
          <w:rFonts w:cs="Times New Roman"/>
          <w:i/>
          <w:iCs/>
          <w:szCs w:val="22"/>
        </w:rPr>
        <w:t>significant natural areas</w:t>
      </w:r>
      <w:r w:rsidRPr="00F46BDB">
        <w:rPr>
          <w:rFonts w:cs="Times New Roman"/>
          <w:szCs w:val="22"/>
        </w:rPr>
        <w:t xml:space="preserve"> as required by ECO</w:t>
      </w:r>
      <w:r w:rsidR="00A13938">
        <w:t>-</w:t>
      </w:r>
      <w:r w:rsidRPr="00F46BDB">
        <w:rPr>
          <w:rFonts w:cs="Times New Roman"/>
          <w:szCs w:val="22"/>
        </w:rPr>
        <w:t xml:space="preserve">P2, </w:t>
      </w:r>
      <w:bookmarkEnd w:id="185"/>
      <w:r w:rsidRPr="00F46BDB">
        <w:rPr>
          <w:rFonts w:cs="Times New Roman"/>
          <w:szCs w:val="22"/>
        </w:rPr>
        <w:t>and</w:t>
      </w:r>
    </w:p>
    <w:p w14:paraId="73464752" w14:textId="77777777" w:rsidR="00A05A6D" w:rsidRPr="00F46BDB" w:rsidRDefault="00A05A6D" w:rsidP="00A05A6D">
      <w:pPr>
        <w:ind w:left="567" w:hanging="567"/>
        <w:jc w:val="both"/>
        <w:rPr>
          <w:rFonts w:cs="Times New Roman"/>
          <w:szCs w:val="22"/>
        </w:rPr>
      </w:pPr>
      <w:r w:rsidRPr="00F46BDB">
        <w:rPr>
          <w:rFonts w:cs="Times New Roman"/>
          <w:szCs w:val="22"/>
        </w:rPr>
        <w:lastRenderedPageBreak/>
        <w:t>(2)</w:t>
      </w:r>
      <w:r w:rsidRPr="00F46BDB">
        <w:rPr>
          <w:szCs w:val="22"/>
        </w:rPr>
        <w:tab/>
      </w:r>
      <w:r w:rsidRPr="00F46BDB">
        <w:rPr>
          <w:rFonts w:cs="Times New Roman"/>
          <w:szCs w:val="22"/>
        </w:rPr>
        <w:t>map</w:t>
      </w:r>
      <w:r w:rsidRPr="00F46BDB">
        <w:rPr>
          <w:rFonts w:cs="Times New Roman"/>
          <w:szCs w:val="22"/>
          <w:u w:val="single"/>
        </w:rPr>
        <w:t xml:space="preserve"> and verify</w:t>
      </w:r>
      <w:r w:rsidRPr="00F46BDB">
        <w:rPr>
          <w:rStyle w:val="FootnoteReference"/>
          <w:rFonts w:eastAsia="National-Book" w:cs="Times New Roman"/>
          <w:szCs w:val="22"/>
        </w:rPr>
        <w:footnoteReference w:id="1061"/>
      </w:r>
      <w:r w:rsidRPr="00F46BDB">
        <w:rPr>
          <w:rFonts w:cs="Times New Roman"/>
          <w:szCs w:val="22"/>
        </w:rPr>
        <w:t xml:space="preserve"> the areas and include the </w:t>
      </w:r>
      <w:r w:rsidRPr="00F46BDB">
        <w:rPr>
          <w:rFonts w:cs="Times New Roman"/>
          <w:szCs w:val="22"/>
          <w:u w:val="single"/>
        </w:rPr>
        <w:t xml:space="preserve">indigenous </w:t>
      </w:r>
      <w:r w:rsidRPr="00F46BDB">
        <w:rPr>
          <w:rFonts w:cs="Times New Roman"/>
          <w:i/>
          <w:iCs/>
          <w:szCs w:val="22"/>
          <w:u w:val="single"/>
        </w:rPr>
        <w:t>biodiversity</w:t>
      </w:r>
      <w:r w:rsidRPr="00F46BDB">
        <w:rPr>
          <w:rStyle w:val="FootnoteReference"/>
          <w:rFonts w:eastAsia="National-Book" w:cs="Times New Roman"/>
          <w:szCs w:val="22"/>
        </w:rPr>
        <w:footnoteReference w:id="1062"/>
      </w:r>
      <w:r w:rsidRPr="00F46BDB">
        <w:rPr>
          <w:rFonts w:cs="Times New Roman"/>
          <w:szCs w:val="22"/>
        </w:rPr>
        <w:t xml:space="preserve"> values identified under (1) in the relevant </w:t>
      </w:r>
      <w:r w:rsidRPr="00F46BDB">
        <w:rPr>
          <w:rFonts w:cs="Times New Roman"/>
          <w:i/>
          <w:iCs/>
          <w:szCs w:val="22"/>
        </w:rPr>
        <w:t xml:space="preserve">regional </w:t>
      </w:r>
      <w:r w:rsidRPr="00F46BDB">
        <w:rPr>
          <w:rFonts w:cs="Times New Roman"/>
          <w:i/>
          <w:iCs/>
          <w:szCs w:val="22"/>
          <w:u w:val="single"/>
        </w:rPr>
        <w:t>plans</w:t>
      </w:r>
      <w:r w:rsidRPr="00F46BDB">
        <w:rPr>
          <w:rStyle w:val="FootnoteReference"/>
          <w:rFonts w:eastAsia="National-Book" w:cs="Times New Roman"/>
          <w:szCs w:val="22"/>
        </w:rPr>
        <w:footnoteReference w:id="1063"/>
      </w:r>
      <w:r w:rsidRPr="00F46BDB">
        <w:rPr>
          <w:rFonts w:cs="Times New Roman"/>
          <w:szCs w:val="22"/>
        </w:rPr>
        <w:t xml:space="preserve"> and </w:t>
      </w:r>
      <w:r w:rsidRPr="00F46BDB">
        <w:rPr>
          <w:rFonts w:cs="Times New Roman"/>
          <w:i/>
          <w:iCs/>
          <w:szCs w:val="22"/>
        </w:rPr>
        <w:t>district plans</w:t>
      </w:r>
      <w:r w:rsidRPr="00F46BDB">
        <w:rPr>
          <w:rFonts w:cs="Times New Roman"/>
          <w:i/>
          <w:iCs/>
          <w:strike/>
          <w:szCs w:val="22"/>
        </w:rPr>
        <w:t>,</w:t>
      </w:r>
      <w:r w:rsidRPr="00F46BDB">
        <w:rPr>
          <w:rFonts w:cs="Times New Roman"/>
          <w:i/>
          <w:iCs/>
          <w:szCs w:val="22"/>
          <w:u w:val="single"/>
        </w:rPr>
        <w:t xml:space="preserve"> </w:t>
      </w:r>
      <w:r w:rsidRPr="00F46BDB">
        <w:rPr>
          <w:rFonts w:cs="Times New Roman"/>
          <w:szCs w:val="22"/>
          <w:u w:val="single"/>
        </w:rPr>
        <w:t>no later than 31 December 2030,</w:t>
      </w:r>
      <w:r w:rsidRPr="00F46BDB">
        <w:rPr>
          <w:rStyle w:val="FootnoteReference"/>
          <w:rFonts w:eastAsia="National-Book" w:cs="Times New Roman"/>
          <w:szCs w:val="22"/>
        </w:rPr>
        <w:footnoteReference w:id="1064"/>
      </w:r>
    </w:p>
    <w:p w14:paraId="6A2B0ACD" w14:textId="77777777" w:rsidR="00A05A6D" w:rsidRPr="00F46BDB" w:rsidRDefault="00A05A6D" w:rsidP="00A05A6D">
      <w:pPr>
        <w:ind w:left="567" w:hanging="567"/>
        <w:jc w:val="both"/>
        <w:rPr>
          <w:rFonts w:cs="Times New Roman"/>
          <w:szCs w:val="22"/>
        </w:rPr>
      </w:pPr>
      <w:r w:rsidRPr="00F46BDB">
        <w:rPr>
          <w:rFonts w:cs="Times New Roman"/>
          <w:szCs w:val="22"/>
        </w:rPr>
        <w:t>(3)</w:t>
      </w:r>
      <w:r w:rsidRPr="00F46BDB">
        <w:rPr>
          <w:rFonts w:cs="Times New Roman"/>
          <w:szCs w:val="22"/>
        </w:rPr>
        <w:tab/>
        <w:t xml:space="preserve">recognise that indigenous </w:t>
      </w:r>
      <w:r w:rsidRPr="00F46BDB">
        <w:rPr>
          <w:rFonts w:cs="Times New Roman"/>
          <w:i/>
          <w:szCs w:val="22"/>
        </w:rPr>
        <w:t>biodiversity</w:t>
      </w:r>
      <w:r w:rsidRPr="00F46BDB">
        <w:rPr>
          <w:rFonts w:cs="Times New Roman"/>
          <w:szCs w:val="22"/>
        </w:rPr>
        <w:t xml:space="preserve"> spans jurisdictional boundaries by:</w:t>
      </w:r>
    </w:p>
    <w:p w14:paraId="104A379D" w14:textId="77777777" w:rsidR="00A05A6D" w:rsidRPr="00F46BDB" w:rsidRDefault="00A05A6D" w:rsidP="00A05A6D">
      <w:pPr>
        <w:ind w:left="1134" w:hanging="567"/>
        <w:jc w:val="both"/>
        <w:rPr>
          <w:rFonts w:cs="Times New Roman"/>
          <w:szCs w:val="22"/>
        </w:rPr>
      </w:pPr>
      <w:r w:rsidRPr="00F46BDB">
        <w:rPr>
          <w:rFonts w:cs="Times New Roman"/>
          <w:szCs w:val="22"/>
        </w:rPr>
        <w:t>(a)</w:t>
      </w:r>
      <w:r w:rsidRPr="00F46BDB">
        <w:rPr>
          <w:rFonts w:cs="Times New Roman"/>
          <w:szCs w:val="22"/>
        </w:rPr>
        <w:tab/>
        <w:t xml:space="preserve">working collaboratively to ensure the areas identified by different </w:t>
      </w:r>
      <w:r w:rsidRPr="00F46BDB">
        <w:rPr>
          <w:rFonts w:cs="Times New Roman"/>
          <w:i/>
          <w:szCs w:val="22"/>
        </w:rPr>
        <w:t>local authorities</w:t>
      </w:r>
      <w:r w:rsidRPr="00F46BDB">
        <w:rPr>
          <w:rFonts w:cs="Times New Roman"/>
          <w:szCs w:val="22"/>
        </w:rPr>
        <w:t xml:space="preserve"> are not artificially fragmented when identifying </w:t>
      </w:r>
      <w:r w:rsidRPr="00F46BDB">
        <w:rPr>
          <w:rFonts w:cs="Times New Roman"/>
          <w:i/>
          <w:szCs w:val="22"/>
        </w:rPr>
        <w:t>significant natural areas</w:t>
      </w:r>
      <w:r w:rsidRPr="00F46BDB">
        <w:rPr>
          <w:rFonts w:cs="Times New Roman"/>
          <w:szCs w:val="22"/>
        </w:rPr>
        <w:t xml:space="preserve"> that span jurisdictional boundaries, and</w:t>
      </w:r>
    </w:p>
    <w:p w14:paraId="0A442D0C" w14:textId="77777777" w:rsidR="00A05A6D" w:rsidRPr="00F46BDB" w:rsidRDefault="00A05A6D" w:rsidP="00A05A6D">
      <w:pPr>
        <w:ind w:left="1134" w:hanging="567"/>
        <w:jc w:val="both"/>
        <w:rPr>
          <w:rFonts w:cs="Times New Roman"/>
          <w:szCs w:val="22"/>
        </w:rPr>
      </w:pPr>
      <w:r w:rsidRPr="00F46BDB">
        <w:rPr>
          <w:rFonts w:cs="Times New Roman"/>
          <w:szCs w:val="22"/>
        </w:rPr>
        <w:t>(b)</w:t>
      </w:r>
      <w:r w:rsidRPr="00F46BDB">
        <w:rPr>
          <w:rFonts w:cs="Times New Roman"/>
          <w:szCs w:val="22"/>
        </w:rPr>
        <w:tab/>
        <w:t xml:space="preserve">ensuring that indigenous </w:t>
      </w:r>
      <w:r w:rsidRPr="00F46BDB">
        <w:rPr>
          <w:rFonts w:cs="Times New Roman"/>
          <w:i/>
          <w:szCs w:val="22"/>
        </w:rPr>
        <w:t>biodiversity</w:t>
      </w:r>
      <w:r w:rsidRPr="00F46BDB">
        <w:rPr>
          <w:rFonts w:cs="Times New Roman"/>
          <w:szCs w:val="22"/>
        </w:rPr>
        <w:t xml:space="preserve"> is managed in accordance with this RPS, </w:t>
      </w:r>
    </w:p>
    <w:p w14:paraId="7480E2DF" w14:textId="77777777" w:rsidR="00A05A6D" w:rsidRPr="00F46BDB" w:rsidRDefault="00A05A6D" w:rsidP="00A05A6D">
      <w:pPr>
        <w:ind w:left="567" w:hanging="567"/>
        <w:jc w:val="both"/>
        <w:rPr>
          <w:rFonts w:cs="Times New Roman"/>
          <w:szCs w:val="22"/>
        </w:rPr>
      </w:pPr>
      <w:r w:rsidRPr="00F46BDB">
        <w:rPr>
          <w:rFonts w:cs="Times New Roman"/>
          <w:szCs w:val="22"/>
        </w:rPr>
        <w:t>(4)</w:t>
      </w:r>
      <w:r w:rsidRPr="00F46BDB">
        <w:rPr>
          <w:rFonts w:cs="Times New Roman"/>
          <w:szCs w:val="22"/>
        </w:rPr>
        <w:tab/>
      </w:r>
      <w:r w:rsidRPr="00F46BDB">
        <w:rPr>
          <w:rFonts w:cs="Times New Roman"/>
          <w:szCs w:val="22"/>
          <w:u w:val="single"/>
        </w:rPr>
        <w:t xml:space="preserve">until </w:t>
      </w:r>
      <w:r w:rsidRPr="00F46BDB">
        <w:rPr>
          <w:rFonts w:cs="Times New Roman"/>
          <w:i/>
          <w:iCs/>
          <w:szCs w:val="22"/>
          <w:u w:val="single"/>
        </w:rPr>
        <w:t>significant natural areas</w:t>
      </w:r>
      <w:r w:rsidRPr="00F46BDB">
        <w:rPr>
          <w:rFonts w:cs="Times New Roman"/>
          <w:szCs w:val="22"/>
          <w:u w:val="single"/>
        </w:rPr>
        <w:t xml:space="preserve"> are identified and mapped in accordance with (1) and (2),</w:t>
      </w:r>
      <w:r w:rsidRPr="00F46BDB">
        <w:rPr>
          <w:rStyle w:val="FootnoteReference"/>
          <w:rFonts w:eastAsia="National-Book" w:cs="Times New Roman"/>
          <w:szCs w:val="22"/>
        </w:rPr>
        <w:footnoteReference w:id="1065"/>
      </w:r>
      <w:r w:rsidRPr="00F46BDB">
        <w:rPr>
          <w:rFonts w:cs="Times New Roman"/>
          <w:szCs w:val="22"/>
        </w:rPr>
        <w:t xml:space="preserve"> require ecological assessments to be provided with applications for resource consent and notices of requirement that </w:t>
      </w:r>
      <w:bookmarkStart w:id="186" w:name="_Hlk95747983"/>
      <w:r w:rsidRPr="00F46BDB">
        <w:rPr>
          <w:rFonts w:cs="Times New Roman"/>
          <w:szCs w:val="22"/>
        </w:rPr>
        <w:t xml:space="preserve">requirement that identify whether affected areas are </w:t>
      </w:r>
      <w:r w:rsidRPr="00F46BDB">
        <w:rPr>
          <w:rFonts w:cs="Times New Roman"/>
          <w:i/>
          <w:iCs/>
          <w:szCs w:val="22"/>
        </w:rPr>
        <w:t xml:space="preserve">significant natural areas </w:t>
      </w:r>
      <w:r w:rsidRPr="00F46BDB">
        <w:rPr>
          <w:rFonts w:cs="Times New Roman"/>
          <w:szCs w:val="22"/>
        </w:rPr>
        <w:t xml:space="preserve">in accordance with APP2, </w:t>
      </w:r>
      <w:r w:rsidRPr="00F46BDB">
        <w:rPr>
          <w:rFonts w:cs="Times New Roman"/>
          <w:szCs w:val="22"/>
          <w:u w:val="single"/>
        </w:rPr>
        <w:t>and</w:t>
      </w:r>
      <w:r w:rsidRPr="00F46BDB">
        <w:rPr>
          <w:rStyle w:val="FootnoteReference"/>
          <w:rFonts w:eastAsia="National-Book" w:cs="Times New Roman"/>
          <w:szCs w:val="22"/>
        </w:rPr>
        <w:footnoteReference w:id="1066"/>
      </w:r>
    </w:p>
    <w:bookmarkEnd w:id="186"/>
    <w:p w14:paraId="3055650F" w14:textId="77777777" w:rsidR="00080A9A" w:rsidRPr="0086300B" w:rsidRDefault="00080A9A" w:rsidP="00080A9A">
      <w:pPr>
        <w:ind w:left="567" w:hanging="567"/>
        <w:rPr>
          <w:rFonts w:eastAsia="National-Book" w:cs="Times New Roman"/>
        </w:rPr>
      </w:pPr>
      <w:r>
        <w:rPr>
          <w:rFonts w:eastAsia="National-Book" w:cs="Times New Roman"/>
        </w:rPr>
        <w:t>(5)</w:t>
      </w:r>
      <w:r>
        <w:tab/>
      </w:r>
      <w:r w:rsidRPr="0086300B">
        <w:rPr>
          <w:rFonts w:eastAsia="National-Book" w:cs="Times New Roman"/>
        </w:rPr>
        <w:t xml:space="preserve">in the following areas, </w:t>
      </w:r>
      <w:r>
        <w:rPr>
          <w:rFonts w:eastAsia="National-Book" w:cs="Times New Roman"/>
        </w:rPr>
        <w:t>prioritise</w:t>
      </w:r>
      <w:r w:rsidRPr="0086300B">
        <w:rPr>
          <w:rFonts w:eastAsia="National-Book" w:cs="Times New Roman"/>
        </w:rPr>
        <w:t xml:space="preserve"> identification under (1) no later than</w:t>
      </w:r>
      <w:r>
        <w:rPr>
          <w:rFonts w:eastAsia="National-Book" w:cs="Times New Roman"/>
        </w:rPr>
        <w:t xml:space="preserve"> 31 December</w:t>
      </w:r>
      <w:r w:rsidRPr="0086300B">
        <w:rPr>
          <w:rFonts w:eastAsia="National-Book" w:cs="Times New Roman"/>
        </w:rPr>
        <w:t xml:space="preserve"> 2025:</w:t>
      </w:r>
    </w:p>
    <w:p w14:paraId="5712BE39" w14:textId="77777777" w:rsidR="00080A9A" w:rsidRPr="008C4DBF" w:rsidRDefault="00080A9A" w:rsidP="00080A9A">
      <w:pPr>
        <w:ind w:left="1134" w:hanging="567"/>
        <w:rPr>
          <w:rFonts w:eastAsia="National-Book" w:cs="Times New Roman"/>
        </w:rPr>
      </w:pPr>
      <w:r w:rsidRPr="17CE736F">
        <w:rPr>
          <w:rFonts w:eastAsia="National-Book" w:cs="Times New Roman"/>
        </w:rPr>
        <w:t xml:space="preserve">(a) </w:t>
      </w:r>
      <w:r>
        <w:tab/>
      </w:r>
      <w:r>
        <w:rPr>
          <w:rFonts w:eastAsia="National-Book" w:cs="Times New Roman"/>
        </w:rPr>
        <w:t>i</w:t>
      </w:r>
      <w:r w:rsidRPr="17CE736F">
        <w:rPr>
          <w:rFonts w:eastAsia="National-Book" w:cs="Times New Roman"/>
        </w:rPr>
        <w:t>ntermontane basins</w:t>
      </w:r>
      <w:r>
        <w:rPr>
          <w:rFonts w:eastAsia="National-Book" w:cs="Times New Roman"/>
        </w:rPr>
        <w:t xml:space="preserve"> that contain indigenous vegetation and habitats</w:t>
      </w:r>
      <w:r w:rsidRPr="17CE736F">
        <w:rPr>
          <w:rFonts w:eastAsia="National-Book" w:cs="Times New Roman"/>
        </w:rPr>
        <w:t>,</w:t>
      </w:r>
    </w:p>
    <w:p w14:paraId="05187F61" w14:textId="77777777" w:rsidR="00080A9A" w:rsidRPr="008C4DBF" w:rsidRDefault="00080A9A" w:rsidP="00080A9A">
      <w:pPr>
        <w:ind w:left="1134" w:hanging="567"/>
        <w:rPr>
          <w:rFonts w:eastAsia="National-Book" w:cs="Times New Roman"/>
        </w:rPr>
      </w:pPr>
      <w:r w:rsidRPr="17CE736F">
        <w:rPr>
          <w:rFonts w:eastAsia="National-Book" w:cs="Times New Roman"/>
        </w:rPr>
        <w:t xml:space="preserve">(b)      </w:t>
      </w:r>
      <w:r>
        <w:rPr>
          <w:rFonts w:eastAsia="National-Book" w:cs="Times New Roman"/>
        </w:rPr>
        <w:t>areas of d</w:t>
      </w:r>
      <w:r w:rsidRPr="17CE736F">
        <w:rPr>
          <w:rFonts w:eastAsia="National-Book" w:cs="Times New Roman"/>
        </w:rPr>
        <w:t xml:space="preserve">ryland shrubs, </w:t>
      </w:r>
    </w:p>
    <w:p w14:paraId="17DB6A95" w14:textId="77777777" w:rsidR="00080A9A" w:rsidRPr="008C4DBF" w:rsidRDefault="00080A9A" w:rsidP="00080A9A">
      <w:pPr>
        <w:ind w:left="1134" w:hanging="567"/>
        <w:rPr>
          <w:rFonts w:eastAsia="National-Book" w:cs="Times New Roman"/>
        </w:rPr>
      </w:pPr>
      <w:r>
        <w:rPr>
          <w:rFonts w:eastAsia="National-Book" w:cs="Times New Roman"/>
        </w:rPr>
        <w:t>(c)</w:t>
      </w:r>
      <w:r>
        <w:rPr>
          <w:rFonts w:eastAsia="National-Book" w:cs="Times New Roman"/>
        </w:rPr>
        <w:tab/>
        <w:t>b</w:t>
      </w:r>
      <w:r w:rsidRPr="008C4DBF">
        <w:rPr>
          <w:rFonts w:eastAsia="National-Book" w:cs="Times New Roman"/>
        </w:rPr>
        <w:t xml:space="preserve">raided </w:t>
      </w:r>
      <w:r w:rsidRPr="008C4DBF">
        <w:rPr>
          <w:rFonts w:eastAsia="National-Book" w:cs="Times New Roman"/>
          <w:i/>
        </w:rPr>
        <w:t>rivers</w:t>
      </w:r>
      <w:r w:rsidRPr="008C4DBF">
        <w:rPr>
          <w:rFonts w:eastAsia="National-Book" w:cs="Times New Roman"/>
        </w:rPr>
        <w:t>, including the Makarora, M</w:t>
      </w:r>
      <w:r w:rsidRPr="008C4DBF">
        <w:rPr>
          <w:rFonts w:eastAsia="National-Book"/>
        </w:rPr>
        <w:t>ā</w:t>
      </w:r>
      <w:r w:rsidRPr="008C4DBF">
        <w:rPr>
          <w:rFonts w:eastAsia="National-Book" w:cs="Times New Roman"/>
        </w:rPr>
        <w:t xml:space="preserve">tukituki and Lower Waitaki Rivers, </w:t>
      </w:r>
    </w:p>
    <w:p w14:paraId="57948E66" w14:textId="77777777" w:rsidR="00080A9A" w:rsidRDefault="00080A9A" w:rsidP="00080A9A">
      <w:pPr>
        <w:ind w:left="1134" w:hanging="567"/>
        <w:rPr>
          <w:rFonts w:eastAsia="National-Book" w:cs="Times New Roman"/>
        </w:rPr>
      </w:pPr>
      <w:r>
        <w:rPr>
          <w:rFonts w:eastAsia="National-Book" w:cs="Times New Roman"/>
        </w:rPr>
        <w:t>(d)</w:t>
      </w:r>
      <w:r>
        <w:tab/>
        <w:t xml:space="preserve">areas of montane </w:t>
      </w:r>
      <w:r>
        <w:rPr>
          <w:rFonts w:eastAsia="National-Book" w:cs="Times New Roman"/>
        </w:rPr>
        <w:t>tall t</w:t>
      </w:r>
      <w:r w:rsidRPr="008C4DBF">
        <w:rPr>
          <w:rFonts w:eastAsia="National-Book" w:cs="Times New Roman"/>
        </w:rPr>
        <w:t>ussock grasslands</w:t>
      </w:r>
      <w:r>
        <w:rPr>
          <w:rFonts w:eastAsia="National-Book" w:cs="Times New Roman"/>
        </w:rPr>
        <w:t>, and</w:t>
      </w:r>
    </w:p>
    <w:p w14:paraId="7927C8B3" w14:textId="77777777" w:rsidR="00080A9A" w:rsidRPr="008C4DBF" w:rsidRDefault="00080A9A" w:rsidP="00080A9A">
      <w:pPr>
        <w:ind w:left="1134" w:hanging="567"/>
        <w:rPr>
          <w:rFonts w:eastAsia="National-Book" w:cs="Times New Roman"/>
        </w:rPr>
      </w:pPr>
      <w:r>
        <w:rPr>
          <w:rFonts w:eastAsia="National-Book" w:cs="Times New Roman"/>
        </w:rPr>
        <w:t>(e)</w:t>
      </w:r>
      <w:r>
        <w:rPr>
          <w:rFonts w:eastAsia="National-Book" w:cs="Times New Roman"/>
        </w:rPr>
        <w:tab/>
        <w:t>limestone habitats</w:t>
      </w:r>
      <w:r w:rsidRPr="58C47F4E">
        <w:rPr>
          <w:rFonts w:eastAsia="National-Book" w:cs="Times New Roman"/>
        </w:rPr>
        <w:t>.</w:t>
      </w:r>
    </w:p>
    <w:bookmarkEnd w:id="184"/>
    <w:p w14:paraId="064B7F94" w14:textId="51E5CE45" w:rsidR="00080A9A" w:rsidRDefault="00080A9A" w:rsidP="00080A9A">
      <w:pPr>
        <w:pStyle w:val="Heading4"/>
      </w:pPr>
      <w:r>
        <w:rPr>
          <w:rFonts w:eastAsia="National-Book"/>
        </w:rPr>
        <w:t>ECO-</w:t>
      </w:r>
      <w:r w:rsidRPr="003D1C57">
        <w:rPr>
          <w:rFonts w:eastAsia="National-Book"/>
        </w:rPr>
        <w:t>M</w:t>
      </w:r>
      <w:r>
        <w:rPr>
          <w:rFonts w:eastAsia="National-Book"/>
        </w:rPr>
        <w:t>3</w:t>
      </w:r>
      <w:bookmarkStart w:id="187" w:name="_Hlk48207848"/>
      <w:r w:rsidRPr="0028723B">
        <w:t xml:space="preserve"> </w:t>
      </w:r>
      <w:r>
        <w:t>– Identification of taoka</w:t>
      </w:r>
    </w:p>
    <w:p w14:paraId="196A10AF" w14:textId="77777777" w:rsidR="00080A9A" w:rsidRDefault="00080A9A" w:rsidP="00080A9A">
      <w:pPr>
        <w:rPr>
          <w:rFonts w:eastAsia="National-Book" w:cs="Times New Roman"/>
        </w:rPr>
      </w:pPr>
      <w:r>
        <w:rPr>
          <w:rFonts w:eastAsia="National-Book" w:cs="Times New Roman"/>
          <w:i/>
        </w:rPr>
        <w:t>Local authorities</w:t>
      </w:r>
      <w:r>
        <w:rPr>
          <w:rFonts w:eastAsia="National-Book" w:cs="Times New Roman"/>
        </w:rPr>
        <w:t xml:space="preserve"> must:</w:t>
      </w:r>
    </w:p>
    <w:p w14:paraId="150EBABB" w14:textId="77777777" w:rsidR="00080A9A" w:rsidRDefault="00080A9A" w:rsidP="00080A9A">
      <w:pPr>
        <w:ind w:left="567" w:hanging="567"/>
        <w:rPr>
          <w:rFonts w:eastAsia="National-Book" w:cs="Times New Roman"/>
        </w:rPr>
      </w:pPr>
      <w:r>
        <w:rPr>
          <w:rFonts w:eastAsia="National-Book" w:cs="Times New Roman"/>
        </w:rPr>
        <w:t>(1)</w:t>
      </w:r>
      <w:r>
        <w:rPr>
          <w:rFonts w:eastAsia="National-Book" w:cs="Times New Roman"/>
        </w:rPr>
        <w:tab/>
        <w:t xml:space="preserve">work together with </w:t>
      </w:r>
      <w:r>
        <w:rPr>
          <w:rFonts w:eastAsia="National-Book" w:cs="Times New Roman"/>
          <w:i/>
          <w:iCs/>
        </w:rPr>
        <w:t>mana</w:t>
      </w:r>
      <w:r w:rsidRPr="00AC422C">
        <w:rPr>
          <w:rFonts w:eastAsia="National-Book" w:cs="Times New Roman"/>
          <w:i/>
        </w:rPr>
        <w:t xml:space="preserve"> whenua</w:t>
      </w:r>
      <w:r>
        <w:rPr>
          <w:rFonts w:eastAsia="National-Book" w:cs="Times New Roman"/>
        </w:rPr>
        <w:t xml:space="preserve"> to agree a process for:</w:t>
      </w:r>
    </w:p>
    <w:p w14:paraId="711E5167" w14:textId="77777777" w:rsidR="00080A9A" w:rsidRDefault="00080A9A" w:rsidP="00080A9A">
      <w:pPr>
        <w:ind w:left="1134" w:hanging="567"/>
        <w:rPr>
          <w:rFonts w:eastAsia="National-Book" w:cs="Times New Roman"/>
        </w:rPr>
      </w:pPr>
      <w:r>
        <w:rPr>
          <w:rFonts w:eastAsia="National-Book" w:cs="Times New Roman"/>
        </w:rPr>
        <w:t>(a)</w:t>
      </w:r>
      <w:r>
        <w:rPr>
          <w:rFonts w:eastAsia="National-Book" w:cs="Times New Roman"/>
        </w:rPr>
        <w:tab/>
        <w:t>identifying indigenous species and ecosystems that are taoka,</w:t>
      </w:r>
    </w:p>
    <w:p w14:paraId="3325C279" w14:textId="77777777" w:rsidR="00080A9A" w:rsidRDefault="00080A9A" w:rsidP="00080A9A">
      <w:pPr>
        <w:ind w:left="1134" w:hanging="567"/>
        <w:rPr>
          <w:rFonts w:eastAsia="National-Book" w:cs="Times New Roman"/>
        </w:rPr>
      </w:pPr>
      <w:r>
        <w:rPr>
          <w:rFonts w:eastAsia="National-Book" w:cs="Times New Roman"/>
        </w:rPr>
        <w:t>(b)</w:t>
      </w:r>
      <w:r>
        <w:rPr>
          <w:rFonts w:eastAsia="National-Book" w:cs="Times New Roman"/>
        </w:rPr>
        <w:tab/>
        <w:t>describing the taoka identified in (1)(a),</w:t>
      </w:r>
    </w:p>
    <w:p w14:paraId="4AA25EB8" w14:textId="77777777" w:rsidR="00080A9A" w:rsidRDefault="00080A9A" w:rsidP="00080A9A">
      <w:pPr>
        <w:ind w:left="1134" w:hanging="567"/>
        <w:rPr>
          <w:rFonts w:eastAsia="National-Book" w:cs="Times New Roman"/>
        </w:rPr>
      </w:pPr>
      <w:r>
        <w:rPr>
          <w:rFonts w:eastAsia="National-Book" w:cs="Times New Roman"/>
        </w:rPr>
        <w:t>(c)</w:t>
      </w:r>
      <w:r>
        <w:rPr>
          <w:rFonts w:eastAsia="National-Book" w:cs="Times New Roman"/>
        </w:rPr>
        <w:tab/>
        <w:t>mapping or describing the location of the taoka identified in (1)(a), and</w:t>
      </w:r>
    </w:p>
    <w:p w14:paraId="52188C9D" w14:textId="77777777" w:rsidR="00080A9A" w:rsidRDefault="00080A9A" w:rsidP="00080A9A">
      <w:pPr>
        <w:ind w:left="1134" w:hanging="567"/>
        <w:rPr>
          <w:rFonts w:eastAsia="National-Book" w:cs="Times New Roman"/>
        </w:rPr>
      </w:pPr>
      <w:r>
        <w:rPr>
          <w:rFonts w:eastAsia="National-Book" w:cs="Times New Roman"/>
        </w:rPr>
        <w:t>(d)</w:t>
      </w:r>
      <w:r>
        <w:rPr>
          <w:rFonts w:eastAsia="National-Book" w:cs="Times New Roman"/>
        </w:rPr>
        <w:tab/>
        <w:t>describing the values of each taoka identified in (1)(a), and</w:t>
      </w:r>
    </w:p>
    <w:p w14:paraId="12D73FB9" w14:textId="77777777" w:rsidR="00080A9A" w:rsidRDefault="00080A9A" w:rsidP="00080A9A">
      <w:pPr>
        <w:ind w:left="567" w:hanging="567"/>
        <w:rPr>
          <w:rFonts w:eastAsia="National-Book" w:cs="Times New Roman"/>
        </w:rPr>
      </w:pPr>
      <w:r>
        <w:rPr>
          <w:rFonts w:eastAsia="National-Book" w:cs="Times New Roman"/>
        </w:rPr>
        <w:t>(2)</w:t>
      </w:r>
      <w:r>
        <w:rPr>
          <w:rFonts w:eastAsia="National-Book" w:cs="Times New Roman"/>
        </w:rPr>
        <w:tab/>
        <w:t xml:space="preserve">notwithstanding (1), recognise that </w:t>
      </w:r>
      <w:r>
        <w:rPr>
          <w:rFonts w:eastAsia="National-Book" w:cs="Times New Roman"/>
          <w:i/>
          <w:iCs/>
        </w:rPr>
        <w:t>mana</w:t>
      </w:r>
      <w:r w:rsidRPr="00AC422C">
        <w:rPr>
          <w:rFonts w:eastAsia="National-Book" w:cs="Times New Roman"/>
          <w:i/>
        </w:rPr>
        <w:t xml:space="preserve"> whenua</w:t>
      </w:r>
      <w:r>
        <w:rPr>
          <w:rFonts w:eastAsia="National-Book" w:cs="Times New Roman"/>
        </w:rPr>
        <w:t xml:space="preserve"> </w:t>
      </w:r>
      <w:proofErr w:type="gramStart"/>
      <w:r>
        <w:rPr>
          <w:rFonts w:eastAsia="National-Book" w:cs="Times New Roman"/>
        </w:rPr>
        <w:t>have</w:t>
      </w:r>
      <w:proofErr w:type="gramEnd"/>
      <w:r>
        <w:rPr>
          <w:rFonts w:eastAsia="National-Book" w:cs="Times New Roman"/>
        </w:rPr>
        <w:t xml:space="preserve"> the right to choose not to identify taoka and to choose the level of detail at which identified taoka, or their location or values, are described, and</w:t>
      </w:r>
    </w:p>
    <w:p w14:paraId="66B46A21" w14:textId="77777777" w:rsidR="00080A9A" w:rsidRPr="00686C88" w:rsidRDefault="00080A9A" w:rsidP="00080A9A">
      <w:pPr>
        <w:ind w:left="567" w:hanging="567"/>
        <w:rPr>
          <w:rFonts w:eastAsia="National-Book" w:cs="Times New Roman"/>
        </w:rPr>
      </w:pPr>
      <w:r>
        <w:rPr>
          <w:rFonts w:eastAsia="National-Book" w:cs="Times New Roman"/>
        </w:rPr>
        <w:t>(3)</w:t>
      </w:r>
      <w:r>
        <w:rPr>
          <w:rFonts w:eastAsia="National-Book" w:cs="Times New Roman"/>
        </w:rPr>
        <w:tab/>
        <w:t xml:space="preserve">to the extent agreed by </w:t>
      </w:r>
      <w:r w:rsidRPr="00AC422C">
        <w:rPr>
          <w:rFonts w:eastAsia="National-Book" w:cs="Times New Roman"/>
          <w:i/>
        </w:rPr>
        <w:t>mana whenua</w:t>
      </w:r>
      <w:r>
        <w:rPr>
          <w:rFonts w:eastAsia="National-Book" w:cs="Times New Roman"/>
        </w:rPr>
        <w:t xml:space="preserve">, amend their </w:t>
      </w:r>
      <w:r>
        <w:rPr>
          <w:rFonts w:eastAsia="National-Book" w:cs="Times New Roman"/>
          <w:i/>
        </w:rPr>
        <w:t>regional</w:t>
      </w:r>
      <w:r>
        <w:rPr>
          <w:rFonts w:eastAsia="National-Book" w:cs="Times New Roman"/>
        </w:rPr>
        <w:t xml:space="preserve"> and </w:t>
      </w:r>
      <w:r>
        <w:rPr>
          <w:rFonts w:eastAsia="National-Book" w:cs="Times New Roman"/>
          <w:i/>
        </w:rPr>
        <w:t>district plans</w:t>
      </w:r>
      <w:r>
        <w:rPr>
          <w:rFonts w:eastAsia="National-Book" w:cs="Times New Roman"/>
        </w:rPr>
        <w:t xml:space="preserve"> to include matters (1)(b) to (1)(d) above.</w:t>
      </w:r>
    </w:p>
    <w:p w14:paraId="32587098" w14:textId="0EADA806" w:rsidR="00080A9A" w:rsidRPr="003D1C57" w:rsidRDefault="00080A9A" w:rsidP="00080A9A">
      <w:pPr>
        <w:pStyle w:val="Heading4"/>
        <w:rPr>
          <w:rFonts w:eastAsia="National-Book"/>
        </w:rPr>
      </w:pPr>
      <w:r>
        <w:rPr>
          <w:rFonts w:eastAsia="National-Book"/>
        </w:rPr>
        <w:lastRenderedPageBreak/>
        <w:t>ECO-</w:t>
      </w:r>
      <w:r w:rsidRPr="003D1C57">
        <w:rPr>
          <w:rFonts w:eastAsia="National-Book"/>
        </w:rPr>
        <w:t>M</w:t>
      </w:r>
      <w:r>
        <w:rPr>
          <w:rFonts w:eastAsia="National-Book"/>
        </w:rPr>
        <w:t>4</w:t>
      </w:r>
      <w:r w:rsidRPr="0028723B">
        <w:t xml:space="preserve"> </w:t>
      </w:r>
      <w:r>
        <w:t xml:space="preserve">– </w:t>
      </w:r>
      <w:r w:rsidRPr="005221CA">
        <w:rPr>
          <w:rFonts w:eastAsia="National-Book"/>
          <w:i/>
        </w:rPr>
        <w:t>Regional plans</w:t>
      </w:r>
      <w:bookmarkEnd w:id="187"/>
    </w:p>
    <w:p w14:paraId="05E453AF" w14:textId="77777777" w:rsidR="00080A9A" w:rsidRPr="003D1C57" w:rsidRDefault="00080A9A" w:rsidP="0036710E">
      <w:pPr>
        <w:spacing w:line="256" w:lineRule="auto"/>
        <w:jc w:val="both"/>
        <w:rPr>
          <w:rFonts w:ascii="Calibri" w:eastAsia="Calibri" w:hAnsi="Calibri" w:cs="Times New Roman"/>
        </w:rPr>
      </w:pPr>
      <w:r w:rsidRPr="003D1C57">
        <w:rPr>
          <w:rFonts w:ascii="Calibri" w:eastAsia="Calibri" w:hAnsi="Calibri" w:cs="Times New Roman"/>
        </w:rPr>
        <w:t xml:space="preserve">Otago Regional Council </w:t>
      </w:r>
      <w:r>
        <w:t>must</w:t>
      </w:r>
      <w:r w:rsidRPr="003D1C57">
        <w:rPr>
          <w:rFonts w:ascii="Calibri" w:eastAsia="Calibri" w:hAnsi="Calibri" w:cs="Times New Roman"/>
        </w:rPr>
        <w:t xml:space="preserve"> prepare or amend and maintain its </w:t>
      </w:r>
      <w:r w:rsidRPr="005221CA">
        <w:rPr>
          <w:rFonts w:ascii="Calibri" w:eastAsia="Calibri" w:hAnsi="Calibri" w:cs="Times New Roman"/>
          <w:i/>
          <w:iCs/>
        </w:rPr>
        <w:t>regional plans</w:t>
      </w:r>
      <w:r w:rsidRPr="003D1C57">
        <w:rPr>
          <w:rFonts w:ascii="Calibri" w:eastAsia="Calibri" w:hAnsi="Calibri" w:cs="Times New Roman"/>
        </w:rPr>
        <w:t xml:space="preserve"> to:</w:t>
      </w:r>
    </w:p>
    <w:p w14:paraId="236B1999" w14:textId="7920CDFB" w:rsidR="00080A9A" w:rsidRDefault="00080A9A" w:rsidP="0036710E">
      <w:pPr>
        <w:ind w:left="567" w:hanging="567"/>
        <w:jc w:val="both"/>
        <w:rPr>
          <w:rFonts w:eastAsia="National-Book" w:cs="Times New Roman"/>
        </w:rPr>
      </w:pPr>
      <w:r>
        <w:rPr>
          <w:rFonts w:eastAsia="National-Book" w:cs="Times New Roman"/>
        </w:rPr>
        <w:t>(1)</w:t>
      </w:r>
      <w:r>
        <w:rPr>
          <w:rFonts w:eastAsia="National-Book" w:cs="Times New Roman"/>
        </w:rPr>
        <w:tab/>
        <w:t>if the requirements of ECO-</w:t>
      </w:r>
      <w:r>
        <w:t xml:space="preserve">P3 and ECO-P6 can be met, </w:t>
      </w:r>
      <w:r>
        <w:rPr>
          <w:rFonts w:eastAsia="National-Book" w:cs="Times New Roman"/>
        </w:rPr>
        <w:t xml:space="preserve">provide for the use of </w:t>
      </w:r>
      <w:r>
        <w:rPr>
          <w:rFonts w:eastAsia="National-Book" w:cs="Times New Roman"/>
          <w:i/>
        </w:rPr>
        <w:t xml:space="preserve">lakes </w:t>
      </w:r>
      <w:r>
        <w:rPr>
          <w:rFonts w:eastAsia="National-Book" w:cs="Times New Roman"/>
        </w:rPr>
        <w:t xml:space="preserve">and </w:t>
      </w:r>
      <w:r>
        <w:rPr>
          <w:rFonts w:eastAsia="National-Book" w:cs="Times New Roman"/>
          <w:i/>
        </w:rPr>
        <w:t xml:space="preserve">rivers </w:t>
      </w:r>
      <w:r>
        <w:rPr>
          <w:rFonts w:eastAsia="National-Book" w:cs="Times New Roman"/>
        </w:rPr>
        <w:t xml:space="preserve">and their </w:t>
      </w:r>
      <w:r>
        <w:rPr>
          <w:rFonts w:eastAsia="National-Book" w:cs="Times New Roman"/>
          <w:i/>
        </w:rPr>
        <w:t xml:space="preserve">beds, </w:t>
      </w:r>
      <w:r>
        <w:rPr>
          <w:rFonts w:eastAsia="National-Book" w:cs="Times New Roman"/>
        </w:rPr>
        <w:t>including:</w:t>
      </w:r>
    </w:p>
    <w:p w14:paraId="5EC1BED3" w14:textId="77777777" w:rsidR="00080A9A" w:rsidRDefault="00080A9A" w:rsidP="0036710E">
      <w:pPr>
        <w:ind w:left="1134" w:hanging="567"/>
        <w:jc w:val="both"/>
        <w:rPr>
          <w:rFonts w:eastAsia="National-Book" w:cs="Times New Roman"/>
        </w:rPr>
      </w:pPr>
      <w:r>
        <w:rPr>
          <w:rFonts w:eastAsia="National-Book" w:cs="Times New Roman"/>
        </w:rPr>
        <w:t>(a)</w:t>
      </w:r>
      <w:r>
        <w:rPr>
          <w:rFonts w:eastAsia="National-Book" w:cs="Times New Roman"/>
        </w:rPr>
        <w:tab/>
        <w:t>activities undertaken for the purposes of pest control or maintaining or enhancing the habitats of indigenous fauna, and</w:t>
      </w:r>
    </w:p>
    <w:p w14:paraId="3565E34B" w14:textId="77777777" w:rsidR="0036710E" w:rsidRPr="007829A8" w:rsidRDefault="0036710E" w:rsidP="0036710E">
      <w:pPr>
        <w:ind w:left="1134" w:hanging="567"/>
        <w:jc w:val="both"/>
        <w:rPr>
          <w:rFonts w:cs="Times New Roman"/>
          <w:szCs w:val="22"/>
        </w:rPr>
      </w:pPr>
      <w:r w:rsidRPr="007829A8">
        <w:rPr>
          <w:rFonts w:cs="Times New Roman"/>
          <w:szCs w:val="22"/>
        </w:rPr>
        <w:t>(b)</w:t>
      </w:r>
      <w:r w:rsidRPr="007829A8">
        <w:rPr>
          <w:rFonts w:cs="Times New Roman"/>
          <w:szCs w:val="22"/>
        </w:rPr>
        <w:tab/>
        <w:t xml:space="preserve">the maintenance and use of existing </w:t>
      </w:r>
      <w:r w:rsidRPr="007829A8">
        <w:rPr>
          <w:rFonts w:cs="Times New Roman"/>
          <w:iCs/>
          <w:szCs w:val="22"/>
        </w:rPr>
        <w:t xml:space="preserve">structures </w:t>
      </w:r>
      <w:r w:rsidRPr="007829A8">
        <w:rPr>
          <w:rFonts w:cs="Times New Roman"/>
          <w:szCs w:val="22"/>
          <w:u w:val="single"/>
        </w:rPr>
        <w:t>that are lawfully established</w:t>
      </w:r>
      <w:r w:rsidRPr="0036710E">
        <w:rPr>
          <w:rStyle w:val="FootnoteReference"/>
          <w:rFonts w:eastAsia="National-Book" w:cs="Times New Roman"/>
          <w:szCs w:val="22"/>
        </w:rPr>
        <w:footnoteReference w:id="1067"/>
      </w:r>
      <w:r w:rsidRPr="0036710E">
        <w:rPr>
          <w:rFonts w:cs="Times New Roman"/>
          <w:szCs w:val="22"/>
        </w:rPr>
        <w:t xml:space="preserve"> </w:t>
      </w:r>
      <w:r w:rsidRPr="007829A8">
        <w:rPr>
          <w:rFonts w:cs="Times New Roman"/>
          <w:szCs w:val="22"/>
        </w:rPr>
        <w:t xml:space="preserve">(including </w:t>
      </w:r>
      <w:r w:rsidRPr="00053A4D">
        <w:rPr>
          <w:rFonts w:cs="Times New Roman"/>
          <w:i/>
          <w:szCs w:val="22"/>
        </w:rPr>
        <w:t>infrastructure</w:t>
      </w:r>
      <w:r w:rsidRPr="007829A8">
        <w:rPr>
          <w:rFonts w:cs="Times New Roman"/>
          <w:szCs w:val="22"/>
        </w:rPr>
        <w:t>), and</w:t>
      </w:r>
    </w:p>
    <w:p w14:paraId="20CD9701" w14:textId="77777777" w:rsidR="0036710E" w:rsidRPr="007829A8" w:rsidRDefault="0036710E" w:rsidP="0036710E">
      <w:pPr>
        <w:ind w:left="1134" w:hanging="567"/>
        <w:jc w:val="both"/>
        <w:rPr>
          <w:rFonts w:cs="Times New Roman"/>
          <w:szCs w:val="22"/>
        </w:rPr>
      </w:pPr>
      <w:r w:rsidRPr="007829A8">
        <w:rPr>
          <w:rFonts w:cs="Times New Roman"/>
          <w:szCs w:val="22"/>
        </w:rPr>
        <w:t>(c)</w:t>
      </w:r>
      <w:r w:rsidRPr="007829A8">
        <w:rPr>
          <w:rFonts w:cs="Times New Roman"/>
          <w:szCs w:val="22"/>
        </w:rPr>
        <w:tab/>
      </w:r>
      <w:r w:rsidRPr="007829A8">
        <w:rPr>
          <w:rFonts w:cs="Times New Roman"/>
          <w:iCs/>
          <w:szCs w:val="22"/>
        </w:rPr>
        <w:t>infrastructure</w:t>
      </w:r>
      <w:r w:rsidRPr="007829A8">
        <w:rPr>
          <w:rFonts w:cs="Times New Roman"/>
          <w:szCs w:val="22"/>
        </w:rPr>
        <w:t xml:space="preserve"> that has a </w:t>
      </w:r>
      <w:r w:rsidRPr="00053A4D">
        <w:rPr>
          <w:rFonts w:cs="Times New Roman"/>
          <w:i/>
          <w:szCs w:val="22"/>
        </w:rPr>
        <w:t xml:space="preserve">functional </w:t>
      </w:r>
      <w:r w:rsidRPr="00053A4D">
        <w:rPr>
          <w:rFonts w:cs="Times New Roman"/>
          <w:i/>
          <w:szCs w:val="22"/>
          <w:u w:val="single"/>
        </w:rPr>
        <w:t>need</w:t>
      </w:r>
      <w:r w:rsidRPr="0036710E">
        <w:rPr>
          <w:rStyle w:val="FootnoteReference"/>
          <w:rFonts w:eastAsia="National-Book" w:cs="Times New Roman"/>
          <w:szCs w:val="22"/>
        </w:rPr>
        <w:footnoteReference w:id="1068"/>
      </w:r>
      <w:r w:rsidRPr="007829A8">
        <w:rPr>
          <w:rFonts w:cs="Times New Roman"/>
          <w:szCs w:val="22"/>
        </w:rPr>
        <w:t xml:space="preserve"> or </w:t>
      </w:r>
      <w:r w:rsidRPr="00053A4D">
        <w:rPr>
          <w:rFonts w:cs="Times New Roman"/>
          <w:i/>
          <w:szCs w:val="22"/>
        </w:rPr>
        <w:t>operational need</w:t>
      </w:r>
      <w:r w:rsidRPr="007829A8">
        <w:rPr>
          <w:rFonts w:cs="Times New Roman"/>
          <w:szCs w:val="22"/>
        </w:rPr>
        <w:t xml:space="preserve"> to be sited or operated in a particular location,</w:t>
      </w:r>
    </w:p>
    <w:p w14:paraId="0A26C447" w14:textId="0CA5DE18" w:rsidR="0036710E" w:rsidRPr="007829A8" w:rsidRDefault="0036710E" w:rsidP="0036710E">
      <w:pPr>
        <w:ind w:left="567" w:hanging="567"/>
        <w:jc w:val="both"/>
        <w:rPr>
          <w:rFonts w:cs="Times New Roman"/>
          <w:szCs w:val="22"/>
          <w:u w:val="single"/>
        </w:rPr>
      </w:pPr>
      <w:r w:rsidRPr="007829A8">
        <w:rPr>
          <w:rFonts w:cs="Times New Roman"/>
          <w:szCs w:val="22"/>
          <w:u w:val="single"/>
        </w:rPr>
        <w:t>(1</w:t>
      </w:r>
      <w:proofErr w:type="gramStart"/>
      <w:r w:rsidRPr="007829A8">
        <w:rPr>
          <w:rFonts w:cs="Times New Roman"/>
          <w:szCs w:val="22"/>
          <w:u w:val="single"/>
        </w:rPr>
        <w:t xml:space="preserve">A)   </w:t>
      </w:r>
      <w:proofErr w:type="gramEnd"/>
      <w:r w:rsidRPr="007829A8">
        <w:rPr>
          <w:rFonts w:cs="Times New Roman"/>
          <w:szCs w:val="22"/>
          <w:u w:val="single"/>
        </w:rPr>
        <w:t xml:space="preserve"> control the clearance or modification of </w:t>
      </w:r>
      <w:r w:rsidRPr="00053A4D">
        <w:rPr>
          <w:rFonts w:cs="Times New Roman"/>
          <w:i/>
          <w:iCs/>
          <w:szCs w:val="22"/>
          <w:u w:val="single"/>
        </w:rPr>
        <w:t>indigenous vegetation</w:t>
      </w:r>
      <w:r w:rsidRPr="007829A8">
        <w:rPr>
          <w:rFonts w:cs="Times New Roman"/>
          <w:szCs w:val="22"/>
          <w:u w:val="single"/>
        </w:rPr>
        <w:t xml:space="preserve">, while allowing for </w:t>
      </w:r>
      <w:r w:rsidRPr="00B838F6">
        <w:rPr>
          <w:rFonts w:cs="Times New Roman"/>
          <w:i/>
          <w:szCs w:val="22"/>
          <w:u w:val="single"/>
        </w:rPr>
        <w:t>mahika kai</w:t>
      </w:r>
      <w:r w:rsidRPr="007829A8">
        <w:rPr>
          <w:rStyle w:val="FootnoteReference"/>
          <w:rFonts w:eastAsia="National-Book" w:cs="Times New Roman"/>
          <w:szCs w:val="22"/>
          <w:u w:val="single"/>
        </w:rPr>
        <w:footnoteReference w:id="1069"/>
      </w:r>
      <w:r w:rsidRPr="007829A8">
        <w:rPr>
          <w:rFonts w:cs="Times New Roman"/>
          <w:szCs w:val="22"/>
          <w:u w:val="single"/>
        </w:rPr>
        <w:t xml:space="preserve"> and kaimoana </w:t>
      </w:r>
      <w:r>
        <w:rPr>
          <w:rFonts w:cs="Times New Roman"/>
          <w:u w:val="single"/>
        </w:rPr>
        <w:t xml:space="preserve">(seafood) </w:t>
      </w:r>
      <w:r w:rsidRPr="007829A8">
        <w:rPr>
          <w:rFonts w:cs="Times New Roman"/>
          <w:szCs w:val="22"/>
          <w:u w:val="single"/>
        </w:rPr>
        <w:t>activities,</w:t>
      </w:r>
      <w:r w:rsidRPr="007829A8">
        <w:rPr>
          <w:rStyle w:val="FootnoteReference"/>
          <w:rFonts w:eastAsia="National-Book" w:cs="Times New Roman"/>
          <w:szCs w:val="22"/>
        </w:rPr>
        <w:footnoteReference w:id="1070"/>
      </w:r>
      <w:r w:rsidRPr="007829A8">
        <w:rPr>
          <w:rFonts w:cs="Times New Roman"/>
          <w:szCs w:val="22"/>
        </w:rPr>
        <w:tab/>
      </w:r>
      <w:r w:rsidRPr="007829A8">
        <w:rPr>
          <w:rFonts w:cs="Times New Roman"/>
          <w:szCs w:val="22"/>
          <w:u w:val="single"/>
        </w:rPr>
        <w:t xml:space="preserve"> </w:t>
      </w:r>
    </w:p>
    <w:p w14:paraId="0C449324" w14:textId="77777777" w:rsidR="0036710E" w:rsidRPr="007829A8" w:rsidRDefault="0036710E" w:rsidP="0036710E">
      <w:pPr>
        <w:ind w:left="567" w:hanging="567"/>
        <w:jc w:val="both"/>
        <w:rPr>
          <w:rFonts w:cs="Times New Roman"/>
          <w:szCs w:val="22"/>
        </w:rPr>
      </w:pPr>
      <w:r w:rsidRPr="007829A8">
        <w:rPr>
          <w:rFonts w:cs="Times New Roman"/>
          <w:szCs w:val="22"/>
        </w:rPr>
        <w:t>(2)</w:t>
      </w:r>
      <w:r w:rsidRPr="007829A8">
        <w:rPr>
          <w:rFonts w:cs="Times New Roman"/>
          <w:szCs w:val="22"/>
        </w:rPr>
        <w:tab/>
        <w:t xml:space="preserve">require: </w:t>
      </w:r>
    </w:p>
    <w:p w14:paraId="3DCD7A29" w14:textId="77777777" w:rsidR="0036710E" w:rsidRPr="007829A8" w:rsidRDefault="0036710E" w:rsidP="0036710E">
      <w:pPr>
        <w:ind w:left="1134" w:hanging="567"/>
        <w:jc w:val="both"/>
        <w:rPr>
          <w:rFonts w:cs="Times New Roman"/>
          <w:szCs w:val="22"/>
        </w:rPr>
      </w:pPr>
      <w:r w:rsidRPr="007829A8">
        <w:rPr>
          <w:rFonts w:cs="Times New Roman"/>
          <w:szCs w:val="22"/>
        </w:rPr>
        <w:t>(a)</w:t>
      </w:r>
      <w:r w:rsidRPr="007829A8">
        <w:rPr>
          <w:rFonts w:cs="Times New Roman"/>
          <w:szCs w:val="22"/>
        </w:rPr>
        <w:tab/>
        <w:t xml:space="preserve">resource consent applications to include information that demonstrates that the sequential steps in the </w:t>
      </w:r>
      <w:r w:rsidRPr="00E85DD9">
        <w:rPr>
          <w:rFonts w:cs="Times New Roman"/>
          <w:i/>
          <w:szCs w:val="22"/>
        </w:rPr>
        <w:t>effects management hierarchy</w:t>
      </w:r>
      <w:r w:rsidRPr="00E85DD9">
        <w:rPr>
          <w:rFonts w:cs="Times New Roman"/>
          <w:i/>
          <w:szCs w:val="22"/>
          <w:u w:val="single"/>
        </w:rPr>
        <w:t xml:space="preserve"> (in relation to indigenous biodiversity</w:t>
      </w:r>
      <w:r w:rsidRPr="007829A8">
        <w:rPr>
          <w:rFonts w:cs="Times New Roman"/>
          <w:iCs/>
          <w:szCs w:val="22"/>
          <w:u w:val="single"/>
        </w:rPr>
        <w:t>)</w:t>
      </w:r>
      <w:r w:rsidRPr="007829A8">
        <w:rPr>
          <w:rStyle w:val="FootnoteReference"/>
          <w:rFonts w:eastAsia="National-Book" w:cs="Times New Roman"/>
          <w:szCs w:val="22"/>
        </w:rPr>
        <w:footnoteReference w:id="1071"/>
      </w:r>
      <w:r w:rsidRPr="007829A8">
        <w:rPr>
          <w:rFonts w:cs="Times New Roman"/>
          <w:szCs w:val="22"/>
        </w:rPr>
        <w:t xml:space="preserve"> in ECO</w:t>
      </w:r>
      <w:r w:rsidRPr="007829A8">
        <w:rPr>
          <w:szCs w:val="22"/>
        </w:rPr>
        <w:t>–</w:t>
      </w:r>
      <w:r w:rsidRPr="007829A8">
        <w:rPr>
          <w:rFonts w:cs="Times New Roman"/>
          <w:szCs w:val="22"/>
        </w:rPr>
        <w:t>P6 have been followed, and</w:t>
      </w:r>
    </w:p>
    <w:p w14:paraId="0ED44593" w14:textId="77777777" w:rsidR="0036710E" w:rsidRPr="007829A8" w:rsidRDefault="0036710E" w:rsidP="0036710E">
      <w:pPr>
        <w:ind w:left="1134" w:hanging="567"/>
        <w:jc w:val="both"/>
        <w:rPr>
          <w:rFonts w:cs="Times New Roman"/>
          <w:szCs w:val="22"/>
        </w:rPr>
      </w:pPr>
      <w:r w:rsidRPr="007829A8">
        <w:rPr>
          <w:rFonts w:cs="Times New Roman"/>
          <w:szCs w:val="22"/>
        </w:rPr>
        <w:t>(b)</w:t>
      </w:r>
      <w:r w:rsidRPr="007829A8">
        <w:rPr>
          <w:rFonts w:cs="Times New Roman"/>
          <w:szCs w:val="22"/>
        </w:rPr>
        <w:tab/>
        <w:t xml:space="preserve">that consents are not granted if the sequential steps in the </w:t>
      </w:r>
      <w:r w:rsidRPr="007829A8">
        <w:rPr>
          <w:rFonts w:cs="Times New Roman"/>
          <w:iCs/>
          <w:szCs w:val="22"/>
        </w:rPr>
        <w:t>effects management hierarchy</w:t>
      </w:r>
      <w:r w:rsidRPr="007829A8">
        <w:rPr>
          <w:rFonts w:cs="Times New Roman"/>
          <w:szCs w:val="22"/>
        </w:rPr>
        <w:t xml:space="preserve"> </w:t>
      </w:r>
      <w:r w:rsidRPr="007829A8">
        <w:rPr>
          <w:rFonts w:cs="Times New Roman"/>
          <w:iCs/>
          <w:szCs w:val="22"/>
          <w:u w:val="single"/>
        </w:rPr>
        <w:t>(in relation to indigenous biodiversity)</w:t>
      </w:r>
      <w:r w:rsidRPr="007829A8">
        <w:rPr>
          <w:rStyle w:val="FootnoteReference"/>
          <w:rFonts w:eastAsia="National-Book" w:cs="Times New Roman"/>
          <w:szCs w:val="22"/>
        </w:rPr>
        <w:footnoteReference w:id="1072"/>
      </w:r>
      <w:r w:rsidRPr="007829A8">
        <w:rPr>
          <w:rFonts w:cs="Times New Roman"/>
          <w:szCs w:val="22"/>
        </w:rPr>
        <w:t xml:space="preserve"> in ECO</w:t>
      </w:r>
      <w:r w:rsidRPr="007829A8">
        <w:rPr>
          <w:szCs w:val="22"/>
        </w:rPr>
        <w:t>–P6 have not been followed, and</w:t>
      </w:r>
    </w:p>
    <w:p w14:paraId="1AF0D1C9" w14:textId="77777777" w:rsidR="00080A9A" w:rsidRPr="00D400B5" w:rsidRDefault="00080A9A" w:rsidP="0036710E">
      <w:pPr>
        <w:ind w:left="567" w:hanging="567"/>
        <w:jc w:val="both"/>
        <w:rPr>
          <w:rFonts w:eastAsia="National-Book" w:cs="Times New Roman"/>
        </w:rPr>
      </w:pPr>
      <w:r>
        <w:rPr>
          <w:rFonts w:eastAsia="National-Book" w:cs="Times New Roman"/>
        </w:rPr>
        <w:t>(3)</w:t>
      </w:r>
      <w:r>
        <w:rPr>
          <w:rFonts w:eastAsia="National-Book" w:cs="Times New Roman"/>
        </w:rPr>
        <w:tab/>
      </w:r>
      <w:r w:rsidRPr="00D400B5">
        <w:rPr>
          <w:rFonts w:eastAsia="National-Book" w:cs="Times New Roman"/>
        </w:rPr>
        <w:t>provide for activities</w:t>
      </w:r>
      <w:r>
        <w:rPr>
          <w:rFonts w:eastAsia="National-Book" w:cs="Times New Roman"/>
        </w:rPr>
        <w:t xml:space="preserve"> undertaken for the purpose of restoring or enhancing the habitats of indigenous fauna</w:t>
      </w:r>
      <w:r w:rsidRPr="00D400B5">
        <w:rPr>
          <w:rFonts w:eastAsia="National-Book" w:cs="Times New Roman"/>
        </w:rPr>
        <w:t xml:space="preserve">. </w:t>
      </w:r>
    </w:p>
    <w:p w14:paraId="23ACC5CB" w14:textId="3C20A7C0" w:rsidR="00080A9A" w:rsidRPr="003D1C57" w:rsidRDefault="00080A9A" w:rsidP="00080A9A">
      <w:pPr>
        <w:pStyle w:val="Heading4"/>
        <w:rPr>
          <w:rFonts w:eastAsia="National-Book"/>
        </w:rPr>
      </w:pPr>
      <w:r>
        <w:rPr>
          <w:rFonts w:eastAsia="National-Book"/>
        </w:rPr>
        <w:t>ECO-</w:t>
      </w:r>
      <w:r w:rsidRPr="003D1C57">
        <w:rPr>
          <w:rFonts w:eastAsia="National-Book"/>
        </w:rPr>
        <w:t>M</w:t>
      </w:r>
      <w:r>
        <w:rPr>
          <w:rFonts w:eastAsia="National-Book"/>
        </w:rPr>
        <w:t>5</w:t>
      </w:r>
      <w:bookmarkStart w:id="188" w:name="_Hlk48207841"/>
      <w:r w:rsidRPr="0028723B">
        <w:t xml:space="preserve"> </w:t>
      </w:r>
      <w:r>
        <w:t xml:space="preserve">– </w:t>
      </w:r>
      <w:r w:rsidRPr="006C1F01">
        <w:rPr>
          <w:rFonts w:eastAsia="National-Book"/>
          <w:i/>
        </w:rPr>
        <w:t>District plans</w:t>
      </w:r>
      <w:r w:rsidRPr="003D1C57">
        <w:rPr>
          <w:rFonts w:eastAsia="National-Book"/>
        </w:rPr>
        <w:t xml:space="preserve"> </w:t>
      </w:r>
      <w:bookmarkEnd w:id="188"/>
    </w:p>
    <w:p w14:paraId="362CB1F2" w14:textId="77777777" w:rsidR="00080A9A" w:rsidRPr="003D1C57" w:rsidRDefault="00080A9A" w:rsidP="00080A9A">
      <w:pPr>
        <w:spacing w:line="256" w:lineRule="auto"/>
        <w:rPr>
          <w:rFonts w:ascii="Calibri" w:eastAsia="Calibri" w:hAnsi="Calibri" w:cs="Times New Roman"/>
        </w:rPr>
      </w:pPr>
      <w:r w:rsidRPr="001072D7">
        <w:rPr>
          <w:rFonts w:ascii="Calibri" w:eastAsia="Calibri" w:hAnsi="Calibri" w:cs="Times New Roman"/>
          <w:i/>
          <w:iCs/>
        </w:rPr>
        <w:t>Territorial authorities</w:t>
      </w:r>
      <w:r w:rsidRPr="003D1C57">
        <w:rPr>
          <w:rFonts w:ascii="Calibri" w:eastAsia="Calibri" w:hAnsi="Calibri" w:cs="Times New Roman"/>
        </w:rPr>
        <w:t xml:space="preserve"> </w:t>
      </w:r>
      <w:r>
        <w:t>must</w:t>
      </w:r>
      <w:r w:rsidRPr="003D1C57">
        <w:rPr>
          <w:rFonts w:ascii="Calibri" w:eastAsia="Calibri" w:hAnsi="Calibri" w:cs="Times New Roman"/>
        </w:rPr>
        <w:t xml:space="preserve"> prepare or amend and maintain their </w:t>
      </w:r>
      <w:r w:rsidRPr="006C1F01">
        <w:rPr>
          <w:rFonts w:ascii="Calibri" w:eastAsia="Calibri" w:hAnsi="Calibri" w:cs="Times New Roman"/>
          <w:i/>
          <w:iCs/>
        </w:rPr>
        <w:t>district plans</w:t>
      </w:r>
      <w:r w:rsidRPr="003D1C57">
        <w:rPr>
          <w:rFonts w:ascii="Calibri" w:eastAsia="Calibri" w:hAnsi="Calibri" w:cs="Times New Roman"/>
        </w:rPr>
        <w:t xml:space="preserve"> to:</w:t>
      </w:r>
    </w:p>
    <w:p w14:paraId="6BB36967" w14:textId="607CAC9F" w:rsidR="00080A9A" w:rsidRDefault="00080A9A" w:rsidP="00080A9A">
      <w:pPr>
        <w:ind w:left="567" w:hanging="567"/>
        <w:rPr>
          <w:rFonts w:eastAsia="National-Book" w:cs="Times New Roman"/>
        </w:rPr>
      </w:pPr>
      <w:r>
        <w:rPr>
          <w:rFonts w:eastAsia="National-Book" w:cs="Times New Roman"/>
        </w:rPr>
        <w:t>(1)</w:t>
      </w:r>
      <w:r>
        <w:rPr>
          <w:rFonts w:eastAsia="National-Book" w:cs="Times New Roman"/>
        </w:rPr>
        <w:tab/>
        <w:t xml:space="preserve">if the requirements of ECO-P3 and ECO-P6 are met, provide for the use of </w:t>
      </w:r>
      <w:r>
        <w:rPr>
          <w:rFonts w:eastAsia="National-Book" w:cs="Times New Roman"/>
          <w:i/>
        </w:rPr>
        <w:t>land</w:t>
      </w:r>
      <w:r>
        <w:rPr>
          <w:rFonts w:eastAsia="National-Book" w:cs="Times New Roman"/>
        </w:rPr>
        <w:t xml:space="preserve"> and the surface of </w:t>
      </w:r>
      <w:r>
        <w:rPr>
          <w:rFonts w:eastAsia="National-Book" w:cs="Times New Roman"/>
          <w:i/>
        </w:rPr>
        <w:t>water bodies</w:t>
      </w:r>
      <w:r>
        <w:rPr>
          <w:rFonts w:eastAsia="National-Book" w:cs="Times New Roman"/>
        </w:rPr>
        <w:t xml:space="preserve"> including:</w:t>
      </w:r>
    </w:p>
    <w:p w14:paraId="5CDF821D" w14:textId="77777777" w:rsidR="00080A9A" w:rsidRDefault="00080A9A" w:rsidP="00080A9A">
      <w:pPr>
        <w:ind w:left="1134" w:hanging="567"/>
        <w:rPr>
          <w:rFonts w:eastAsia="National-Book" w:cs="Times New Roman"/>
        </w:rPr>
      </w:pPr>
      <w:r>
        <w:rPr>
          <w:rFonts w:eastAsia="National-Book" w:cs="Times New Roman"/>
        </w:rPr>
        <w:t>(a)</w:t>
      </w:r>
      <w:r>
        <w:rPr>
          <w:rFonts w:eastAsia="National-Book" w:cs="Times New Roman"/>
        </w:rPr>
        <w:tab/>
        <w:t>activities undertaken for the purposes of pest control or maintaining or enhancing the habitats of indigenous fauna, and</w:t>
      </w:r>
    </w:p>
    <w:p w14:paraId="058F6962" w14:textId="77777777" w:rsidR="00080A9A" w:rsidRDefault="00080A9A" w:rsidP="00080A9A">
      <w:pPr>
        <w:ind w:left="1134" w:hanging="567"/>
        <w:rPr>
          <w:rFonts w:eastAsia="National-Book" w:cs="Times New Roman"/>
        </w:rPr>
      </w:pPr>
      <w:r>
        <w:rPr>
          <w:rFonts w:eastAsia="National-Book" w:cs="Times New Roman"/>
        </w:rPr>
        <w:t>(b)</w:t>
      </w:r>
      <w:r>
        <w:rPr>
          <w:rFonts w:eastAsia="National-Book" w:cs="Times New Roman"/>
        </w:rPr>
        <w:tab/>
        <w:t xml:space="preserve">the maintenance and use of existing </w:t>
      </w:r>
      <w:r w:rsidRPr="007F478C">
        <w:rPr>
          <w:rFonts w:eastAsia="National-Book" w:cs="Times New Roman"/>
          <w:i/>
        </w:rPr>
        <w:t>structures</w:t>
      </w:r>
      <w:r>
        <w:rPr>
          <w:rFonts w:eastAsia="National-Book" w:cs="Times New Roman"/>
        </w:rPr>
        <w:t xml:space="preserve"> (including </w:t>
      </w:r>
      <w:r w:rsidRPr="007F478C">
        <w:rPr>
          <w:rFonts w:eastAsia="National-Book" w:cs="Times New Roman"/>
          <w:i/>
        </w:rPr>
        <w:t>infrastructure</w:t>
      </w:r>
      <w:r>
        <w:rPr>
          <w:rFonts w:eastAsia="National-Book" w:cs="Times New Roman"/>
        </w:rPr>
        <w:t>), and</w:t>
      </w:r>
    </w:p>
    <w:p w14:paraId="69CA75B8" w14:textId="77777777" w:rsidR="00080A9A" w:rsidRPr="0020634E" w:rsidRDefault="00080A9A" w:rsidP="00080A9A">
      <w:pPr>
        <w:ind w:left="1134" w:hanging="567"/>
        <w:rPr>
          <w:rFonts w:eastAsia="National-Book" w:cs="Times New Roman"/>
        </w:rPr>
      </w:pPr>
      <w:r>
        <w:rPr>
          <w:rFonts w:eastAsia="National-Book" w:cs="Times New Roman"/>
        </w:rPr>
        <w:t>(c)</w:t>
      </w:r>
      <w:r>
        <w:rPr>
          <w:rFonts w:eastAsia="National-Book" w:cs="Times New Roman"/>
        </w:rPr>
        <w:tab/>
      </w:r>
      <w:r w:rsidRPr="007F478C">
        <w:rPr>
          <w:rFonts w:eastAsia="National-Book" w:cs="Times New Roman"/>
          <w:i/>
        </w:rPr>
        <w:t>infrastructure</w:t>
      </w:r>
      <w:r>
        <w:rPr>
          <w:rFonts w:eastAsia="National-Book" w:cs="Times New Roman"/>
        </w:rPr>
        <w:t xml:space="preserve"> that has a </w:t>
      </w:r>
      <w:r w:rsidRPr="007F478C">
        <w:rPr>
          <w:rFonts w:eastAsia="National-Book" w:cs="Times New Roman"/>
          <w:i/>
        </w:rPr>
        <w:t xml:space="preserve">functional </w:t>
      </w:r>
      <w:r>
        <w:rPr>
          <w:rFonts w:eastAsia="National-Book" w:cs="Times New Roman"/>
        </w:rPr>
        <w:t>or</w:t>
      </w:r>
      <w:r w:rsidRPr="007F478C">
        <w:rPr>
          <w:rFonts w:eastAsia="National-Book" w:cs="Times New Roman"/>
          <w:i/>
        </w:rPr>
        <w:t xml:space="preserve"> operational need</w:t>
      </w:r>
      <w:r>
        <w:rPr>
          <w:rFonts w:eastAsia="National-Book" w:cs="Times New Roman"/>
        </w:rPr>
        <w:t xml:space="preserve"> to be sited or operated in a particular location,</w:t>
      </w:r>
    </w:p>
    <w:p w14:paraId="73D2AAE4" w14:textId="77777777" w:rsidR="00AA4117" w:rsidRPr="00795CC2" w:rsidRDefault="00AA4117" w:rsidP="004603BF">
      <w:pPr>
        <w:ind w:left="567" w:hanging="567"/>
        <w:jc w:val="both"/>
        <w:rPr>
          <w:rFonts w:eastAsia="National-Book" w:cs="Times New Roman"/>
          <w:szCs w:val="22"/>
          <w:u w:val="single"/>
        </w:rPr>
      </w:pPr>
      <w:r w:rsidRPr="00795CC2">
        <w:rPr>
          <w:rFonts w:eastAsia="National-Book" w:cs="Times New Roman"/>
          <w:szCs w:val="22"/>
        </w:rPr>
        <w:lastRenderedPageBreak/>
        <w:t>(2)</w:t>
      </w:r>
      <w:r w:rsidRPr="00795CC2">
        <w:rPr>
          <w:rFonts w:eastAsia="National-Book" w:cs="Times New Roman"/>
          <w:szCs w:val="22"/>
        </w:rPr>
        <w:tab/>
        <w:t xml:space="preserve">control the clearance or modification of indigenous vegetation, </w:t>
      </w:r>
      <w:r w:rsidRPr="00795CC2">
        <w:rPr>
          <w:rFonts w:eastAsia="National-Book" w:cs="Times New Roman"/>
          <w:szCs w:val="22"/>
          <w:u w:val="single"/>
        </w:rPr>
        <w:t xml:space="preserve">while allowing for </w:t>
      </w:r>
      <w:r w:rsidRPr="00795CC2">
        <w:rPr>
          <w:rFonts w:eastAsia="National-Book" w:cs="Times New Roman"/>
          <w:i/>
          <w:iCs/>
          <w:szCs w:val="22"/>
          <w:u w:val="single"/>
        </w:rPr>
        <w:t>mahika kai</w:t>
      </w:r>
      <w:r w:rsidRPr="00795CC2">
        <w:rPr>
          <w:rStyle w:val="FootnoteReference"/>
          <w:rFonts w:eastAsia="National-Book" w:cs="Times New Roman"/>
          <w:szCs w:val="22"/>
        </w:rPr>
        <w:footnoteReference w:id="1073"/>
      </w:r>
      <w:r w:rsidRPr="00795CC2">
        <w:rPr>
          <w:rFonts w:eastAsia="National-Book" w:cs="Times New Roman"/>
          <w:szCs w:val="22"/>
          <w:u w:val="single"/>
        </w:rPr>
        <w:t xml:space="preserve"> activities,</w:t>
      </w:r>
      <w:r w:rsidRPr="00795CC2">
        <w:rPr>
          <w:rStyle w:val="FootnoteReference"/>
          <w:rFonts w:eastAsia="National-Book" w:cs="Times New Roman"/>
          <w:szCs w:val="22"/>
        </w:rPr>
        <w:footnoteReference w:id="1074"/>
      </w:r>
    </w:p>
    <w:p w14:paraId="73F2E310" w14:textId="77777777" w:rsidR="00AA4117" w:rsidRPr="00795CC2" w:rsidRDefault="00AA4117" w:rsidP="004603BF">
      <w:pPr>
        <w:ind w:left="567" w:hanging="567"/>
        <w:jc w:val="both"/>
        <w:rPr>
          <w:rFonts w:eastAsia="National-Book" w:cs="Times New Roman"/>
          <w:szCs w:val="22"/>
        </w:rPr>
      </w:pPr>
      <w:r w:rsidRPr="00795CC2">
        <w:rPr>
          <w:rFonts w:eastAsia="National-Book" w:cs="Times New Roman"/>
          <w:szCs w:val="22"/>
        </w:rPr>
        <w:t>(3)</w:t>
      </w:r>
      <w:r w:rsidRPr="00795CC2">
        <w:rPr>
          <w:rFonts w:eastAsia="National-Book" w:cs="Times New Roman"/>
          <w:szCs w:val="22"/>
        </w:rPr>
        <w:tab/>
        <w:t xml:space="preserve">promote the establishment of </w:t>
      </w:r>
      <w:r w:rsidRPr="00795CC2">
        <w:rPr>
          <w:rFonts w:eastAsia="National-Book" w:cs="Times New Roman"/>
          <w:i/>
          <w:iCs/>
          <w:szCs w:val="22"/>
        </w:rPr>
        <w:t>esplanade reserves</w:t>
      </w:r>
      <w:r w:rsidRPr="00795CC2">
        <w:rPr>
          <w:rFonts w:eastAsia="National-Book" w:cs="Times New Roman"/>
          <w:szCs w:val="22"/>
        </w:rPr>
        <w:t xml:space="preserve"> and </w:t>
      </w:r>
      <w:r w:rsidRPr="00795CC2">
        <w:rPr>
          <w:rFonts w:eastAsia="National-Book" w:cs="Times New Roman"/>
          <w:i/>
          <w:iCs/>
          <w:szCs w:val="22"/>
        </w:rPr>
        <w:t>esplanade strips</w:t>
      </w:r>
      <w:r w:rsidRPr="00795CC2">
        <w:rPr>
          <w:rFonts w:eastAsia="National-Book" w:cs="Times New Roman"/>
          <w:szCs w:val="22"/>
        </w:rPr>
        <w:t xml:space="preserve">, particularly where they would support ecological corridors, buffering or connectivity between </w:t>
      </w:r>
      <w:r w:rsidRPr="00795CC2">
        <w:rPr>
          <w:rFonts w:eastAsia="National-Book" w:cs="Times New Roman"/>
          <w:i/>
          <w:iCs/>
          <w:szCs w:val="22"/>
        </w:rPr>
        <w:t>significant natural areas</w:t>
      </w:r>
      <w:r w:rsidRPr="00795CC2">
        <w:rPr>
          <w:rFonts w:eastAsia="National-Book" w:cs="Times New Roman"/>
          <w:szCs w:val="22"/>
        </w:rPr>
        <w:t>,</w:t>
      </w:r>
      <w:r w:rsidRPr="00795CC2">
        <w:rPr>
          <w:rFonts w:eastAsia="National-Book" w:cs="Times New Roman"/>
          <w:szCs w:val="22"/>
          <w:u w:val="single"/>
        </w:rPr>
        <w:t xml:space="preserve"> or access to </w:t>
      </w:r>
      <w:r w:rsidRPr="00795CC2">
        <w:rPr>
          <w:rFonts w:eastAsia="National-Book" w:cs="Times New Roman"/>
          <w:i/>
          <w:iCs/>
          <w:szCs w:val="22"/>
          <w:u w:val="single"/>
        </w:rPr>
        <w:t>mahika kai</w:t>
      </w:r>
      <w:r w:rsidRPr="00795CC2">
        <w:rPr>
          <w:rFonts w:eastAsia="National-Book" w:cs="Times New Roman"/>
          <w:szCs w:val="22"/>
          <w:u w:val="single"/>
        </w:rPr>
        <w:t>,</w:t>
      </w:r>
      <w:r w:rsidRPr="00795CC2">
        <w:rPr>
          <w:rStyle w:val="FootnoteReference"/>
          <w:rFonts w:eastAsia="National-Book" w:cs="Times New Roman"/>
          <w:szCs w:val="22"/>
        </w:rPr>
        <w:footnoteReference w:id="1075"/>
      </w:r>
    </w:p>
    <w:p w14:paraId="47FDCEEE" w14:textId="77777777" w:rsidR="00AA4117" w:rsidRPr="00795CC2" w:rsidRDefault="00AA4117" w:rsidP="004603BF">
      <w:pPr>
        <w:ind w:left="567" w:hanging="567"/>
        <w:jc w:val="both"/>
        <w:rPr>
          <w:rFonts w:eastAsia="National-Book" w:cs="Times New Roman"/>
          <w:szCs w:val="22"/>
        </w:rPr>
      </w:pPr>
      <w:r w:rsidRPr="00795CC2">
        <w:rPr>
          <w:rFonts w:eastAsia="National-Book" w:cs="Times New Roman"/>
          <w:szCs w:val="22"/>
        </w:rPr>
        <w:t>(4)</w:t>
      </w:r>
      <w:r w:rsidRPr="00795CC2">
        <w:rPr>
          <w:rFonts w:eastAsia="National-Book" w:cs="Times New Roman"/>
          <w:szCs w:val="22"/>
        </w:rPr>
        <w:tab/>
        <w:t xml:space="preserve">require: </w:t>
      </w:r>
    </w:p>
    <w:p w14:paraId="6EF84C83" w14:textId="1FABAFD5" w:rsidR="00AA4117" w:rsidRPr="00795CC2" w:rsidRDefault="00AA4117" w:rsidP="004603BF">
      <w:pPr>
        <w:ind w:left="1134" w:hanging="567"/>
        <w:jc w:val="both"/>
        <w:rPr>
          <w:rFonts w:eastAsia="National-Book" w:cs="Times New Roman"/>
          <w:szCs w:val="22"/>
        </w:rPr>
      </w:pPr>
      <w:r w:rsidRPr="00795CC2">
        <w:rPr>
          <w:rFonts w:eastAsia="National-Book" w:cs="Times New Roman"/>
          <w:szCs w:val="22"/>
        </w:rPr>
        <w:t>(a)</w:t>
      </w:r>
      <w:r w:rsidRPr="00795CC2">
        <w:rPr>
          <w:rFonts w:eastAsia="National-Book" w:cs="Times New Roman"/>
          <w:szCs w:val="22"/>
        </w:rPr>
        <w:tab/>
        <w:t xml:space="preserve">resource consent applications to include information that demonstrates that the sequential steps in the </w:t>
      </w:r>
      <w:r w:rsidRPr="00795CC2">
        <w:rPr>
          <w:rFonts w:eastAsia="National-Book" w:cs="Times New Roman"/>
          <w:i/>
          <w:iCs/>
          <w:szCs w:val="22"/>
        </w:rPr>
        <w:t>effects management hierarchy</w:t>
      </w:r>
      <w:r w:rsidRPr="00795CC2">
        <w:rPr>
          <w:rFonts w:eastAsia="National-Book" w:cs="Times New Roman"/>
          <w:szCs w:val="22"/>
          <w:u w:val="single"/>
        </w:rPr>
        <w:t xml:space="preserve"> </w:t>
      </w:r>
      <w:r w:rsidRPr="00795CC2">
        <w:rPr>
          <w:rFonts w:eastAsia="National-Book" w:cs="Times New Roman"/>
          <w:i/>
          <w:iCs/>
          <w:szCs w:val="22"/>
          <w:u w:val="single"/>
        </w:rPr>
        <w:t>(in relation to indigenous biodiversity)</w:t>
      </w:r>
      <w:r w:rsidRPr="00795CC2">
        <w:rPr>
          <w:rStyle w:val="FootnoteReference"/>
          <w:rFonts w:eastAsia="National-Book" w:cs="Times New Roman"/>
          <w:szCs w:val="22"/>
        </w:rPr>
        <w:footnoteReference w:id="1076"/>
      </w:r>
      <w:r w:rsidRPr="00795CC2">
        <w:rPr>
          <w:rFonts w:eastAsia="National-Book" w:cs="Times New Roman"/>
          <w:szCs w:val="22"/>
        </w:rPr>
        <w:t xml:space="preserve"> in ECO</w:t>
      </w:r>
      <w:r w:rsidR="004603BF">
        <w:t>-</w:t>
      </w:r>
      <w:r w:rsidRPr="00795CC2">
        <w:rPr>
          <w:rFonts w:eastAsia="National-Book" w:cs="Times New Roman"/>
          <w:szCs w:val="22"/>
        </w:rPr>
        <w:t>P6 have been followed, and</w:t>
      </w:r>
    </w:p>
    <w:p w14:paraId="469C2571" w14:textId="49018E4A" w:rsidR="00AA4117" w:rsidRPr="00795CC2" w:rsidRDefault="00AA4117" w:rsidP="004603BF">
      <w:pPr>
        <w:ind w:left="1134" w:hanging="567"/>
        <w:jc w:val="both"/>
        <w:rPr>
          <w:rFonts w:eastAsia="National-Book" w:cs="Times New Roman"/>
          <w:szCs w:val="22"/>
        </w:rPr>
      </w:pPr>
      <w:r w:rsidRPr="00795CC2">
        <w:rPr>
          <w:rFonts w:eastAsia="National-Book" w:cs="Times New Roman"/>
          <w:szCs w:val="22"/>
        </w:rPr>
        <w:t>(b)</w:t>
      </w:r>
      <w:r w:rsidRPr="00795CC2">
        <w:rPr>
          <w:rFonts w:eastAsia="National-Book" w:cs="Times New Roman"/>
          <w:szCs w:val="22"/>
        </w:rPr>
        <w:tab/>
        <w:t xml:space="preserve">that consents are not granted if the sequential steps in the </w:t>
      </w:r>
      <w:r w:rsidRPr="00795CC2">
        <w:rPr>
          <w:rFonts w:eastAsia="National-Book" w:cs="Times New Roman"/>
          <w:i/>
          <w:iCs/>
          <w:szCs w:val="22"/>
        </w:rPr>
        <w:t>effects management hierarchy</w:t>
      </w:r>
      <w:r w:rsidRPr="00795CC2">
        <w:rPr>
          <w:rFonts w:eastAsia="National-Book" w:cs="Times New Roman"/>
          <w:i/>
          <w:iCs/>
          <w:szCs w:val="22"/>
          <w:u w:val="single"/>
        </w:rPr>
        <w:t xml:space="preserve"> (in relation to indigenous biodiversity)</w:t>
      </w:r>
      <w:r w:rsidRPr="00795CC2">
        <w:rPr>
          <w:rStyle w:val="FootnoteReference"/>
          <w:rFonts w:eastAsia="National-Book" w:cs="Times New Roman"/>
          <w:i/>
          <w:iCs/>
          <w:szCs w:val="22"/>
        </w:rPr>
        <w:footnoteReference w:id="1077"/>
      </w:r>
      <w:r w:rsidRPr="00795CC2">
        <w:rPr>
          <w:rFonts w:eastAsia="National-Book" w:cs="Times New Roman"/>
          <w:szCs w:val="22"/>
        </w:rPr>
        <w:t xml:space="preserve"> in ECO</w:t>
      </w:r>
      <w:r w:rsidR="004603BF">
        <w:t>-</w:t>
      </w:r>
      <w:r w:rsidRPr="00795CC2">
        <w:rPr>
          <w:szCs w:val="22"/>
        </w:rPr>
        <w:t>P6 have not been followed, and</w:t>
      </w:r>
    </w:p>
    <w:p w14:paraId="6F553099" w14:textId="77777777" w:rsidR="00AA4117" w:rsidRPr="00795CC2" w:rsidRDefault="00AA4117" w:rsidP="004603BF">
      <w:pPr>
        <w:ind w:left="567" w:hanging="567"/>
        <w:jc w:val="both"/>
        <w:rPr>
          <w:rFonts w:eastAsia="National-Book" w:cs="Times New Roman"/>
          <w:szCs w:val="22"/>
        </w:rPr>
      </w:pPr>
      <w:r w:rsidRPr="00795CC2">
        <w:rPr>
          <w:rFonts w:eastAsia="National-Book" w:cs="Times New Roman"/>
          <w:szCs w:val="22"/>
        </w:rPr>
        <w:t>(5)</w:t>
      </w:r>
      <w:r w:rsidRPr="00795CC2">
        <w:rPr>
          <w:rFonts w:eastAsia="National-Book" w:cs="Times New Roman"/>
          <w:szCs w:val="22"/>
        </w:rPr>
        <w:tab/>
        <w:t xml:space="preserve">provide for activities undertaken for the purpose of restoring or enhancing the habitats of indigenous fauna, </w:t>
      </w:r>
      <w:r w:rsidRPr="00795CC2">
        <w:rPr>
          <w:rFonts w:eastAsia="National-Book" w:cs="Times New Roman"/>
          <w:strike/>
          <w:szCs w:val="22"/>
        </w:rPr>
        <w:t>and</w:t>
      </w:r>
      <w:r w:rsidRPr="00795CC2">
        <w:rPr>
          <w:rStyle w:val="FootnoteReference"/>
          <w:rFonts w:eastAsia="National-Book" w:cs="Times New Roman"/>
          <w:szCs w:val="22"/>
        </w:rPr>
        <w:footnoteReference w:id="1078"/>
      </w:r>
    </w:p>
    <w:p w14:paraId="3236418A" w14:textId="77777777" w:rsidR="00AA4117" w:rsidRPr="00795CC2" w:rsidRDefault="00AA4117" w:rsidP="004603BF">
      <w:pPr>
        <w:ind w:left="567" w:hanging="567"/>
        <w:jc w:val="both"/>
        <w:rPr>
          <w:rFonts w:eastAsia="National-Book" w:cs="Times New Roman"/>
          <w:strike/>
          <w:szCs w:val="22"/>
          <w:u w:val="single"/>
        </w:rPr>
      </w:pPr>
      <w:r w:rsidRPr="00795CC2">
        <w:rPr>
          <w:rFonts w:eastAsia="National-Book" w:cs="Times New Roman"/>
          <w:szCs w:val="22"/>
        </w:rPr>
        <w:t>(6)</w:t>
      </w:r>
      <w:r w:rsidRPr="00795CC2">
        <w:rPr>
          <w:rFonts w:eastAsia="National-Book" w:cs="Times New Roman"/>
          <w:szCs w:val="22"/>
        </w:rPr>
        <w:tab/>
        <w:t xml:space="preserve">prohibit the planting of </w:t>
      </w:r>
      <w:r w:rsidRPr="00795CC2">
        <w:rPr>
          <w:rFonts w:eastAsia="National-Book" w:cs="Times New Roman"/>
          <w:i/>
          <w:iCs/>
          <w:szCs w:val="22"/>
        </w:rPr>
        <w:t xml:space="preserve">wilding conifer </w:t>
      </w:r>
      <w:r w:rsidRPr="00795CC2">
        <w:rPr>
          <w:rFonts w:eastAsia="National-Book" w:cs="Times New Roman"/>
          <w:szCs w:val="22"/>
        </w:rPr>
        <w:t xml:space="preserve">species listed in APP5 within areas identified as </w:t>
      </w:r>
      <w:r w:rsidRPr="00795CC2">
        <w:rPr>
          <w:rFonts w:eastAsia="National-Book" w:cs="Times New Roman"/>
          <w:i/>
          <w:iCs/>
          <w:szCs w:val="22"/>
        </w:rPr>
        <w:t xml:space="preserve">significant natural areas </w:t>
      </w:r>
      <w:r w:rsidRPr="00795CC2">
        <w:rPr>
          <w:rFonts w:eastAsia="National-Book" w:cs="Times New Roman"/>
          <w:szCs w:val="22"/>
          <w:u w:val="single"/>
        </w:rPr>
        <w:t xml:space="preserve">and buffer zones adjacent to </w:t>
      </w:r>
      <w:r w:rsidRPr="00795CC2">
        <w:rPr>
          <w:rFonts w:eastAsia="National-Book" w:cs="Times New Roman"/>
          <w:i/>
          <w:iCs/>
          <w:szCs w:val="22"/>
          <w:u w:val="single"/>
        </w:rPr>
        <w:t>significant natural areas</w:t>
      </w:r>
      <w:r w:rsidRPr="00795CC2">
        <w:rPr>
          <w:rFonts w:eastAsia="National-Book" w:cs="Times New Roman"/>
          <w:strike/>
          <w:szCs w:val="22"/>
        </w:rPr>
        <w:t>.</w:t>
      </w:r>
      <w:r w:rsidRPr="00795CC2">
        <w:rPr>
          <w:rFonts w:eastAsia="National-Book" w:cs="Times New Roman"/>
          <w:szCs w:val="22"/>
          <w:u w:val="single"/>
        </w:rPr>
        <w:t>, and</w:t>
      </w:r>
      <w:r w:rsidRPr="00795CC2">
        <w:rPr>
          <w:rStyle w:val="FootnoteReference"/>
          <w:rFonts w:eastAsia="National-Book" w:cs="Times New Roman"/>
          <w:szCs w:val="22"/>
        </w:rPr>
        <w:footnoteReference w:id="1079"/>
      </w:r>
    </w:p>
    <w:p w14:paraId="667D0A98" w14:textId="77777777" w:rsidR="00AA4117" w:rsidRPr="00106361" w:rsidRDefault="00AA4117" w:rsidP="004603BF">
      <w:pPr>
        <w:ind w:left="567" w:hanging="567"/>
        <w:jc w:val="both"/>
        <w:rPr>
          <w:u w:val="single"/>
        </w:rPr>
      </w:pPr>
      <w:r w:rsidRPr="00106361">
        <w:rPr>
          <w:u w:val="single"/>
        </w:rPr>
        <w:t>(7)</w:t>
      </w:r>
      <w:r w:rsidRPr="00106361">
        <w:rPr>
          <w:u w:val="single"/>
        </w:rPr>
        <w:tab/>
        <w:t xml:space="preserve">require buffer zones adjacent to </w:t>
      </w:r>
      <w:r w:rsidRPr="00106361">
        <w:rPr>
          <w:i/>
          <w:iCs/>
          <w:u w:val="single"/>
        </w:rPr>
        <w:t xml:space="preserve">significant natural areas </w:t>
      </w:r>
      <w:r w:rsidRPr="00106361">
        <w:rPr>
          <w:u w:val="single"/>
        </w:rPr>
        <w:t xml:space="preserve">where it is necessary to protect the </w:t>
      </w:r>
      <w:r w:rsidRPr="00106361">
        <w:rPr>
          <w:i/>
          <w:iCs/>
          <w:u w:val="single"/>
        </w:rPr>
        <w:t>significant natural area.</w:t>
      </w:r>
      <w:r w:rsidRPr="004603BF">
        <w:rPr>
          <w:rStyle w:val="FootnoteReference"/>
          <w:rFonts w:eastAsia="National-Book" w:cs="Times New Roman"/>
          <w:szCs w:val="22"/>
        </w:rPr>
        <w:footnoteReference w:id="1080"/>
      </w:r>
    </w:p>
    <w:p w14:paraId="43474C89" w14:textId="01DC5B59" w:rsidR="00080A9A" w:rsidRDefault="00080A9A" w:rsidP="00080A9A">
      <w:pPr>
        <w:pStyle w:val="Heading4"/>
      </w:pPr>
      <w:r>
        <w:t>ECO-M6 – Engagement</w:t>
      </w:r>
    </w:p>
    <w:p w14:paraId="214FF61E" w14:textId="77777777" w:rsidR="00080A9A" w:rsidRDefault="00080A9A" w:rsidP="00080A9A">
      <w:pPr>
        <w:ind w:left="567" w:hanging="567"/>
        <w:jc w:val="both"/>
        <w:rPr>
          <w:rFonts w:eastAsia="National-Book" w:cs="Times New Roman"/>
        </w:rPr>
      </w:pPr>
      <w:r w:rsidRPr="006920D6">
        <w:rPr>
          <w:rFonts w:eastAsia="National-Book" w:cs="Times New Roman"/>
          <w:i/>
        </w:rPr>
        <w:t>Local authorities</w:t>
      </w:r>
      <w:r>
        <w:rPr>
          <w:rFonts w:eastAsia="National-Book" w:cs="Times New Roman"/>
        </w:rPr>
        <w:t>, when implementing the policies in this chapter, will:</w:t>
      </w:r>
    </w:p>
    <w:p w14:paraId="13A1A848" w14:textId="77777777" w:rsidR="00080A9A" w:rsidRDefault="00080A9A" w:rsidP="00080A9A">
      <w:pPr>
        <w:ind w:left="567" w:hanging="567"/>
        <w:jc w:val="both"/>
        <w:rPr>
          <w:rFonts w:eastAsia="National-Book" w:cs="Times New Roman"/>
        </w:rPr>
      </w:pPr>
      <w:r>
        <w:rPr>
          <w:rFonts w:eastAsia="National-Book" w:cs="Times New Roman"/>
        </w:rPr>
        <w:t>(1)</w:t>
      </w:r>
      <w:r>
        <w:rPr>
          <w:rFonts w:eastAsia="National-Book" w:cs="Times New Roman"/>
        </w:rPr>
        <w:tab/>
        <w:t xml:space="preserve">work collaboratively with other </w:t>
      </w:r>
      <w:r w:rsidRPr="006920D6">
        <w:rPr>
          <w:rFonts w:eastAsia="National-Book" w:cs="Times New Roman"/>
          <w:i/>
        </w:rPr>
        <w:t>local authorities</w:t>
      </w:r>
      <w:r>
        <w:rPr>
          <w:rFonts w:eastAsia="National-Book" w:cs="Times New Roman"/>
        </w:rPr>
        <w:t xml:space="preserve"> to adopt an integrated approach to managing Otago’s </w:t>
      </w:r>
      <w:r w:rsidRPr="006920D6">
        <w:rPr>
          <w:rFonts w:eastAsia="National-Book" w:cs="Times New Roman"/>
          <w:i/>
        </w:rPr>
        <w:t>biodiversity</w:t>
      </w:r>
      <w:r>
        <w:rPr>
          <w:rFonts w:eastAsia="National-Book" w:cs="Times New Roman"/>
        </w:rPr>
        <w:t xml:space="preserve"> across administrative boundaries,</w:t>
      </w:r>
    </w:p>
    <w:p w14:paraId="3BC17B4B" w14:textId="77777777" w:rsidR="00080A9A" w:rsidRDefault="00080A9A" w:rsidP="00080A9A">
      <w:pPr>
        <w:ind w:left="567" w:hanging="567"/>
        <w:jc w:val="both"/>
        <w:rPr>
          <w:rFonts w:eastAsia="National-Book" w:cs="Times New Roman"/>
        </w:rPr>
      </w:pPr>
      <w:r>
        <w:rPr>
          <w:rFonts w:eastAsia="National-Book" w:cs="Times New Roman"/>
        </w:rPr>
        <w:t>(2)</w:t>
      </w:r>
      <w:r>
        <w:rPr>
          <w:rFonts w:eastAsia="National-Book" w:cs="Times New Roman"/>
        </w:rPr>
        <w:tab/>
        <w:t xml:space="preserve">engage with individuals (including landowners and </w:t>
      </w:r>
      <w:r w:rsidRPr="006920D6">
        <w:rPr>
          <w:rFonts w:eastAsia="National-Book" w:cs="Times New Roman"/>
          <w:i/>
        </w:rPr>
        <w:t>land</w:t>
      </w:r>
      <w:r>
        <w:rPr>
          <w:rFonts w:eastAsia="National-Book" w:cs="Times New Roman"/>
        </w:rPr>
        <w:t xml:space="preserve"> occupiers), community groups, government agencies and other organisations with a role or an interest in </w:t>
      </w:r>
      <w:r w:rsidRPr="000569C6">
        <w:rPr>
          <w:rFonts w:eastAsia="National-Book" w:cs="Times New Roman"/>
          <w:i/>
        </w:rPr>
        <w:t>biodiversity</w:t>
      </w:r>
      <w:r>
        <w:rPr>
          <w:rFonts w:eastAsia="National-Book" w:cs="Times New Roman"/>
        </w:rPr>
        <w:t xml:space="preserve"> management, and</w:t>
      </w:r>
    </w:p>
    <w:p w14:paraId="08A3BB60" w14:textId="77777777" w:rsidR="00080A9A" w:rsidRDefault="00080A9A" w:rsidP="00080A9A">
      <w:pPr>
        <w:ind w:left="567" w:hanging="567"/>
        <w:jc w:val="both"/>
        <w:rPr>
          <w:rFonts w:eastAsia="National-Book" w:cs="Times New Roman"/>
        </w:rPr>
      </w:pPr>
      <w:r>
        <w:rPr>
          <w:rFonts w:eastAsia="National-Book" w:cs="Times New Roman"/>
        </w:rPr>
        <w:t>(3)</w:t>
      </w:r>
      <w:r>
        <w:rPr>
          <w:rFonts w:eastAsia="National-Book" w:cs="Times New Roman"/>
        </w:rPr>
        <w:tab/>
        <w:t xml:space="preserve">consult directly with landowners and </w:t>
      </w:r>
      <w:r w:rsidRPr="006920D6">
        <w:rPr>
          <w:rFonts w:eastAsia="National-Book" w:cs="Times New Roman"/>
          <w:i/>
        </w:rPr>
        <w:t>land</w:t>
      </w:r>
      <w:r>
        <w:rPr>
          <w:rFonts w:eastAsia="National-Book" w:cs="Times New Roman"/>
        </w:rPr>
        <w:t xml:space="preserve"> occupiers whose properties potentially contain or are part of </w:t>
      </w:r>
      <w:r>
        <w:rPr>
          <w:rFonts w:eastAsia="National-Book" w:cs="Times New Roman"/>
          <w:i/>
        </w:rPr>
        <w:t>significant natural areas</w:t>
      </w:r>
      <w:r>
        <w:rPr>
          <w:rFonts w:eastAsia="National-Book" w:cs="Times New Roman"/>
        </w:rPr>
        <w:t>.</w:t>
      </w:r>
    </w:p>
    <w:p w14:paraId="0C57FE29" w14:textId="5974A288" w:rsidR="00080A9A" w:rsidRDefault="00080A9A" w:rsidP="00080A9A">
      <w:pPr>
        <w:pStyle w:val="Heading4"/>
        <w:jc w:val="both"/>
        <w:rPr>
          <w:rFonts w:eastAsia="National-Book"/>
        </w:rPr>
      </w:pPr>
      <w:r>
        <w:rPr>
          <w:rFonts w:eastAsia="National-Book"/>
        </w:rPr>
        <w:t>ECO-</w:t>
      </w:r>
      <w:r w:rsidRPr="003D1C57">
        <w:rPr>
          <w:rFonts w:eastAsia="National-Book"/>
        </w:rPr>
        <w:t>M</w:t>
      </w:r>
      <w:r>
        <w:rPr>
          <w:rFonts w:eastAsia="National-Book"/>
        </w:rPr>
        <w:t>7</w:t>
      </w:r>
      <w:r w:rsidRPr="0028723B">
        <w:t xml:space="preserve"> </w:t>
      </w:r>
      <w:r>
        <w:t xml:space="preserve">– </w:t>
      </w:r>
      <w:r>
        <w:rPr>
          <w:rFonts w:eastAsia="National-Book"/>
        </w:rPr>
        <w:t xml:space="preserve">Monitoring </w:t>
      </w:r>
    </w:p>
    <w:p w14:paraId="26BE2BC9" w14:textId="77777777" w:rsidR="00080A9A" w:rsidRPr="00AE6598" w:rsidRDefault="00080A9A" w:rsidP="00080A9A">
      <w:pPr>
        <w:jc w:val="both"/>
      </w:pPr>
      <w:r w:rsidRPr="006920D6">
        <w:rPr>
          <w:i/>
        </w:rPr>
        <w:t>Local authorities</w:t>
      </w:r>
      <w:r>
        <w:t xml:space="preserve"> will:</w:t>
      </w:r>
    </w:p>
    <w:p w14:paraId="455ADCA5" w14:textId="76B04AB4" w:rsidR="00814D14" w:rsidRPr="00100747" w:rsidRDefault="00814D14" w:rsidP="00814D14">
      <w:pPr>
        <w:ind w:left="567" w:hanging="567"/>
        <w:jc w:val="both"/>
        <w:rPr>
          <w:rFonts w:cs="Times New Roman"/>
          <w:szCs w:val="22"/>
        </w:rPr>
      </w:pPr>
      <w:r w:rsidRPr="00100747">
        <w:rPr>
          <w:rFonts w:cs="Times New Roman"/>
          <w:szCs w:val="22"/>
        </w:rPr>
        <w:lastRenderedPageBreak/>
        <w:t>(1)</w:t>
      </w:r>
      <w:r w:rsidRPr="00100747">
        <w:rPr>
          <w:rFonts w:cs="Times New Roman"/>
          <w:szCs w:val="22"/>
        </w:rPr>
        <w:tab/>
        <w:t xml:space="preserve">establish long-term monitoring programmes for areas identified under </w:t>
      </w:r>
      <w:r w:rsidRPr="00100747">
        <w:rPr>
          <w:rFonts w:cs="Times New Roman"/>
          <w:strike/>
          <w:szCs w:val="22"/>
        </w:rPr>
        <w:t>ECO</w:t>
      </w:r>
      <w:r w:rsidRPr="00100747">
        <w:rPr>
          <w:strike/>
          <w:szCs w:val="22"/>
        </w:rPr>
        <w:t>–</w:t>
      </w:r>
      <w:r w:rsidRPr="00100747">
        <w:rPr>
          <w:rFonts w:cs="Times New Roman"/>
          <w:strike/>
          <w:szCs w:val="22"/>
        </w:rPr>
        <w:t>P1</w:t>
      </w:r>
      <w:r w:rsidRPr="00100747">
        <w:rPr>
          <w:rFonts w:cs="Times New Roman"/>
          <w:szCs w:val="22"/>
          <w:u w:val="single"/>
        </w:rPr>
        <w:t>ECO</w:t>
      </w:r>
      <w:r>
        <w:rPr>
          <w:rFonts w:cs="Times New Roman"/>
          <w:u w:val="single"/>
        </w:rPr>
        <w:t>-</w:t>
      </w:r>
      <w:r w:rsidRPr="00100747">
        <w:rPr>
          <w:rFonts w:cs="Times New Roman"/>
          <w:szCs w:val="22"/>
          <w:u w:val="single"/>
        </w:rPr>
        <w:t>P2</w:t>
      </w:r>
      <w:r w:rsidRPr="00100747">
        <w:rPr>
          <w:rStyle w:val="FootnoteReference"/>
          <w:rFonts w:eastAsia="National-Book" w:cs="Times New Roman"/>
          <w:szCs w:val="22"/>
        </w:rPr>
        <w:footnoteReference w:id="1081"/>
      </w:r>
      <w:r w:rsidRPr="00100747">
        <w:rPr>
          <w:rFonts w:cs="Times New Roman"/>
          <w:szCs w:val="22"/>
        </w:rPr>
        <w:t xml:space="preserve"> that measure the net loss and gain of indigenous </w:t>
      </w:r>
      <w:r w:rsidRPr="00100747">
        <w:rPr>
          <w:rFonts w:cs="Times New Roman"/>
          <w:i/>
          <w:iCs/>
          <w:szCs w:val="22"/>
        </w:rPr>
        <w:t>biodiversity</w:t>
      </w:r>
      <w:r w:rsidRPr="00100747">
        <w:rPr>
          <w:rFonts w:cs="Times New Roman"/>
          <w:szCs w:val="22"/>
        </w:rPr>
        <w:t>,</w:t>
      </w:r>
    </w:p>
    <w:p w14:paraId="49CF7178" w14:textId="77777777" w:rsidR="00814D14" w:rsidRPr="00100747" w:rsidRDefault="00814D14" w:rsidP="00814D14">
      <w:pPr>
        <w:ind w:left="567" w:hanging="567"/>
        <w:jc w:val="both"/>
        <w:rPr>
          <w:rFonts w:cs="Times New Roman"/>
          <w:szCs w:val="22"/>
        </w:rPr>
      </w:pPr>
      <w:r w:rsidRPr="00100747">
        <w:rPr>
          <w:rFonts w:cs="Times New Roman"/>
          <w:szCs w:val="22"/>
        </w:rPr>
        <w:t>(2)</w:t>
      </w:r>
      <w:r w:rsidRPr="00100747">
        <w:rPr>
          <w:rFonts w:cs="Times New Roman"/>
          <w:szCs w:val="22"/>
        </w:rPr>
        <w:tab/>
        <w:t>record information (including data)</w:t>
      </w:r>
      <w:r w:rsidRPr="00100747">
        <w:rPr>
          <w:rFonts w:cs="Times New Roman"/>
          <w:szCs w:val="22"/>
          <w:u w:val="single"/>
        </w:rPr>
        <w:t xml:space="preserve"> over time</w:t>
      </w:r>
      <w:r w:rsidRPr="00100747">
        <w:rPr>
          <w:rStyle w:val="FootnoteReference"/>
          <w:rFonts w:eastAsia="National-Book" w:cs="Times New Roman"/>
          <w:szCs w:val="22"/>
        </w:rPr>
        <w:footnoteReference w:id="1082"/>
      </w:r>
      <w:r w:rsidRPr="00100747">
        <w:rPr>
          <w:rFonts w:cs="Times New Roman"/>
          <w:szCs w:val="22"/>
        </w:rPr>
        <w:t xml:space="preserve"> about the state of species, vegetation types and ecosystems, </w:t>
      </w:r>
      <w:r w:rsidRPr="00100747">
        <w:rPr>
          <w:rFonts w:cs="Times New Roman"/>
          <w:szCs w:val="22"/>
          <w:u w:val="single"/>
        </w:rPr>
        <w:t xml:space="preserve">including </w:t>
      </w:r>
      <w:r w:rsidRPr="00100747">
        <w:rPr>
          <w:rFonts w:cs="Times New Roman"/>
          <w:i/>
          <w:iCs/>
          <w:szCs w:val="22"/>
          <w:u w:val="single"/>
        </w:rPr>
        <w:t>mahika kai</w:t>
      </w:r>
      <w:r w:rsidRPr="00100747">
        <w:rPr>
          <w:rStyle w:val="FootnoteReference"/>
          <w:rFonts w:eastAsia="National-Book" w:cs="Times New Roman"/>
          <w:i/>
          <w:iCs/>
          <w:szCs w:val="22"/>
          <w:u w:val="single"/>
        </w:rPr>
        <w:footnoteReference w:id="1083"/>
      </w:r>
      <w:r w:rsidRPr="00100747">
        <w:rPr>
          <w:rFonts w:cs="Times New Roman"/>
          <w:szCs w:val="22"/>
          <w:u w:val="single"/>
        </w:rPr>
        <w:t xml:space="preserve"> species and ecosystems,</w:t>
      </w:r>
      <w:r w:rsidRPr="00100747">
        <w:rPr>
          <w:rStyle w:val="FootnoteReference"/>
          <w:rFonts w:eastAsia="National-Book" w:cs="Times New Roman"/>
          <w:szCs w:val="22"/>
        </w:rPr>
        <w:footnoteReference w:id="1084"/>
      </w:r>
    </w:p>
    <w:p w14:paraId="6A471FC0" w14:textId="77777777" w:rsidR="00080A9A" w:rsidRDefault="00080A9A" w:rsidP="00814D14">
      <w:pPr>
        <w:ind w:left="567" w:hanging="567"/>
        <w:jc w:val="both"/>
        <w:rPr>
          <w:rFonts w:eastAsia="National-Book" w:cs="Times New Roman"/>
        </w:rPr>
      </w:pPr>
      <w:r>
        <w:rPr>
          <w:rFonts w:eastAsia="National-Book" w:cs="Times New Roman"/>
        </w:rPr>
        <w:t>(3)</w:t>
      </w:r>
      <w:r>
        <w:rPr>
          <w:rFonts w:eastAsia="National-Book" w:cs="Times New Roman"/>
        </w:rPr>
        <w:tab/>
        <w:t>to the extent possible, use m</w:t>
      </w:r>
      <w:r>
        <w:rPr>
          <w:rFonts w:eastAsia="National-Book" w:cstheme="minorHAnsi"/>
        </w:rPr>
        <w:t>ā</w:t>
      </w:r>
      <w:r>
        <w:rPr>
          <w:rFonts w:eastAsia="National-Book" w:cs="Times New Roman"/>
        </w:rPr>
        <w:t>tauraka Māori and tikaka Māori monitoring methods, as well as scientific monitoring methods, and</w:t>
      </w:r>
    </w:p>
    <w:p w14:paraId="4599EA4E" w14:textId="77777777" w:rsidR="00080A9A" w:rsidRDefault="00080A9A" w:rsidP="00814D14">
      <w:pPr>
        <w:ind w:left="567" w:hanging="567"/>
        <w:jc w:val="both"/>
        <w:rPr>
          <w:rFonts w:eastAsia="National-Book" w:cs="Times New Roman"/>
        </w:rPr>
      </w:pPr>
      <w:r>
        <w:rPr>
          <w:rFonts w:eastAsia="National-Book" w:cs="Times New Roman"/>
        </w:rPr>
        <w:t>(4)</w:t>
      </w:r>
      <w:r>
        <w:rPr>
          <w:rFonts w:eastAsia="National-Book" w:cs="Times New Roman"/>
        </w:rPr>
        <w:tab/>
        <w:t xml:space="preserve">regularly report on matters in (1) and (2) and publish these reports. </w:t>
      </w:r>
    </w:p>
    <w:p w14:paraId="3CBE9F35" w14:textId="47EAB550" w:rsidR="00080A9A" w:rsidRPr="003D1C57" w:rsidRDefault="00080A9A" w:rsidP="00080A9A">
      <w:pPr>
        <w:pStyle w:val="Heading4"/>
        <w:jc w:val="both"/>
        <w:rPr>
          <w:rFonts w:eastAsia="National-Book"/>
        </w:rPr>
      </w:pPr>
      <w:r>
        <w:rPr>
          <w:rFonts w:eastAsia="National-Book"/>
        </w:rPr>
        <w:t>ECO-</w:t>
      </w:r>
      <w:r w:rsidRPr="003D1C57">
        <w:rPr>
          <w:rFonts w:eastAsia="National-Book"/>
        </w:rPr>
        <w:t>M</w:t>
      </w:r>
      <w:r>
        <w:rPr>
          <w:rFonts w:eastAsia="National-Book"/>
        </w:rPr>
        <w:t>8</w:t>
      </w:r>
      <w:bookmarkStart w:id="189" w:name="_Hlk48207819"/>
      <w:r w:rsidRPr="0028723B">
        <w:t xml:space="preserve"> </w:t>
      </w:r>
      <w:r>
        <w:t xml:space="preserve">– </w:t>
      </w:r>
      <w:r w:rsidRPr="003D1C57">
        <w:rPr>
          <w:rFonts w:eastAsia="National-Book"/>
        </w:rPr>
        <w:t>Other incentives and mechanisms</w:t>
      </w:r>
      <w:bookmarkEnd w:id="189"/>
    </w:p>
    <w:p w14:paraId="77EE8B2B" w14:textId="37E9FDE1" w:rsidR="00080A9A" w:rsidRPr="003D1C57" w:rsidRDefault="00080A9A" w:rsidP="009F2C2D">
      <w:pPr>
        <w:spacing w:line="256" w:lineRule="auto"/>
        <w:jc w:val="both"/>
        <w:rPr>
          <w:rFonts w:ascii="Calibri" w:eastAsia="Calibri" w:hAnsi="Calibri" w:cs="Times New Roman"/>
        </w:rPr>
      </w:pPr>
      <w:r w:rsidRPr="00917742">
        <w:rPr>
          <w:rFonts w:ascii="Calibri" w:eastAsia="Calibri" w:hAnsi="Calibri" w:cs="Times New Roman"/>
          <w:i/>
          <w:iCs/>
        </w:rPr>
        <w:t>Local authorities</w:t>
      </w:r>
      <w:r w:rsidRPr="003D1C57">
        <w:rPr>
          <w:rFonts w:ascii="Calibri" w:eastAsia="Calibri" w:hAnsi="Calibri" w:cs="Times New Roman"/>
        </w:rPr>
        <w:t xml:space="preserve"> are encouraged to consider the </w:t>
      </w:r>
      <w:r w:rsidRPr="006920D6">
        <w:rPr>
          <w:rFonts w:ascii="Calibri" w:eastAsia="Calibri" w:hAnsi="Calibri" w:cs="Times New Roman"/>
        </w:rPr>
        <w:t>use</w:t>
      </w:r>
      <w:r w:rsidRPr="003D1C57">
        <w:rPr>
          <w:rFonts w:ascii="Calibri" w:eastAsia="Calibri" w:hAnsi="Calibri" w:cs="Times New Roman"/>
          <w:i/>
          <w:iCs/>
        </w:rPr>
        <w:t xml:space="preserve"> </w:t>
      </w:r>
      <w:r w:rsidRPr="003D1C57">
        <w:rPr>
          <w:rFonts w:ascii="Calibri" w:eastAsia="Calibri" w:hAnsi="Calibri" w:cs="Times New Roman"/>
        </w:rPr>
        <w:t xml:space="preserve">of other mechanisms or incentives to assist in achieving Policies </w:t>
      </w:r>
      <w:r>
        <w:rPr>
          <w:rFonts w:ascii="Calibri" w:eastAsia="Calibri" w:hAnsi="Calibri" w:cs="Times New Roman"/>
        </w:rPr>
        <w:t>ECO-</w:t>
      </w:r>
      <w:r w:rsidRPr="003D1C57">
        <w:rPr>
          <w:rFonts w:ascii="Calibri" w:eastAsia="Calibri" w:hAnsi="Calibri" w:cs="Times New Roman"/>
        </w:rPr>
        <w:t xml:space="preserve">P1 to </w:t>
      </w:r>
      <w:r>
        <w:rPr>
          <w:rFonts w:ascii="Calibri" w:eastAsia="Calibri" w:hAnsi="Calibri" w:cs="Times New Roman"/>
        </w:rPr>
        <w:t>ECO-</w:t>
      </w:r>
      <w:r w:rsidRPr="003D1C57">
        <w:rPr>
          <w:rFonts w:ascii="Calibri" w:eastAsia="Calibri" w:hAnsi="Calibri" w:cs="Times New Roman"/>
        </w:rPr>
        <w:t>P</w:t>
      </w:r>
      <w:r>
        <w:rPr>
          <w:rFonts w:ascii="Calibri" w:eastAsia="Calibri" w:hAnsi="Calibri" w:cs="Times New Roman"/>
        </w:rPr>
        <w:t>10</w:t>
      </w:r>
      <w:r w:rsidRPr="003D1C57">
        <w:rPr>
          <w:rFonts w:ascii="Calibri" w:eastAsia="Calibri" w:hAnsi="Calibri" w:cs="Times New Roman"/>
        </w:rPr>
        <w:t>, including:</w:t>
      </w:r>
    </w:p>
    <w:p w14:paraId="4B7D762C" w14:textId="77777777" w:rsidR="008C618E" w:rsidRPr="006B7315" w:rsidRDefault="008C618E" w:rsidP="009F2C2D">
      <w:pPr>
        <w:ind w:left="567" w:hanging="567"/>
        <w:jc w:val="both"/>
        <w:rPr>
          <w:rFonts w:cs="Times New Roman"/>
          <w:szCs w:val="22"/>
          <w:u w:val="single"/>
        </w:rPr>
      </w:pPr>
      <w:r w:rsidRPr="006B7315">
        <w:rPr>
          <w:rFonts w:cs="Times New Roman"/>
          <w:szCs w:val="22"/>
        </w:rPr>
        <w:t>(1)</w:t>
      </w:r>
      <w:r w:rsidRPr="006B7315">
        <w:rPr>
          <w:rFonts w:cs="Times New Roman"/>
          <w:szCs w:val="22"/>
        </w:rPr>
        <w:tab/>
        <w:t xml:space="preserve">providing information and guidance on the maintenance, </w:t>
      </w:r>
      <w:proofErr w:type="gramStart"/>
      <w:r w:rsidRPr="006B7315">
        <w:rPr>
          <w:rFonts w:cs="Times New Roman"/>
          <w:szCs w:val="22"/>
        </w:rPr>
        <w:t>restoration</w:t>
      </w:r>
      <w:proofErr w:type="gramEnd"/>
      <w:r w:rsidRPr="006B7315">
        <w:rPr>
          <w:rFonts w:cs="Times New Roman"/>
          <w:szCs w:val="22"/>
        </w:rPr>
        <w:t xml:space="preserve"> and enhancement of </w:t>
      </w:r>
      <w:bookmarkStart w:id="190" w:name="_Hlk95752645"/>
      <w:r w:rsidRPr="006B7315">
        <w:rPr>
          <w:rFonts w:cs="Times New Roman"/>
          <w:szCs w:val="22"/>
        </w:rPr>
        <w:t xml:space="preserve">indigenous ecosystems </w:t>
      </w:r>
      <w:r w:rsidRPr="006B7315">
        <w:rPr>
          <w:rFonts w:cs="Times New Roman"/>
          <w:strike/>
          <w:szCs w:val="22"/>
        </w:rPr>
        <w:t>and</w:t>
      </w:r>
      <w:r w:rsidRPr="006B7315">
        <w:rPr>
          <w:rFonts w:cs="Times New Roman"/>
          <w:szCs w:val="22"/>
          <w:u w:val="single"/>
        </w:rPr>
        <w:t>,</w:t>
      </w:r>
      <w:r w:rsidRPr="006B7315">
        <w:rPr>
          <w:rStyle w:val="FootnoteReference"/>
          <w:rFonts w:eastAsia="National-Book" w:cs="Times New Roman"/>
          <w:szCs w:val="22"/>
        </w:rPr>
        <w:footnoteReference w:id="1085"/>
      </w:r>
      <w:r w:rsidRPr="006B7315">
        <w:rPr>
          <w:rFonts w:cs="Times New Roman"/>
          <w:szCs w:val="22"/>
        </w:rPr>
        <w:t xml:space="preserve"> habitats,</w:t>
      </w:r>
      <w:r w:rsidRPr="006B7315">
        <w:rPr>
          <w:rFonts w:cs="Times New Roman"/>
          <w:szCs w:val="22"/>
          <w:u w:val="single"/>
        </w:rPr>
        <w:t xml:space="preserve"> taoka and </w:t>
      </w:r>
      <w:r w:rsidRPr="006B7315">
        <w:rPr>
          <w:rFonts w:cs="Times New Roman"/>
          <w:i/>
          <w:iCs/>
          <w:szCs w:val="22"/>
          <w:u w:val="single"/>
        </w:rPr>
        <w:t>mahika kai</w:t>
      </w:r>
      <w:r w:rsidRPr="006B7315">
        <w:rPr>
          <w:rStyle w:val="FootnoteReference"/>
          <w:rFonts w:eastAsia="National-Book" w:cs="Times New Roman"/>
          <w:i/>
          <w:iCs/>
          <w:szCs w:val="22"/>
          <w:u w:val="single"/>
        </w:rPr>
        <w:footnoteReference w:id="1086"/>
      </w:r>
      <w:r w:rsidRPr="006B7315">
        <w:rPr>
          <w:rFonts w:cs="Times New Roman"/>
          <w:szCs w:val="22"/>
          <w:u w:val="single"/>
        </w:rPr>
        <w:t xml:space="preserve"> species and ecosystems,</w:t>
      </w:r>
      <w:r w:rsidRPr="006B7315">
        <w:rPr>
          <w:rStyle w:val="FootnoteReference"/>
          <w:rFonts w:eastAsia="National-Book" w:cs="Times New Roman"/>
          <w:szCs w:val="22"/>
        </w:rPr>
        <w:footnoteReference w:id="1087"/>
      </w:r>
    </w:p>
    <w:bookmarkEnd w:id="190"/>
    <w:p w14:paraId="4E37B40E" w14:textId="77777777" w:rsidR="00080A9A" w:rsidRPr="008E15BA" w:rsidRDefault="00080A9A" w:rsidP="009F2C2D">
      <w:pPr>
        <w:ind w:left="567" w:hanging="567"/>
        <w:jc w:val="both"/>
        <w:rPr>
          <w:rFonts w:eastAsia="National-Book" w:cs="Times New Roman"/>
        </w:rPr>
      </w:pPr>
      <w:r>
        <w:rPr>
          <w:rFonts w:eastAsia="National-Book" w:cs="Times New Roman"/>
        </w:rPr>
        <w:t>(2)</w:t>
      </w:r>
      <w:r>
        <w:rPr>
          <w:rFonts w:eastAsia="National-Book" w:cs="Times New Roman"/>
        </w:rPr>
        <w:tab/>
      </w:r>
      <w:r w:rsidRPr="008E15BA">
        <w:rPr>
          <w:rFonts w:eastAsia="National-Book" w:cs="Times New Roman"/>
        </w:rPr>
        <w:t>funding assistance for restoration projects (for example, through Otago Regional Council’s ECO Fund),</w:t>
      </w:r>
    </w:p>
    <w:p w14:paraId="4A036A08" w14:textId="77777777" w:rsidR="00080A9A" w:rsidRPr="008E15BA" w:rsidRDefault="00080A9A" w:rsidP="009F2C2D">
      <w:pPr>
        <w:ind w:left="567" w:hanging="567"/>
        <w:jc w:val="both"/>
        <w:rPr>
          <w:rFonts w:eastAsia="National-Book" w:cs="Times New Roman"/>
        </w:rPr>
      </w:pPr>
      <w:r>
        <w:rPr>
          <w:rFonts w:eastAsia="National-Book" w:cs="Times New Roman"/>
        </w:rPr>
        <w:t>(3)</w:t>
      </w:r>
      <w:r>
        <w:rPr>
          <w:rFonts w:eastAsia="National-Book" w:cs="Times New Roman"/>
        </w:rPr>
        <w:tab/>
        <w:t xml:space="preserve">supporting the control of pest plants and animals, including through the provision of advice and </w:t>
      </w:r>
      <w:proofErr w:type="gramStart"/>
      <w:r>
        <w:rPr>
          <w:rFonts w:eastAsia="National-Book" w:cs="Times New Roman"/>
        </w:rPr>
        <w:t>education</w:t>
      </w:r>
      <w:proofErr w:type="gramEnd"/>
      <w:r>
        <w:rPr>
          <w:rFonts w:eastAsia="National-Book" w:cs="Times New Roman"/>
        </w:rPr>
        <w:t xml:space="preserve"> and implementing regulatory programmes such as the Regional Pest Management Plan,</w:t>
      </w:r>
    </w:p>
    <w:p w14:paraId="000792CC" w14:textId="77777777" w:rsidR="00080A9A" w:rsidRDefault="00080A9A" w:rsidP="009F2C2D">
      <w:pPr>
        <w:ind w:left="567" w:hanging="567"/>
        <w:jc w:val="both"/>
        <w:rPr>
          <w:rFonts w:eastAsia="National-Book" w:cs="Times New Roman"/>
        </w:rPr>
      </w:pPr>
      <w:r>
        <w:rPr>
          <w:rFonts w:eastAsia="National-Book" w:cs="Times New Roman"/>
        </w:rPr>
        <w:t>(4)</w:t>
      </w:r>
      <w:r>
        <w:tab/>
      </w:r>
      <w:r w:rsidRPr="008E15BA">
        <w:rPr>
          <w:rFonts w:eastAsia="National-Book" w:cs="Times New Roman"/>
        </w:rPr>
        <w:t xml:space="preserve">financial incentives, </w:t>
      </w:r>
    </w:p>
    <w:p w14:paraId="495C994A" w14:textId="77777777" w:rsidR="00D04D6F" w:rsidRPr="006B7315" w:rsidRDefault="00D04D6F" w:rsidP="009F2C2D">
      <w:pPr>
        <w:ind w:left="567" w:hanging="567"/>
        <w:jc w:val="both"/>
        <w:rPr>
          <w:rFonts w:cs="Times New Roman"/>
          <w:szCs w:val="22"/>
        </w:rPr>
      </w:pPr>
      <w:r w:rsidRPr="006B7315">
        <w:rPr>
          <w:rFonts w:cs="Times New Roman"/>
          <w:szCs w:val="22"/>
        </w:rPr>
        <w:t>(5)</w:t>
      </w:r>
      <w:r w:rsidRPr="006B7315">
        <w:rPr>
          <w:szCs w:val="22"/>
        </w:rPr>
        <w:tab/>
      </w:r>
      <w:r w:rsidRPr="006B7315">
        <w:rPr>
          <w:rFonts w:cs="Times New Roman"/>
          <w:szCs w:val="22"/>
        </w:rPr>
        <w:t xml:space="preserve">covenants to protect areas of </w:t>
      </w:r>
      <w:r w:rsidRPr="006B7315">
        <w:rPr>
          <w:rFonts w:cs="Times New Roman"/>
          <w:szCs w:val="22"/>
          <w:u w:val="single"/>
        </w:rPr>
        <w:t>indigenous</w:t>
      </w:r>
      <w:r w:rsidRPr="006B7315">
        <w:rPr>
          <w:rFonts w:cs="Times New Roman"/>
          <w:i/>
          <w:iCs/>
          <w:szCs w:val="22"/>
          <w:u w:val="single"/>
        </w:rPr>
        <w:t xml:space="preserve"> biodiversity</w:t>
      </w:r>
      <w:r w:rsidRPr="006B7315">
        <w:rPr>
          <w:rFonts w:cs="Times New Roman"/>
          <w:szCs w:val="22"/>
        </w:rPr>
        <w:t xml:space="preserve"> </w:t>
      </w:r>
      <w:r w:rsidRPr="006B7315">
        <w:rPr>
          <w:rFonts w:cs="Times New Roman"/>
          <w:i/>
          <w:iCs/>
          <w:strike/>
          <w:szCs w:val="22"/>
        </w:rPr>
        <w:t>land</w:t>
      </w:r>
      <w:r w:rsidRPr="006B7315">
        <w:rPr>
          <w:rStyle w:val="FootnoteReference"/>
          <w:rFonts w:eastAsia="National-Book" w:cs="Times New Roman"/>
          <w:szCs w:val="22"/>
        </w:rPr>
        <w:footnoteReference w:id="1088"/>
      </w:r>
      <w:r w:rsidRPr="006B7315">
        <w:rPr>
          <w:rFonts w:cs="Times New Roman"/>
          <w:szCs w:val="22"/>
        </w:rPr>
        <w:t xml:space="preserve">, including through the QEII National Trust, </w:t>
      </w:r>
    </w:p>
    <w:p w14:paraId="6E81F9EF" w14:textId="77777777" w:rsidR="00080A9A" w:rsidRDefault="00080A9A" w:rsidP="009F2C2D">
      <w:pPr>
        <w:ind w:left="567" w:hanging="567"/>
        <w:jc w:val="both"/>
        <w:rPr>
          <w:rFonts w:eastAsia="National-Book" w:cs="Times New Roman"/>
        </w:rPr>
      </w:pPr>
      <w:r>
        <w:rPr>
          <w:rFonts w:eastAsia="National-Book" w:cs="Times New Roman"/>
        </w:rPr>
        <w:t>(6)</w:t>
      </w:r>
      <w:r>
        <w:tab/>
      </w:r>
      <w:r w:rsidRPr="008E15BA">
        <w:rPr>
          <w:rFonts w:eastAsia="National-Book" w:cs="Times New Roman"/>
        </w:rPr>
        <w:t xml:space="preserve">advocating for a collaborative approach between central and local government to fund indigenous </w:t>
      </w:r>
      <w:r w:rsidRPr="000569C6">
        <w:rPr>
          <w:rFonts w:eastAsia="National-Book" w:cs="Times New Roman"/>
          <w:i/>
        </w:rPr>
        <w:t>biodiversity</w:t>
      </w:r>
      <w:r w:rsidRPr="008E15BA">
        <w:rPr>
          <w:rFonts w:eastAsia="National-Book" w:cs="Times New Roman"/>
        </w:rPr>
        <w:t xml:space="preserve"> maintenance and enhancement</w:t>
      </w:r>
      <w:r>
        <w:rPr>
          <w:rFonts w:eastAsia="National-Book" w:cs="Times New Roman"/>
        </w:rPr>
        <w:t>, and</w:t>
      </w:r>
    </w:p>
    <w:p w14:paraId="24E25304" w14:textId="77777777" w:rsidR="009F2C2D" w:rsidRPr="00BE69AB" w:rsidRDefault="009F2C2D" w:rsidP="009F2C2D">
      <w:pPr>
        <w:ind w:left="567" w:hanging="567"/>
        <w:jc w:val="both"/>
        <w:rPr>
          <w:u w:val="single"/>
        </w:rPr>
      </w:pPr>
      <w:bookmarkStart w:id="191" w:name="_Toc49763520"/>
      <w:r>
        <w:t>(7)</w:t>
      </w:r>
      <w:r>
        <w:tab/>
        <w:t>gathering information on indigenous ecosystems</w:t>
      </w:r>
      <w:r>
        <w:rPr>
          <w:u w:val="single"/>
        </w:rPr>
        <w:t>,</w:t>
      </w:r>
      <w:r w:rsidRPr="00633F30">
        <w:rPr>
          <w:strike/>
        </w:rPr>
        <w:t xml:space="preserve"> and</w:t>
      </w:r>
      <w:r w:rsidRPr="0046501B">
        <w:rPr>
          <w:rStyle w:val="FootnoteReference"/>
          <w:rFonts w:eastAsia="National-Book" w:cs="Times New Roman"/>
        </w:rPr>
        <w:footnoteReference w:id="1089"/>
      </w:r>
      <w:r w:rsidRPr="0046501B">
        <w:t xml:space="preserve"> </w:t>
      </w:r>
      <w:r>
        <w:t xml:space="preserve">habitats, </w:t>
      </w:r>
      <w:r>
        <w:rPr>
          <w:u w:val="single"/>
        </w:rPr>
        <w:t xml:space="preserve">and taoka and </w:t>
      </w:r>
      <w:r w:rsidRPr="1EE00A55">
        <w:rPr>
          <w:i/>
          <w:iCs/>
          <w:u w:val="single"/>
        </w:rPr>
        <w:t>mahika kai</w:t>
      </w:r>
      <w:r>
        <w:rPr>
          <w:rStyle w:val="FootnoteReference"/>
          <w:rFonts w:eastAsia="National-Book" w:cs="Times New Roman"/>
          <w:i/>
          <w:iCs/>
          <w:u w:val="single"/>
        </w:rPr>
        <w:footnoteReference w:id="1090"/>
      </w:r>
      <w:r>
        <w:rPr>
          <w:u w:val="single"/>
        </w:rPr>
        <w:t xml:space="preserve"> species and ecosystems,</w:t>
      </w:r>
      <w:r w:rsidRPr="0046501B">
        <w:rPr>
          <w:rStyle w:val="FootnoteReference"/>
          <w:rFonts w:eastAsia="National-Book" w:cs="Times New Roman"/>
        </w:rPr>
        <w:footnoteReference w:id="1091"/>
      </w:r>
      <w:r>
        <w:t xml:space="preserve"> including outside </w:t>
      </w:r>
      <w:r w:rsidRPr="1EE00A55">
        <w:rPr>
          <w:i/>
          <w:iCs/>
        </w:rPr>
        <w:t>significant natural areas</w:t>
      </w:r>
      <w:r w:rsidRPr="0046501B">
        <w:t>.</w:t>
      </w:r>
    </w:p>
    <w:p w14:paraId="38474805" w14:textId="77777777" w:rsidR="00080A9A" w:rsidRPr="003D1C57" w:rsidRDefault="00080A9A" w:rsidP="00080A9A">
      <w:pPr>
        <w:pStyle w:val="Heading3"/>
        <w:rPr>
          <w:rFonts w:eastAsia="National-Book"/>
        </w:rPr>
      </w:pPr>
      <w:r w:rsidRPr="003D1C57">
        <w:rPr>
          <w:rFonts w:eastAsia="National-Book"/>
        </w:rPr>
        <w:lastRenderedPageBreak/>
        <w:t>Explanation</w:t>
      </w:r>
      <w:bookmarkStart w:id="192" w:name="_Toc49763522"/>
      <w:bookmarkEnd w:id="191"/>
    </w:p>
    <w:p w14:paraId="21A2C4E1" w14:textId="4D50DA3B" w:rsidR="00080A9A" w:rsidRPr="003D1C57" w:rsidRDefault="00080A9A" w:rsidP="00080A9A">
      <w:pPr>
        <w:pStyle w:val="Heading4"/>
        <w:rPr>
          <w:rFonts w:eastAsia="National-Book"/>
        </w:rPr>
      </w:pPr>
      <w:r>
        <w:rPr>
          <w:rFonts w:eastAsia="National-Book"/>
        </w:rPr>
        <w:t>ECO-</w:t>
      </w:r>
      <w:r w:rsidRPr="003D1C57">
        <w:rPr>
          <w:rFonts w:eastAsia="National-Book"/>
        </w:rPr>
        <w:t>E1</w:t>
      </w:r>
      <w:r w:rsidRPr="0028723B">
        <w:t xml:space="preserve"> </w:t>
      </w:r>
      <w:r>
        <w:t xml:space="preserve">– </w:t>
      </w:r>
      <w:r w:rsidRPr="003D1C57">
        <w:rPr>
          <w:rFonts w:eastAsia="National-Book"/>
        </w:rPr>
        <w:t>Explanation</w:t>
      </w:r>
    </w:p>
    <w:p w14:paraId="7C67B624" w14:textId="77777777" w:rsidR="00080A9A" w:rsidRDefault="00080A9A" w:rsidP="00080A9A">
      <w:pPr>
        <w:jc w:val="both"/>
      </w:pPr>
      <w:bookmarkStart w:id="193" w:name="_Hlk72412300"/>
      <w:r>
        <w:t xml:space="preserve">The first policy in this chapter outlines how the kaitiaki role of Kāi Tahu will be recognised in Otago. The policies which follow then set out a management regime for identifying </w:t>
      </w:r>
      <w:r w:rsidRPr="00816075">
        <w:rPr>
          <w:i/>
        </w:rPr>
        <w:t>significant natural areas</w:t>
      </w:r>
      <w:r>
        <w:t xml:space="preserve"> and indigenous species and ecosystems that are taoka and protecting them by avoiding </w:t>
      </w:r>
      <w:proofErr w:type="gramStart"/>
      <w:r>
        <w:t>particular adverse</w:t>
      </w:r>
      <w:proofErr w:type="gramEnd"/>
      <w:r>
        <w:t xml:space="preserve"> </w:t>
      </w:r>
      <w:r w:rsidRPr="006920D6">
        <w:rPr>
          <w:i/>
        </w:rPr>
        <w:t>effects</w:t>
      </w:r>
      <w:r>
        <w:t xml:space="preserve"> on them. The policies recognise that these restrictions may be unduly restrictive for some activities</w:t>
      </w:r>
      <w:r w:rsidRPr="005E3D71">
        <w:t xml:space="preserve"> </w:t>
      </w:r>
      <w:r>
        <w:t xml:space="preserve">within </w:t>
      </w:r>
      <w:r>
        <w:rPr>
          <w:i/>
          <w:iCs/>
        </w:rPr>
        <w:t>significant natural areas</w:t>
      </w:r>
      <w:r>
        <w:t>, including existing activities already established</w:t>
      </w:r>
      <w:r>
        <w:rPr>
          <w:i/>
          <w:iCs/>
        </w:rPr>
        <w:t>.</w:t>
      </w:r>
      <w:r w:rsidRPr="00365B7F">
        <w:t xml:space="preserve"> </w:t>
      </w:r>
      <w:r w:rsidRPr="0051656F">
        <w:t>To</w:t>
      </w:r>
      <w:r w:rsidRPr="003D1C57">
        <w:t xml:space="preserve"> maintain ecosystems and indigenous </w:t>
      </w:r>
      <w:r w:rsidRPr="006920D6">
        <w:rPr>
          <w:i/>
        </w:rPr>
        <w:t>biodiversity</w:t>
      </w:r>
      <w:r w:rsidRPr="003D1C57">
        <w:t xml:space="preserve">, </w:t>
      </w:r>
      <w:r>
        <w:t>the policies set</w:t>
      </w:r>
      <w:r w:rsidRPr="003D1C57">
        <w:t xml:space="preserve"> out </w:t>
      </w:r>
      <w:r>
        <w:t xml:space="preserve">mandatory and sequential steps in an effects management </w:t>
      </w:r>
      <w:r w:rsidRPr="003D1C57">
        <w:t xml:space="preserve">hierarchy to be </w:t>
      </w:r>
      <w:r>
        <w:t>implemented through decision making</w:t>
      </w:r>
      <w:r w:rsidRPr="003D1C57">
        <w:t xml:space="preserve">, including providing for </w:t>
      </w:r>
      <w:r w:rsidRPr="006920D6">
        <w:rPr>
          <w:i/>
        </w:rPr>
        <w:t>biodiversity</w:t>
      </w:r>
      <w:r w:rsidRPr="003D1C57">
        <w:t xml:space="preserve"> offsetting and compensation if certain criteria are met.</w:t>
      </w:r>
    </w:p>
    <w:p w14:paraId="31C36B14" w14:textId="77777777" w:rsidR="00080A9A" w:rsidRDefault="00080A9A" w:rsidP="00080A9A">
      <w:pPr>
        <w:jc w:val="both"/>
      </w:pPr>
      <w:r>
        <w:t xml:space="preserve">Although the objectives of this chapter apply within the coastal environment, the specific management approach for </w:t>
      </w:r>
      <w:r w:rsidRPr="006920D6">
        <w:rPr>
          <w:i/>
        </w:rPr>
        <w:t>biodiversity</w:t>
      </w:r>
      <w:r>
        <w:t xml:space="preserve"> is contained in the CE – Coastal environment chapter. Given the </w:t>
      </w:r>
      <w:r w:rsidRPr="00C50FE3">
        <w:rPr>
          <w:i/>
          <w:iCs/>
        </w:rPr>
        <w:t>biodiversity</w:t>
      </w:r>
      <w:r>
        <w:t xml:space="preserve"> loss that has occurred in Otago historically, restoration or enhancement will play a part in achieving the objectives of this chapter and these activities are promoted.</w:t>
      </w:r>
    </w:p>
    <w:p w14:paraId="609BF238" w14:textId="77777777" w:rsidR="00C41F7F" w:rsidRDefault="00C41F7F" w:rsidP="00C41F7F">
      <w:pPr>
        <w:jc w:val="both"/>
      </w:pPr>
      <w:r w:rsidRPr="1EE00A55">
        <w:rPr>
          <w:i/>
          <w:iCs/>
        </w:rPr>
        <w:t>Wilding conifers</w:t>
      </w:r>
      <w:r w:rsidRPr="003D1C57">
        <w:t xml:space="preserve"> are a particular issue </w:t>
      </w:r>
      <w:r>
        <w:t xml:space="preserve">for </w:t>
      </w:r>
      <w:r w:rsidRPr="1EE00A55">
        <w:rPr>
          <w:i/>
          <w:iCs/>
        </w:rPr>
        <w:t>biodiversity</w:t>
      </w:r>
      <w:r>
        <w:t xml:space="preserve"> </w:t>
      </w:r>
      <w:r w:rsidRPr="003D1C57">
        <w:t>in Otago</w:t>
      </w:r>
      <w:r>
        <w:t xml:space="preserve">. Although </w:t>
      </w:r>
      <w:r w:rsidRPr="1EE00A55">
        <w:rPr>
          <w:i/>
          <w:iCs/>
        </w:rPr>
        <w:t>plantation forestry</w:t>
      </w:r>
      <w:r>
        <w:t xml:space="preserve"> is managed under the NESPF, the NESPF allows plan rules to be more stringent if they recognise and provide for the protection of </w:t>
      </w:r>
      <w:r w:rsidRPr="1EE00A55">
        <w:rPr>
          <w:i/>
          <w:iCs/>
        </w:rPr>
        <w:t>significant natural areas</w:t>
      </w:r>
      <w:r>
        <w:t xml:space="preserve">. The policies adopt this direction by requiring </w:t>
      </w:r>
      <w:r w:rsidRPr="1EE00A55">
        <w:rPr>
          <w:i/>
          <w:iCs/>
        </w:rPr>
        <w:t>district</w:t>
      </w:r>
      <w:r>
        <w:t xml:space="preserve"> </w:t>
      </w:r>
      <w:r w:rsidRPr="1EE00A55">
        <w:rPr>
          <w:i/>
          <w:iCs/>
          <w:u w:val="single"/>
        </w:rPr>
        <w:t>plans</w:t>
      </w:r>
      <w:r w:rsidRPr="00936AC8">
        <w:rPr>
          <w:rStyle w:val="FootnoteReference"/>
        </w:rPr>
        <w:footnoteReference w:id="1092"/>
      </w:r>
      <w:r>
        <w:t xml:space="preserve"> and </w:t>
      </w:r>
      <w:r w:rsidRPr="1EE00A55">
        <w:rPr>
          <w:i/>
          <w:iCs/>
        </w:rPr>
        <w:t>regional plans</w:t>
      </w:r>
      <w:r>
        <w:t xml:space="preserve"> to prevent </w:t>
      </w:r>
      <w:r w:rsidRPr="1EE00A55">
        <w:rPr>
          <w:i/>
          <w:iCs/>
          <w:strike/>
        </w:rPr>
        <w:t>afforestation</w:t>
      </w:r>
      <w:r>
        <w:t xml:space="preserve"> </w:t>
      </w:r>
      <w:r>
        <w:rPr>
          <w:u w:val="single"/>
        </w:rPr>
        <w:t>planting of conifer species</w:t>
      </w:r>
      <w:r w:rsidRPr="00681CC0">
        <w:rPr>
          <w:rStyle w:val="FootnoteReference"/>
        </w:rPr>
        <w:footnoteReference w:id="1093"/>
      </w:r>
      <w:r w:rsidRPr="003F056D">
        <w:t xml:space="preserve"> </w:t>
      </w:r>
      <w:r>
        <w:t xml:space="preserve">within </w:t>
      </w:r>
      <w:r w:rsidRPr="1EE00A55">
        <w:rPr>
          <w:i/>
          <w:iCs/>
        </w:rPr>
        <w:t>significant natural areas</w:t>
      </w:r>
      <w:r>
        <w:t xml:space="preserve"> and establish buffer zones where they are necessary to protect </w:t>
      </w:r>
      <w:r w:rsidRPr="1EE00A55">
        <w:rPr>
          <w:i/>
          <w:iCs/>
        </w:rPr>
        <w:t>significant natural areas</w:t>
      </w:r>
      <w:r>
        <w:t>.</w:t>
      </w:r>
    </w:p>
    <w:p w14:paraId="78232DB8" w14:textId="77777777" w:rsidR="00080A9A" w:rsidRDefault="00080A9A" w:rsidP="00080A9A">
      <w:pPr>
        <w:jc w:val="both"/>
      </w:pPr>
      <w:r>
        <w:t xml:space="preserve">The policies recognise that managing ecosystems and indigenous </w:t>
      </w:r>
      <w:r w:rsidRPr="00C50FE3">
        <w:rPr>
          <w:i/>
        </w:rPr>
        <w:t>biodiversity</w:t>
      </w:r>
      <w:r>
        <w:t xml:space="preserve"> requires co-ordination across different areas and types of resources, as well as across organisations, </w:t>
      </w:r>
      <w:proofErr w:type="gramStart"/>
      <w:r>
        <w:t>communities</w:t>
      </w:r>
      <w:proofErr w:type="gramEnd"/>
      <w:r>
        <w:t xml:space="preserve"> and individual landowners</w:t>
      </w:r>
      <w:r w:rsidRPr="003D1C57">
        <w:t xml:space="preserve">. </w:t>
      </w:r>
      <w:r>
        <w:t xml:space="preserve">This articulates the stewardship role of all people and communities in Otago in respect of indigenous </w:t>
      </w:r>
      <w:r w:rsidRPr="006920D6">
        <w:rPr>
          <w:i/>
        </w:rPr>
        <w:t>biodiversity</w:t>
      </w:r>
      <w:r>
        <w:t xml:space="preserve">. </w:t>
      </w:r>
    </w:p>
    <w:bookmarkEnd w:id="193"/>
    <w:p w14:paraId="789DDA82" w14:textId="77777777" w:rsidR="00080A9A" w:rsidRPr="003D1C57" w:rsidRDefault="00080A9A" w:rsidP="00080A9A">
      <w:pPr>
        <w:pStyle w:val="Heading3"/>
        <w:rPr>
          <w:rFonts w:eastAsia="National-Book"/>
        </w:rPr>
      </w:pPr>
      <w:r w:rsidRPr="003D1C57">
        <w:rPr>
          <w:rFonts w:eastAsia="National-Book"/>
        </w:rPr>
        <w:t>Principal reasons</w:t>
      </w:r>
      <w:bookmarkEnd w:id="192"/>
    </w:p>
    <w:p w14:paraId="5AD4B85E" w14:textId="375AF2B4" w:rsidR="00080A9A" w:rsidRPr="003D1C57" w:rsidRDefault="00080A9A" w:rsidP="00080A9A">
      <w:pPr>
        <w:pStyle w:val="Heading4"/>
        <w:rPr>
          <w:rFonts w:eastAsia="National-Book"/>
        </w:rPr>
      </w:pPr>
      <w:r>
        <w:rPr>
          <w:rFonts w:eastAsia="National-Book"/>
        </w:rPr>
        <w:t>ECO-</w:t>
      </w:r>
      <w:r w:rsidRPr="003D1C57">
        <w:rPr>
          <w:rFonts w:eastAsia="National-Book"/>
        </w:rPr>
        <w:t>PR1</w:t>
      </w:r>
      <w:r w:rsidRPr="0028723B">
        <w:t xml:space="preserve"> </w:t>
      </w:r>
      <w:r>
        <w:t xml:space="preserve">– </w:t>
      </w:r>
      <w:r w:rsidRPr="003D1C57">
        <w:rPr>
          <w:rFonts w:eastAsia="National-Book"/>
        </w:rPr>
        <w:t xml:space="preserve">Principal reasons </w:t>
      </w:r>
    </w:p>
    <w:p w14:paraId="2DB1D3D4" w14:textId="0189A90D" w:rsidR="00080A9A" w:rsidRPr="003D1C57" w:rsidRDefault="00080A9A" w:rsidP="00080A9A">
      <w:pPr>
        <w:spacing w:line="256" w:lineRule="auto"/>
        <w:jc w:val="both"/>
        <w:rPr>
          <w:rFonts w:ascii="Calibri" w:eastAsia="Calibri" w:hAnsi="Calibri" w:cs="Times New Roman"/>
        </w:rPr>
      </w:pPr>
      <w:r w:rsidRPr="003D1C57">
        <w:rPr>
          <w:rFonts w:ascii="Calibri" w:eastAsia="Calibri" w:hAnsi="Calibri" w:cs="Times New Roman"/>
        </w:rPr>
        <w:t xml:space="preserve">The health of New Zealand’s </w:t>
      </w:r>
      <w:r w:rsidRPr="001B19D0">
        <w:rPr>
          <w:rFonts w:ascii="Calibri" w:eastAsia="Calibri" w:hAnsi="Calibri" w:cs="Times New Roman"/>
          <w:i/>
        </w:rPr>
        <w:t>biodiversity</w:t>
      </w:r>
      <w:r w:rsidRPr="003D1C57">
        <w:rPr>
          <w:rFonts w:ascii="Calibri" w:eastAsia="Calibri" w:hAnsi="Calibri" w:cs="Times New Roman"/>
        </w:rPr>
        <w:t xml:space="preserve"> has declined significantly since the arrival of humans and remains under significant pressure. </w:t>
      </w:r>
      <w:r w:rsidRPr="0012114C">
        <w:rPr>
          <w:rFonts w:ascii="Calibri" w:eastAsia="Calibri" w:hAnsi="Calibri" w:cs="Times New Roman"/>
          <w:strike/>
        </w:rPr>
        <w:t>Mahika kai</w:t>
      </w:r>
      <w:r w:rsidRPr="0012114C">
        <w:rPr>
          <w:rFonts w:ascii="Calibri" w:eastAsia="Calibri" w:hAnsi="Calibri" w:cs="Times New Roman"/>
        </w:rPr>
        <w:t xml:space="preserve"> </w:t>
      </w:r>
      <w:r w:rsidR="0012114C" w:rsidRPr="00F80734">
        <w:rPr>
          <w:rFonts w:ascii="Calibri" w:eastAsia="Calibri" w:hAnsi="Calibri" w:cs="Times New Roman"/>
          <w:i/>
          <w:iCs/>
          <w:u w:val="single"/>
        </w:rPr>
        <w:t>Mahika kai</w:t>
      </w:r>
      <w:r w:rsidR="0012114C" w:rsidRPr="0012114C">
        <w:rPr>
          <w:rStyle w:val="FootnoteReference"/>
          <w:rFonts w:ascii="Calibri" w:eastAsia="Calibri" w:hAnsi="Calibri" w:cs="Times New Roman"/>
          <w:i/>
          <w:iCs/>
        </w:rPr>
        <w:footnoteReference w:id="1094"/>
      </w:r>
      <w:r w:rsidR="0012114C" w:rsidRPr="003D1C57">
        <w:rPr>
          <w:rFonts w:ascii="Calibri" w:eastAsia="Calibri" w:hAnsi="Calibri" w:cs="Times New Roman"/>
        </w:rPr>
        <w:t xml:space="preserve"> </w:t>
      </w:r>
      <w:r w:rsidRPr="003D1C57">
        <w:rPr>
          <w:rFonts w:ascii="Calibri" w:eastAsia="Calibri" w:hAnsi="Calibri" w:cs="Times New Roman"/>
        </w:rPr>
        <w:t xml:space="preserve">and taoka species, including their abundance, have been </w:t>
      </w:r>
      <w:r>
        <w:rPr>
          <w:rFonts w:ascii="Calibri" w:eastAsia="Calibri" w:hAnsi="Calibri" w:cs="Times New Roman"/>
        </w:rPr>
        <w:t>damaged or lost</w:t>
      </w:r>
      <w:r w:rsidRPr="003D1C57">
        <w:rPr>
          <w:rFonts w:ascii="Calibri" w:eastAsia="Calibri" w:hAnsi="Calibri" w:cs="Times New Roman"/>
        </w:rPr>
        <w:t xml:space="preserve"> </w:t>
      </w:r>
      <w:r>
        <w:rPr>
          <w:rFonts w:ascii="Calibri" w:eastAsia="Calibri" w:hAnsi="Calibri" w:cs="Times New Roman"/>
        </w:rPr>
        <w:t>through</w:t>
      </w:r>
      <w:r w:rsidRPr="003D1C57">
        <w:rPr>
          <w:rFonts w:ascii="Calibri" w:eastAsia="Calibri" w:hAnsi="Calibri" w:cs="Times New Roman"/>
        </w:rPr>
        <w:t xml:space="preserve"> resource use</w:t>
      </w:r>
      <w:r>
        <w:rPr>
          <w:rFonts w:ascii="Calibri" w:eastAsia="Calibri" w:hAnsi="Calibri" w:cs="Times New Roman"/>
        </w:rPr>
        <w:t xml:space="preserve">, </w:t>
      </w:r>
      <w:r w:rsidRPr="00664642">
        <w:rPr>
          <w:rFonts w:ascii="Calibri" w:eastAsia="Calibri" w:hAnsi="Calibri" w:cs="Times New Roman"/>
          <w:i/>
        </w:rPr>
        <w:t>land</w:t>
      </w:r>
      <w:r>
        <w:rPr>
          <w:rFonts w:ascii="Calibri" w:eastAsia="Calibri" w:hAnsi="Calibri" w:cs="Times New Roman"/>
        </w:rPr>
        <w:t xml:space="preserve"> use change</w:t>
      </w:r>
      <w:r w:rsidRPr="003D1C57">
        <w:rPr>
          <w:rFonts w:ascii="Calibri" w:eastAsia="Calibri" w:hAnsi="Calibri" w:cs="Times New Roman"/>
        </w:rPr>
        <w:t xml:space="preserve"> and development in Otago. The provisions in this chapter seek to address this loss and pressure through providing direction on how indigenous </w:t>
      </w:r>
      <w:r w:rsidRPr="001B19D0">
        <w:rPr>
          <w:rFonts w:ascii="Calibri" w:eastAsia="Calibri" w:hAnsi="Calibri" w:cs="Times New Roman"/>
          <w:i/>
        </w:rPr>
        <w:t>biodiversity</w:t>
      </w:r>
      <w:r w:rsidRPr="003D1C57">
        <w:rPr>
          <w:rFonts w:ascii="Calibri" w:eastAsia="Calibri" w:hAnsi="Calibri" w:cs="Times New Roman"/>
        </w:rPr>
        <w:t xml:space="preserve"> is to be managed. </w:t>
      </w:r>
    </w:p>
    <w:p w14:paraId="1A183227" w14:textId="77777777" w:rsidR="00080A9A" w:rsidRPr="003D1C57" w:rsidRDefault="00080A9A" w:rsidP="00080A9A">
      <w:pPr>
        <w:spacing w:line="256" w:lineRule="auto"/>
        <w:rPr>
          <w:rFonts w:ascii="Calibri" w:eastAsia="Calibri" w:hAnsi="Calibri" w:cs="Times New Roman"/>
        </w:rPr>
      </w:pPr>
      <w:r w:rsidRPr="003D1C57">
        <w:rPr>
          <w:rFonts w:ascii="Calibri" w:eastAsia="Calibri" w:hAnsi="Calibri" w:cs="Times New Roman"/>
        </w:rPr>
        <w:t xml:space="preserve">The provisions in this chapter assist in maintaining, </w:t>
      </w:r>
      <w:proofErr w:type="gramStart"/>
      <w:r w:rsidRPr="003D1C57">
        <w:rPr>
          <w:rFonts w:ascii="Calibri" w:eastAsia="Calibri" w:hAnsi="Calibri" w:cs="Times New Roman"/>
        </w:rPr>
        <w:t>protecting</w:t>
      </w:r>
      <w:proofErr w:type="gramEnd"/>
      <w:r w:rsidRPr="003D1C57">
        <w:rPr>
          <w:rFonts w:ascii="Calibri" w:eastAsia="Calibri" w:hAnsi="Calibri" w:cs="Times New Roman"/>
        </w:rPr>
        <w:t xml:space="preserve"> and restoring indigenous </w:t>
      </w:r>
      <w:r w:rsidRPr="001B19D0">
        <w:rPr>
          <w:rFonts w:ascii="Calibri" w:eastAsia="Calibri" w:hAnsi="Calibri" w:cs="Times New Roman"/>
          <w:i/>
        </w:rPr>
        <w:t>biodiversity</w:t>
      </w:r>
      <w:r w:rsidRPr="003D1C57">
        <w:rPr>
          <w:rFonts w:ascii="Calibri" w:eastAsia="Calibri" w:hAnsi="Calibri" w:cs="Times New Roman"/>
        </w:rPr>
        <w:t xml:space="preserve"> by:</w:t>
      </w:r>
    </w:p>
    <w:p w14:paraId="2D48B63F" w14:textId="77777777" w:rsidR="00080A9A" w:rsidRPr="00F92BB6" w:rsidRDefault="00080A9A" w:rsidP="005D35F3">
      <w:pPr>
        <w:pStyle w:val="JustifiedSpacing"/>
        <w:numPr>
          <w:ilvl w:val="0"/>
          <w:numId w:val="42"/>
        </w:numPr>
        <w:spacing w:line="240" w:lineRule="auto"/>
        <w:ind w:left="567" w:hanging="567"/>
      </w:pPr>
      <w:r>
        <w:t>s</w:t>
      </w:r>
      <w:r w:rsidRPr="00F92BB6">
        <w:t xml:space="preserve">tating the outcomes sought for ecosystems and indigenous </w:t>
      </w:r>
      <w:r w:rsidRPr="001B19D0">
        <w:rPr>
          <w:i/>
        </w:rPr>
        <w:t>biodiversity</w:t>
      </w:r>
      <w:r w:rsidRPr="00F92BB6">
        <w:t xml:space="preserve"> in Otago,</w:t>
      </w:r>
    </w:p>
    <w:p w14:paraId="59844B94" w14:textId="77777777" w:rsidR="00080A9A" w:rsidRPr="00F92BB6" w:rsidRDefault="00080A9A" w:rsidP="005D35F3">
      <w:pPr>
        <w:pStyle w:val="JustifiedSpacing"/>
        <w:numPr>
          <w:ilvl w:val="0"/>
          <w:numId w:val="42"/>
        </w:numPr>
        <w:spacing w:line="240" w:lineRule="auto"/>
        <w:ind w:left="567" w:hanging="567"/>
      </w:pPr>
      <w:r>
        <w:lastRenderedPageBreak/>
        <w:t>r</w:t>
      </w:r>
      <w:r w:rsidRPr="00F92BB6">
        <w:t xml:space="preserve">equiring identification and protection of </w:t>
      </w:r>
      <w:r w:rsidRPr="005F1B41">
        <w:rPr>
          <w:i/>
          <w:iCs/>
        </w:rPr>
        <w:t>significant natural areas</w:t>
      </w:r>
      <w:r>
        <w:rPr>
          <w:i/>
          <w:iCs/>
        </w:rPr>
        <w:t xml:space="preserve"> </w:t>
      </w:r>
      <w:r>
        <w:t>and indigenous species and ecosystems that are taoka</w:t>
      </w:r>
      <w:r w:rsidRPr="00F92BB6">
        <w:t>, and</w:t>
      </w:r>
    </w:p>
    <w:p w14:paraId="43544B8D" w14:textId="77777777" w:rsidR="00080A9A" w:rsidRPr="00F92BB6" w:rsidRDefault="00080A9A" w:rsidP="005D35F3">
      <w:pPr>
        <w:pStyle w:val="JustifiedSpacing"/>
        <w:numPr>
          <w:ilvl w:val="0"/>
          <w:numId w:val="42"/>
        </w:numPr>
        <w:spacing w:line="240" w:lineRule="auto"/>
        <w:ind w:left="567" w:hanging="567"/>
      </w:pPr>
      <w:r>
        <w:t>d</w:t>
      </w:r>
      <w:r w:rsidRPr="00F92BB6">
        <w:t xml:space="preserve">irecting how indigenous </w:t>
      </w:r>
      <w:r w:rsidRPr="001B19D0">
        <w:rPr>
          <w:i/>
        </w:rPr>
        <w:t>biodiversity</w:t>
      </w:r>
      <w:r w:rsidRPr="00F92BB6">
        <w:t xml:space="preserve"> is to be maintained.</w:t>
      </w:r>
    </w:p>
    <w:p w14:paraId="13E33173" w14:textId="77777777" w:rsidR="00080A9A" w:rsidRPr="003D1C57" w:rsidRDefault="00080A9A" w:rsidP="00080A9A">
      <w:pPr>
        <w:spacing w:line="256" w:lineRule="auto"/>
        <w:jc w:val="both"/>
        <w:rPr>
          <w:rFonts w:ascii="Calibri" w:eastAsia="Calibri" w:hAnsi="Calibri" w:cs="Times New Roman"/>
        </w:rPr>
      </w:pPr>
      <w:r>
        <w:rPr>
          <w:rFonts w:ascii="Calibri" w:eastAsia="Calibri" w:hAnsi="Calibri" w:cs="Times New Roman"/>
        </w:rPr>
        <w:t xml:space="preserve">This chapter will assist with achieving the outcomes sought by </w:t>
      </w:r>
      <w:r>
        <w:rPr>
          <w:rFonts w:ascii="Calibri" w:eastAsia="Calibri" w:hAnsi="Calibri" w:cs="Times New Roman"/>
          <w:i/>
          <w:iCs/>
        </w:rPr>
        <w:t xml:space="preserve">Te Mana o te Taiao – Aotearoa New Zealand Biodiversity Strategy 2020. </w:t>
      </w:r>
      <w:r w:rsidRPr="003D1C57">
        <w:rPr>
          <w:rFonts w:ascii="Calibri" w:eastAsia="Calibri" w:hAnsi="Calibri" w:cs="Times New Roman"/>
        </w:rPr>
        <w:t xml:space="preserve">Implementation of the provisions in this chapter will occur primarily through </w:t>
      </w:r>
      <w:r w:rsidRPr="006920D6">
        <w:rPr>
          <w:rFonts w:ascii="Calibri" w:eastAsia="Calibri" w:hAnsi="Calibri" w:cs="Times New Roman"/>
          <w:i/>
        </w:rPr>
        <w:t>regional</w:t>
      </w:r>
      <w:r w:rsidRPr="003D1C57">
        <w:rPr>
          <w:rFonts w:ascii="Calibri" w:eastAsia="Calibri" w:hAnsi="Calibri" w:cs="Times New Roman"/>
        </w:rPr>
        <w:t xml:space="preserve"> and </w:t>
      </w:r>
      <w:r w:rsidRPr="006C1F01">
        <w:rPr>
          <w:rFonts w:ascii="Calibri" w:eastAsia="Calibri" w:hAnsi="Calibri" w:cs="Times New Roman"/>
          <w:i/>
          <w:iCs/>
        </w:rPr>
        <w:t>district plan</w:t>
      </w:r>
      <w:r w:rsidRPr="003D1C57">
        <w:rPr>
          <w:rFonts w:ascii="Calibri" w:eastAsia="Calibri" w:hAnsi="Calibri" w:cs="Times New Roman"/>
        </w:rPr>
        <w:t xml:space="preserve"> provisions, however </w:t>
      </w:r>
      <w:r w:rsidRPr="00917742">
        <w:rPr>
          <w:rFonts w:ascii="Calibri" w:eastAsia="Calibri" w:hAnsi="Calibri" w:cs="Times New Roman"/>
          <w:i/>
          <w:iCs/>
        </w:rPr>
        <w:t>local authorities</w:t>
      </w:r>
      <w:r w:rsidRPr="003D1C57">
        <w:rPr>
          <w:rFonts w:ascii="Calibri" w:eastAsia="Calibri" w:hAnsi="Calibri" w:cs="Times New Roman"/>
        </w:rPr>
        <w:t xml:space="preserve"> may also choose to adopt additional non-regulatory methods to support the achievement of the objectives.</w:t>
      </w:r>
    </w:p>
    <w:p w14:paraId="0DECB85C" w14:textId="77777777" w:rsidR="00080A9A" w:rsidRPr="003D1C57" w:rsidRDefault="00080A9A" w:rsidP="00080A9A">
      <w:pPr>
        <w:pStyle w:val="Heading3"/>
        <w:rPr>
          <w:rFonts w:eastAsia="National-Book"/>
        </w:rPr>
      </w:pPr>
      <w:bookmarkStart w:id="194" w:name="_Toc49763523"/>
      <w:r w:rsidRPr="003D1C57">
        <w:rPr>
          <w:rFonts w:eastAsia="National-Book"/>
        </w:rPr>
        <w:t>Anticipated environmental results</w:t>
      </w:r>
      <w:bookmarkEnd w:id="194"/>
    </w:p>
    <w:p w14:paraId="4D696202" w14:textId="7C4A9413" w:rsidR="00080A9A" w:rsidRPr="003D1C57" w:rsidRDefault="00080A9A" w:rsidP="00080A9A">
      <w:pPr>
        <w:spacing w:line="256" w:lineRule="auto"/>
        <w:ind w:left="2160" w:hanging="2160"/>
        <w:jc w:val="both"/>
        <w:rPr>
          <w:rFonts w:ascii="Calibri" w:eastAsia="Calibri" w:hAnsi="Calibri" w:cs="Times New Roman"/>
          <w:b/>
          <w:bCs/>
        </w:rPr>
      </w:pPr>
      <w:r>
        <w:rPr>
          <w:rFonts w:ascii="Calibri" w:eastAsia="Calibri" w:hAnsi="Calibri" w:cs="Times New Roman"/>
          <w:b/>
          <w:color w:val="1F3864" w:themeColor="accent1" w:themeShade="80"/>
        </w:rPr>
        <w:t>ECO-</w:t>
      </w:r>
      <w:r w:rsidRPr="00CC5D49">
        <w:rPr>
          <w:rFonts w:ascii="Calibri" w:eastAsia="Calibri" w:hAnsi="Calibri" w:cs="Times New Roman"/>
          <w:b/>
          <w:color w:val="1F3864" w:themeColor="accent1" w:themeShade="80"/>
        </w:rPr>
        <w:t xml:space="preserve">AER1 </w:t>
      </w:r>
      <w:r w:rsidRPr="003D1C57">
        <w:rPr>
          <w:rFonts w:ascii="Calibri" w:eastAsia="Calibri" w:hAnsi="Calibri" w:cs="Times New Roman"/>
          <w:b/>
          <w:bCs/>
        </w:rPr>
        <w:tab/>
      </w:r>
      <w:r w:rsidRPr="003D1C57">
        <w:rPr>
          <w:rFonts w:ascii="Calibri" w:eastAsia="Calibri" w:hAnsi="Calibri" w:cs="Times New Roman"/>
        </w:rPr>
        <w:t xml:space="preserve">There is no </w:t>
      </w:r>
      <w:r>
        <w:rPr>
          <w:rFonts w:ascii="Calibri" w:eastAsia="Calibri" w:hAnsi="Calibri" w:cs="Times New Roman"/>
        </w:rPr>
        <w:t xml:space="preserve">further </w:t>
      </w:r>
      <w:r w:rsidRPr="003D1C57">
        <w:rPr>
          <w:rFonts w:ascii="Calibri" w:eastAsia="Calibri" w:hAnsi="Calibri" w:cs="Times New Roman"/>
        </w:rPr>
        <w:t xml:space="preserve">decline in the quality, </w:t>
      </w:r>
      <w:proofErr w:type="gramStart"/>
      <w:r w:rsidRPr="003D1C57">
        <w:rPr>
          <w:rFonts w:ascii="Calibri" w:eastAsia="Calibri" w:hAnsi="Calibri" w:cs="Times New Roman"/>
        </w:rPr>
        <w:t>quantity</w:t>
      </w:r>
      <w:proofErr w:type="gramEnd"/>
      <w:r w:rsidRPr="003D1C57">
        <w:rPr>
          <w:rFonts w:ascii="Calibri" w:eastAsia="Calibri" w:hAnsi="Calibri" w:cs="Times New Roman"/>
        </w:rPr>
        <w:t xml:space="preserve"> or diversity of Otago’s indigenous </w:t>
      </w:r>
      <w:r w:rsidRPr="001B19D0">
        <w:rPr>
          <w:rFonts w:ascii="Calibri" w:eastAsia="Calibri" w:hAnsi="Calibri" w:cs="Times New Roman"/>
          <w:i/>
        </w:rPr>
        <w:t>biodiversity</w:t>
      </w:r>
      <w:r w:rsidRPr="003D1C57">
        <w:rPr>
          <w:rFonts w:ascii="Calibri" w:eastAsia="Calibri" w:hAnsi="Calibri" w:cs="Times New Roman"/>
        </w:rPr>
        <w:t>.</w:t>
      </w:r>
    </w:p>
    <w:p w14:paraId="5EE1D698" w14:textId="583D5032" w:rsidR="00080A9A" w:rsidRPr="003D1C57" w:rsidRDefault="00080A9A" w:rsidP="00080A9A">
      <w:pPr>
        <w:spacing w:line="256" w:lineRule="auto"/>
        <w:ind w:left="2160" w:hanging="2160"/>
        <w:jc w:val="both"/>
        <w:rPr>
          <w:rFonts w:ascii="Calibri" w:eastAsia="Calibri" w:hAnsi="Calibri" w:cs="Times New Roman"/>
        </w:rPr>
      </w:pPr>
      <w:r>
        <w:rPr>
          <w:rFonts w:ascii="Calibri" w:eastAsia="Calibri" w:hAnsi="Calibri" w:cs="Times New Roman"/>
          <w:b/>
          <w:color w:val="1F3864" w:themeColor="accent1" w:themeShade="80"/>
        </w:rPr>
        <w:t>ECO-</w:t>
      </w:r>
      <w:r w:rsidRPr="00CC5D49">
        <w:rPr>
          <w:rFonts w:ascii="Calibri" w:eastAsia="Calibri" w:hAnsi="Calibri" w:cs="Times New Roman"/>
          <w:b/>
          <w:color w:val="1F3864" w:themeColor="accent1" w:themeShade="80"/>
        </w:rPr>
        <w:t xml:space="preserve">AER2 </w:t>
      </w:r>
      <w:r>
        <w:rPr>
          <w:rFonts w:ascii="Calibri" w:eastAsia="Calibri" w:hAnsi="Calibri" w:cs="Times New Roman"/>
          <w:b/>
          <w:bCs/>
        </w:rPr>
        <w:tab/>
      </w:r>
      <w:r w:rsidRPr="003D1C57">
        <w:rPr>
          <w:rFonts w:ascii="Calibri" w:eastAsia="Calibri" w:hAnsi="Calibri" w:cs="Times New Roman"/>
        </w:rPr>
        <w:t xml:space="preserve">The quality, </w:t>
      </w:r>
      <w:proofErr w:type="gramStart"/>
      <w:r w:rsidRPr="003D1C57">
        <w:rPr>
          <w:rFonts w:ascii="Calibri" w:eastAsia="Calibri" w:hAnsi="Calibri" w:cs="Times New Roman"/>
        </w:rPr>
        <w:t>quantity</w:t>
      </w:r>
      <w:proofErr w:type="gramEnd"/>
      <w:r w:rsidRPr="003D1C57">
        <w:rPr>
          <w:rFonts w:ascii="Calibri" w:eastAsia="Calibri" w:hAnsi="Calibri" w:cs="Times New Roman"/>
        </w:rPr>
        <w:t xml:space="preserve"> and diversity of indigenous </w:t>
      </w:r>
      <w:r w:rsidRPr="001B19D0">
        <w:rPr>
          <w:rFonts w:ascii="Calibri" w:eastAsia="Calibri" w:hAnsi="Calibri" w:cs="Times New Roman"/>
          <w:i/>
        </w:rPr>
        <w:t>biodiversity</w:t>
      </w:r>
      <w:r w:rsidRPr="003D1C57">
        <w:rPr>
          <w:rFonts w:ascii="Calibri" w:eastAsia="Calibri" w:hAnsi="Calibri" w:cs="Times New Roman"/>
        </w:rPr>
        <w:t xml:space="preserve"> within Otago improves over the life of this Regional Policy Statement.</w:t>
      </w:r>
    </w:p>
    <w:p w14:paraId="18F26654" w14:textId="3712EDBA" w:rsidR="00080A9A" w:rsidRPr="003D1C57" w:rsidRDefault="00080A9A" w:rsidP="00080A9A">
      <w:pPr>
        <w:spacing w:line="256" w:lineRule="auto"/>
        <w:ind w:left="2160" w:hanging="2160"/>
        <w:jc w:val="both"/>
        <w:rPr>
          <w:rFonts w:ascii="Calibri" w:eastAsia="Calibri" w:hAnsi="Calibri" w:cs="Times New Roman"/>
        </w:rPr>
      </w:pPr>
      <w:r>
        <w:rPr>
          <w:rFonts w:ascii="Calibri" w:eastAsia="Calibri" w:hAnsi="Calibri" w:cs="Times New Roman"/>
          <w:b/>
          <w:color w:val="1F3864" w:themeColor="accent1" w:themeShade="80"/>
        </w:rPr>
        <w:t>ECO-</w:t>
      </w:r>
      <w:r w:rsidRPr="00CC5D49">
        <w:rPr>
          <w:rFonts w:ascii="Calibri" w:eastAsia="Calibri" w:hAnsi="Calibri" w:cs="Times New Roman"/>
          <w:b/>
          <w:color w:val="1F3864" w:themeColor="accent1" w:themeShade="80"/>
        </w:rPr>
        <w:t>AER3</w:t>
      </w:r>
      <w:r>
        <w:rPr>
          <w:rFonts w:ascii="Calibri" w:eastAsia="Calibri" w:hAnsi="Calibri" w:cs="Times New Roman"/>
          <w:b/>
          <w:color w:val="1F3864" w:themeColor="accent1" w:themeShade="80"/>
        </w:rPr>
        <w:tab/>
      </w:r>
      <w:r w:rsidRPr="006920D6">
        <w:rPr>
          <w:rFonts w:ascii="Calibri" w:eastAsia="Calibri" w:hAnsi="Calibri" w:cs="Times New Roman"/>
          <w:color w:val="000000" w:themeColor="text1"/>
        </w:rPr>
        <w:t xml:space="preserve">Kāi Tahu are involved in the management of indigenous </w:t>
      </w:r>
      <w:r w:rsidRPr="006920D6">
        <w:rPr>
          <w:rFonts w:ascii="Calibri" w:eastAsia="Calibri" w:hAnsi="Calibri" w:cs="Times New Roman"/>
          <w:i/>
          <w:color w:val="000000" w:themeColor="text1"/>
        </w:rPr>
        <w:t>biodiversity</w:t>
      </w:r>
      <w:r w:rsidRPr="006920D6">
        <w:rPr>
          <w:rFonts w:ascii="Calibri" w:eastAsia="Calibri" w:hAnsi="Calibri" w:cs="Times New Roman"/>
          <w:color w:val="000000" w:themeColor="text1"/>
        </w:rPr>
        <w:t xml:space="preserve"> and able to effectively exercise their </w:t>
      </w:r>
      <w:r w:rsidRPr="006920D6">
        <w:rPr>
          <w:rFonts w:ascii="Calibri" w:eastAsia="Calibri" w:hAnsi="Calibri" w:cs="Times New Roman"/>
          <w:i/>
          <w:color w:val="000000" w:themeColor="text1"/>
        </w:rPr>
        <w:t>kaitiakitaka</w:t>
      </w:r>
      <w:r w:rsidRPr="006920D6">
        <w:rPr>
          <w:rFonts w:ascii="Calibri" w:eastAsia="Calibri" w:hAnsi="Calibri" w:cs="Times New Roman"/>
          <w:color w:val="000000" w:themeColor="text1"/>
        </w:rPr>
        <w:t>.</w:t>
      </w:r>
    </w:p>
    <w:p w14:paraId="264C6794" w14:textId="0F5AEA80" w:rsidR="00080A9A" w:rsidRDefault="00080A9A" w:rsidP="00080A9A">
      <w:pPr>
        <w:spacing w:line="256" w:lineRule="auto"/>
        <w:ind w:left="2160" w:hanging="2160"/>
        <w:jc w:val="both"/>
        <w:rPr>
          <w:rFonts w:asciiTheme="majorHAnsi" w:eastAsia="National-Book" w:hAnsiTheme="majorHAnsi" w:cstheme="majorBidi"/>
          <w:color w:val="2F5496" w:themeColor="accent1" w:themeShade="BF"/>
          <w:sz w:val="28"/>
          <w:szCs w:val="24"/>
        </w:rPr>
      </w:pPr>
      <w:r>
        <w:rPr>
          <w:rFonts w:ascii="Calibri" w:eastAsia="Calibri" w:hAnsi="Calibri" w:cs="Times New Roman"/>
          <w:b/>
          <w:color w:val="1F3864" w:themeColor="accent1" w:themeShade="80"/>
        </w:rPr>
        <w:t>ECO-</w:t>
      </w:r>
      <w:r w:rsidRPr="00CC5D49">
        <w:rPr>
          <w:rFonts w:ascii="Calibri" w:eastAsia="Calibri" w:hAnsi="Calibri" w:cs="Times New Roman"/>
          <w:b/>
          <w:color w:val="1F3864" w:themeColor="accent1" w:themeShade="80"/>
        </w:rPr>
        <w:t>AER</w:t>
      </w:r>
      <w:r>
        <w:rPr>
          <w:rFonts w:ascii="Calibri" w:eastAsia="Calibri" w:hAnsi="Calibri" w:cs="Times New Roman"/>
          <w:b/>
          <w:color w:val="1F3864" w:themeColor="accent1" w:themeShade="80"/>
        </w:rPr>
        <w:t>4</w:t>
      </w:r>
      <w:r w:rsidRPr="003D1C57">
        <w:rPr>
          <w:rFonts w:ascii="Calibri" w:eastAsia="Calibri" w:hAnsi="Calibri" w:cs="Times New Roman"/>
          <w:b/>
          <w:bCs/>
        </w:rPr>
        <w:t xml:space="preserve"> </w:t>
      </w:r>
      <w:r>
        <w:rPr>
          <w:rFonts w:ascii="Calibri" w:eastAsia="Calibri" w:hAnsi="Calibri" w:cs="Times New Roman"/>
          <w:b/>
          <w:bCs/>
        </w:rPr>
        <w:tab/>
      </w:r>
      <w:r w:rsidRPr="003D1C57">
        <w:rPr>
          <w:rFonts w:ascii="Calibri" w:eastAsia="Calibri" w:hAnsi="Calibri" w:cs="Times New Roman"/>
        </w:rPr>
        <w:t xml:space="preserve">Within </w:t>
      </w:r>
      <w:r w:rsidRPr="001B19D0">
        <w:rPr>
          <w:rFonts w:ascii="Calibri" w:eastAsia="Calibri" w:hAnsi="Calibri" w:cs="Times New Roman"/>
          <w:i/>
          <w:iCs/>
        </w:rPr>
        <w:t xml:space="preserve">significant natural </w:t>
      </w:r>
      <w:r w:rsidRPr="001B19D0">
        <w:rPr>
          <w:rFonts w:ascii="Calibri" w:eastAsia="Calibri" w:hAnsi="Calibri" w:cs="Times New Roman"/>
          <w:i/>
        </w:rPr>
        <w:t>areas</w:t>
      </w:r>
      <w:r w:rsidRPr="003D1C57">
        <w:rPr>
          <w:rFonts w:ascii="Calibri" w:eastAsia="Calibri" w:hAnsi="Calibri" w:cs="Times New Roman"/>
        </w:rPr>
        <w:t xml:space="preserve">, the area of </w:t>
      </w:r>
      <w:r w:rsidRPr="003D1C57">
        <w:rPr>
          <w:rFonts w:ascii="Calibri" w:eastAsia="Calibri" w:hAnsi="Calibri" w:cs="Times New Roman"/>
          <w:i/>
          <w:iCs/>
        </w:rPr>
        <w:t>land</w:t>
      </w:r>
      <w:r w:rsidRPr="003D1C57">
        <w:rPr>
          <w:rFonts w:ascii="Calibri" w:eastAsia="Calibri" w:hAnsi="Calibri" w:cs="Times New Roman"/>
        </w:rPr>
        <w:t xml:space="preserve"> vegetated by </w:t>
      </w:r>
      <w:r w:rsidRPr="001E7A5E">
        <w:rPr>
          <w:rFonts w:ascii="Calibri" w:eastAsia="Calibri" w:hAnsi="Calibri" w:cs="Times New Roman"/>
          <w:i/>
          <w:iCs/>
        </w:rPr>
        <w:t>wilding conifers</w:t>
      </w:r>
      <w:r w:rsidRPr="003D1C57">
        <w:rPr>
          <w:rFonts w:ascii="Calibri" w:eastAsia="Calibri" w:hAnsi="Calibri" w:cs="Times New Roman"/>
        </w:rPr>
        <w:t xml:space="preserve"> is reduced. </w:t>
      </w:r>
      <w:bookmarkStart w:id="195" w:name="_Toc49763524"/>
    </w:p>
    <w:bookmarkEnd w:id="195"/>
    <w:p w14:paraId="304CD8D6" w14:textId="0F275BA4" w:rsidR="00012977" w:rsidRPr="00472578" w:rsidRDefault="00012977" w:rsidP="00E92686">
      <w:pPr>
        <w:jc w:val="both"/>
      </w:pPr>
      <w:r w:rsidRPr="00472578">
        <w:br w:type="page"/>
      </w:r>
    </w:p>
    <w:p w14:paraId="1DF99E58" w14:textId="77777777" w:rsidR="00570759" w:rsidRPr="00472578" w:rsidRDefault="00570759" w:rsidP="00E92686">
      <w:pPr>
        <w:pStyle w:val="Heading2"/>
        <w:jc w:val="both"/>
      </w:pPr>
      <w:bookmarkStart w:id="196" w:name="_Hlk48807694"/>
      <w:bookmarkStart w:id="197" w:name="_Hlk51667097"/>
      <w:bookmarkStart w:id="198" w:name="_Toc56620238"/>
      <w:bookmarkStart w:id="199" w:name="_Toc73105364"/>
      <w:bookmarkStart w:id="200" w:name="_Toc102551284"/>
      <w:bookmarkEnd w:id="196"/>
      <w:bookmarkEnd w:id="197"/>
      <w:r w:rsidRPr="00472578">
        <w:lastRenderedPageBreak/>
        <w:t xml:space="preserve">EIT – Energy, </w:t>
      </w:r>
      <w:proofErr w:type="gramStart"/>
      <w:r w:rsidRPr="00472578">
        <w:t>infrastructure</w:t>
      </w:r>
      <w:proofErr w:type="gramEnd"/>
      <w:r w:rsidRPr="00472578">
        <w:t xml:space="preserve"> and transport</w:t>
      </w:r>
      <w:bookmarkEnd w:id="198"/>
      <w:bookmarkEnd w:id="199"/>
      <w:bookmarkEnd w:id="200"/>
      <w:r w:rsidRPr="00472578">
        <w:t xml:space="preserve"> </w:t>
      </w:r>
    </w:p>
    <w:p w14:paraId="0C3C47BA" w14:textId="77777777" w:rsidR="00570759" w:rsidRPr="00472578" w:rsidRDefault="00570759" w:rsidP="00E92686">
      <w:pPr>
        <w:pStyle w:val="Heading3"/>
        <w:jc w:val="both"/>
      </w:pPr>
      <w:bookmarkStart w:id="201" w:name="_Toc56620240"/>
      <w:r w:rsidRPr="00472578">
        <w:t>EIT-EN – Energy</w:t>
      </w:r>
      <w:bookmarkEnd w:id="201"/>
    </w:p>
    <w:p w14:paraId="7F984F0F" w14:textId="77777777" w:rsidR="00570759" w:rsidRPr="00472578" w:rsidRDefault="00570759" w:rsidP="00E92686">
      <w:pPr>
        <w:pStyle w:val="Heading4"/>
        <w:jc w:val="both"/>
      </w:pPr>
      <w:bookmarkStart w:id="202" w:name="_Toc56620241"/>
      <w:r w:rsidRPr="00472578">
        <w:t>Objectives</w:t>
      </w:r>
      <w:bookmarkEnd w:id="202"/>
    </w:p>
    <w:p w14:paraId="111DDDE6" w14:textId="77777777" w:rsidR="00570759" w:rsidRPr="00472578" w:rsidRDefault="00570759" w:rsidP="00E92686">
      <w:pPr>
        <w:pStyle w:val="Heading5"/>
        <w:jc w:val="both"/>
      </w:pPr>
      <w:bookmarkStart w:id="203" w:name="_Hlk51589531"/>
      <w:r w:rsidRPr="00472578">
        <w:t xml:space="preserve">EIT-EN-O1 – Energy and social and economic well-being </w:t>
      </w:r>
    </w:p>
    <w:p w14:paraId="41D68650" w14:textId="515E3099" w:rsidR="00570759" w:rsidRPr="00472578" w:rsidRDefault="00570759" w:rsidP="00E92686">
      <w:pPr>
        <w:jc w:val="both"/>
      </w:pPr>
      <w:r w:rsidRPr="00472578">
        <w:t xml:space="preserve">Otago’s communities and economy are supported by </w:t>
      </w:r>
      <w:r w:rsidRPr="00BC3822">
        <w:rPr>
          <w:i/>
          <w:strike/>
        </w:rPr>
        <w:t>renewable energy generation</w:t>
      </w:r>
      <w:r w:rsidRPr="00472578">
        <w:t xml:space="preserve"> </w:t>
      </w:r>
      <w:r w:rsidR="00187B26" w:rsidRPr="00674462">
        <w:rPr>
          <w:u w:val="single"/>
        </w:rPr>
        <w:t xml:space="preserve">renewable </w:t>
      </w:r>
      <w:r w:rsidR="00674462" w:rsidRPr="00674462">
        <w:rPr>
          <w:u w:val="single"/>
        </w:rPr>
        <w:t>energy generation</w:t>
      </w:r>
      <w:r w:rsidR="00674462" w:rsidRPr="009A153A">
        <w:rPr>
          <w:rStyle w:val="FootnoteReference"/>
        </w:rPr>
        <w:footnoteReference w:id="1095"/>
      </w:r>
      <w:r w:rsidR="00674462">
        <w:t xml:space="preserve"> </w:t>
      </w:r>
      <w:r w:rsidRPr="00472578">
        <w:t xml:space="preserve">within the region that is safe, secure, and </w:t>
      </w:r>
      <w:r w:rsidRPr="00472578">
        <w:rPr>
          <w:i/>
        </w:rPr>
        <w:t>resilient</w:t>
      </w:r>
      <w:r w:rsidRPr="00472578">
        <w:t>.</w:t>
      </w:r>
    </w:p>
    <w:p w14:paraId="5DEB8905" w14:textId="77777777" w:rsidR="00570759" w:rsidRPr="00472578" w:rsidRDefault="00570759" w:rsidP="00E92686">
      <w:pPr>
        <w:pStyle w:val="Heading5"/>
        <w:jc w:val="both"/>
      </w:pPr>
      <w:r w:rsidRPr="00472578">
        <w:t xml:space="preserve">EIT-EN-O2 – </w:t>
      </w:r>
      <w:r w:rsidRPr="00472578">
        <w:rPr>
          <w:i/>
        </w:rPr>
        <w:t>Renewable electricity generation</w:t>
      </w:r>
    </w:p>
    <w:p w14:paraId="2FF47C7A" w14:textId="77777777" w:rsidR="00570759" w:rsidRPr="00472578" w:rsidRDefault="00570759" w:rsidP="00E92686">
      <w:pPr>
        <w:jc w:val="both"/>
      </w:pPr>
      <w:r w:rsidRPr="00472578">
        <w:t xml:space="preserve">The generation capacity of </w:t>
      </w:r>
      <w:r w:rsidRPr="00472578">
        <w:rPr>
          <w:i/>
        </w:rPr>
        <w:t xml:space="preserve">renewable electricity generation activities </w:t>
      </w:r>
      <w:r w:rsidRPr="00472578">
        <w:t xml:space="preserve">in Otago: </w:t>
      </w:r>
    </w:p>
    <w:p w14:paraId="5158313B" w14:textId="3B6204FE" w:rsidR="00570759" w:rsidRPr="00472578" w:rsidRDefault="00570759" w:rsidP="00E92686">
      <w:pPr>
        <w:ind w:left="567" w:hanging="567"/>
        <w:jc w:val="both"/>
      </w:pPr>
      <w:r w:rsidRPr="00472578">
        <w:t>(1)</w:t>
      </w:r>
      <w:r w:rsidRPr="00472578">
        <w:tab/>
        <w:t xml:space="preserve">is </w:t>
      </w:r>
      <w:r w:rsidRPr="00472578">
        <w:rPr>
          <w:u w:val="single"/>
        </w:rPr>
        <w:t>protected and</w:t>
      </w:r>
      <w:r w:rsidRPr="00472578">
        <w:rPr>
          <w:rStyle w:val="FootnoteReference"/>
          <w:lang w:val="en-US"/>
        </w:rPr>
        <w:footnoteReference w:id="1096"/>
      </w:r>
      <w:r w:rsidRPr="00472578">
        <w:rPr>
          <w:lang w:val="en-US"/>
        </w:rPr>
        <w:t xml:space="preserve"> </w:t>
      </w:r>
      <w:r w:rsidRPr="00472578">
        <w:t xml:space="preserve">maintained, and if practicable maximised, within </w:t>
      </w:r>
      <w:r w:rsidRPr="00472578">
        <w:rPr>
          <w:i/>
          <w:iCs/>
        </w:rPr>
        <w:t>environmental limits</w:t>
      </w:r>
      <w:r w:rsidRPr="00472578">
        <w:t xml:space="preserve"> and</w:t>
      </w:r>
    </w:p>
    <w:p w14:paraId="3F658744" w14:textId="77777777" w:rsidR="00570759" w:rsidRPr="00472578" w:rsidRDefault="00570759" w:rsidP="00E92686">
      <w:pPr>
        <w:ind w:left="567" w:hanging="567"/>
        <w:jc w:val="both"/>
        <w:rPr>
          <w:u w:val="single"/>
        </w:rPr>
      </w:pPr>
      <w:r w:rsidRPr="00472578">
        <w:t>(2)</w:t>
      </w:r>
      <w:r w:rsidRPr="00472578">
        <w:tab/>
        <w:t xml:space="preserve">contributes to meeting New Zealand’s national target for </w:t>
      </w:r>
      <w:r w:rsidRPr="00472578">
        <w:rPr>
          <w:i/>
          <w:iCs/>
        </w:rPr>
        <w:t>renewable electricity generation</w:t>
      </w:r>
      <w:r w:rsidRPr="00472578">
        <w:t xml:space="preserve">. </w:t>
      </w:r>
    </w:p>
    <w:p w14:paraId="35030595" w14:textId="097BF61C" w:rsidR="00570759" w:rsidRPr="00472578" w:rsidRDefault="00570759" w:rsidP="00E92686">
      <w:pPr>
        <w:pStyle w:val="Heading5"/>
        <w:jc w:val="both"/>
        <w:rPr>
          <w:u w:val="single"/>
        </w:rPr>
      </w:pPr>
      <w:r w:rsidRPr="00472578">
        <w:rPr>
          <w:u w:val="single"/>
        </w:rPr>
        <w:t>EIT-EN-</w:t>
      </w:r>
      <w:r w:rsidR="00CB3EC7">
        <w:rPr>
          <w:u w:val="single"/>
        </w:rPr>
        <w:t>O</w:t>
      </w:r>
      <w:r w:rsidRPr="00472578">
        <w:rPr>
          <w:u w:val="single"/>
        </w:rPr>
        <w:t xml:space="preserve">2A – </w:t>
      </w:r>
      <w:r w:rsidRPr="00472578">
        <w:rPr>
          <w:i/>
          <w:u w:val="single"/>
        </w:rPr>
        <w:t>Greenhouse gas</w:t>
      </w:r>
      <w:r w:rsidRPr="00472578">
        <w:rPr>
          <w:u w:val="single"/>
        </w:rPr>
        <w:t xml:space="preserve"> emissions and renewable energy targets</w:t>
      </w:r>
    </w:p>
    <w:p w14:paraId="4FFA02B7" w14:textId="00DEC4CB" w:rsidR="00570759" w:rsidRPr="00472578" w:rsidRDefault="00570759" w:rsidP="00E92686">
      <w:pPr>
        <w:jc w:val="both"/>
      </w:pPr>
      <w:r w:rsidRPr="00472578">
        <w:rPr>
          <w:u w:val="single"/>
        </w:rPr>
        <w:t>Otago’s renewable energy generation supports the overall reduction in New Zealand greenhouse gas emissions and</w:t>
      </w:r>
      <w:r w:rsidR="00113D33" w:rsidRPr="00472578">
        <w:rPr>
          <w:u w:val="single"/>
        </w:rPr>
        <w:t xml:space="preserve"> </w:t>
      </w:r>
      <w:r w:rsidR="0012273F" w:rsidRPr="00472578">
        <w:rPr>
          <w:u w:val="single"/>
        </w:rPr>
        <w:t>achieving</w:t>
      </w:r>
      <w:r w:rsidR="00113D33" w:rsidRPr="00472578">
        <w:rPr>
          <w:u w:val="single"/>
        </w:rPr>
        <w:t xml:space="preserve"> </w:t>
      </w:r>
      <w:r w:rsidR="0012273F" w:rsidRPr="00472578">
        <w:rPr>
          <w:u w:val="single"/>
        </w:rPr>
        <w:t xml:space="preserve">the </w:t>
      </w:r>
      <w:r w:rsidR="00113D33" w:rsidRPr="00472578">
        <w:rPr>
          <w:u w:val="single"/>
        </w:rPr>
        <w:t>national target for emissions reduction</w:t>
      </w:r>
      <w:r w:rsidRPr="00472578">
        <w:rPr>
          <w:u w:val="single"/>
        </w:rPr>
        <w:t>.</w:t>
      </w:r>
      <w:r w:rsidRPr="00472578">
        <w:rPr>
          <w:rStyle w:val="FootnoteReference"/>
        </w:rPr>
        <w:footnoteReference w:id="1097"/>
      </w:r>
    </w:p>
    <w:bookmarkEnd w:id="203"/>
    <w:p w14:paraId="4546FB4D" w14:textId="77777777" w:rsidR="00570759" w:rsidRPr="00472578" w:rsidRDefault="00570759" w:rsidP="00E92686">
      <w:pPr>
        <w:pStyle w:val="Heading5"/>
        <w:jc w:val="both"/>
      </w:pPr>
      <w:r w:rsidRPr="00472578">
        <w:t>EIT-EN-O3 – Energy use</w:t>
      </w:r>
    </w:p>
    <w:p w14:paraId="4F238420" w14:textId="77777777" w:rsidR="00570759" w:rsidRPr="00472578" w:rsidRDefault="00570759" w:rsidP="00E92686">
      <w:pPr>
        <w:jc w:val="both"/>
      </w:pPr>
      <w:r w:rsidRPr="00472578">
        <w:t xml:space="preserve">Development is located and designed to facilitate the efficient use of energy and to reduce demand if possible, minimising the contribution that Otago makes to total </w:t>
      </w:r>
      <w:r w:rsidRPr="00472578">
        <w:rPr>
          <w:i/>
          <w:iCs/>
        </w:rPr>
        <w:t>greenhouse gas</w:t>
      </w:r>
      <w:r w:rsidRPr="00472578">
        <w:t xml:space="preserve"> emissions.</w:t>
      </w:r>
    </w:p>
    <w:p w14:paraId="2090A096" w14:textId="77777777" w:rsidR="00570759" w:rsidRPr="00472578" w:rsidRDefault="00570759" w:rsidP="00E92686">
      <w:pPr>
        <w:pStyle w:val="Heading4"/>
        <w:jc w:val="both"/>
      </w:pPr>
      <w:bookmarkStart w:id="204" w:name="_Toc56620242"/>
      <w:r w:rsidRPr="00472578">
        <w:t>Policies</w:t>
      </w:r>
      <w:bookmarkEnd w:id="204"/>
    </w:p>
    <w:p w14:paraId="676D4F9D" w14:textId="77777777" w:rsidR="00570759" w:rsidRPr="00472578" w:rsidRDefault="00570759" w:rsidP="00E92686">
      <w:pPr>
        <w:pStyle w:val="Heading5"/>
        <w:jc w:val="both"/>
      </w:pPr>
      <w:r w:rsidRPr="00472578">
        <w:t xml:space="preserve">EIT-EN-P1 – Operation and maintenance </w:t>
      </w:r>
    </w:p>
    <w:p w14:paraId="679431EB" w14:textId="77777777" w:rsidR="00570759" w:rsidRPr="00472578" w:rsidRDefault="00570759" w:rsidP="00E92686">
      <w:pPr>
        <w:jc w:val="both"/>
      </w:pPr>
      <w:bookmarkStart w:id="205" w:name="_Hlk95572344"/>
      <w:r w:rsidRPr="00472578">
        <w:t xml:space="preserve">The operation and maintenance of existing </w:t>
      </w:r>
      <w:r w:rsidRPr="00472578">
        <w:rPr>
          <w:i/>
          <w:iCs/>
        </w:rPr>
        <w:t>renewable electricity generation activities</w:t>
      </w:r>
      <w:r w:rsidRPr="00472578">
        <w:t xml:space="preserve"> is provided for while minimising its adverse </w:t>
      </w:r>
      <w:r w:rsidRPr="00472578">
        <w:rPr>
          <w:i/>
          <w:iCs/>
        </w:rPr>
        <w:t>effects</w:t>
      </w:r>
      <w:r w:rsidRPr="00472578">
        <w:t xml:space="preserve">. </w:t>
      </w:r>
    </w:p>
    <w:bookmarkEnd w:id="205"/>
    <w:p w14:paraId="3B4BF630" w14:textId="77777777" w:rsidR="00570759" w:rsidRPr="00472578" w:rsidRDefault="00570759" w:rsidP="00E92686">
      <w:pPr>
        <w:pStyle w:val="Heading5"/>
        <w:jc w:val="both"/>
      </w:pPr>
      <w:r w:rsidRPr="00472578">
        <w:t xml:space="preserve">EIT-EN-P2 – Recognising </w:t>
      </w:r>
      <w:r w:rsidRPr="00472578">
        <w:rPr>
          <w:i/>
        </w:rPr>
        <w:t>renewable electricity generation activities</w:t>
      </w:r>
      <w:r w:rsidRPr="00472578">
        <w:t xml:space="preserve"> in decision making</w:t>
      </w:r>
    </w:p>
    <w:p w14:paraId="6C3065E7" w14:textId="77777777" w:rsidR="00570759" w:rsidRPr="00472578" w:rsidRDefault="00570759" w:rsidP="00E92686">
      <w:pPr>
        <w:jc w:val="both"/>
      </w:pPr>
      <w:bookmarkStart w:id="206" w:name="_Hlk95572505"/>
      <w:r w:rsidRPr="00472578">
        <w:t xml:space="preserve">Decisions on the allocation and use of </w:t>
      </w:r>
      <w:r w:rsidRPr="00472578">
        <w:rPr>
          <w:i/>
          <w:iCs/>
        </w:rPr>
        <w:t xml:space="preserve">natural and physical resources, </w:t>
      </w:r>
      <w:r w:rsidRPr="00472578">
        <w:t xml:space="preserve">including the use of </w:t>
      </w:r>
      <w:r w:rsidRPr="00472578">
        <w:rPr>
          <w:i/>
          <w:iCs/>
        </w:rPr>
        <w:t>fresh water</w:t>
      </w:r>
      <w:r w:rsidRPr="00472578">
        <w:t xml:space="preserve"> and development of </w:t>
      </w:r>
      <w:r w:rsidRPr="00472578">
        <w:rPr>
          <w:i/>
          <w:iCs/>
        </w:rPr>
        <w:t>land</w:t>
      </w:r>
      <w:r w:rsidRPr="00472578">
        <w:t>:</w:t>
      </w:r>
    </w:p>
    <w:p w14:paraId="17C2404A" w14:textId="145C2F87" w:rsidR="00570759" w:rsidRPr="00472578" w:rsidRDefault="00570759" w:rsidP="00E92686">
      <w:pPr>
        <w:ind w:left="567" w:hanging="567"/>
        <w:jc w:val="both"/>
      </w:pPr>
      <w:r w:rsidRPr="00472578">
        <w:t>(1)</w:t>
      </w:r>
      <w:r w:rsidRPr="00472578">
        <w:tab/>
        <w:t xml:space="preserve">recognise the </w:t>
      </w:r>
      <w:bookmarkStart w:id="207" w:name="_Hlk95825262"/>
      <w:r w:rsidRPr="00472578">
        <w:rPr>
          <w:u w:val="single"/>
        </w:rPr>
        <w:t xml:space="preserve">national </w:t>
      </w:r>
      <w:r w:rsidRPr="639E38F9">
        <w:rPr>
          <w:u w:val="single"/>
        </w:rPr>
        <w:t xml:space="preserve">significance of </w:t>
      </w:r>
      <w:r w:rsidRPr="639E38F9">
        <w:rPr>
          <w:i/>
          <w:u w:val="single"/>
        </w:rPr>
        <w:t xml:space="preserve">renewable electricity </w:t>
      </w:r>
      <w:bookmarkStart w:id="208" w:name="_Hlk95816752"/>
      <w:r w:rsidRPr="639E38F9">
        <w:rPr>
          <w:i/>
          <w:u w:val="single"/>
        </w:rPr>
        <w:t>generation activities</w:t>
      </w:r>
      <w:r w:rsidRPr="639E38F9">
        <w:rPr>
          <w:u w:val="single"/>
        </w:rPr>
        <w:t>, including the</w:t>
      </w:r>
      <w:r w:rsidRPr="639E38F9">
        <w:rPr>
          <w:rStyle w:val="FootnoteReference"/>
        </w:rPr>
        <w:footnoteReference w:id="1098"/>
      </w:r>
      <w:r w:rsidRPr="639E38F9">
        <w:t xml:space="preserve"> </w:t>
      </w:r>
      <w:bookmarkEnd w:id="207"/>
      <w:r w:rsidRPr="639E38F9">
        <w:t>national</w:t>
      </w:r>
      <w:bookmarkEnd w:id="208"/>
      <w:r w:rsidRPr="00472578">
        <w:t xml:space="preserve">, </w:t>
      </w:r>
      <w:proofErr w:type="gramStart"/>
      <w:r w:rsidRPr="00472578">
        <w:t>regional</w:t>
      </w:r>
      <w:proofErr w:type="gramEnd"/>
      <w:r w:rsidRPr="00472578">
        <w:t xml:space="preserve"> and local benefits of </w:t>
      </w:r>
      <w:r w:rsidRPr="00472578">
        <w:rPr>
          <w:strike/>
        </w:rPr>
        <w:t>existing</w:t>
      </w:r>
      <w:r w:rsidRPr="00472578">
        <w:rPr>
          <w:vertAlign w:val="superscript"/>
        </w:rPr>
        <w:footnoteReference w:id="1099"/>
      </w:r>
      <w:r w:rsidRPr="00472578">
        <w:t xml:space="preserve"> </w:t>
      </w:r>
      <w:r w:rsidRPr="00472578">
        <w:rPr>
          <w:i/>
          <w:iCs/>
        </w:rPr>
        <w:t>renewable electricity generation activities</w:t>
      </w:r>
      <w:r w:rsidRPr="00472578">
        <w:t xml:space="preserve">, </w:t>
      </w:r>
    </w:p>
    <w:p w14:paraId="1229039E" w14:textId="1B35797D" w:rsidR="00570759" w:rsidRPr="00472578" w:rsidRDefault="00570759" w:rsidP="00E92686">
      <w:pPr>
        <w:ind w:left="567" w:hanging="567"/>
        <w:jc w:val="both"/>
      </w:pPr>
      <w:r w:rsidRPr="00472578">
        <w:lastRenderedPageBreak/>
        <w:t>(2)</w:t>
      </w:r>
      <w:r w:rsidRPr="00472578">
        <w:tab/>
      </w:r>
      <w:bookmarkStart w:id="209" w:name="_Hlk95825418"/>
      <w:proofErr w:type="gramStart"/>
      <w:r w:rsidRPr="00472578">
        <w:rPr>
          <w:strike/>
        </w:rPr>
        <w:t>take into account</w:t>
      </w:r>
      <w:proofErr w:type="gramEnd"/>
      <w:r w:rsidRPr="00472578">
        <w:t xml:space="preserve"> </w:t>
      </w:r>
      <w:r w:rsidRPr="00472578">
        <w:rPr>
          <w:u w:val="single"/>
        </w:rPr>
        <w:t>have particular regard to</w:t>
      </w:r>
      <w:r w:rsidRPr="00472578">
        <w:rPr>
          <w:rStyle w:val="FootnoteReference"/>
        </w:rPr>
        <w:footnoteReference w:id="1100"/>
      </w:r>
      <w:r w:rsidRPr="00472578">
        <w:t xml:space="preserve"> </w:t>
      </w:r>
      <w:bookmarkEnd w:id="209"/>
      <w:r w:rsidRPr="00472578">
        <w:t xml:space="preserve">the </w:t>
      </w:r>
      <w:bookmarkStart w:id="210" w:name="_Hlk95821923"/>
      <w:r w:rsidRPr="00472578">
        <w:rPr>
          <w:strike/>
        </w:rPr>
        <w:t>need to at least</w:t>
      </w:r>
      <w:r w:rsidRPr="00472578">
        <w:rPr>
          <w:rStyle w:val="FootnoteReference"/>
        </w:rPr>
        <w:footnoteReference w:id="1101"/>
      </w:r>
      <w:r w:rsidRPr="00472578">
        <w:t xml:space="preserve"> </w:t>
      </w:r>
      <w:bookmarkStart w:id="211" w:name="_Hlk95825512"/>
      <w:bookmarkEnd w:id="210"/>
      <w:r w:rsidR="00751692" w:rsidRPr="00472578">
        <w:rPr>
          <w:strike/>
        </w:rPr>
        <w:t>maintain</w:t>
      </w:r>
      <w:r w:rsidR="00751692" w:rsidRPr="00472578">
        <w:t xml:space="preserve"> </w:t>
      </w:r>
      <w:r w:rsidRPr="00472578">
        <w:rPr>
          <w:u w:val="single"/>
        </w:rPr>
        <w:t>maintenance of</w:t>
      </w:r>
      <w:r w:rsidRPr="00472578">
        <w:rPr>
          <w:rStyle w:val="FootnoteReference"/>
        </w:rPr>
        <w:footnoteReference w:id="1102"/>
      </w:r>
      <w:r w:rsidRPr="00472578">
        <w:t xml:space="preserve"> current </w:t>
      </w:r>
      <w:r w:rsidRPr="00472578">
        <w:rPr>
          <w:i/>
        </w:rPr>
        <w:t xml:space="preserve">renewable </w:t>
      </w:r>
      <w:r w:rsidRPr="00472578">
        <w:rPr>
          <w:i/>
          <w:iCs/>
        </w:rPr>
        <w:t>electricity</w:t>
      </w:r>
      <w:r w:rsidRPr="00472578">
        <w:rPr>
          <w:i/>
        </w:rPr>
        <w:t xml:space="preserve"> generation </w:t>
      </w:r>
      <w:r w:rsidRPr="00472578">
        <w:t>capacity</w:t>
      </w:r>
      <w:bookmarkEnd w:id="211"/>
      <w:r w:rsidRPr="639E38F9">
        <w:t>,</w:t>
      </w:r>
      <w:r w:rsidRPr="639E38F9">
        <w:rPr>
          <w:rStyle w:val="FootnoteReference"/>
        </w:rPr>
        <w:footnoteReference w:id="1103"/>
      </w:r>
      <w:r w:rsidRPr="00472578">
        <w:t xml:space="preserve"> and</w:t>
      </w:r>
    </w:p>
    <w:bookmarkEnd w:id="206"/>
    <w:p w14:paraId="4A7C88BC" w14:textId="77777777" w:rsidR="00570759" w:rsidRPr="00472578" w:rsidRDefault="00570759" w:rsidP="00E92686">
      <w:pPr>
        <w:ind w:left="567" w:hanging="567"/>
        <w:jc w:val="both"/>
        <w:rPr>
          <w:i/>
        </w:rPr>
      </w:pPr>
      <w:r w:rsidRPr="00472578">
        <w:t>(3)</w:t>
      </w:r>
      <w:r w:rsidRPr="00472578">
        <w:tab/>
        <w:t xml:space="preserve">recognise that the attainment of increases in </w:t>
      </w:r>
      <w:r w:rsidRPr="00472578">
        <w:rPr>
          <w:i/>
          <w:iCs/>
        </w:rPr>
        <w:t>renewable electricity generation</w:t>
      </w:r>
      <w:r w:rsidRPr="00472578">
        <w:t xml:space="preserve"> capacity will require significant development of </w:t>
      </w:r>
      <w:r w:rsidRPr="00472578">
        <w:rPr>
          <w:i/>
          <w:iCs/>
        </w:rPr>
        <w:t>renewable electricity generation activities</w:t>
      </w:r>
      <w:r w:rsidRPr="00472578">
        <w:rPr>
          <w:i/>
        </w:rPr>
        <w:t>.</w:t>
      </w:r>
    </w:p>
    <w:p w14:paraId="269660F3" w14:textId="77777777" w:rsidR="00570759" w:rsidRPr="00472578" w:rsidRDefault="00570759" w:rsidP="00E92686">
      <w:pPr>
        <w:pStyle w:val="Heading5"/>
        <w:jc w:val="both"/>
      </w:pPr>
      <w:r w:rsidRPr="00472578">
        <w:t xml:space="preserve">EIT-EN-P3 – Development and upgrade of renewable electricity generation activities </w:t>
      </w:r>
    </w:p>
    <w:p w14:paraId="72121D25" w14:textId="7201D762" w:rsidR="00570759" w:rsidRPr="00472578" w:rsidRDefault="00570759" w:rsidP="00E92686">
      <w:pPr>
        <w:jc w:val="both"/>
      </w:pPr>
      <w:bookmarkStart w:id="212" w:name="_Hlk95572652"/>
      <w:r w:rsidRPr="00472578">
        <w:t xml:space="preserve">The security of renewable electricity supply is maintained or improved in Otago through appropriate provision for the development or upgrading of </w:t>
      </w:r>
      <w:r w:rsidRPr="00472578">
        <w:rPr>
          <w:i/>
          <w:iCs/>
        </w:rPr>
        <w:t>renewable electricity generation activities</w:t>
      </w:r>
      <w:r w:rsidRPr="00472578">
        <w:t xml:space="preserve"> and diversification of the type or location of </w:t>
      </w:r>
      <w:r w:rsidR="00215874" w:rsidRPr="00215874">
        <w:rPr>
          <w:i/>
          <w:iCs/>
          <w:u w:val="single"/>
        </w:rPr>
        <w:t>renewable</w:t>
      </w:r>
      <w:r w:rsidR="00215874" w:rsidRPr="0096058F">
        <w:rPr>
          <w:rStyle w:val="FootnoteReference"/>
        </w:rPr>
        <w:footnoteReference w:id="1104"/>
      </w:r>
      <w:r w:rsidR="00215874">
        <w:t xml:space="preserve"> </w:t>
      </w:r>
      <w:r w:rsidRPr="00472578">
        <w:rPr>
          <w:i/>
        </w:rPr>
        <w:t>electricity generation activities</w:t>
      </w:r>
      <w:r w:rsidRPr="00472578">
        <w:t>.</w:t>
      </w:r>
    </w:p>
    <w:bookmarkEnd w:id="212"/>
    <w:p w14:paraId="3BF51099" w14:textId="77777777" w:rsidR="00570759" w:rsidRPr="00472578" w:rsidRDefault="00570759" w:rsidP="00E92686">
      <w:pPr>
        <w:pStyle w:val="Heading5"/>
        <w:jc w:val="both"/>
      </w:pPr>
      <w:r w:rsidRPr="00472578">
        <w:t xml:space="preserve">EIT-EN-P4 – Identifying new sites or resources </w:t>
      </w:r>
    </w:p>
    <w:p w14:paraId="438A96AC" w14:textId="77777777" w:rsidR="00570759" w:rsidRPr="00472578" w:rsidRDefault="00570759" w:rsidP="00E92686">
      <w:pPr>
        <w:jc w:val="both"/>
      </w:pPr>
      <w:bookmarkStart w:id="213" w:name="_Hlk95572719"/>
      <w:r w:rsidRPr="00472578">
        <w:t xml:space="preserve">Provide for activities associated with the investigation, identification and assessment of potential sites and energy sources for </w:t>
      </w:r>
      <w:r w:rsidRPr="00472578">
        <w:rPr>
          <w:i/>
          <w:iCs/>
        </w:rPr>
        <w:t>renewable electricity generation</w:t>
      </w:r>
      <w:r w:rsidRPr="00472578">
        <w:t xml:space="preserve"> and, when selecting a site for new </w:t>
      </w:r>
      <w:r w:rsidRPr="00472578">
        <w:rPr>
          <w:i/>
          <w:iCs/>
        </w:rPr>
        <w:t>renewable electricity generation,</w:t>
      </w:r>
      <w:r w:rsidRPr="00472578">
        <w:t xml:space="preserve"> prioritise those where adverse </w:t>
      </w:r>
      <w:r w:rsidRPr="00472578">
        <w:rPr>
          <w:i/>
        </w:rPr>
        <w:t>effects</w:t>
      </w:r>
      <w:r w:rsidRPr="00472578">
        <w:t xml:space="preserve"> on highly valued </w:t>
      </w:r>
      <w:r w:rsidRPr="00472578">
        <w:rPr>
          <w:i/>
          <w:iCs/>
        </w:rPr>
        <w:t>natural and physical resources</w:t>
      </w:r>
      <w:r w:rsidRPr="00472578">
        <w:t xml:space="preserve"> and </w:t>
      </w:r>
      <w:bookmarkStart w:id="214" w:name="OLE_LINK1"/>
      <w:r w:rsidRPr="00472578">
        <w:rPr>
          <w:i/>
        </w:rPr>
        <w:t>mana whenua</w:t>
      </w:r>
      <w:r w:rsidRPr="00472578">
        <w:t xml:space="preserve"> </w:t>
      </w:r>
      <w:bookmarkEnd w:id="214"/>
      <w:r w:rsidRPr="00472578">
        <w:t xml:space="preserve">values can be avoided or, at the very least, minimised. </w:t>
      </w:r>
      <w:bookmarkEnd w:id="213"/>
    </w:p>
    <w:p w14:paraId="36C31D33" w14:textId="77777777" w:rsidR="00570759" w:rsidRPr="00472578" w:rsidRDefault="00570759" w:rsidP="00E92686">
      <w:pPr>
        <w:pStyle w:val="Heading5"/>
        <w:jc w:val="both"/>
      </w:pPr>
      <w:r w:rsidRPr="00472578">
        <w:t>EIT-EN-P5 – Non-renewable energy generation</w:t>
      </w:r>
    </w:p>
    <w:p w14:paraId="764409C3" w14:textId="77777777" w:rsidR="00570759" w:rsidRPr="00472578" w:rsidRDefault="00570759" w:rsidP="00E92686">
      <w:pPr>
        <w:jc w:val="both"/>
      </w:pPr>
      <w:bookmarkStart w:id="215" w:name="_Hlk95572997"/>
      <w:r w:rsidRPr="00472578">
        <w:t xml:space="preserve">Avoid the development of non-renewable energy generation activities in Otago and facilitate the replacement of non-renewable energy sources, including the use of fossil fuels, in energy generation. </w:t>
      </w:r>
    </w:p>
    <w:bookmarkEnd w:id="215"/>
    <w:p w14:paraId="2B376EAF" w14:textId="77777777" w:rsidR="00570759" w:rsidRPr="00472578" w:rsidRDefault="00570759" w:rsidP="00E92686">
      <w:pPr>
        <w:pStyle w:val="Heading5"/>
        <w:jc w:val="both"/>
      </w:pPr>
      <w:r w:rsidRPr="00472578">
        <w:t xml:space="preserve">EIT-EN-P6 – Managing </w:t>
      </w:r>
      <w:r w:rsidRPr="00472578">
        <w:rPr>
          <w:i/>
        </w:rPr>
        <w:t>effects</w:t>
      </w:r>
      <w:r w:rsidRPr="00472578">
        <w:t xml:space="preserve"> </w:t>
      </w:r>
    </w:p>
    <w:p w14:paraId="089DF855" w14:textId="77777777" w:rsidR="00570759" w:rsidRPr="00472578" w:rsidRDefault="00570759" w:rsidP="00E92686">
      <w:pPr>
        <w:ind w:left="567" w:hanging="567"/>
        <w:jc w:val="both"/>
      </w:pPr>
      <w:r w:rsidRPr="00472578">
        <w:t xml:space="preserve">Manage the adverse </w:t>
      </w:r>
      <w:r w:rsidRPr="00472578">
        <w:rPr>
          <w:i/>
          <w:iCs/>
        </w:rPr>
        <w:t>effects</w:t>
      </w:r>
      <w:r w:rsidRPr="00472578">
        <w:t xml:space="preserve"> of </w:t>
      </w:r>
      <w:r w:rsidRPr="00472578">
        <w:rPr>
          <w:i/>
          <w:iCs/>
        </w:rPr>
        <w:t xml:space="preserve">renewable electricity generation activities </w:t>
      </w:r>
      <w:r w:rsidRPr="00472578">
        <w:t>by:</w:t>
      </w:r>
    </w:p>
    <w:p w14:paraId="2F4C96AB" w14:textId="77777777" w:rsidR="00570759" w:rsidRPr="00472578" w:rsidRDefault="00570759" w:rsidP="00E92686">
      <w:pPr>
        <w:ind w:left="567" w:hanging="567"/>
        <w:jc w:val="both"/>
      </w:pPr>
      <w:r w:rsidRPr="00472578">
        <w:t>(1)</w:t>
      </w:r>
      <w:r w:rsidRPr="00472578">
        <w:tab/>
        <w:t xml:space="preserve">applying EIT-INF-P13, </w:t>
      </w:r>
    </w:p>
    <w:p w14:paraId="283CE408" w14:textId="77777777" w:rsidR="00570759" w:rsidRPr="00472578" w:rsidRDefault="00570759" w:rsidP="00E92686">
      <w:pPr>
        <w:ind w:left="567" w:hanging="567"/>
        <w:jc w:val="both"/>
      </w:pPr>
      <w:r w:rsidRPr="00472578">
        <w:t>(2)</w:t>
      </w:r>
      <w:r w:rsidRPr="00472578">
        <w:tab/>
        <w:t xml:space="preserve">having </w:t>
      </w:r>
      <w:r w:rsidRPr="00472578">
        <w:rPr>
          <w:u w:val="single"/>
        </w:rPr>
        <w:t>particular</w:t>
      </w:r>
      <w:r w:rsidRPr="00472578">
        <w:rPr>
          <w:rStyle w:val="FootnoteReference"/>
        </w:rPr>
        <w:footnoteReference w:id="1105"/>
      </w:r>
      <w:r w:rsidRPr="00472578">
        <w:t xml:space="preserve"> regard to:</w:t>
      </w:r>
    </w:p>
    <w:p w14:paraId="4304CC71" w14:textId="77777777" w:rsidR="00570759" w:rsidRPr="00472578" w:rsidRDefault="00570759" w:rsidP="00E92686">
      <w:pPr>
        <w:ind w:left="1134" w:hanging="567"/>
        <w:jc w:val="both"/>
      </w:pPr>
      <w:r w:rsidRPr="00472578">
        <w:t>(a)</w:t>
      </w:r>
      <w:r w:rsidRPr="00472578">
        <w:tab/>
        <w:t xml:space="preserve">the </w:t>
      </w:r>
      <w:r w:rsidRPr="00472578">
        <w:rPr>
          <w:i/>
          <w:iCs/>
        </w:rPr>
        <w:t>functional need</w:t>
      </w:r>
      <w:r w:rsidRPr="00472578">
        <w:t xml:space="preserve"> to locate </w:t>
      </w:r>
      <w:r w:rsidRPr="00472578">
        <w:rPr>
          <w:i/>
          <w:iCs/>
        </w:rPr>
        <w:t>renewable electricity generation activities</w:t>
      </w:r>
      <w:r w:rsidRPr="00472578">
        <w:t xml:space="preserve"> where resources are available, </w:t>
      </w:r>
    </w:p>
    <w:p w14:paraId="2A23D41C" w14:textId="77777777" w:rsidR="00570759" w:rsidRPr="00472578" w:rsidRDefault="00570759" w:rsidP="00E92686">
      <w:pPr>
        <w:ind w:left="1134" w:hanging="567"/>
        <w:jc w:val="both"/>
      </w:pPr>
      <w:r w:rsidRPr="00472578">
        <w:t>(b)</w:t>
      </w:r>
      <w:r w:rsidRPr="00472578">
        <w:tab/>
        <w:t xml:space="preserve">the </w:t>
      </w:r>
      <w:r w:rsidRPr="00472578">
        <w:rPr>
          <w:i/>
          <w:iCs/>
        </w:rPr>
        <w:t>operational need</w:t>
      </w:r>
      <w:r w:rsidRPr="00472578">
        <w:t xml:space="preserve"> to locate where it is possible to connect to the </w:t>
      </w:r>
      <w:r w:rsidRPr="00472578">
        <w:rPr>
          <w:i/>
          <w:iCs/>
        </w:rPr>
        <w:t>National Grid</w:t>
      </w:r>
      <w:r w:rsidRPr="00472578">
        <w:t xml:space="preserve"> or </w:t>
      </w:r>
      <w:r w:rsidRPr="00472578">
        <w:rPr>
          <w:i/>
        </w:rPr>
        <w:t>electricity sub-transmission infrastructure</w:t>
      </w:r>
      <w:r w:rsidRPr="00472578">
        <w:t>, and</w:t>
      </w:r>
    </w:p>
    <w:p w14:paraId="3B8CED78" w14:textId="77777777" w:rsidR="00570759" w:rsidRPr="00472578" w:rsidRDefault="00570759" w:rsidP="00E92686">
      <w:pPr>
        <w:ind w:left="1134" w:hanging="567"/>
        <w:jc w:val="both"/>
      </w:pPr>
      <w:r w:rsidRPr="00472578">
        <w:t>(c)</w:t>
      </w:r>
      <w:r w:rsidRPr="00472578">
        <w:tab/>
        <w:t xml:space="preserve">the extent and magnitude of adverse </w:t>
      </w:r>
      <w:r w:rsidRPr="00472578">
        <w:rPr>
          <w:i/>
          <w:iCs/>
        </w:rPr>
        <w:t>effects</w:t>
      </w:r>
      <w:r w:rsidRPr="00472578">
        <w:t xml:space="preserve"> on the </w:t>
      </w:r>
      <w:r w:rsidRPr="00472578">
        <w:rPr>
          <w:i/>
          <w:iCs/>
        </w:rPr>
        <w:t xml:space="preserve">environment </w:t>
      </w:r>
      <w:r w:rsidRPr="00472578">
        <w:t xml:space="preserve">and the degree to which unavoidable adverse </w:t>
      </w:r>
      <w:r w:rsidRPr="00472578">
        <w:rPr>
          <w:i/>
          <w:iCs/>
        </w:rPr>
        <w:t>effects</w:t>
      </w:r>
      <w:r w:rsidRPr="00472578">
        <w:t xml:space="preserve"> can be remedied or mitigated, or residual adverse </w:t>
      </w:r>
      <w:r w:rsidRPr="00472578">
        <w:rPr>
          <w:i/>
        </w:rPr>
        <w:t>effects</w:t>
      </w:r>
      <w:r w:rsidRPr="00472578">
        <w:t xml:space="preserve"> are offset or compensated for; and</w:t>
      </w:r>
    </w:p>
    <w:p w14:paraId="287EF062" w14:textId="77777777" w:rsidR="00570759" w:rsidRPr="00472578" w:rsidRDefault="00570759" w:rsidP="00E92686">
      <w:pPr>
        <w:ind w:left="567" w:hanging="567"/>
        <w:jc w:val="both"/>
      </w:pPr>
      <w:r w:rsidRPr="00472578">
        <w:t>(3)</w:t>
      </w:r>
      <w:r w:rsidRPr="00472578">
        <w:tab/>
        <w:t>requiring</w:t>
      </w:r>
      <w:r w:rsidRPr="00472578" w:rsidDel="00E83B14">
        <w:t xml:space="preserve"> </w:t>
      </w:r>
      <w:r w:rsidRPr="00472578">
        <w:t xml:space="preserve">consideration of alternative sites, methods and designs, and offsetting or compensation measures (in accordance with any specific requirements for their use in this RPS), where adverse </w:t>
      </w:r>
      <w:r w:rsidRPr="00472578">
        <w:rPr>
          <w:i/>
          <w:iCs/>
        </w:rPr>
        <w:t>effects</w:t>
      </w:r>
      <w:r w:rsidRPr="00472578">
        <w:t xml:space="preserve"> are potentially significant or irreversible. </w:t>
      </w:r>
    </w:p>
    <w:p w14:paraId="28D8A6A3" w14:textId="77777777" w:rsidR="00570759" w:rsidRPr="00472578" w:rsidRDefault="00570759" w:rsidP="00E92686">
      <w:pPr>
        <w:pStyle w:val="Heading5"/>
        <w:jc w:val="both"/>
      </w:pPr>
      <w:r w:rsidRPr="00472578">
        <w:t>EIT-EN-P7 – Reverse sensitivity</w:t>
      </w:r>
    </w:p>
    <w:p w14:paraId="1A7D7630" w14:textId="75D3D92A" w:rsidR="00570759" w:rsidRPr="00472578" w:rsidRDefault="00570759" w:rsidP="00E92686">
      <w:pPr>
        <w:jc w:val="both"/>
      </w:pPr>
      <w:bookmarkStart w:id="216" w:name="_Hlk95573518"/>
      <w:r w:rsidRPr="00472578">
        <w:lastRenderedPageBreak/>
        <w:t xml:space="preserve">Activities that may result in reverse sensitivity </w:t>
      </w:r>
      <w:r w:rsidRPr="00472578">
        <w:rPr>
          <w:i/>
          <w:iCs/>
        </w:rPr>
        <w:t>effects</w:t>
      </w:r>
      <w:r w:rsidRPr="00472578">
        <w:t xml:space="preserve"> </w:t>
      </w:r>
      <w:r w:rsidRPr="00472578">
        <w:rPr>
          <w:u w:val="single"/>
        </w:rPr>
        <w:t>on consented or existin</w:t>
      </w:r>
      <w:r w:rsidR="009558F1">
        <w:rPr>
          <w:u w:val="single"/>
        </w:rPr>
        <w:t xml:space="preserve">g </w:t>
      </w:r>
      <w:r w:rsidRPr="00472578">
        <w:rPr>
          <w:i/>
          <w:u w:val="single"/>
        </w:rPr>
        <w:t xml:space="preserve">renewable </w:t>
      </w:r>
      <w:r w:rsidR="009558F1" w:rsidRPr="00E11839">
        <w:rPr>
          <w:i/>
          <w:u w:val="single"/>
        </w:rPr>
        <w:t>electricity</w:t>
      </w:r>
      <w:r w:rsidR="009558F1">
        <w:rPr>
          <w:i/>
          <w:u w:val="single"/>
        </w:rPr>
        <w:t xml:space="preserve"> </w:t>
      </w:r>
      <w:r w:rsidRPr="00472578">
        <w:rPr>
          <w:i/>
          <w:u w:val="single"/>
        </w:rPr>
        <w:t>generation activities</w:t>
      </w:r>
      <w:r w:rsidR="00414BA8" w:rsidRPr="00F00628">
        <w:rPr>
          <w:rStyle w:val="FootnoteReference"/>
        </w:rPr>
        <w:footnoteReference w:id="1106"/>
      </w:r>
      <w:r w:rsidRPr="00F00628">
        <w:t xml:space="preserve"> </w:t>
      </w:r>
      <w:r w:rsidRPr="00472578">
        <w:t xml:space="preserve">or compromise the operation or maintenance of </w:t>
      </w:r>
      <w:r w:rsidRPr="00472578">
        <w:rPr>
          <w:i/>
          <w:iCs/>
        </w:rPr>
        <w:t xml:space="preserve">renewable electricity generation </w:t>
      </w:r>
      <w:r w:rsidRPr="00E11839">
        <w:rPr>
          <w:i/>
        </w:rPr>
        <w:t>activities</w:t>
      </w:r>
      <w:r w:rsidRPr="00472578">
        <w:t xml:space="preserve"> are, as the </w:t>
      </w:r>
      <w:proofErr w:type="gramStart"/>
      <w:r w:rsidRPr="00472578">
        <w:t>first priority</w:t>
      </w:r>
      <w:proofErr w:type="gramEnd"/>
      <w:r w:rsidRPr="00472578">
        <w:t xml:space="preserve">, prevented from establishing and only if that is not reasonably practicable, managed so that reverse sensitivity </w:t>
      </w:r>
      <w:r w:rsidRPr="00472578">
        <w:rPr>
          <w:i/>
        </w:rPr>
        <w:t>effects</w:t>
      </w:r>
      <w:r w:rsidRPr="00472578">
        <w:t xml:space="preserve"> are minimised.</w:t>
      </w:r>
    </w:p>
    <w:bookmarkEnd w:id="216"/>
    <w:p w14:paraId="5A2BC10A" w14:textId="77777777" w:rsidR="00570759" w:rsidRPr="00472578" w:rsidRDefault="00570759" w:rsidP="00E92686">
      <w:pPr>
        <w:pStyle w:val="Heading5"/>
        <w:jc w:val="both"/>
      </w:pPr>
      <w:r w:rsidRPr="00472578">
        <w:t xml:space="preserve">EIT-EN-P8 – </w:t>
      </w:r>
      <w:r w:rsidRPr="00472578">
        <w:rPr>
          <w:i/>
        </w:rPr>
        <w:t>Small and community scale distributed electricity generation</w:t>
      </w:r>
      <w:r w:rsidRPr="00472578">
        <w:t xml:space="preserve"> </w:t>
      </w:r>
    </w:p>
    <w:p w14:paraId="5B997FE9" w14:textId="77777777" w:rsidR="00570759" w:rsidRPr="00472578" w:rsidRDefault="00570759" w:rsidP="00E92686">
      <w:pPr>
        <w:autoSpaceDE w:val="0"/>
        <w:autoSpaceDN w:val="0"/>
        <w:adjustRightInd w:val="0"/>
        <w:spacing w:after="0" w:line="240" w:lineRule="auto"/>
        <w:jc w:val="both"/>
        <w:rPr>
          <w:rFonts w:ascii="Calibri" w:hAnsi="Calibri" w:cs="Calibri"/>
        </w:rPr>
      </w:pPr>
      <w:bookmarkStart w:id="217" w:name="_Hlk95573690"/>
      <w:r w:rsidRPr="00472578">
        <w:rPr>
          <w:rFonts w:ascii="Calibri" w:hAnsi="Calibri" w:cs="Calibri"/>
        </w:rPr>
        <w:t xml:space="preserve">Provide for </w:t>
      </w:r>
      <w:r w:rsidRPr="00472578">
        <w:rPr>
          <w:rFonts w:ascii="Calibri" w:hAnsi="Calibri" w:cs="Calibri"/>
          <w:i/>
          <w:iCs/>
        </w:rPr>
        <w:t>small and community scale distributed electricity generation</w:t>
      </w:r>
      <w:r w:rsidRPr="00472578">
        <w:rPr>
          <w:rFonts w:ascii="Calibri" w:hAnsi="Calibri" w:cs="Calibri"/>
        </w:rPr>
        <w:t xml:space="preserve"> activities that increase the local community’s </w:t>
      </w:r>
      <w:r w:rsidRPr="00472578">
        <w:rPr>
          <w:rFonts w:ascii="Calibri" w:hAnsi="Calibri" w:cs="Calibri"/>
          <w:i/>
        </w:rPr>
        <w:t>resilience</w:t>
      </w:r>
      <w:r w:rsidRPr="00472578">
        <w:rPr>
          <w:rFonts w:ascii="Calibri" w:hAnsi="Calibri" w:cs="Calibri"/>
        </w:rPr>
        <w:t xml:space="preserve"> and security of energy supply.</w:t>
      </w:r>
    </w:p>
    <w:bookmarkEnd w:id="217"/>
    <w:p w14:paraId="2ACD0156" w14:textId="77777777" w:rsidR="00570759" w:rsidRPr="00472578" w:rsidRDefault="00570759" w:rsidP="00E92686">
      <w:pPr>
        <w:pStyle w:val="Heading5"/>
        <w:jc w:val="both"/>
      </w:pPr>
      <w:r w:rsidRPr="00472578">
        <w:t>EIT-EN-P9 – Energy conservation and efficiency</w:t>
      </w:r>
    </w:p>
    <w:p w14:paraId="15B9051B" w14:textId="25B07377" w:rsidR="00570759" w:rsidRPr="00472578" w:rsidRDefault="00570759" w:rsidP="00E92686">
      <w:pPr>
        <w:jc w:val="both"/>
      </w:pPr>
      <w:r w:rsidRPr="00472578">
        <w:rPr>
          <w:rFonts w:ascii="Calibri" w:hAnsi="Calibri" w:cs="Calibri"/>
        </w:rPr>
        <w:t xml:space="preserve">Development </w:t>
      </w:r>
      <w:r w:rsidRPr="00472578">
        <w:rPr>
          <w:rFonts w:ascii="Calibri" w:hAnsi="Calibri" w:cs="Calibri"/>
          <w:u w:val="single"/>
        </w:rPr>
        <w:t xml:space="preserve">supports energy conservation and efficiency </w:t>
      </w:r>
      <w:proofErr w:type="gramStart"/>
      <w:r w:rsidRPr="00472578">
        <w:rPr>
          <w:rFonts w:ascii="Calibri" w:hAnsi="Calibri" w:cs="Calibri"/>
          <w:u w:val="single"/>
        </w:rPr>
        <w:t>by</w:t>
      </w:r>
      <w:r w:rsidR="009E73C9" w:rsidRPr="00472578">
        <w:rPr>
          <w:rFonts w:ascii="Calibri" w:hAnsi="Calibri" w:cs="Calibri"/>
          <w:u w:val="single"/>
        </w:rPr>
        <w:t>:</w:t>
      </w:r>
      <w:proofErr w:type="gramEnd"/>
      <w:r w:rsidRPr="00472578">
        <w:rPr>
          <w:rFonts w:ascii="Calibri" w:hAnsi="Calibri" w:cs="Calibri"/>
        </w:rPr>
        <w:t xml:space="preserve"> </w:t>
      </w:r>
      <w:r w:rsidRPr="00472578">
        <w:rPr>
          <w:rFonts w:ascii="Calibri" w:hAnsi="Calibri" w:cs="Calibri"/>
          <w:strike/>
        </w:rPr>
        <w:t>i</w:t>
      </w:r>
      <w:r w:rsidRPr="00472578">
        <w:rPr>
          <w:strike/>
        </w:rPr>
        <w:t>s designed, including through roading, lot size, dimensions, layout, and orientation so that energy use is efficient, energy waste is minimised, and solar gain is optimised</w:t>
      </w:r>
    </w:p>
    <w:p w14:paraId="76058D82" w14:textId="71BA99E4" w:rsidR="00570759" w:rsidRPr="00472578" w:rsidRDefault="00570759" w:rsidP="00E92686">
      <w:pPr>
        <w:ind w:left="567" w:hanging="567"/>
        <w:jc w:val="both"/>
        <w:rPr>
          <w:u w:val="single"/>
        </w:rPr>
      </w:pPr>
      <w:r w:rsidRPr="00472578">
        <w:rPr>
          <w:u w:val="single"/>
        </w:rPr>
        <w:t xml:space="preserve">(1) </w:t>
      </w:r>
      <w:r w:rsidR="009E73C9" w:rsidRPr="00472578">
        <w:rPr>
          <w:u w:val="single"/>
        </w:rPr>
        <w:tab/>
      </w:r>
      <w:r w:rsidRPr="00472578">
        <w:rPr>
          <w:u w:val="single"/>
        </w:rPr>
        <w:t>requiring the development of new housing that is durably constructed and energy efficient,</w:t>
      </w:r>
    </w:p>
    <w:p w14:paraId="4E12B6FA" w14:textId="1EAEBFBC" w:rsidR="00570759" w:rsidRPr="00472578" w:rsidRDefault="00570759" w:rsidP="00E92686">
      <w:pPr>
        <w:ind w:left="567" w:hanging="567"/>
        <w:jc w:val="both"/>
        <w:rPr>
          <w:u w:val="single"/>
        </w:rPr>
      </w:pPr>
      <w:r w:rsidRPr="00472578">
        <w:rPr>
          <w:u w:val="single"/>
        </w:rPr>
        <w:t xml:space="preserve">(2) </w:t>
      </w:r>
      <w:r w:rsidR="009E73C9" w:rsidRPr="00472578">
        <w:rPr>
          <w:u w:val="single"/>
        </w:rPr>
        <w:tab/>
      </w:r>
      <w:r w:rsidRPr="00472578">
        <w:rPr>
          <w:u w:val="single"/>
        </w:rPr>
        <w:t>designing subdivisions to maximise solar access, and</w:t>
      </w:r>
    </w:p>
    <w:p w14:paraId="3F026D50" w14:textId="30FE452C" w:rsidR="00570759" w:rsidRPr="00472578" w:rsidRDefault="00570759" w:rsidP="00E92686">
      <w:pPr>
        <w:ind w:left="567" w:hanging="567"/>
        <w:jc w:val="both"/>
      </w:pPr>
      <w:r w:rsidRPr="00472578">
        <w:rPr>
          <w:u w:val="single"/>
        </w:rPr>
        <w:t xml:space="preserve">(3) </w:t>
      </w:r>
      <w:r w:rsidR="009E73C9" w:rsidRPr="00472578">
        <w:rPr>
          <w:u w:val="single"/>
        </w:rPr>
        <w:tab/>
      </w:r>
      <w:r w:rsidRPr="00472578">
        <w:rPr>
          <w:u w:val="single"/>
        </w:rPr>
        <w:t>locating development to minimise, as far as practicable, transportation costs, car dependency and greenhouse gas emissions</w:t>
      </w:r>
      <w:r w:rsidRPr="00472578">
        <w:t>.</w:t>
      </w:r>
      <w:r w:rsidRPr="00472578">
        <w:rPr>
          <w:vertAlign w:val="superscript"/>
        </w:rPr>
        <w:footnoteReference w:id="1107"/>
      </w:r>
    </w:p>
    <w:p w14:paraId="5B285D65" w14:textId="77777777" w:rsidR="00570759" w:rsidRPr="00472578" w:rsidRDefault="00570759" w:rsidP="00E92686">
      <w:pPr>
        <w:pStyle w:val="Heading4"/>
        <w:jc w:val="both"/>
      </w:pPr>
      <w:bookmarkStart w:id="218" w:name="_Toc56620243"/>
      <w:r w:rsidRPr="00472578">
        <w:t>Methods</w:t>
      </w:r>
      <w:bookmarkEnd w:id="218"/>
    </w:p>
    <w:p w14:paraId="3693C289" w14:textId="77777777" w:rsidR="00570759" w:rsidRPr="00472578" w:rsidRDefault="00570759" w:rsidP="00E92686">
      <w:pPr>
        <w:pStyle w:val="Heading5"/>
        <w:jc w:val="both"/>
      </w:pPr>
      <w:r w:rsidRPr="00472578">
        <w:t xml:space="preserve">EIT-EN-M1 – </w:t>
      </w:r>
      <w:r w:rsidRPr="00472578">
        <w:rPr>
          <w:i/>
        </w:rPr>
        <w:t>Regional plans</w:t>
      </w:r>
    </w:p>
    <w:p w14:paraId="5D9AC940" w14:textId="77777777" w:rsidR="00570759" w:rsidRPr="00472578" w:rsidRDefault="00570759" w:rsidP="00E92686">
      <w:pPr>
        <w:jc w:val="both"/>
      </w:pPr>
      <w:r w:rsidRPr="00472578">
        <w:t xml:space="preserve">Otago Regional Council must </w:t>
      </w:r>
      <w:r w:rsidRPr="00472578">
        <w:rPr>
          <w:rFonts w:ascii="Calibri" w:eastAsia="Calibri" w:hAnsi="Calibri" w:cs="Times New Roman"/>
        </w:rPr>
        <w:t>prepare or amend and maintain</w:t>
      </w:r>
      <w:r w:rsidRPr="00472578">
        <w:t xml:space="preserve"> its </w:t>
      </w:r>
      <w:r w:rsidRPr="00472578">
        <w:rPr>
          <w:i/>
          <w:iCs/>
        </w:rPr>
        <w:t>regional plans</w:t>
      </w:r>
      <w:r w:rsidRPr="00472578">
        <w:t xml:space="preserve"> to:</w:t>
      </w:r>
    </w:p>
    <w:p w14:paraId="16278108" w14:textId="77777777" w:rsidR="00570759" w:rsidRPr="00472578" w:rsidRDefault="00570759" w:rsidP="00E92686">
      <w:pPr>
        <w:ind w:left="567" w:hanging="567"/>
        <w:jc w:val="both"/>
        <w:rPr>
          <w:rFonts w:ascii="Calibri" w:eastAsia="Times New Roman" w:hAnsi="Calibri" w:cs="Calibri"/>
          <w:color w:val="000000"/>
          <w:lang w:eastAsia="en-GB"/>
        </w:rPr>
      </w:pPr>
      <w:r w:rsidRPr="00472578">
        <w:t>(1)</w:t>
      </w:r>
      <w:r w:rsidRPr="00472578">
        <w:tab/>
        <w:t xml:space="preserve">provide for activities associated with the investigation, identification and assessment of potential sites and energy sources for </w:t>
      </w:r>
      <w:bookmarkStart w:id="219" w:name="_Hlk72258365"/>
      <w:r w:rsidRPr="00472578">
        <w:rPr>
          <w:i/>
          <w:iCs/>
        </w:rPr>
        <w:t>renewable electricity generation</w:t>
      </w:r>
      <w:bookmarkEnd w:id="219"/>
      <w:r w:rsidRPr="00472578">
        <w:t xml:space="preserve">, </w:t>
      </w:r>
    </w:p>
    <w:p w14:paraId="048DCF26" w14:textId="77777777" w:rsidR="00570759" w:rsidRPr="00472578" w:rsidRDefault="00570759" w:rsidP="00E92686">
      <w:pPr>
        <w:ind w:left="567" w:hanging="567"/>
        <w:jc w:val="both"/>
        <w:rPr>
          <w:rFonts w:ascii="Times New Roman" w:eastAsia="Times New Roman" w:hAnsi="Times New Roman" w:cs="Times New Roman"/>
          <w:sz w:val="24"/>
          <w:szCs w:val="24"/>
          <w:lang w:eastAsia="en-GB"/>
        </w:rPr>
      </w:pPr>
      <w:r w:rsidRPr="00472578">
        <w:rPr>
          <w:rFonts w:ascii="Calibri" w:eastAsia="Times New Roman" w:hAnsi="Calibri" w:cs="Calibri"/>
          <w:color w:val="000000"/>
          <w:lang w:eastAsia="en-GB"/>
        </w:rPr>
        <w:t>(2)</w:t>
      </w:r>
      <w:r w:rsidRPr="00472578">
        <w:rPr>
          <w:rFonts w:ascii="Calibri" w:eastAsia="Times New Roman" w:hAnsi="Calibri" w:cs="Calibri"/>
          <w:color w:val="000000"/>
          <w:lang w:eastAsia="en-GB"/>
        </w:rPr>
        <w:tab/>
        <w:t xml:space="preserve">require the prioritisation of sites for new </w:t>
      </w:r>
      <w:r w:rsidRPr="00472578">
        <w:rPr>
          <w:i/>
          <w:iCs/>
        </w:rPr>
        <w:t>renewable electricity generation</w:t>
      </w:r>
      <w:r w:rsidRPr="00472578">
        <w:rPr>
          <w:rFonts w:ascii="Calibri" w:eastAsia="Times New Roman" w:hAnsi="Calibri" w:cs="Calibri"/>
          <w:color w:val="000000"/>
          <w:lang w:eastAsia="en-GB"/>
        </w:rPr>
        <w:t xml:space="preserve"> </w:t>
      </w:r>
      <w:r w:rsidRPr="00472578">
        <w:rPr>
          <w:rFonts w:ascii="Calibri" w:eastAsia="Times New Roman" w:hAnsi="Calibri" w:cs="Calibri"/>
          <w:i/>
          <w:color w:val="000000"/>
          <w:lang w:eastAsia="en-GB"/>
        </w:rPr>
        <w:t>activities</w:t>
      </w:r>
      <w:r w:rsidRPr="00472578">
        <w:rPr>
          <w:rFonts w:ascii="Calibri" w:eastAsia="Times New Roman" w:hAnsi="Calibri" w:cs="Calibri"/>
          <w:color w:val="000000"/>
          <w:lang w:eastAsia="en-GB"/>
        </w:rPr>
        <w:t xml:space="preserve"> where adverse </w:t>
      </w:r>
      <w:r w:rsidRPr="00472578">
        <w:rPr>
          <w:rFonts w:ascii="Calibri" w:eastAsia="Times New Roman" w:hAnsi="Calibri" w:cs="Calibri"/>
          <w:i/>
          <w:color w:val="000000"/>
          <w:lang w:eastAsia="en-GB"/>
        </w:rPr>
        <w:t>effects</w:t>
      </w:r>
      <w:r w:rsidRPr="00472578">
        <w:rPr>
          <w:rFonts w:ascii="Calibri" w:eastAsia="Times New Roman" w:hAnsi="Calibri" w:cs="Calibri"/>
          <w:color w:val="000000"/>
          <w:lang w:eastAsia="en-GB"/>
        </w:rPr>
        <w:t xml:space="preserve"> on highly valued </w:t>
      </w:r>
      <w:r w:rsidRPr="00472578">
        <w:rPr>
          <w:rFonts w:ascii="Calibri" w:eastAsia="Times New Roman" w:hAnsi="Calibri" w:cs="Calibri"/>
          <w:i/>
          <w:iCs/>
          <w:color w:val="000000"/>
          <w:lang w:eastAsia="en-GB"/>
        </w:rPr>
        <w:t>natural and physical resources</w:t>
      </w:r>
      <w:r w:rsidRPr="00472578">
        <w:rPr>
          <w:rFonts w:ascii="Calibri" w:eastAsia="Times New Roman" w:hAnsi="Calibri" w:cs="Calibri"/>
          <w:color w:val="000000"/>
          <w:lang w:eastAsia="en-GB"/>
        </w:rPr>
        <w:t xml:space="preserve"> and </w:t>
      </w:r>
      <w:r w:rsidRPr="00472578">
        <w:rPr>
          <w:rFonts w:ascii="Calibri" w:eastAsia="Times New Roman" w:hAnsi="Calibri" w:cs="Calibri"/>
          <w:i/>
          <w:color w:val="000000"/>
          <w:lang w:eastAsia="en-GB"/>
        </w:rPr>
        <w:t xml:space="preserve">mana whenua </w:t>
      </w:r>
      <w:r w:rsidRPr="00472578">
        <w:rPr>
          <w:rFonts w:ascii="Calibri" w:eastAsia="Times New Roman" w:hAnsi="Calibri" w:cs="Calibri"/>
          <w:color w:val="000000"/>
          <w:lang w:eastAsia="en-GB"/>
        </w:rPr>
        <w:t>values can be avoided or, at the very least, minimised,</w:t>
      </w:r>
    </w:p>
    <w:p w14:paraId="4F50A3F8" w14:textId="77777777" w:rsidR="00570759" w:rsidRPr="00472578" w:rsidRDefault="00570759" w:rsidP="00E92686">
      <w:pPr>
        <w:ind w:left="567" w:hanging="567"/>
        <w:jc w:val="both"/>
      </w:pPr>
      <w:r w:rsidRPr="00472578">
        <w:t>(3)</w:t>
      </w:r>
      <w:r w:rsidRPr="00472578">
        <w:tab/>
        <w:t xml:space="preserve">manage the adverse </w:t>
      </w:r>
      <w:r w:rsidRPr="00472578">
        <w:rPr>
          <w:i/>
        </w:rPr>
        <w:t>effects</w:t>
      </w:r>
      <w:r w:rsidRPr="00472578">
        <w:t xml:space="preserve"> of developing or upgrading </w:t>
      </w:r>
      <w:r w:rsidRPr="00472578">
        <w:rPr>
          <w:i/>
        </w:rPr>
        <w:t>renewable electricity generation activities</w:t>
      </w:r>
      <w:r w:rsidRPr="00472578">
        <w:t xml:space="preserve"> that:</w:t>
      </w:r>
    </w:p>
    <w:p w14:paraId="63AF3FA7" w14:textId="77777777" w:rsidR="00570759" w:rsidRPr="00472578" w:rsidRDefault="00570759" w:rsidP="00E92686">
      <w:pPr>
        <w:ind w:left="1134" w:hanging="567"/>
        <w:jc w:val="both"/>
      </w:pPr>
      <w:r w:rsidRPr="00472578">
        <w:t>(a)</w:t>
      </w:r>
      <w:r w:rsidRPr="00472578">
        <w:tab/>
        <w:t xml:space="preserve">are within the </w:t>
      </w:r>
      <w:r w:rsidRPr="00472578">
        <w:rPr>
          <w:i/>
        </w:rPr>
        <w:t xml:space="preserve">beds </w:t>
      </w:r>
      <w:r w:rsidRPr="00472578">
        <w:t>of</w:t>
      </w:r>
      <w:r w:rsidRPr="00472578">
        <w:rPr>
          <w:i/>
        </w:rPr>
        <w:t xml:space="preserve"> lakes </w:t>
      </w:r>
      <w:r w:rsidRPr="00472578">
        <w:t>and</w:t>
      </w:r>
      <w:r w:rsidRPr="00472578">
        <w:rPr>
          <w:i/>
        </w:rPr>
        <w:t xml:space="preserve"> rivers </w:t>
      </w:r>
      <w:r w:rsidRPr="00472578">
        <w:t xml:space="preserve">and the </w:t>
      </w:r>
      <w:r w:rsidRPr="00472578">
        <w:rPr>
          <w:i/>
        </w:rPr>
        <w:t>coastal marine area</w:t>
      </w:r>
      <w:r w:rsidRPr="00472578">
        <w:t>, or</w:t>
      </w:r>
    </w:p>
    <w:p w14:paraId="5529CC59" w14:textId="77777777" w:rsidR="00570759" w:rsidRPr="00472578" w:rsidRDefault="00570759" w:rsidP="00E92686">
      <w:pPr>
        <w:ind w:left="1134" w:hanging="567"/>
        <w:jc w:val="both"/>
      </w:pPr>
      <w:r w:rsidRPr="00472578">
        <w:t>(b)</w:t>
      </w:r>
      <w:r w:rsidRPr="00472578">
        <w:tab/>
        <w:t xml:space="preserve">involve the taking, use, damming or diversion of </w:t>
      </w:r>
      <w:r w:rsidRPr="00472578">
        <w:rPr>
          <w:i/>
        </w:rPr>
        <w:t>water</w:t>
      </w:r>
      <w:r w:rsidRPr="00472578">
        <w:t xml:space="preserve"> and </w:t>
      </w:r>
      <w:r w:rsidRPr="00472578">
        <w:rPr>
          <w:i/>
        </w:rPr>
        <w:t>discharge</w:t>
      </w:r>
      <w:r w:rsidRPr="00472578">
        <w:t xml:space="preserve"> of </w:t>
      </w:r>
      <w:r w:rsidRPr="00472578">
        <w:rPr>
          <w:i/>
        </w:rPr>
        <w:t>water</w:t>
      </w:r>
      <w:r w:rsidRPr="00472578">
        <w:t xml:space="preserve"> or </w:t>
      </w:r>
      <w:r w:rsidRPr="00472578">
        <w:rPr>
          <w:i/>
        </w:rPr>
        <w:t>contaminants</w:t>
      </w:r>
      <w:r w:rsidRPr="00472578">
        <w:t xml:space="preserve">, </w:t>
      </w:r>
    </w:p>
    <w:p w14:paraId="3F9154A3" w14:textId="6115C2C1" w:rsidR="00570759" w:rsidRPr="00472578" w:rsidRDefault="00570759" w:rsidP="00E92686">
      <w:pPr>
        <w:ind w:left="567" w:hanging="567"/>
        <w:jc w:val="both"/>
      </w:pPr>
      <w:r w:rsidRPr="00472578">
        <w:t>(4)</w:t>
      </w:r>
      <w:r w:rsidRPr="00472578">
        <w:tab/>
        <w:t xml:space="preserve">provide for the operation and maintenance of existing </w:t>
      </w:r>
      <w:r w:rsidRPr="00472578">
        <w:rPr>
          <w:i/>
          <w:iCs/>
        </w:rPr>
        <w:t>renewable electricity generation activities</w:t>
      </w:r>
      <w:r w:rsidRPr="00472578">
        <w:t xml:space="preserve">, including their </w:t>
      </w:r>
      <w:r w:rsidRPr="00472578">
        <w:rPr>
          <w:i/>
          <w:iCs/>
        </w:rPr>
        <w:t>natural and physical resource</w:t>
      </w:r>
      <w:r w:rsidRPr="00472578">
        <w:t xml:space="preserve"> requirements, within </w:t>
      </w:r>
      <w:r w:rsidRPr="00472578">
        <w:rPr>
          <w:strike/>
        </w:rPr>
        <w:t>the</w:t>
      </w:r>
      <w:r w:rsidRPr="00472578">
        <w:rPr>
          <w:rStyle w:val="FootnoteReference"/>
        </w:rPr>
        <w:footnoteReference w:id="1108"/>
      </w:r>
      <w:r w:rsidRPr="00472578">
        <w:t xml:space="preserve"> </w:t>
      </w:r>
      <w:r w:rsidRPr="00472578">
        <w:rPr>
          <w:i/>
          <w:iCs/>
        </w:rPr>
        <w:t>environmental limits</w:t>
      </w:r>
      <w:r w:rsidRPr="00472578">
        <w:t xml:space="preserve"> and</w:t>
      </w:r>
    </w:p>
    <w:p w14:paraId="4568D70B" w14:textId="77777777" w:rsidR="00570759" w:rsidRPr="00472578" w:rsidRDefault="00570759" w:rsidP="00E92686">
      <w:pPr>
        <w:ind w:left="567" w:hanging="567"/>
        <w:jc w:val="both"/>
      </w:pPr>
      <w:r w:rsidRPr="00472578">
        <w:lastRenderedPageBreak/>
        <w:t>(5)</w:t>
      </w:r>
      <w:r w:rsidRPr="00472578">
        <w:tab/>
        <w:t xml:space="preserve">restrict the establishment of activities that may adversely affect the efficient functioning of </w:t>
      </w:r>
      <w:r w:rsidRPr="00472578">
        <w:rPr>
          <w:i/>
          <w:iCs/>
        </w:rPr>
        <w:t>renewable electricity generation</w:t>
      </w:r>
      <w:r w:rsidRPr="00472578">
        <w:t xml:space="preserve"> </w:t>
      </w:r>
      <w:r w:rsidRPr="00472578">
        <w:rPr>
          <w:i/>
          <w:u w:val="single"/>
        </w:rPr>
        <w:t>activities</w:t>
      </w:r>
      <w:r w:rsidRPr="00472578">
        <w:t xml:space="preserve"> </w:t>
      </w:r>
      <w:r w:rsidRPr="00472578">
        <w:rPr>
          <w:i/>
          <w:strike/>
        </w:rPr>
        <w:t>infrastructure</w:t>
      </w:r>
      <w:r w:rsidRPr="00472578">
        <w:rPr>
          <w:rStyle w:val="FootnoteReference"/>
          <w:i/>
        </w:rPr>
        <w:footnoteReference w:id="1109"/>
      </w:r>
      <w:r w:rsidRPr="00472578">
        <w:t xml:space="preserve"> (including impacts on generation capacity).</w:t>
      </w:r>
    </w:p>
    <w:p w14:paraId="620E9510" w14:textId="77777777" w:rsidR="00570759" w:rsidRPr="00472578" w:rsidRDefault="00570759" w:rsidP="00E92686">
      <w:pPr>
        <w:pStyle w:val="Heading5"/>
        <w:jc w:val="both"/>
      </w:pPr>
      <w:bookmarkStart w:id="220" w:name="_Hlk72412795"/>
      <w:r w:rsidRPr="00472578">
        <w:t xml:space="preserve">EIT-EN-M2 – </w:t>
      </w:r>
      <w:r w:rsidRPr="00472578">
        <w:rPr>
          <w:i/>
        </w:rPr>
        <w:t>District plans</w:t>
      </w:r>
    </w:p>
    <w:p w14:paraId="64797F5F" w14:textId="77777777" w:rsidR="00570759" w:rsidRPr="00472578" w:rsidRDefault="00570759" w:rsidP="00E92686">
      <w:pPr>
        <w:jc w:val="both"/>
      </w:pPr>
      <w:r w:rsidRPr="00472578">
        <w:rPr>
          <w:i/>
          <w:iCs/>
        </w:rPr>
        <w:t>Territorial authorities</w:t>
      </w:r>
      <w:r w:rsidRPr="00472578">
        <w:t xml:space="preserve"> must </w:t>
      </w:r>
      <w:r w:rsidRPr="00472578">
        <w:rPr>
          <w:rFonts w:ascii="Calibri" w:eastAsia="Calibri" w:hAnsi="Calibri" w:cs="Times New Roman"/>
        </w:rPr>
        <w:t>prepare or amend and maintain</w:t>
      </w:r>
      <w:r w:rsidRPr="00472578">
        <w:t xml:space="preserve"> their </w:t>
      </w:r>
      <w:r w:rsidRPr="00472578">
        <w:rPr>
          <w:i/>
          <w:iCs/>
        </w:rPr>
        <w:t>district plans</w:t>
      </w:r>
      <w:r w:rsidRPr="00472578">
        <w:t xml:space="preserve"> to:</w:t>
      </w:r>
    </w:p>
    <w:p w14:paraId="24184351" w14:textId="77777777" w:rsidR="00570759" w:rsidRPr="00472578" w:rsidRDefault="00570759" w:rsidP="00E92686">
      <w:pPr>
        <w:ind w:left="567" w:hanging="567"/>
        <w:jc w:val="both"/>
      </w:pPr>
      <w:r w:rsidRPr="00472578">
        <w:t>(1)</w:t>
      </w:r>
      <w:r w:rsidRPr="00472578">
        <w:tab/>
        <w:t xml:space="preserve">provide for activities associated with the investigation, identification and assessment of potential sites and energy sources for </w:t>
      </w:r>
      <w:r w:rsidRPr="00472578">
        <w:rPr>
          <w:i/>
          <w:iCs/>
        </w:rPr>
        <w:t>renewable electricity generation</w:t>
      </w:r>
      <w:r w:rsidRPr="00472578">
        <w:t>,</w:t>
      </w:r>
    </w:p>
    <w:p w14:paraId="51DB522B" w14:textId="77777777" w:rsidR="00570759" w:rsidRPr="00472578" w:rsidRDefault="00570759" w:rsidP="00E92686">
      <w:pPr>
        <w:ind w:left="567" w:hanging="567"/>
        <w:jc w:val="both"/>
        <w:rPr>
          <w:rFonts w:ascii="Times New Roman" w:eastAsia="Times New Roman" w:hAnsi="Times New Roman" w:cs="Times New Roman"/>
          <w:sz w:val="24"/>
          <w:szCs w:val="24"/>
          <w:lang w:eastAsia="en-GB"/>
        </w:rPr>
      </w:pPr>
      <w:r w:rsidRPr="00472578">
        <w:t>(2)</w:t>
      </w:r>
      <w:r w:rsidRPr="00472578">
        <w:tab/>
        <w:t xml:space="preserve">require the </w:t>
      </w:r>
      <w:r w:rsidRPr="00472578">
        <w:rPr>
          <w:rFonts w:ascii="Calibri" w:eastAsia="Times New Roman" w:hAnsi="Calibri" w:cs="Calibri"/>
          <w:color w:val="000000"/>
          <w:lang w:eastAsia="en-GB"/>
        </w:rPr>
        <w:t xml:space="preserve">prioritisation of sites for new </w:t>
      </w:r>
      <w:r w:rsidRPr="00472578">
        <w:rPr>
          <w:i/>
          <w:iCs/>
        </w:rPr>
        <w:t>renewable electricity generation</w:t>
      </w:r>
      <w:r w:rsidRPr="00472578">
        <w:rPr>
          <w:rFonts w:ascii="Calibri" w:eastAsia="Times New Roman" w:hAnsi="Calibri" w:cs="Calibri"/>
          <w:color w:val="000000"/>
          <w:lang w:eastAsia="en-GB"/>
        </w:rPr>
        <w:t xml:space="preserve"> </w:t>
      </w:r>
      <w:r w:rsidRPr="00472578">
        <w:rPr>
          <w:rFonts w:ascii="Calibri" w:eastAsia="Times New Roman" w:hAnsi="Calibri" w:cs="Calibri"/>
          <w:i/>
          <w:color w:val="000000"/>
          <w:lang w:eastAsia="en-GB"/>
        </w:rPr>
        <w:t>activities</w:t>
      </w:r>
      <w:r w:rsidRPr="00472578">
        <w:rPr>
          <w:rFonts w:ascii="Calibri" w:eastAsia="Times New Roman" w:hAnsi="Calibri" w:cs="Calibri"/>
          <w:color w:val="000000"/>
          <w:lang w:eastAsia="en-GB"/>
        </w:rPr>
        <w:t xml:space="preserve"> where adverse </w:t>
      </w:r>
      <w:r w:rsidRPr="00472578">
        <w:rPr>
          <w:rFonts w:ascii="Calibri" w:eastAsia="Times New Roman" w:hAnsi="Calibri" w:cs="Calibri"/>
          <w:i/>
          <w:color w:val="000000"/>
          <w:lang w:eastAsia="en-GB"/>
        </w:rPr>
        <w:t>effects</w:t>
      </w:r>
      <w:r w:rsidRPr="00472578">
        <w:rPr>
          <w:rFonts w:ascii="Calibri" w:eastAsia="Times New Roman" w:hAnsi="Calibri" w:cs="Calibri"/>
          <w:color w:val="000000"/>
          <w:lang w:eastAsia="en-GB"/>
        </w:rPr>
        <w:t xml:space="preserve"> on highly valued </w:t>
      </w:r>
      <w:r w:rsidRPr="00472578">
        <w:rPr>
          <w:rFonts w:ascii="Calibri" w:eastAsia="Times New Roman" w:hAnsi="Calibri" w:cs="Calibri"/>
          <w:i/>
          <w:iCs/>
          <w:color w:val="000000"/>
          <w:lang w:eastAsia="en-GB"/>
        </w:rPr>
        <w:t>natural and physical resources</w:t>
      </w:r>
      <w:r w:rsidRPr="00472578">
        <w:rPr>
          <w:rFonts w:ascii="Calibri" w:eastAsia="Times New Roman" w:hAnsi="Calibri" w:cs="Calibri"/>
          <w:color w:val="000000"/>
          <w:lang w:eastAsia="en-GB"/>
        </w:rPr>
        <w:t xml:space="preserve"> and </w:t>
      </w:r>
      <w:r w:rsidRPr="00472578">
        <w:rPr>
          <w:rFonts w:ascii="Calibri" w:eastAsia="Times New Roman" w:hAnsi="Calibri" w:cs="Calibri"/>
          <w:i/>
          <w:color w:val="000000"/>
          <w:lang w:eastAsia="en-GB"/>
        </w:rPr>
        <w:t xml:space="preserve">mana whenua </w:t>
      </w:r>
      <w:r w:rsidRPr="00472578">
        <w:rPr>
          <w:rFonts w:ascii="Calibri" w:eastAsia="Times New Roman" w:hAnsi="Calibri" w:cs="Calibri"/>
          <w:color w:val="000000"/>
          <w:lang w:eastAsia="en-GB"/>
        </w:rPr>
        <w:t>values can be avoided or, at the very least, minimised,</w:t>
      </w:r>
    </w:p>
    <w:p w14:paraId="65EC09FE" w14:textId="77777777" w:rsidR="00570759" w:rsidRPr="00472578" w:rsidRDefault="00570759" w:rsidP="00E92686">
      <w:pPr>
        <w:ind w:left="567" w:hanging="567"/>
        <w:jc w:val="both"/>
      </w:pPr>
      <w:r w:rsidRPr="00472578">
        <w:t>(3)</w:t>
      </w:r>
      <w:r w:rsidRPr="00472578">
        <w:tab/>
        <w:t xml:space="preserve">manage the adverse </w:t>
      </w:r>
      <w:r w:rsidRPr="00472578">
        <w:rPr>
          <w:i/>
          <w:iCs/>
        </w:rPr>
        <w:t>effects</w:t>
      </w:r>
      <w:r w:rsidRPr="00472578">
        <w:t xml:space="preserve"> of developing or upgrading </w:t>
      </w:r>
      <w:r w:rsidRPr="00472578">
        <w:rPr>
          <w:i/>
        </w:rPr>
        <w:t>renewable electricity generation activities</w:t>
      </w:r>
      <w:r w:rsidRPr="00472578">
        <w:t xml:space="preserve"> that:</w:t>
      </w:r>
    </w:p>
    <w:p w14:paraId="2B485554" w14:textId="77777777" w:rsidR="00570759" w:rsidRPr="00472578" w:rsidRDefault="00570759" w:rsidP="00E92686">
      <w:pPr>
        <w:ind w:left="1134" w:hanging="567"/>
        <w:jc w:val="both"/>
      </w:pPr>
      <w:r w:rsidRPr="00472578">
        <w:t xml:space="preserve">(a) </w:t>
      </w:r>
      <w:r w:rsidRPr="00472578">
        <w:tab/>
        <w:t xml:space="preserve">are on the surface of </w:t>
      </w:r>
      <w:r w:rsidRPr="00472578">
        <w:rPr>
          <w:i/>
          <w:iCs/>
        </w:rPr>
        <w:t>rivers</w:t>
      </w:r>
      <w:r w:rsidRPr="00472578">
        <w:t xml:space="preserve"> and </w:t>
      </w:r>
      <w:r w:rsidRPr="00472578">
        <w:rPr>
          <w:i/>
          <w:iCs/>
        </w:rPr>
        <w:t>lakes</w:t>
      </w:r>
      <w:r w:rsidRPr="00472578">
        <w:t xml:space="preserve"> and on </w:t>
      </w:r>
      <w:r w:rsidRPr="00472578">
        <w:rPr>
          <w:i/>
          <w:iCs/>
        </w:rPr>
        <w:t>land</w:t>
      </w:r>
      <w:r w:rsidRPr="00472578">
        <w:t xml:space="preserve"> outside the </w:t>
      </w:r>
      <w:r w:rsidRPr="00472578">
        <w:rPr>
          <w:i/>
          <w:iCs/>
        </w:rPr>
        <w:t>coastal marine area</w:t>
      </w:r>
      <w:r w:rsidRPr="00472578">
        <w:t>, or</w:t>
      </w:r>
    </w:p>
    <w:p w14:paraId="10FE3B41" w14:textId="77777777" w:rsidR="00570759" w:rsidRPr="00472578" w:rsidRDefault="00570759" w:rsidP="00E92686">
      <w:pPr>
        <w:ind w:left="1134" w:hanging="567"/>
        <w:jc w:val="both"/>
      </w:pPr>
      <w:r w:rsidRPr="00472578">
        <w:t xml:space="preserve">(b) </w:t>
      </w:r>
      <w:r w:rsidRPr="00472578">
        <w:tab/>
        <w:t xml:space="preserve">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w:t>
      </w:r>
    </w:p>
    <w:bookmarkEnd w:id="220"/>
    <w:p w14:paraId="0433E7E3" w14:textId="77777777" w:rsidR="00570759" w:rsidRPr="00472578" w:rsidRDefault="00570759" w:rsidP="00E92686">
      <w:pPr>
        <w:ind w:left="567" w:hanging="567"/>
        <w:jc w:val="both"/>
      </w:pPr>
      <w:r w:rsidRPr="00472578">
        <w:t>(4)</w:t>
      </w:r>
      <w:r w:rsidRPr="00472578">
        <w:tab/>
        <w:t xml:space="preserve">provide for the continued operation and maintenance of </w:t>
      </w:r>
      <w:r w:rsidRPr="00472578">
        <w:rPr>
          <w:i/>
          <w:iCs/>
        </w:rPr>
        <w:t>renewable electricity generation activities</w:t>
      </w:r>
      <w:r w:rsidRPr="00472578">
        <w:t xml:space="preserve"> on the surface of </w:t>
      </w:r>
      <w:r w:rsidRPr="00472578">
        <w:rPr>
          <w:i/>
          <w:iCs/>
        </w:rPr>
        <w:t>rivers</w:t>
      </w:r>
      <w:r w:rsidRPr="00472578">
        <w:t xml:space="preserve"> and </w:t>
      </w:r>
      <w:r w:rsidRPr="00472578">
        <w:rPr>
          <w:i/>
          <w:iCs/>
        </w:rPr>
        <w:t>lakes</w:t>
      </w:r>
      <w:r w:rsidRPr="00472578">
        <w:t xml:space="preserve"> and on</w:t>
      </w:r>
      <w:r w:rsidRPr="00472578">
        <w:rPr>
          <w:i/>
          <w:iCs/>
        </w:rPr>
        <w:t xml:space="preserve"> land</w:t>
      </w:r>
      <w:r w:rsidRPr="00472578">
        <w:t xml:space="preserve"> outside the </w:t>
      </w:r>
      <w:r w:rsidRPr="00472578">
        <w:rPr>
          <w:i/>
          <w:iCs/>
        </w:rPr>
        <w:t>coastal marine area</w:t>
      </w:r>
      <w:r w:rsidRPr="00472578">
        <w:t xml:space="preserve"> and the </w:t>
      </w:r>
      <w:r w:rsidRPr="00472578">
        <w:rPr>
          <w:i/>
        </w:rPr>
        <w:t>beds</w:t>
      </w:r>
      <w:r w:rsidRPr="00472578">
        <w:t xml:space="preserve"> of </w:t>
      </w:r>
      <w:r w:rsidRPr="00472578">
        <w:rPr>
          <w:i/>
        </w:rPr>
        <w:t>lakes</w:t>
      </w:r>
      <w:r w:rsidRPr="00472578">
        <w:t xml:space="preserve"> and </w:t>
      </w:r>
      <w:r w:rsidRPr="00472578">
        <w:rPr>
          <w:i/>
        </w:rPr>
        <w:t>rivers</w:t>
      </w:r>
      <w:r w:rsidRPr="00472578">
        <w:t>,</w:t>
      </w:r>
    </w:p>
    <w:p w14:paraId="56539694" w14:textId="1DCB21D3" w:rsidR="00570759" w:rsidRPr="00472578" w:rsidRDefault="00570759" w:rsidP="00E92686">
      <w:pPr>
        <w:ind w:left="567" w:hanging="567"/>
        <w:jc w:val="both"/>
      </w:pPr>
      <w:r w:rsidRPr="00472578">
        <w:t>(5)</w:t>
      </w:r>
      <w:r w:rsidRPr="00472578">
        <w:tab/>
        <w:t xml:space="preserve">restrict the establishment or occurrence of activities that may adversely affect the efficient functioning of </w:t>
      </w:r>
      <w:r w:rsidRPr="00472578">
        <w:rPr>
          <w:i/>
          <w:iCs/>
        </w:rPr>
        <w:t>renewable electricity generation</w:t>
      </w:r>
      <w:r w:rsidRPr="00472578">
        <w:t xml:space="preserve"> </w:t>
      </w:r>
      <w:r w:rsidRPr="00472578">
        <w:rPr>
          <w:i/>
          <w:iCs/>
        </w:rPr>
        <w:t xml:space="preserve">infrastructure, </w:t>
      </w:r>
    </w:p>
    <w:p w14:paraId="5FC47E8F" w14:textId="443F403C" w:rsidR="00570759" w:rsidRPr="00472578" w:rsidRDefault="00570759" w:rsidP="00E92686">
      <w:pPr>
        <w:ind w:left="567" w:hanging="567"/>
        <w:jc w:val="both"/>
      </w:pPr>
      <w:r w:rsidRPr="00472578">
        <w:t>(6)</w:t>
      </w:r>
      <w:r w:rsidRPr="00472578">
        <w:tab/>
        <w:t xml:space="preserve">require the design of </w:t>
      </w:r>
      <w:r w:rsidRPr="00472578">
        <w:rPr>
          <w:i/>
          <w:iCs/>
        </w:rPr>
        <w:t>subdivision</w:t>
      </w:r>
      <w:r w:rsidRPr="00472578">
        <w:t xml:space="preserve"> development to </w:t>
      </w:r>
      <w:r w:rsidRPr="00472578">
        <w:rPr>
          <w:rFonts w:ascii="Calibri" w:hAnsi="Calibri" w:cs="Calibri"/>
        </w:rPr>
        <w:t>optimise</w:t>
      </w:r>
      <w:r w:rsidRPr="00472578" w:rsidDel="00CB5E58">
        <w:rPr>
          <w:rFonts w:ascii="Calibri" w:hAnsi="Calibri" w:cs="Calibri"/>
        </w:rPr>
        <w:t xml:space="preserve"> solar gain</w:t>
      </w:r>
      <w:r w:rsidRPr="00472578">
        <w:t xml:space="preserve">, including through roading, lot size, dimensions, </w:t>
      </w:r>
      <w:proofErr w:type="gramStart"/>
      <w:r w:rsidRPr="00472578">
        <w:t>layout</w:t>
      </w:r>
      <w:proofErr w:type="gramEnd"/>
      <w:r w:rsidRPr="00472578">
        <w:t xml:space="preserve"> and orientation, and </w:t>
      </w:r>
    </w:p>
    <w:p w14:paraId="10382924" w14:textId="3EA95CEC" w:rsidR="00570759" w:rsidRPr="00472578" w:rsidRDefault="00570759" w:rsidP="00E92686">
      <w:pPr>
        <w:ind w:left="567" w:hanging="567"/>
        <w:jc w:val="both"/>
      </w:pPr>
      <w:bookmarkStart w:id="221" w:name="_Hlk95888647"/>
      <w:r w:rsidRPr="00472578">
        <w:t>(7)</w:t>
      </w:r>
      <w:r w:rsidRPr="00472578">
        <w:tab/>
        <w:t xml:space="preserve">require </w:t>
      </w:r>
      <w:r w:rsidRPr="00472578">
        <w:rPr>
          <w:u w:val="single"/>
        </w:rPr>
        <w:t>the</w:t>
      </w:r>
      <w:r w:rsidRPr="00472578">
        <w:t xml:space="preserve"> design of transport </w:t>
      </w:r>
      <w:r w:rsidRPr="00472578">
        <w:rPr>
          <w:i/>
          <w:iCs/>
        </w:rPr>
        <w:t>infrastructure</w:t>
      </w:r>
      <w:r w:rsidRPr="00472578">
        <w:t xml:space="preserve"> to provide</w:t>
      </w:r>
      <w:r w:rsidRPr="00472578">
        <w:rPr>
          <w:strike/>
        </w:rPr>
        <w:t>s</w:t>
      </w:r>
      <w:r w:rsidRPr="00472578">
        <w:rPr>
          <w:rStyle w:val="FootnoteReference"/>
        </w:rPr>
        <w:footnoteReference w:id="1110"/>
      </w:r>
      <w:r w:rsidRPr="00472578">
        <w:t xml:space="preserve"> for multi-modal transport options in urban and rural residential locations.</w:t>
      </w:r>
    </w:p>
    <w:bookmarkEnd w:id="221"/>
    <w:p w14:paraId="558F00DA" w14:textId="77777777" w:rsidR="00570759" w:rsidRPr="00472578" w:rsidRDefault="00570759" w:rsidP="00E92686">
      <w:pPr>
        <w:pStyle w:val="Heading5"/>
        <w:jc w:val="both"/>
      </w:pPr>
      <w:r w:rsidRPr="00472578">
        <w:t>EIT-EN-M3 – Education and information</w:t>
      </w:r>
    </w:p>
    <w:p w14:paraId="6A207C91" w14:textId="77777777" w:rsidR="00570759" w:rsidRPr="00472578" w:rsidRDefault="00570759" w:rsidP="00E92686">
      <w:pPr>
        <w:pStyle w:val="JustifiedSpacing"/>
        <w:ind w:left="567" w:hanging="567"/>
      </w:pPr>
      <w:r w:rsidRPr="00472578">
        <w:t>(1)</w:t>
      </w:r>
      <w:r w:rsidRPr="00472578">
        <w:tab/>
      </w:r>
      <w:r w:rsidRPr="00472578">
        <w:rPr>
          <w:i/>
          <w:iCs/>
        </w:rPr>
        <w:t>Local authorities</w:t>
      </w:r>
      <w:r w:rsidRPr="00472578">
        <w:t xml:space="preserve"> must provide education and information to improve energy efficiency and provide for the adoption of renewable energy sources, including:</w:t>
      </w:r>
    </w:p>
    <w:p w14:paraId="7B57AA8D" w14:textId="77777777" w:rsidR="00570759" w:rsidRPr="00472578" w:rsidRDefault="00570759" w:rsidP="00E92686">
      <w:pPr>
        <w:pStyle w:val="JustifiedSpacing"/>
        <w:ind w:left="1134" w:hanging="567"/>
      </w:pPr>
      <w:r w:rsidRPr="00472578">
        <w:t>(a)</w:t>
      </w:r>
      <w:r w:rsidRPr="00472578">
        <w:tab/>
      </w:r>
      <w:r w:rsidRPr="00472578">
        <w:rPr>
          <w:u w:val="single"/>
        </w:rPr>
        <w:t>ways to increase</w:t>
      </w:r>
      <w:r w:rsidRPr="00472578">
        <w:t xml:space="preserve"> </w:t>
      </w:r>
      <w:r w:rsidRPr="00472578">
        <w:rPr>
          <w:strike/>
        </w:rPr>
        <w:t>measures for increased</w:t>
      </w:r>
      <w:r w:rsidRPr="00472578">
        <w:rPr>
          <w:rStyle w:val="FootnoteReference"/>
        </w:rPr>
        <w:footnoteReference w:id="1111"/>
      </w:r>
      <w:r w:rsidRPr="00472578">
        <w:t xml:space="preserve"> energy efficiency and energy conservation, and</w:t>
      </w:r>
    </w:p>
    <w:p w14:paraId="6D36E84B" w14:textId="77777777" w:rsidR="00570759" w:rsidRPr="00472578" w:rsidRDefault="00570759" w:rsidP="00E92686">
      <w:pPr>
        <w:pStyle w:val="JustifiedSpacing"/>
        <w:ind w:left="1134" w:hanging="567"/>
      </w:pPr>
      <w:r w:rsidRPr="00472578">
        <w:t>(b)</w:t>
      </w:r>
      <w:r w:rsidRPr="00472578">
        <w:tab/>
        <w:t xml:space="preserve">opportunities for </w:t>
      </w:r>
      <w:r w:rsidRPr="00472578">
        <w:rPr>
          <w:i/>
          <w:iCs/>
        </w:rPr>
        <w:t>small and community scale distributed electricity generation</w:t>
      </w:r>
      <w:r w:rsidRPr="00472578">
        <w:t>.</w:t>
      </w:r>
    </w:p>
    <w:p w14:paraId="6E7A75DC" w14:textId="6A9D05EC" w:rsidR="00570759" w:rsidRPr="00472578" w:rsidRDefault="00570759" w:rsidP="00E92686">
      <w:pPr>
        <w:pStyle w:val="JustifiedSpacing"/>
        <w:ind w:left="567" w:hanging="567"/>
      </w:pPr>
      <w:r w:rsidRPr="00472578">
        <w:t>(2)</w:t>
      </w:r>
      <w:r w:rsidRPr="00472578">
        <w:tab/>
      </w:r>
      <w:r w:rsidRPr="00472578">
        <w:rPr>
          <w:i/>
          <w:iCs/>
        </w:rPr>
        <w:t>Territorial authorities</w:t>
      </w:r>
      <w:r w:rsidRPr="00472578">
        <w:t xml:space="preserve"> must provide information on design techniques to optimise solar gain, including through roading, lot size, dimensions, layout, and orientation.</w:t>
      </w:r>
    </w:p>
    <w:p w14:paraId="6B08796C" w14:textId="77777777" w:rsidR="00570759" w:rsidRPr="00472578" w:rsidRDefault="00570759" w:rsidP="00E92686">
      <w:pPr>
        <w:pStyle w:val="Heading4"/>
        <w:jc w:val="both"/>
      </w:pPr>
      <w:bookmarkStart w:id="222" w:name="_Toc56620244"/>
      <w:r w:rsidRPr="00472578">
        <w:lastRenderedPageBreak/>
        <w:t>Explanation</w:t>
      </w:r>
      <w:bookmarkEnd w:id="222"/>
    </w:p>
    <w:p w14:paraId="3F2711DB" w14:textId="77777777" w:rsidR="00570759" w:rsidRPr="00472578" w:rsidRDefault="00570759" w:rsidP="00E92686">
      <w:pPr>
        <w:pStyle w:val="Heading5"/>
        <w:jc w:val="both"/>
      </w:pPr>
      <w:r w:rsidRPr="00472578">
        <w:t>EIT-EN-E1 – Explanation</w:t>
      </w:r>
    </w:p>
    <w:p w14:paraId="58E4CE82" w14:textId="77777777" w:rsidR="00570759" w:rsidRPr="00472578" w:rsidRDefault="00570759" w:rsidP="00E92686">
      <w:pPr>
        <w:jc w:val="both"/>
        <w:rPr>
          <w:u w:val="single"/>
        </w:rPr>
      </w:pPr>
      <w:r w:rsidRPr="00E7153F">
        <w:rPr>
          <w:u w:val="single"/>
        </w:rPr>
        <w:t>The policies in this section</w:t>
      </w:r>
      <w:r w:rsidRPr="00472578">
        <w:t xml:space="preserve"> are designed to set a clear preference for </w:t>
      </w:r>
      <w:r w:rsidRPr="00472578">
        <w:rPr>
          <w:i/>
          <w:iCs/>
        </w:rPr>
        <w:t>renewable electricity generation activities</w:t>
      </w:r>
      <w:r w:rsidRPr="00472578">
        <w:t xml:space="preserve"> contributing to meeting New Zealand’s national target for </w:t>
      </w:r>
      <w:r w:rsidRPr="00472578">
        <w:rPr>
          <w:i/>
          <w:iCs/>
        </w:rPr>
        <w:t>renewable electricity generation</w:t>
      </w:r>
      <w:r w:rsidRPr="00472578">
        <w:t xml:space="preserve">. </w:t>
      </w:r>
      <w:bookmarkStart w:id="223" w:name="_Hlk95882482"/>
      <w:r w:rsidRPr="00472578">
        <w:rPr>
          <w:i/>
          <w:u w:val="single"/>
        </w:rPr>
        <w:t>Renewable electricity generation</w:t>
      </w:r>
      <w:r w:rsidRPr="00472578">
        <w:rPr>
          <w:u w:val="single"/>
        </w:rPr>
        <w:t xml:space="preserve"> is a matter of national importance and a key component in responding to climate change and energy demands. Increasing energy security will assist with ensuring that communities have options for clean heat and electricity for health and wellbeing services. </w:t>
      </w:r>
      <w:bookmarkEnd w:id="223"/>
      <w:r w:rsidRPr="00472578">
        <w:rPr>
          <w:rStyle w:val="FootnoteReference"/>
        </w:rPr>
        <w:footnoteReference w:id="1112"/>
      </w:r>
    </w:p>
    <w:p w14:paraId="5CD323CC" w14:textId="77777777" w:rsidR="00570759" w:rsidRPr="00472578" w:rsidRDefault="00570759" w:rsidP="00E92686">
      <w:pPr>
        <w:jc w:val="both"/>
      </w:pPr>
      <w:r w:rsidRPr="00472578">
        <w:rPr>
          <w:i/>
          <w:iCs/>
        </w:rPr>
        <w:t>Renewable electricity generation activities</w:t>
      </w:r>
      <w:r w:rsidRPr="00472578">
        <w:t xml:space="preserve"> are promoted by providing for the investigation, operation and maintenance of these sites and ensuring that decisions on allocating natural resources and the use of </w:t>
      </w:r>
      <w:r w:rsidRPr="00472578">
        <w:rPr>
          <w:i/>
          <w:iCs/>
        </w:rPr>
        <w:t>land</w:t>
      </w:r>
      <w:r w:rsidRPr="00472578">
        <w:t xml:space="preserve">, for example, recognise the benefits of </w:t>
      </w:r>
      <w:r w:rsidRPr="00472578">
        <w:rPr>
          <w:i/>
          <w:iCs/>
        </w:rPr>
        <w:t>renewable electricity generation activities</w:t>
      </w:r>
      <w:r w:rsidRPr="00472578">
        <w:t xml:space="preserve"> arising from maintaining or increasing generation capacity. It is noted that </w:t>
      </w:r>
      <w:r w:rsidRPr="00472578">
        <w:rPr>
          <w:i/>
          <w:iCs/>
        </w:rPr>
        <w:t>renewable electricity generation activities</w:t>
      </w:r>
      <w:r w:rsidRPr="00472578">
        <w:t xml:space="preserve"> will come within the definition of </w:t>
      </w:r>
      <w:r w:rsidRPr="00472578">
        <w:rPr>
          <w:i/>
          <w:iCs/>
        </w:rPr>
        <w:t>infrastructure</w:t>
      </w:r>
      <w:r w:rsidRPr="00472578">
        <w:t xml:space="preserve">, and that provisions relating to </w:t>
      </w:r>
      <w:r w:rsidRPr="00472578">
        <w:rPr>
          <w:i/>
        </w:rPr>
        <w:t>infrastructure</w:t>
      </w:r>
      <w:r w:rsidRPr="00472578">
        <w:t xml:space="preserve"> also apply.</w:t>
      </w:r>
    </w:p>
    <w:p w14:paraId="2B112965" w14:textId="063DC127" w:rsidR="00570759" w:rsidRPr="00472578" w:rsidRDefault="00570759" w:rsidP="00E92686">
      <w:pPr>
        <w:jc w:val="both"/>
      </w:pPr>
      <w:r w:rsidRPr="00472578">
        <w:t xml:space="preserve">The potential magnitude of adverse </w:t>
      </w:r>
      <w:r w:rsidRPr="00472578">
        <w:rPr>
          <w:i/>
          <w:iCs/>
        </w:rPr>
        <w:t>effects</w:t>
      </w:r>
      <w:r w:rsidRPr="00472578">
        <w:t xml:space="preserve"> and </w:t>
      </w:r>
      <w:r w:rsidRPr="00472578">
        <w:rPr>
          <w:i/>
          <w:iCs/>
        </w:rPr>
        <w:t>functional</w:t>
      </w:r>
      <w:r w:rsidRPr="00472578">
        <w:t xml:space="preserve"> </w:t>
      </w:r>
      <w:r w:rsidR="0062412A" w:rsidRPr="00472578">
        <w:rPr>
          <w:i/>
          <w:iCs/>
          <w:u w:val="single"/>
        </w:rPr>
        <w:t>needs</w:t>
      </w:r>
      <w:r w:rsidR="00810147" w:rsidRPr="00472578">
        <w:rPr>
          <w:i/>
          <w:iCs/>
          <w:u w:val="single"/>
        </w:rPr>
        <w:t xml:space="preserve"> </w:t>
      </w:r>
      <w:r w:rsidR="0062412A" w:rsidRPr="006F44B8">
        <w:rPr>
          <w:rStyle w:val="FootnoteReference"/>
        </w:rPr>
        <w:footnoteReference w:id="1113"/>
      </w:r>
      <w:r w:rsidRPr="00472578">
        <w:t xml:space="preserve">and </w:t>
      </w:r>
      <w:r w:rsidRPr="00472578">
        <w:rPr>
          <w:i/>
          <w:iCs/>
        </w:rPr>
        <w:t>operational needs</w:t>
      </w:r>
      <w:r w:rsidRPr="00472578">
        <w:t xml:space="preserve"> associated with </w:t>
      </w:r>
      <w:r w:rsidRPr="00472578">
        <w:rPr>
          <w:i/>
          <w:iCs/>
        </w:rPr>
        <w:t>renewable electricity generation activities</w:t>
      </w:r>
      <w:r w:rsidRPr="00472578">
        <w:t xml:space="preserve"> is recognised by requiring consideration of those needs, and the extent to which unavoidable </w:t>
      </w:r>
      <w:r w:rsidRPr="00472578">
        <w:rPr>
          <w:i/>
        </w:rPr>
        <w:t>effects</w:t>
      </w:r>
      <w:r w:rsidRPr="00472578">
        <w:t xml:space="preserve"> can be remedied or mitigated. Where residual adverse </w:t>
      </w:r>
      <w:r w:rsidRPr="00472578">
        <w:rPr>
          <w:i/>
        </w:rPr>
        <w:t>effects</w:t>
      </w:r>
      <w:r w:rsidRPr="00472578">
        <w:t xml:space="preserve"> remain, consideration is given to proposals to offset these, or compensate for them.</w:t>
      </w:r>
      <w:r w:rsidR="00DE73D9">
        <w:t xml:space="preserve"> </w:t>
      </w:r>
      <w:r w:rsidRPr="00472578">
        <w:t>Increasing energy security will assist with ensuring that communities have options for clean heat.</w:t>
      </w:r>
    </w:p>
    <w:p w14:paraId="4C6DCAD4" w14:textId="338E3BD1" w:rsidR="00570759" w:rsidRPr="00472578" w:rsidRDefault="00570759" w:rsidP="00E92686">
      <w:pPr>
        <w:jc w:val="both"/>
      </w:pPr>
      <w:r w:rsidRPr="00472578">
        <w:t xml:space="preserve">To ensure the on-going functionality of </w:t>
      </w:r>
      <w:bookmarkStart w:id="224" w:name="_Hlk95882539"/>
      <w:r w:rsidRPr="639E38F9">
        <w:rPr>
          <w:i/>
          <w:u w:val="single"/>
        </w:rPr>
        <w:t>renewable electricity generation</w:t>
      </w:r>
      <w:r w:rsidRPr="639E38F9">
        <w:rPr>
          <w:rStyle w:val="FootnoteReference"/>
        </w:rPr>
        <w:footnoteReference w:id="1114"/>
      </w:r>
      <w:r w:rsidRPr="00472578">
        <w:t xml:space="preserve"> </w:t>
      </w:r>
      <w:bookmarkEnd w:id="224"/>
      <w:r w:rsidRPr="00472578">
        <w:t xml:space="preserve">assets and to maximise their benefits, reverse sensitivity </w:t>
      </w:r>
      <w:r w:rsidRPr="00472578">
        <w:rPr>
          <w:i/>
          <w:iCs/>
        </w:rPr>
        <w:t>effects</w:t>
      </w:r>
      <w:r w:rsidRPr="00472578">
        <w:t xml:space="preserve"> or activities that may compromise the operation or maintenance of </w:t>
      </w:r>
      <w:r w:rsidRPr="00472578">
        <w:rPr>
          <w:i/>
          <w:iCs/>
        </w:rPr>
        <w:t>renewable electricity generation activities</w:t>
      </w:r>
      <w:r w:rsidRPr="00472578">
        <w:t xml:space="preserve"> are to be avoided or their impacts minimised. </w:t>
      </w:r>
    </w:p>
    <w:p w14:paraId="2B0AF744" w14:textId="77777777" w:rsidR="00570759" w:rsidRPr="00472578" w:rsidRDefault="00570759" w:rsidP="00E92686">
      <w:pPr>
        <w:jc w:val="both"/>
      </w:pPr>
      <w:r w:rsidRPr="00472578">
        <w:t xml:space="preserve">The policies also seek that energy use is efficient and energy waste is reduced, which will have consequential </w:t>
      </w:r>
      <w:r w:rsidRPr="00472578">
        <w:rPr>
          <w:i/>
        </w:rPr>
        <w:t>effects</w:t>
      </w:r>
      <w:r w:rsidRPr="00472578">
        <w:t xml:space="preserve"> on minimising Otago’s contribution to the nation’s </w:t>
      </w:r>
      <w:r w:rsidRPr="00472578">
        <w:rPr>
          <w:i/>
          <w:iCs/>
        </w:rPr>
        <w:t>greenhouse gas</w:t>
      </w:r>
      <w:r w:rsidRPr="00472578">
        <w:t xml:space="preserve"> emissions.</w:t>
      </w:r>
    </w:p>
    <w:p w14:paraId="5EBCB3C8" w14:textId="77777777" w:rsidR="00570759" w:rsidRPr="00472578" w:rsidRDefault="00570759" w:rsidP="00E92686">
      <w:pPr>
        <w:pStyle w:val="Heading4"/>
        <w:jc w:val="both"/>
      </w:pPr>
      <w:bookmarkStart w:id="225" w:name="_Toc56620245"/>
      <w:r w:rsidRPr="00472578">
        <w:t>Principal reasons</w:t>
      </w:r>
      <w:bookmarkEnd w:id="225"/>
    </w:p>
    <w:p w14:paraId="0849F5D2" w14:textId="77777777" w:rsidR="00570759" w:rsidRPr="00472578" w:rsidRDefault="00570759" w:rsidP="00E92686">
      <w:pPr>
        <w:pStyle w:val="Heading5"/>
        <w:jc w:val="both"/>
      </w:pPr>
      <w:r w:rsidRPr="00472578">
        <w:t xml:space="preserve">EIT-EN-PR1 – Principal reasons </w:t>
      </w:r>
    </w:p>
    <w:p w14:paraId="18683DED" w14:textId="77777777" w:rsidR="00570759" w:rsidRPr="00472578" w:rsidRDefault="00570759" w:rsidP="00E92686">
      <w:pPr>
        <w:jc w:val="both"/>
      </w:pPr>
      <w:r w:rsidRPr="00472578">
        <w:t xml:space="preserve">Energy is a basic requirement of life in Otago. It enables communities to provide for their well-being, and health and safety, and is essential to the regional economy. Everyday life is significantly affected when energy supply is disrupted. Therefore, ensuring the security of energy supplies that meet demand is crucial. The ability of existing energy generation activities to continue operating is dependent on access to resources such as </w:t>
      </w:r>
      <w:r w:rsidRPr="00472578">
        <w:rPr>
          <w:i/>
          <w:iCs/>
        </w:rPr>
        <w:t>water</w:t>
      </w:r>
      <w:r w:rsidRPr="00472578">
        <w:t xml:space="preserve"> in hydro </w:t>
      </w:r>
      <w:r w:rsidRPr="00472578">
        <w:rPr>
          <w:i/>
          <w:iCs/>
        </w:rPr>
        <w:t>lakes</w:t>
      </w:r>
      <w:r w:rsidRPr="00472578">
        <w:t xml:space="preserve"> and the operator’s ability to maintain existing </w:t>
      </w:r>
      <w:r w:rsidRPr="00472578">
        <w:rPr>
          <w:i/>
          <w:iCs/>
        </w:rPr>
        <w:t>infrastructure</w:t>
      </w:r>
      <w:r w:rsidRPr="00472578">
        <w:t xml:space="preserve">. </w:t>
      </w:r>
    </w:p>
    <w:p w14:paraId="721C6F42" w14:textId="77777777" w:rsidR="00570759" w:rsidRPr="00472578" w:rsidRDefault="00570759" w:rsidP="00E92686">
      <w:pPr>
        <w:jc w:val="both"/>
      </w:pPr>
      <w:r w:rsidRPr="00472578">
        <w:t xml:space="preserve">Otago is fortunate to have several existing </w:t>
      </w:r>
      <w:r w:rsidRPr="00472578">
        <w:rPr>
          <w:i/>
          <w:iCs/>
        </w:rPr>
        <w:t>renewable electricity generation</w:t>
      </w:r>
      <w:r w:rsidRPr="00472578">
        <w:t xml:space="preserve"> sites and potential to increase </w:t>
      </w:r>
      <w:r w:rsidRPr="00472578">
        <w:rPr>
          <w:i/>
          <w:iCs/>
        </w:rPr>
        <w:t>renewable electricity generation</w:t>
      </w:r>
      <w:r w:rsidRPr="00472578">
        <w:t xml:space="preserve">. The benefits of </w:t>
      </w:r>
      <w:r w:rsidRPr="00472578">
        <w:rPr>
          <w:i/>
          <w:iCs/>
        </w:rPr>
        <w:t>renewable electricity generation</w:t>
      </w:r>
      <w:r w:rsidRPr="00472578">
        <w:t xml:space="preserve"> include reducing </w:t>
      </w:r>
      <w:r w:rsidRPr="00472578">
        <w:rPr>
          <w:i/>
          <w:iCs/>
        </w:rPr>
        <w:t>greenhouse gas</w:t>
      </w:r>
      <w:r w:rsidRPr="00472578">
        <w:t xml:space="preserve"> emissions, dependence on imported energy and greater supply security. These benefits are afforded to Otago communities and nationally as exported energy is significant for </w:t>
      </w:r>
      <w:r w:rsidRPr="00472578">
        <w:lastRenderedPageBreak/>
        <w:t xml:space="preserve">other regions. Because of this, providing for new </w:t>
      </w:r>
      <w:r w:rsidRPr="00472578">
        <w:rPr>
          <w:i/>
          <w:iCs/>
        </w:rPr>
        <w:t>renewable electricity generation</w:t>
      </w:r>
      <w:r w:rsidRPr="00472578">
        <w:t xml:space="preserve"> opportunities to meet increasing energy demand is necessary. Additionally, addressing inefficiencies in energy use can ensure that existing </w:t>
      </w:r>
      <w:r w:rsidRPr="00472578">
        <w:rPr>
          <w:i/>
          <w:iCs/>
        </w:rPr>
        <w:t>infrastructure</w:t>
      </w:r>
      <w:r w:rsidRPr="00472578">
        <w:t xml:space="preserve"> is better utilised to reduce the need for new generation sites.</w:t>
      </w:r>
    </w:p>
    <w:p w14:paraId="47E51FBA" w14:textId="0A27A31A" w:rsidR="00570759" w:rsidRPr="00472578" w:rsidRDefault="00570759" w:rsidP="00E92686">
      <w:pPr>
        <w:jc w:val="both"/>
      </w:pPr>
      <w:r w:rsidRPr="00472578">
        <w:rPr>
          <w:i/>
          <w:iCs/>
        </w:rPr>
        <w:t>Renewable electricity generation</w:t>
      </w:r>
      <w:r w:rsidRPr="00472578">
        <w:t xml:space="preserve"> facilities can cause significant adverse </w:t>
      </w:r>
      <w:r w:rsidRPr="00472578">
        <w:rPr>
          <w:i/>
          <w:iCs/>
        </w:rPr>
        <w:t>effects</w:t>
      </w:r>
      <w:r w:rsidRPr="00472578">
        <w:t xml:space="preserve"> on the environment because of their </w:t>
      </w:r>
      <w:r w:rsidRPr="00472578">
        <w:rPr>
          <w:i/>
          <w:iCs/>
        </w:rPr>
        <w:t>functional need</w:t>
      </w:r>
      <w:r w:rsidRPr="00472578">
        <w:t xml:space="preserve"> to locate </w:t>
      </w:r>
      <w:proofErr w:type="gramStart"/>
      <w:r w:rsidRPr="00472578">
        <w:t>in particular areas</w:t>
      </w:r>
      <w:proofErr w:type="gramEnd"/>
      <w:r w:rsidRPr="00472578">
        <w:t xml:space="preserve">. These areas are where resources are available, for example </w:t>
      </w:r>
      <w:r w:rsidRPr="00472578">
        <w:rPr>
          <w:i/>
          <w:iCs/>
        </w:rPr>
        <w:t>water</w:t>
      </w:r>
      <w:r w:rsidRPr="00472578">
        <w:t xml:space="preserve"> for hydro-electricity generation, but they may also contain other significant values such as outstanding natural features or landscapes, significant </w:t>
      </w:r>
      <w:r w:rsidRPr="00472578">
        <w:rPr>
          <w:i/>
          <w:iCs/>
        </w:rPr>
        <w:t xml:space="preserve">indigenous </w:t>
      </w:r>
      <w:proofErr w:type="gramStart"/>
      <w:r w:rsidRPr="00472578">
        <w:rPr>
          <w:i/>
          <w:iCs/>
        </w:rPr>
        <w:t>vegetation</w:t>
      </w:r>
      <w:proofErr w:type="gramEnd"/>
      <w:r w:rsidRPr="00472578">
        <w:t xml:space="preserve"> or sites of significance to </w:t>
      </w:r>
      <w:r w:rsidRPr="00472578">
        <w:rPr>
          <w:i/>
        </w:rPr>
        <w:t>mana whenua</w:t>
      </w:r>
      <w:r w:rsidRPr="00472578">
        <w:t xml:space="preserve"> values. In some situations, it may not be possible to avoid adverse </w:t>
      </w:r>
      <w:r w:rsidRPr="00472578">
        <w:rPr>
          <w:i/>
          <w:iCs/>
        </w:rPr>
        <w:t>effects</w:t>
      </w:r>
      <w:r w:rsidRPr="00472578">
        <w:t xml:space="preserve"> on these significant values after considering alternative sites or design options. In these circumstances the </w:t>
      </w:r>
      <w:r w:rsidRPr="00472578">
        <w:rPr>
          <w:i/>
          <w:iCs/>
        </w:rPr>
        <w:t>effects</w:t>
      </w:r>
      <w:r w:rsidRPr="00472578">
        <w:t xml:space="preserve"> should be remedied or mitigated, and consideration should be given to whether those </w:t>
      </w:r>
      <w:r w:rsidRPr="00472578">
        <w:rPr>
          <w:i/>
        </w:rPr>
        <w:t>effects</w:t>
      </w:r>
      <w:r w:rsidRPr="00472578">
        <w:t xml:space="preserve"> that cannot be avoided are offset or compensated.</w:t>
      </w:r>
    </w:p>
    <w:p w14:paraId="3BFEFA03" w14:textId="2F87096D" w:rsidR="00570759" w:rsidRPr="00472578" w:rsidRDefault="00570759" w:rsidP="00E92686">
      <w:pPr>
        <w:jc w:val="both"/>
      </w:pPr>
      <w:r w:rsidRPr="00472578">
        <w:t>The provisions in this chapter assist in giving effect to the NPSREG and NPSFM and implementing section 7(j) of the RMA</w:t>
      </w:r>
      <w:r w:rsidRPr="009F7BBC">
        <w:rPr>
          <w:strike/>
        </w:rPr>
        <w:t xml:space="preserve"> 1991</w:t>
      </w:r>
      <w:r w:rsidRPr="00472578">
        <w:t>.</w:t>
      </w:r>
      <w:r w:rsidR="00AB0A92">
        <w:rPr>
          <w:rStyle w:val="FootnoteReference"/>
        </w:rPr>
        <w:footnoteReference w:id="1115"/>
      </w:r>
      <w:r w:rsidRPr="00472578">
        <w:t xml:space="preserve"> Implementation of the provisions will occur primarily through </w:t>
      </w:r>
      <w:r w:rsidRPr="00472578">
        <w:rPr>
          <w:i/>
          <w:iCs/>
        </w:rPr>
        <w:t>regional</w:t>
      </w:r>
      <w:r w:rsidRPr="00472578">
        <w:t xml:space="preserve"> </w:t>
      </w:r>
      <w:r w:rsidR="00322E6F" w:rsidRPr="00472578">
        <w:rPr>
          <w:i/>
          <w:iCs/>
          <w:u w:val="single"/>
        </w:rPr>
        <w:t>plans</w:t>
      </w:r>
      <w:r w:rsidR="00322E6F" w:rsidRPr="00472578">
        <w:rPr>
          <w:rStyle w:val="FootnoteReference"/>
        </w:rPr>
        <w:footnoteReference w:id="1116"/>
      </w:r>
      <w:r w:rsidR="00CB78D6">
        <w:t xml:space="preserve"> a</w:t>
      </w:r>
      <w:r w:rsidRPr="00472578">
        <w:t xml:space="preserve">nd </w:t>
      </w:r>
      <w:r w:rsidRPr="00472578">
        <w:rPr>
          <w:i/>
          <w:iCs/>
        </w:rPr>
        <w:t>district plan</w:t>
      </w:r>
      <w:r w:rsidRPr="00472578">
        <w:t xml:space="preserve"> provisions but regional, city and district councils also have a role in providing education and information to the community.</w:t>
      </w:r>
    </w:p>
    <w:p w14:paraId="3FCA1DF5" w14:textId="77777777" w:rsidR="00570759" w:rsidRPr="00472578" w:rsidRDefault="00570759" w:rsidP="00E92686">
      <w:pPr>
        <w:jc w:val="both"/>
      </w:pPr>
    </w:p>
    <w:p w14:paraId="47EC03D0" w14:textId="77777777" w:rsidR="00570759" w:rsidRPr="00472578" w:rsidRDefault="00570759" w:rsidP="00E92686">
      <w:pPr>
        <w:pStyle w:val="Heading4"/>
        <w:jc w:val="both"/>
      </w:pPr>
      <w:bookmarkStart w:id="226" w:name="_Toc56620246"/>
      <w:r w:rsidRPr="00472578">
        <w:t>Anticipated environmental results</w:t>
      </w:r>
      <w:bookmarkStart w:id="227" w:name="_Hlk47946937"/>
      <w:bookmarkEnd w:id="226"/>
    </w:p>
    <w:bookmarkEnd w:id="227"/>
    <w:p w14:paraId="445B2B2A" w14:textId="0EDA5F40" w:rsidR="00570759" w:rsidRPr="00472578" w:rsidRDefault="00570759" w:rsidP="00E92686">
      <w:pPr>
        <w:ind w:left="2160" w:hanging="2160"/>
        <w:jc w:val="both"/>
      </w:pPr>
      <w:r w:rsidRPr="00472578">
        <w:rPr>
          <w:b/>
          <w:bCs/>
          <w:color w:val="1F3864" w:themeColor="accent1" w:themeShade="80"/>
        </w:rPr>
        <w:t>EIT-EN-AER1</w:t>
      </w:r>
      <w:r w:rsidRPr="00472578">
        <w:rPr>
          <w:color w:val="1F3864" w:themeColor="accent1" w:themeShade="80"/>
        </w:rPr>
        <w:t xml:space="preserve"> </w:t>
      </w:r>
      <w:r w:rsidRPr="00472578">
        <w:tab/>
        <w:t xml:space="preserve">The proportion of electricity generated by </w:t>
      </w:r>
      <w:r w:rsidRPr="00472578">
        <w:rPr>
          <w:i/>
          <w:iCs/>
        </w:rPr>
        <w:t>renewable energy generation activities</w:t>
      </w:r>
      <w:r w:rsidRPr="00472578">
        <w:t xml:space="preserve"> (including </w:t>
      </w:r>
      <w:r w:rsidRPr="00064BA4">
        <w:rPr>
          <w:strike/>
        </w:rPr>
        <w:t>small and community scale electricity generation</w:t>
      </w:r>
      <w:r w:rsidR="00064BA4">
        <w:t xml:space="preserve"> </w:t>
      </w:r>
      <w:r w:rsidR="00064BA4" w:rsidRPr="00B44B93">
        <w:rPr>
          <w:rFonts w:ascii="Calibri" w:hAnsi="Calibri" w:cs="Calibri"/>
          <w:i/>
          <w:u w:val="single"/>
        </w:rPr>
        <w:t>small and community scale distributed electricity generation</w:t>
      </w:r>
      <w:r w:rsidR="00B44B93" w:rsidRPr="00435EE2">
        <w:rPr>
          <w:rStyle w:val="FootnoteReference"/>
          <w:rFonts w:ascii="Calibri" w:hAnsi="Calibri" w:cs="Calibri"/>
        </w:rPr>
        <w:footnoteReference w:id="1117"/>
      </w:r>
      <w:r w:rsidRPr="00472578">
        <w:t>) in Otago increases over time.</w:t>
      </w:r>
    </w:p>
    <w:p w14:paraId="7893B39C" w14:textId="77777777" w:rsidR="00570759" w:rsidRPr="00472578" w:rsidRDefault="00570759" w:rsidP="00E92686">
      <w:pPr>
        <w:ind w:left="2160" w:hanging="2160"/>
        <w:jc w:val="both"/>
      </w:pPr>
      <w:r w:rsidRPr="00472578">
        <w:rPr>
          <w:b/>
          <w:bCs/>
          <w:color w:val="1F3864" w:themeColor="accent1" w:themeShade="80"/>
        </w:rPr>
        <w:t>EIT-EN-AER2</w:t>
      </w:r>
      <w:r w:rsidRPr="00472578">
        <w:rPr>
          <w:color w:val="1F3864" w:themeColor="accent1" w:themeShade="80"/>
        </w:rPr>
        <w:t xml:space="preserve"> </w:t>
      </w:r>
      <w:r w:rsidRPr="00472578">
        <w:tab/>
        <w:t>Energy use in Otago becomes more efficient over time and security of supply is maintained.</w:t>
      </w:r>
    </w:p>
    <w:p w14:paraId="555E6134" w14:textId="77777777" w:rsidR="00570759" w:rsidRPr="00472578" w:rsidRDefault="00570759" w:rsidP="00E92686">
      <w:pPr>
        <w:ind w:left="2160" w:hanging="2160"/>
        <w:jc w:val="both"/>
      </w:pPr>
      <w:r w:rsidRPr="00472578">
        <w:rPr>
          <w:b/>
          <w:bCs/>
          <w:color w:val="1F3864" w:themeColor="accent1" w:themeShade="80"/>
        </w:rPr>
        <w:t xml:space="preserve">EIT-EN-AER3 </w:t>
      </w:r>
      <w:bookmarkStart w:id="228" w:name="_Hlk49157240"/>
      <w:r w:rsidRPr="00472578">
        <w:tab/>
        <w:t xml:space="preserve">The adverse </w:t>
      </w:r>
      <w:r w:rsidRPr="00472578">
        <w:rPr>
          <w:i/>
        </w:rPr>
        <w:t>effects</w:t>
      </w:r>
      <w:r w:rsidRPr="00472578">
        <w:t xml:space="preserve"> associated with </w:t>
      </w:r>
      <w:r w:rsidRPr="00472578">
        <w:rPr>
          <w:i/>
          <w:iCs/>
        </w:rPr>
        <w:t>renewable energy generation activities</w:t>
      </w:r>
      <w:r w:rsidRPr="00472578">
        <w:t xml:space="preserve"> are minimised. </w:t>
      </w:r>
    </w:p>
    <w:bookmarkEnd w:id="228"/>
    <w:p w14:paraId="20C3F9B5" w14:textId="77777777" w:rsidR="00570759" w:rsidRPr="00472578" w:rsidRDefault="00570759" w:rsidP="00E92686">
      <w:pPr>
        <w:ind w:left="2160" w:hanging="2160"/>
        <w:jc w:val="both"/>
        <w:rPr>
          <w:rFonts w:asciiTheme="majorHAnsi" w:eastAsiaTheme="majorEastAsia" w:hAnsiTheme="majorHAnsi" w:cstheme="majorBidi"/>
          <w:color w:val="2F5496" w:themeColor="accent1" w:themeShade="BF"/>
          <w:sz w:val="32"/>
          <w:szCs w:val="26"/>
        </w:rPr>
      </w:pPr>
      <w:r w:rsidRPr="00472578">
        <w:rPr>
          <w:b/>
          <w:bCs/>
          <w:color w:val="1F3864" w:themeColor="accent1" w:themeShade="80"/>
        </w:rPr>
        <w:t>EIT-EN-AER4</w:t>
      </w:r>
      <w:r w:rsidRPr="00472578">
        <w:rPr>
          <w:color w:val="1F3864" w:themeColor="accent1" w:themeShade="80"/>
        </w:rPr>
        <w:t xml:space="preserve"> </w:t>
      </w:r>
      <w:r w:rsidRPr="00472578">
        <w:tab/>
        <w:t xml:space="preserve">The proportion of </w:t>
      </w:r>
      <w:r w:rsidRPr="00472578">
        <w:rPr>
          <w:i/>
          <w:iCs/>
        </w:rPr>
        <w:t>greenhouse gas</w:t>
      </w:r>
      <w:r w:rsidRPr="00472578">
        <w:t xml:space="preserve"> emissions per capita from energy generation reduces over time.</w:t>
      </w:r>
    </w:p>
    <w:p w14:paraId="16D134B7" w14:textId="77777777" w:rsidR="00570759" w:rsidRPr="00472578" w:rsidRDefault="00570759" w:rsidP="00E92686">
      <w:pPr>
        <w:pStyle w:val="Heading3"/>
        <w:jc w:val="both"/>
      </w:pPr>
      <w:bookmarkStart w:id="229" w:name="_Toc56620247"/>
      <w:r w:rsidRPr="00472578">
        <w:rPr>
          <w:u w:val="single"/>
        </w:rPr>
        <w:t>EIT-</w:t>
      </w:r>
      <w:r w:rsidRPr="00472578">
        <w:t>INF – Infrastructure</w:t>
      </w:r>
      <w:bookmarkEnd w:id="229"/>
      <w:r w:rsidRPr="00472578">
        <w:rPr>
          <w:rStyle w:val="FootnoteReference"/>
          <w:b w:val="0"/>
          <w:bCs/>
          <w:color w:val="auto"/>
        </w:rPr>
        <w:footnoteReference w:id="1118"/>
      </w:r>
    </w:p>
    <w:p w14:paraId="72DFFD23" w14:textId="77777777" w:rsidR="00570759" w:rsidRPr="00472578" w:rsidRDefault="00570759" w:rsidP="00E92686">
      <w:pPr>
        <w:pStyle w:val="Heading4"/>
        <w:jc w:val="both"/>
      </w:pPr>
      <w:bookmarkStart w:id="230" w:name="_Toc56620248"/>
      <w:r w:rsidRPr="00472578">
        <w:t>Objectives</w:t>
      </w:r>
      <w:bookmarkEnd w:id="230"/>
    </w:p>
    <w:p w14:paraId="15FF0B73" w14:textId="77777777" w:rsidR="00570759" w:rsidRPr="00472578" w:rsidRDefault="00570759" w:rsidP="00E92686">
      <w:pPr>
        <w:pStyle w:val="Heading5"/>
        <w:jc w:val="both"/>
      </w:pPr>
      <w:r w:rsidRPr="00472578">
        <w:t xml:space="preserve">EIT-INF-O4 – Provision of </w:t>
      </w:r>
      <w:r w:rsidRPr="00472578">
        <w:rPr>
          <w:i/>
        </w:rPr>
        <w:t>infrastructure</w:t>
      </w:r>
      <w:r w:rsidRPr="00472578">
        <w:t xml:space="preserve"> </w:t>
      </w:r>
    </w:p>
    <w:p w14:paraId="7466E542" w14:textId="4EBFFEE0" w:rsidR="00570759" w:rsidRPr="00472578" w:rsidRDefault="00570759" w:rsidP="00E92686">
      <w:pPr>
        <w:jc w:val="both"/>
      </w:pPr>
      <w:r w:rsidRPr="00472578">
        <w:t xml:space="preserve">Effective, </w:t>
      </w:r>
      <w:proofErr w:type="gramStart"/>
      <w:r w:rsidRPr="00472578">
        <w:t>efficient</w:t>
      </w:r>
      <w:proofErr w:type="gramEnd"/>
      <w:r w:rsidRPr="00472578">
        <w:t xml:space="preserve"> and resilient </w:t>
      </w:r>
      <w:r w:rsidRPr="00472578">
        <w:rPr>
          <w:i/>
          <w:iCs/>
        </w:rPr>
        <w:t>infrastructure</w:t>
      </w:r>
      <w:r w:rsidR="0013309D" w:rsidRPr="008C3D37">
        <w:rPr>
          <w:i/>
          <w:u w:val="single"/>
        </w:rPr>
        <w:t xml:space="preserve">, nationally </w:t>
      </w:r>
      <w:r w:rsidR="0013309D" w:rsidRPr="003E180F">
        <w:rPr>
          <w:i/>
          <w:u w:val="single"/>
        </w:rPr>
        <w:t xml:space="preserve">significant infrastructure </w:t>
      </w:r>
      <w:r w:rsidR="0013309D" w:rsidRPr="003E180F">
        <w:rPr>
          <w:u w:val="single"/>
        </w:rPr>
        <w:t>and</w:t>
      </w:r>
      <w:r w:rsidR="0013309D" w:rsidRPr="003E180F">
        <w:rPr>
          <w:i/>
          <w:u w:val="single"/>
        </w:rPr>
        <w:t xml:space="preserve"> regionally significant infrastructure</w:t>
      </w:r>
      <w:r w:rsidR="0013309D" w:rsidRPr="002C5E38">
        <w:rPr>
          <w:rStyle w:val="FootnoteReference"/>
        </w:rPr>
        <w:footnoteReference w:id="1119"/>
      </w:r>
      <w:r w:rsidRPr="00472578">
        <w:t xml:space="preserve"> enables the people and communities of Otago to provide for their social </w:t>
      </w:r>
      <w:r w:rsidRPr="00472578">
        <w:lastRenderedPageBreak/>
        <w:t xml:space="preserve">and cultural well-being, their health and safety, and supports sustainable economic development and growth </w:t>
      </w:r>
      <w:r w:rsidRPr="00472578">
        <w:rPr>
          <w:u w:val="single"/>
        </w:rPr>
        <w:t>in</w:t>
      </w:r>
      <w:r w:rsidRPr="00472578">
        <w:t xml:space="preserve"> </w:t>
      </w:r>
      <w:r w:rsidRPr="00472578">
        <w:rPr>
          <w:strike/>
        </w:rPr>
        <w:t>within</w:t>
      </w:r>
      <w:r w:rsidRPr="00472578">
        <w:t xml:space="preserve"> the region</w:t>
      </w:r>
      <w:r w:rsidRPr="00472578">
        <w:rPr>
          <w:u w:val="single"/>
        </w:rPr>
        <w:t>,</w:t>
      </w:r>
      <w:r w:rsidRPr="00472578">
        <w:rPr>
          <w:rStyle w:val="FootnoteReference"/>
        </w:rPr>
        <w:footnoteReference w:id="1120"/>
      </w:r>
      <w:r w:rsidRPr="00472578">
        <w:t xml:space="preserve"> within </w:t>
      </w:r>
      <w:r w:rsidRPr="00472578">
        <w:rPr>
          <w:i/>
          <w:iCs/>
        </w:rPr>
        <w:t>environmental limits</w:t>
      </w:r>
      <w:r w:rsidR="000B4FF4" w:rsidRPr="00472578">
        <w:t>.</w:t>
      </w:r>
      <w:r w:rsidRPr="00472578">
        <w:t xml:space="preserve"> </w:t>
      </w:r>
    </w:p>
    <w:p w14:paraId="2A7614CE" w14:textId="77777777" w:rsidR="00570759" w:rsidRPr="00472578" w:rsidRDefault="00570759" w:rsidP="00E92686">
      <w:pPr>
        <w:pStyle w:val="Heading5"/>
        <w:jc w:val="both"/>
      </w:pPr>
      <w:r w:rsidRPr="00472578">
        <w:t xml:space="preserve">EIT-INF-O5 – Integration </w:t>
      </w:r>
    </w:p>
    <w:p w14:paraId="0F08F82F" w14:textId="0C5AA227" w:rsidR="00570759" w:rsidRPr="00472578" w:rsidRDefault="00570759" w:rsidP="00E92686">
      <w:pPr>
        <w:jc w:val="both"/>
      </w:pPr>
      <w:r w:rsidRPr="00472578">
        <w:t>Development of</w:t>
      </w:r>
      <w:r w:rsidRPr="00472578">
        <w:rPr>
          <w:i/>
          <w:iCs/>
        </w:rPr>
        <w:t xml:space="preserve"> </w:t>
      </w:r>
      <w:r w:rsidRPr="00472578">
        <w:rPr>
          <w:i/>
          <w:iCs/>
          <w:strike/>
        </w:rPr>
        <w:t xml:space="preserve">nationally </w:t>
      </w:r>
      <w:r w:rsidRPr="00472578">
        <w:rPr>
          <w:strike/>
        </w:rPr>
        <w:t xml:space="preserve">and </w:t>
      </w:r>
      <w:r w:rsidRPr="00472578">
        <w:rPr>
          <w:i/>
          <w:iCs/>
          <w:strike/>
        </w:rPr>
        <w:t>regionally significant</w:t>
      </w:r>
      <w:r w:rsidRPr="00472578">
        <w:rPr>
          <w:rStyle w:val="FootnoteReference"/>
        </w:rPr>
        <w:footnoteReference w:id="1121"/>
      </w:r>
      <w:r w:rsidRPr="00472578">
        <w:rPr>
          <w:i/>
          <w:iCs/>
        </w:rPr>
        <w:t xml:space="preserve"> </w:t>
      </w:r>
      <w:r w:rsidR="00AF57CD" w:rsidRPr="00264C44">
        <w:rPr>
          <w:i/>
          <w:u w:val="single"/>
        </w:rPr>
        <w:t xml:space="preserve">nationally significant infrastructure </w:t>
      </w:r>
      <w:r w:rsidR="00AF57CD" w:rsidRPr="00264C44">
        <w:rPr>
          <w:u w:val="single"/>
        </w:rPr>
        <w:t>and</w:t>
      </w:r>
      <w:r w:rsidR="00AF57CD" w:rsidRPr="00264C44">
        <w:rPr>
          <w:i/>
          <w:u w:val="single"/>
        </w:rPr>
        <w:t xml:space="preserve"> regionally significant infrastructure</w:t>
      </w:r>
      <w:r w:rsidR="00AF57CD" w:rsidRPr="008D5DD4">
        <w:rPr>
          <w:rStyle w:val="FootnoteReference"/>
        </w:rPr>
        <w:footnoteReference w:id="1122"/>
      </w:r>
      <w:r w:rsidR="008D5DD4" w:rsidRPr="008D5DD4">
        <w:t xml:space="preserve"> </w:t>
      </w:r>
      <w:r w:rsidRPr="00472578">
        <w:t xml:space="preserve">as well as </w:t>
      </w:r>
      <w:r w:rsidRPr="00472578">
        <w:rPr>
          <w:i/>
        </w:rPr>
        <w:t>land</w:t>
      </w:r>
      <w:r w:rsidRPr="00472578">
        <w:t xml:space="preserve"> use change, occurs in a co-ordinated manner </w:t>
      </w:r>
      <w:bookmarkStart w:id="231" w:name="_Hlk94979695"/>
      <w:r w:rsidRPr="00472578">
        <w:t xml:space="preserve">to </w:t>
      </w:r>
      <w:r w:rsidRPr="00472578">
        <w:rPr>
          <w:u w:val="single"/>
        </w:rPr>
        <w:t>avoid or</w:t>
      </w:r>
      <w:r w:rsidRPr="00472578">
        <w:rPr>
          <w:rStyle w:val="FootnoteReference"/>
        </w:rPr>
        <w:footnoteReference w:id="1123"/>
      </w:r>
      <w:r w:rsidRPr="00472578">
        <w:t xml:space="preserve"> minimise </w:t>
      </w:r>
      <w:bookmarkEnd w:id="231"/>
      <w:r w:rsidRPr="00472578">
        <w:t xml:space="preserve">adverse </w:t>
      </w:r>
      <w:r w:rsidRPr="00472578">
        <w:rPr>
          <w:i/>
        </w:rPr>
        <w:t>effects</w:t>
      </w:r>
      <w:r w:rsidRPr="00472578">
        <w:t xml:space="preserve"> on the </w:t>
      </w:r>
      <w:r w:rsidRPr="00472578">
        <w:rPr>
          <w:i/>
        </w:rPr>
        <w:t>environment</w:t>
      </w:r>
      <w:r w:rsidRPr="00472578">
        <w:t xml:space="preserve"> and increase efficiency in the delivery, operation and use of the </w:t>
      </w:r>
      <w:r w:rsidRPr="00472578">
        <w:rPr>
          <w:i/>
        </w:rPr>
        <w:t>infrastructure</w:t>
      </w:r>
      <w:r w:rsidRPr="00472578">
        <w:t>.</w:t>
      </w:r>
    </w:p>
    <w:p w14:paraId="6625D247" w14:textId="77777777" w:rsidR="00570759" w:rsidRPr="00472578" w:rsidRDefault="00570759" w:rsidP="00E92686">
      <w:pPr>
        <w:pStyle w:val="Heading5"/>
        <w:jc w:val="both"/>
      </w:pPr>
      <w:r w:rsidRPr="00472578">
        <w:t>EIT-INF-O6 – Long-term planning for electricity transmission infrastructure</w:t>
      </w:r>
    </w:p>
    <w:p w14:paraId="5400D844" w14:textId="77777777" w:rsidR="00570759" w:rsidRPr="00472578" w:rsidRDefault="00570759" w:rsidP="00E92686">
      <w:pPr>
        <w:jc w:val="both"/>
      </w:pPr>
      <w:r w:rsidRPr="00472578">
        <w:t xml:space="preserve">Long-term investment in, and planning for, electricity transmission </w:t>
      </w:r>
      <w:r w:rsidRPr="00472578">
        <w:rPr>
          <w:i/>
        </w:rPr>
        <w:t xml:space="preserve">infrastructure </w:t>
      </w:r>
      <w:r w:rsidRPr="00472578">
        <w:t xml:space="preserve">and its integration with </w:t>
      </w:r>
      <w:r w:rsidRPr="00472578">
        <w:rPr>
          <w:i/>
        </w:rPr>
        <w:t>land</w:t>
      </w:r>
      <w:r w:rsidRPr="00472578">
        <w:t xml:space="preserve"> use, is sustained.</w:t>
      </w:r>
    </w:p>
    <w:p w14:paraId="3F7586D0" w14:textId="77777777" w:rsidR="00570759" w:rsidRPr="00472578" w:rsidRDefault="00570759" w:rsidP="00E92686">
      <w:pPr>
        <w:pStyle w:val="Heading4"/>
        <w:jc w:val="both"/>
      </w:pPr>
      <w:bookmarkStart w:id="232" w:name="_Toc56620249"/>
      <w:r w:rsidRPr="00472578">
        <w:t>Policies</w:t>
      </w:r>
      <w:bookmarkEnd w:id="232"/>
    </w:p>
    <w:p w14:paraId="1AC1B8CD" w14:textId="77777777" w:rsidR="00570759" w:rsidRPr="00472578" w:rsidRDefault="00570759" w:rsidP="00E92686">
      <w:pPr>
        <w:pStyle w:val="Heading5"/>
        <w:jc w:val="both"/>
        <w:rPr>
          <w:i/>
          <w:iCs/>
        </w:rPr>
      </w:pPr>
      <w:r w:rsidRPr="00472578">
        <w:t xml:space="preserve">EIT-INF-P10 – Recognising resource requirements </w:t>
      </w:r>
    </w:p>
    <w:p w14:paraId="14DB3EC8" w14:textId="572D9701" w:rsidR="00570759" w:rsidRPr="00472578" w:rsidRDefault="00570759" w:rsidP="00E92686">
      <w:pPr>
        <w:jc w:val="both"/>
      </w:pPr>
      <w:r w:rsidRPr="00472578">
        <w:t xml:space="preserve">Decision making on the allocation or use of </w:t>
      </w:r>
      <w:r w:rsidRPr="00472578">
        <w:rPr>
          <w:i/>
          <w:iCs/>
        </w:rPr>
        <w:t>natural and physical resources</w:t>
      </w:r>
      <w:r w:rsidRPr="00472578">
        <w:t xml:space="preserve"> must </w:t>
      </w:r>
      <w:proofErr w:type="gramStart"/>
      <w:r w:rsidRPr="00472578">
        <w:t>take into account</w:t>
      </w:r>
      <w:proofErr w:type="gramEnd"/>
      <w:r w:rsidRPr="00472578">
        <w:t xml:space="preserve"> the </w:t>
      </w:r>
      <w:r w:rsidRPr="639E38F9">
        <w:rPr>
          <w:rFonts w:eastAsia="Calibri"/>
          <w:i/>
          <w:u w:val="single"/>
        </w:rPr>
        <w:t>functional needs</w:t>
      </w:r>
      <w:r w:rsidRPr="639E38F9">
        <w:rPr>
          <w:rFonts w:eastAsia="Calibri"/>
          <w:u w:val="single"/>
        </w:rPr>
        <w:t xml:space="preserve"> and</w:t>
      </w:r>
      <w:r w:rsidRPr="639E38F9">
        <w:rPr>
          <w:rFonts w:eastAsia="Calibri"/>
          <w:i/>
          <w:u w:val="single"/>
        </w:rPr>
        <w:t xml:space="preserve"> operational</w:t>
      </w:r>
      <w:r w:rsidRPr="639E38F9">
        <w:rPr>
          <w:rStyle w:val="FootnoteReference"/>
          <w:rFonts w:eastAsia="Calibri"/>
        </w:rPr>
        <w:footnoteReference w:id="1124"/>
      </w:r>
      <w:r w:rsidRPr="00472578">
        <w:t xml:space="preserve"> </w:t>
      </w:r>
      <w:r w:rsidRPr="00472578">
        <w:rPr>
          <w:i/>
          <w:iCs/>
        </w:rPr>
        <w:t>needs</w:t>
      </w:r>
      <w:r w:rsidRPr="00472578">
        <w:t xml:space="preserve"> of </w:t>
      </w:r>
      <w:r w:rsidRPr="00472578">
        <w:rPr>
          <w:i/>
        </w:rPr>
        <w:t xml:space="preserve">nationally </w:t>
      </w:r>
      <w:r w:rsidRPr="00472578">
        <w:rPr>
          <w:i/>
          <w:u w:val="single"/>
        </w:rPr>
        <w:t>significant infrastructure</w:t>
      </w:r>
      <w:r w:rsidRPr="00472578">
        <w:rPr>
          <w:rStyle w:val="FootnoteReference"/>
          <w:i/>
        </w:rPr>
        <w:footnoteReference w:id="1125"/>
      </w:r>
      <w:r w:rsidRPr="00472578">
        <w:rPr>
          <w:i/>
        </w:rPr>
        <w:t xml:space="preserve"> </w:t>
      </w:r>
      <w:r w:rsidRPr="00472578">
        <w:t xml:space="preserve">and </w:t>
      </w:r>
      <w:r w:rsidRPr="00472578">
        <w:rPr>
          <w:i/>
        </w:rPr>
        <w:t>regionally significant</w:t>
      </w:r>
      <w:r w:rsidRPr="00472578">
        <w:rPr>
          <w:i/>
          <w:iCs/>
        </w:rPr>
        <w:t xml:space="preserve"> infrastructure.</w:t>
      </w:r>
    </w:p>
    <w:p w14:paraId="3A043BE0" w14:textId="77777777" w:rsidR="00570759" w:rsidRPr="00472578" w:rsidRDefault="00570759" w:rsidP="00E92686">
      <w:pPr>
        <w:pStyle w:val="Heading5"/>
        <w:jc w:val="both"/>
      </w:pPr>
      <w:r w:rsidRPr="00472578">
        <w:t xml:space="preserve">EIT-INF-P11 – Operation and maintenance </w:t>
      </w:r>
    </w:p>
    <w:p w14:paraId="4F79C336" w14:textId="77777777" w:rsidR="00570759" w:rsidRPr="00472578" w:rsidRDefault="00570759" w:rsidP="00E92686">
      <w:pPr>
        <w:jc w:val="both"/>
      </w:pPr>
      <w:r w:rsidRPr="00472578">
        <w:t xml:space="preserve">Except as provided for by ECO – P4, allow for the operation and maintenance of existing </w:t>
      </w:r>
      <w:r w:rsidRPr="00472578">
        <w:rPr>
          <w:i/>
        </w:rPr>
        <w:t xml:space="preserve">nationally </w:t>
      </w:r>
      <w:r w:rsidRPr="00472578">
        <w:rPr>
          <w:i/>
          <w:u w:val="single"/>
        </w:rPr>
        <w:t>significant infrastructure</w:t>
      </w:r>
      <w:r w:rsidRPr="00472578">
        <w:rPr>
          <w:rStyle w:val="FootnoteReference"/>
          <w:i/>
        </w:rPr>
        <w:footnoteReference w:id="1126"/>
      </w:r>
      <w:r w:rsidRPr="00472578">
        <w:rPr>
          <w:i/>
        </w:rPr>
        <w:t xml:space="preserve"> </w:t>
      </w:r>
      <w:r w:rsidRPr="00472578">
        <w:t>and</w:t>
      </w:r>
      <w:r w:rsidRPr="00472578">
        <w:rPr>
          <w:i/>
        </w:rPr>
        <w:t xml:space="preserve"> regionally significant</w:t>
      </w:r>
      <w:r w:rsidRPr="00472578">
        <w:rPr>
          <w:i/>
          <w:iCs/>
        </w:rPr>
        <w:t xml:space="preserve"> infrastructure</w:t>
      </w:r>
      <w:r w:rsidRPr="00472578">
        <w:t xml:space="preserve"> while:</w:t>
      </w:r>
    </w:p>
    <w:p w14:paraId="0D42C95C" w14:textId="77777777" w:rsidR="00570759" w:rsidRPr="00472578" w:rsidRDefault="00570759" w:rsidP="00E92686">
      <w:pPr>
        <w:jc w:val="both"/>
      </w:pPr>
      <w:r w:rsidRPr="00472578">
        <w:t>(1)</w:t>
      </w:r>
      <w:r w:rsidRPr="00472578">
        <w:tab/>
        <w:t xml:space="preserve">avoiding, as the </w:t>
      </w:r>
      <w:proofErr w:type="gramStart"/>
      <w:r w:rsidRPr="00472578">
        <w:t>first priority</w:t>
      </w:r>
      <w:proofErr w:type="gramEnd"/>
      <w:r w:rsidRPr="00472578">
        <w:t xml:space="preserve">, significant adverse </w:t>
      </w:r>
      <w:r w:rsidRPr="00472578">
        <w:rPr>
          <w:i/>
          <w:iCs/>
        </w:rPr>
        <w:t>effects</w:t>
      </w:r>
      <w:r w:rsidRPr="00472578">
        <w:t xml:space="preserve"> on the </w:t>
      </w:r>
      <w:r w:rsidRPr="00472578">
        <w:rPr>
          <w:i/>
          <w:iCs/>
        </w:rPr>
        <w:t>environment</w:t>
      </w:r>
      <w:r w:rsidRPr="00472578">
        <w:t>, and</w:t>
      </w:r>
    </w:p>
    <w:p w14:paraId="5633809F" w14:textId="77777777" w:rsidR="00570759" w:rsidRPr="00472578" w:rsidRDefault="00570759" w:rsidP="00E92686">
      <w:pPr>
        <w:jc w:val="both"/>
      </w:pPr>
      <w:r w:rsidRPr="00472578">
        <w:t>(2)</w:t>
      </w:r>
      <w:r w:rsidRPr="00472578">
        <w:tab/>
        <w:t xml:space="preserve">if avoidance is not practicable, and for other adverse </w:t>
      </w:r>
      <w:r w:rsidRPr="00472578">
        <w:rPr>
          <w:i/>
          <w:iCs/>
        </w:rPr>
        <w:t xml:space="preserve">effects, </w:t>
      </w:r>
      <w:r w:rsidRPr="00472578">
        <w:t xml:space="preserve">minimising adverse </w:t>
      </w:r>
      <w:r w:rsidRPr="00472578">
        <w:rPr>
          <w:i/>
        </w:rPr>
        <w:t>effects</w:t>
      </w:r>
      <w:r w:rsidRPr="00472578">
        <w:t>.</w:t>
      </w:r>
    </w:p>
    <w:p w14:paraId="10DA486E" w14:textId="77777777" w:rsidR="00570759" w:rsidRPr="00472578" w:rsidRDefault="00570759" w:rsidP="00E92686">
      <w:pPr>
        <w:pStyle w:val="Heading5"/>
        <w:jc w:val="both"/>
        <w:rPr>
          <w:i/>
          <w:iCs/>
        </w:rPr>
      </w:pPr>
      <w:r w:rsidRPr="00472578">
        <w:t xml:space="preserve">EIT-INF-P12 – Upgrades and development </w:t>
      </w:r>
    </w:p>
    <w:p w14:paraId="21195052" w14:textId="77777777" w:rsidR="00570759" w:rsidRPr="00472578" w:rsidRDefault="00570759" w:rsidP="00E92686">
      <w:pPr>
        <w:spacing w:line="256" w:lineRule="auto"/>
        <w:jc w:val="both"/>
        <w:rPr>
          <w:rFonts w:ascii="Calibri" w:eastAsia="Calibri" w:hAnsi="Calibri" w:cs="Times New Roman"/>
        </w:rPr>
      </w:pPr>
      <w:r w:rsidRPr="00472578">
        <w:rPr>
          <w:rFonts w:ascii="Calibri" w:eastAsia="Calibri" w:hAnsi="Calibri" w:cs="Times New Roman"/>
        </w:rPr>
        <w:t xml:space="preserve">Provide for </w:t>
      </w:r>
      <w:bookmarkStart w:id="233" w:name="_Hlk95041866"/>
      <w:r w:rsidRPr="00472578">
        <w:rPr>
          <w:rFonts w:ascii="Calibri" w:eastAsia="Calibri" w:hAnsi="Calibri" w:cs="Times New Roman"/>
        </w:rPr>
        <w:t xml:space="preserve">upgrades to </w:t>
      </w:r>
      <w:r w:rsidRPr="00472578">
        <w:rPr>
          <w:rFonts w:ascii="Calibri" w:eastAsia="Calibri" w:hAnsi="Calibri" w:cs="Times New Roman"/>
          <w:u w:val="single"/>
        </w:rPr>
        <w:t>existing</w:t>
      </w:r>
      <w:r w:rsidRPr="00472578">
        <w:rPr>
          <w:rFonts w:ascii="Calibri" w:eastAsia="Calibri" w:hAnsi="Calibri" w:cs="Times New Roman"/>
        </w:rPr>
        <w:t xml:space="preserve">, and development of </w:t>
      </w:r>
      <w:r w:rsidRPr="00472578">
        <w:rPr>
          <w:rFonts w:ascii="Calibri" w:eastAsia="Calibri" w:hAnsi="Calibri" w:cs="Times New Roman"/>
          <w:u w:val="single"/>
        </w:rPr>
        <w:t>new</w:t>
      </w:r>
      <w:r w:rsidRPr="00472578">
        <w:rPr>
          <w:rStyle w:val="FootnoteReference"/>
          <w:rFonts w:ascii="Calibri" w:eastAsia="Calibri" w:hAnsi="Calibri" w:cs="Times New Roman"/>
        </w:rPr>
        <w:footnoteReference w:id="1127"/>
      </w:r>
      <w:r w:rsidRPr="00472578">
        <w:rPr>
          <w:rFonts w:ascii="Calibri" w:eastAsia="Calibri" w:hAnsi="Calibri" w:cs="Times New Roman"/>
        </w:rPr>
        <w:t xml:space="preserve">, </w:t>
      </w:r>
      <w:r w:rsidRPr="00472578">
        <w:rPr>
          <w:rFonts w:ascii="Calibri" w:eastAsia="Calibri" w:hAnsi="Calibri" w:cs="Times New Roman"/>
          <w:i/>
        </w:rPr>
        <w:t>nationally</w:t>
      </w:r>
      <w:r w:rsidRPr="00472578">
        <w:rPr>
          <w:rFonts w:ascii="Calibri" w:eastAsia="Calibri" w:hAnsi="Calibri" w:cs="Times New Roman"/>
        </w:rPr>
        <w:t xml:space="preserve"> </w:t>
      </w:r>
      <w:r w:rsidRPr="00472578">
        <w:rPr>
          <w:i/>
          <w:u w:val="single"/>
        </w:rPr>
        <w:t>significant infrastructure</w:t>
      </w:r>
      <w:r w:rsidRPr="004624B9">
        <w:rPr>
          <w:rStyle w:val="FootnoteReference"/>
        </w:rPr>
        <w:footnoteReference w:id="1128"/>
      </w:r>
      <w:r w:rsidRPr="00472578">
        <w:rPr>
          <w:i/>
        </w:rPr>
        <w:t xml:space="preserve"> </w:t>
      </w:r>
      <w:r w:rsidRPr="00472578">
        <w:rPr>
          <w:rFonts w:ascii="Calibri" w:eastAsia="Calibri" w:hAnsi="Calibri" w:cs="Times New Roman"/>
        </w:rPr>
        <w:t xml:space="preserve">or </w:t>
      </w:r>
      <w:r w:rsidRPr="00472578">
        <w:rPr>
          <w:rFonts w:ascii="Calibri" w:eastAsia="Calibri" w:hAnsi="Calibri" w:cs="Times New Roman"/>
          <w:i/>
        </w:rPr>
        <w:t>regionally significant</w:t>
      </w:r>
      <w:r w:rsidRPr="00472578">
        <w:rPr>
          <w:rFonts w:ascii="Calibri" w:eastAsia="Calibri" w:hAnsi="Calibri" w:cs="Times New Roman"/>
          <w:i/>
          <w:iCs/>
        </w:rPr>
        <w:t xml:space="preserve"> infrastructure </w:t>
      </w:r>
      <w:bookmarkEnd w:id="233"/>
      <w:r w:rsidRPr="00472578">
        <w:rPr>
          <w:rFonts w:ascii="Calibri" w:eastAsia="Calibri" w:hAnsi="Calibri" w:cs="Times New Roman"/>
        </w:rPr>
        <w:t>while ensuring that:</w:t>
      </w:r>
    </w:p>
    <w:p w14:paraId="632B21A5" w14:textId="77777777" w:rsidR="00570759" w:rsidRPr="00472578" w:rsidRDefault="00570759" w:rsidP="00E92686">
      <w:pPr>
        <w:pStyle w:val="JustifiedSpacing"/>
        <w:ind w:left="567" w:hanging="567"/>
      </w:pPr>
      <w:r w:rsidRPr="00472578">
        <w:t>(1)</w:t>
      </w:r>
      <w:r w:rsidRPr="00472578">
        <w:tab/>
      </w:r>
      <w:r w:rsidRPr="00472578">
        <w:rPr>
          <w:i/>
          <w:strike/>
        </w:rPr>
        <w:t>infrastructure</w:t>
      </w:r>
      <w:r w:rsidRPr="00472578">
        <w:rPr>
          <w:strike/>
        </w:rPr>
        <w:t xml:space="preserve"> </w:t>
      </w:r>
      <w:r w:rsidRPr="00472578">
        <w:rPr>
          <w:u w:val="single"/>
        </w:rPr>
        <w:t>it</w:t>
      </w:r>
      <w:r w:rsidRPr="00472578">
        <w:rPr>
          <w:rStyle w:val="FootnoteReference"/>
        </w:rPr>
        <w:footnoteReference w:id="1129"/>
      </w:r>
      <w:r w:rsidRPr="00472578">
        <w:t xml:space="preserve"> is designed and located, as far as practicable, to maintain functionality during and after </w:t>
      </w:r>
      <w:r w:rsidRPr="00472578">
        <w:rPr>
          <w:i/>
        </w:rPr>
        <w:t>natural hazard</w:t>
      </w:r>
      <w:r w:rsidRPr="00472578">
        <w:t xml:space="preserve"> events, </w:t>
      </w:r>
    </w:p>
    <w:p w14:paraId="08B69834" w14:textId="77777777" w:rsidR="00570759" w:rsidRPr="00472578" w:rsidRDefault="00570759" w:rsidP="00E92686">
      <w:pPr>
        <w:pStyle w:val="JustifiedSpacing"/>
        <w:ind w:left="567" w:hanging="567"/>
      </w:pPr>
      <w:r w:rsidRPr="00472578">
        <w:t>(2)</w:t>
      </w:r>
      <w:r w:rsidRPr="00472578">
        <w:tab/>
        <w:t xml:space="preserve">it is, as far as practicable, co-ordinated with long-term </w:t>
      </w:r>
      <w:r w:rsidRPr="00472578">
        <w:rPr>
          <w:i/>
        </w:rPr>
        <w:t>land</w:t>
      </w:r>
      <w:r w:rsidRPr="00472578">
        <w:t xml:space="preserve"> use planning, and</w:t>
      </w:r>
    </w:p>
    <w:p w14:paraId="5FF9AD86" w14:textId="18231EC5" w:rsidR="00570759" w:rsidRPr="00472578" w:rsidRDefault="00570759" w:rsidP="00E92686">
      <w:pPr>
        <w:pStyle w:val="JustifiedSpacing"/>
        <w:ind w:left="567" w:hanging="567"/>
      </w:pPr>
      <w:r w:rsidRPr="00472578">
        <w:lastRenderedPageBreak/>
        <w:t>(3)</w:t>
      </w:r>
      <w:r w:rsidRPr="00472578">
        <w:tab/>
      </w:r>
      <w:r w:rsidRPr="00472578">
        <w:rPr>
          <w:strike/>
        </w:rPr>
        <w:t>increases efficiency in</w:t>
      </w:r>
      <w:r w:rsidR="006940EC" w:rsidRPr="007464CA">
        <w:rPr>
          <w:rStyle w:val="FootnoteReference"/>
        </w:rPr>
        <w:footnoteReference w:id="1130"/>
      </w:r>
      <w:r w:rsidRPr="00472578">
        <w:t xml:space="preserve"> </w:t>
      </w:r>
      <w:proofErr w:type="gramStart"/>
      <w:r w:rsidRPr="00F837F0">
        <w:rPr>
          <w:strike/>
        </w:rPr>
        <w:t>the</w:t>
      </w:r>
      <w:r w:rsidRPr="00472578">
        <w:t xml:space="preserve"> </w:t>
      </w:r>
      <w:r w:rsidR="00F837F0" w:rsidRPr="00F837F0">
        <w:rPr>
          <w:u w:val="single"/>
        </w:rPr>
        <w:t>its</w:t>
      </w:r>
      <w:proofErr w:type="gramEnd"/>
      <w:r w:rsidR="00D76751">
        <w:rPr>
          <w:rStyle w:val="FootnoteReference"/>
          <w:u w:val="single"/>
        </w:rPr>
        <w:footnoteReference w:id="1131"/>
      </w:r>
      <w:r w:rsidRPr="00472578">
        <w:t xml:space="preserve"> delivery, operation or use of the </w:t>
      </w:r>
      <w:r w:rsidRPr="00472578">
        <w:rPr>
          <w:i/>
        </w:rPr>
        <w:t>infrastructure</w:t>
      </w:r>
      <w:r w:rsidRPr="00472578">
        <w:t xml:space="preserve"> </w:t>
      </w:r>
      <w:r w:rsidRPr="00472578">
        <w:rPr>
          <w:u w:val="single"/>
        </w:rPr>
        <w:t>is efficient</w:t>
      </w:r>
      <w:r w:rsidRPr="00472578">
        <w:t>.</w:t>
      </w:r>
      <w:r w:rsidRPr="639E38F9">
        <w:rPr>
          <w:rStyle w:val="FootnoteReference"/>
          <w:rFonts w:eastAsia="Calibri" w:cstheme="minorBidi"/>
        </w:rPr>
        <w:footnoteReference w:id="1132"/>
      </w:r>
    </w:p>
    <w:p w14:paraId="0882D516" w14:textId="440F1C57" w:rsidR="00570759" w:rsidRPr="00472578" w:rsidRDefault="00570759" w:rsidP="00E92686">
      <w:pPr>
        <w:pStyle w:val="Heading5"/>
        <w:jc w:val="both"/>
      </w:pPr>
      <w:r w:rsidRPr="00472578">
        <w:t xml:space="preserve">EIT-INF-P13 – Locating and managing </w:t>
      </w:r>
      <w:r w:rsidRPr="00472578">
        <w:rPr>
          <w:i/>
        </w:rPr>
        <w:t>effects</w:t>
      </w:r>
      <w:r w:rsidRPr="00472578">
        <w:t xml:space="preserve"> of </w:t>
      </w:r>
      <w:r w:rsidRPr="00472578">
        <w:rPr>
          <w:i/>
          <w:iCs/>
        </w:rPr>
        <w:t>infrastructure</w:t>
      </w:r>
      <w:r w:rsidR="00510822">
        <w:rPr>
          <w:i/>
          <w:iCs/>
          <w:u w:val="single"/>
        </w:rPr>
        <w:t xml:space="preserve">, nationally significant </w:t>
      </w:r>
      <w:proofErr w:type="gramStart"/>
      <w:r w:rsidR="00510822">
        <w:rPr>
          <w:i/>
          <w:iCs/>
          <w:u w:val="single"/>
        </w:rPr>
        <w:t>infrastructure</w:t>
      </w:r>
      <w:proofErr w:type="gramEnd"/>
      <w:r w:rsidR="00510822">
        <w:rPr>
          <w:i/>
          <w:iCs/>
          <w:u w:val="single"/>
        </w:rPr>
        <w:t xml:space="preserve"> </w:t>
      </w:r>
      <w:r w:rsidR="00510822" w:rsidRPr="00EF36D6">
        <w:rPr>
          <w:u w:val="single"/>
        </w:rPr>
        <w:t>and</w:t>
      </w:r>
      <w:r w:rsidR="00510822">
        <w:rPr>
          <w:i/>
          <w:iCs/>
          <w:u w:val="single"/>
        </w:rPr>
        <w:t xml:space="preserve"> regionally significant infrastructure</w:t>
      </w:r>
      <w:r w:rsidR="00683CEE">
        <w:rPr>
          <w:rStyle w:val="FootnoteReference"/>
          <w:i/>
          <w:iCs/>
          <w:u w:val="single"/>
        </w:rPr>
        <w:footnoteReference w:id="1133"/>
      </w:r>
      <w:r w:rsidRPr="00472578">
        <w:t xml:space="preserve"> </w:t>
      </w:r>
      <w:r w:rsidRPr="00472578">
        <w:rPr>
          <w:u w:val="single"/>
        </w:rPr>
        <w:t>outside the coastal environment</w:t>
      </w:r>
      <w:r w:rsidR="00CE293C" w:rsidRPr="00472578">
        <w:rPr>
          <w:rStyle w:val="FootnoteReference"/>
          <w:b w:val="0"/>
          <w:bCs w:val="0"/>
          <w:color w:val="auto"/>
        </w:rPr>
        <w:footnoteReference w:id="1134"/>
      </w:r>
      <w:r w:rsidRPr="00472578">
        <w:rPr>
          <w:b w:val="0"/>
          <w:bCs w:val="0"/>
          <w:color w:val="auto"/>
        </w:rPr>
        <w:t xml:space="preserve"> </w:t>
      </w:r>
    </w:p>
    <w:p w14:paraId="1E355395" w14:textId="3B2360F6" w:rsidR="00570759" w:rsidRPr="00472578" w:rsidRDefault="00570759" w:rsidP="00E92686">
      <w:pPr>
        <w:spacing w:line="256" w:lineRule="auto"/>
        <w:jc w:val="both"/>
        <w:rPr>
          <w:i/>
          <w:iCs/>
        </w:rPr>
      </w:pPr>
      <w:bookmarkStart w:id="234" w:name="_Hlk49342379"/>
      <w:r w:rsidRPr="00472578">
        <w:t xml:space="preserve">When providing for new </w:t>
      </w:r>
      <w:r w:rsidRPr="00472578">
        <w:rPr>
          <w:i/>
          <w:iCs/>
        </w:rPr>
        <w:t>infrastructure</w:t>
      </w:r>
      <w:r w:rsidR="00510822">
        <w:rPr>
          <w:i/>
          <w:iCs/>
          <w:u w:val="single"/>
        </w:rPr>
        <w:t xml:space="preserve">, nationally significant </w:t>
      </w:r>
      <w:proofErr w:type="gramStart"/>
      <w:r w:rsidR="00510822">
        <w:rPr>
          <w:i/>
          <w:iCs/>
          <w:u w:val="single"/>
        </w:rPr>
        <w:t>infrastructure</w:t>
      </w:r>
      <w:proofErr w:type="gramEnd"/>
      <w:r w:rsidR="00510822">
        <w:rPr>
          <w:i/>
          <w:iCs/>
          <w:u w:val="single"/>
        </w:rPr>
        <w:t xml:space="preserve"> </w:t>
      </w:r>
      <w:r w:rsidR="00510822" w:rsidRPr="00797C52">
        <w:rPr>
          <w:u w:val="single"/>
        </w:rPr>
        <w:t>and</w:t>
      </w:r>
      <w:r w:rsidR="00510822">
        <w:rPr>
          <w:i/>
          <w:iCs/>
          <w:u w:val="single"/>
        </w:rPr>
        <w:t xml:space="preserve"> regio</w:t>
      </w:r>
      <w:r w:rsidR="007E575A">
        <w:rPr>
          <w:i/>
          <w:iCs/>
          <w:u w:val="single"/>
        </w:rPr>
        <w:t>nally significant infrastructure</w:t>
      </w:r>
      <w:r w:rsidR="00683CEE" w:rsidRPr="00B95343">
        <w:rPr>
          <w:rStyle w:val="FootnoteReference"/>
        </w:rPr>
        <w:footnoteReference w:id="1135"/>
      </w:r>
      <w:r w:rsidRPr="00472578">
        <w:rPr>
          <w:i/>
          <w:iCs/>
        </w:rPr>
        <w:t xml:space="preserve"> </w:t>
      </w:r>
      <w:r w:rsidRPr="00472578">
        <w:t>outside the coastal environment</w:t>
      </w:r>
    </w:p>
    <w:p w14:paraId="7ED44382" w14:textId="77777777" w:rsidR="00570759" w:rsidRPr="00472578" w:rsidRDefault="00570759" w:rsidP="00E92686">
      <w:pPr>
        <w:pStyle w:val="JustifiedSpacing"/>
        <w:ind w:left="567" w:hanging="567"/>
      </w:pPr>
      <w:r w:rsidRPr="00472578">
        <w:t>(1)</w:t>
      </w:r>
      <w:r w:rsidRPr="00472578">
        <w:tab/>
        <w:t xml:space="preserve">avoid, as the </w:t>
      </w:r>
      <w:proofErr w:type="gramStart"/>
      <w:r w:rsidRPr="00472578">
        <w:t>first priority</w:t>
      </w:r>
      <w:proofErr w:type="gramEnd"/>
      <w:r w:rsidRPr="00472578">
        <w:t xml:space="preserve">, locating </w:t>
      </w:r>
      <w:r w:rsidRPr="00472578">
        <w:rPr>
          <w:i/>
          <w:iCs/>
        </w:rPr>
        <w:t>infrastructure</w:t>
      </w:r>
      <w:r w:rsidRPr="00472578">
        <w:t xml:space="preserve"> in all of the following:</w:t>
      </w:r>
    </w:p>
    <w:p w14:paraId="302EBDE6" w14:textId="77777777" w:rsidR="00570759" w:rsidRPr="00472578" w:rsidRDefault="00570759" w:rsidP="00E92686">
      <w:pPr>
        <w:pStyle w:val="JustifiedSpacing"/>
        <w:ind w:left="1134" w:hanging="567"/>
        <w:rPr>
          <w:i/>
          <w:iCs/>
        </w:rPr>
      </w:pPr>
      <w:r w:rsidRPr="00472578">
        <w:t>(a)</w:t>
      </w:r>
      <w:r w:rsidRPr="00472578">
        <w:tab/>
      </w:r>
      <w:r w:rsidRPr="00472578">
        <w:rPr>
          <w:i/>
          <w:iCs/>
        </w:rPr>
        <w:t>significant natural areas,</w:t>
      </w:r>
    </w:p>
    <w:p w14:paraId="0C37FB25" w14:textId="77777777" w:rsidR="00570759" w:rsidRPr="00472578" w:rsidRDefault="00570759" w:rsidP="00E92686">
      <w:pPr>
        <w:pStyle w:val="JustifiedSpacing"/>
        <w:ind w:left="1134" w:hanging="567"/>
      </w:pPr>
      <w:r w:rsidRPr="00472578">
        <w:t>(b)</w:t>
      </w:r>
      <w:r w:rsidRPr="00472578">
        <w:tab/>
        <w:t>outstanding natural features and landscapes,</w:t>
      </w:r>
    </w:p>
    <w:p w14:paraId="5AAA8512" w14:textId="77777777" w:rsidR="00570759" w:rsidRPr="00472578" w:rsidRDefault="00570759" w:rsidP="00E92686">
      <w:pPr>
        <w:pStyle w:val="JustifiedSpacing"/>
        <w:ind w:left="1134" w:hanging="567"/>
      </w:pPr>
      <w:r w:rsidRPr="00472578">
        <w:t>(c)</w:t>
      </w:r>
      <w:r w:rsidRPr="00472578">
        <w:tab/>
      </w:r>
      <w:r w:rsidRPr="00472578">
        <w:rPr>
          <w:i/>
          <w:iCs/>
        </w:rPr>
        <w:t>natural</w:t>
      </w:r>
      <w:r w:rsidRPr="00472578">
        <w:t xml:space="preserve"> </w:t>
      </w:r>
      <w:r w:rsidRPr="00472578">
        <w:rPr>
          <w:i/>
          <w:iCs/>
        </w:rPr>
        <w:t>wetlands,</w:t>
      </w:r>
    </w:p>
    <w:p w14:paraId="5ABFDA14" w14:textId="77777777" w:rsidR="00570759" w:rsidRPr="00472578" w:rsidRDefault="00570759" w:rsidP="00E92686">
      <w:pPr>
        <w:pStyle w:val="JustifiedSpacing"/>
        <w:ind w:left="1134" w:hanging="567"/>
      </w:pPr>
      <w:r w:rsidRPr="00472578">
        <w:t>(d)</w:t>
      </w:r>
      <w:r w:rsidRPr="00472578">
        <w:tab/>
      </w:r>
      <w:r w:rsidRPr="00472578">
        <w:rPr>
          <w:i/>
          <w:iCs/>
        </w:rPr>
        <w:t>outstanding water bodies</w:t>
      </w:r>
      <w:r w:rsidRPr="00472578">
        <w:t>,</w:t>
      </w:r>
    </w:p>
    <w:p w14:paraId="0D1E299B" w14:textId="77777777" w:rsidR="00570759" w:rsidRPr="00472578" w:rsidRDefault="00570759" w:rsidP="00E92686">
      <w:pPr>
        <w:pStyle w:val="JustifiedSpacing"/>
        <w:ind w:left="1134" w:hanging="567"/>
      </w:pPr>
      <w:r w:rsidRPr="00472578">
        <w:t>(e)</w:t>
      </w:r>
      <w:r w:rsidRPr="00472578">
        <w:tab/>
        <w:t>areas of high or outstanding natural character,</w:t>
      </w:r>
    </w:p>
    <w:p w14:paraId="592EC7D8" w14:textId="77777777" w:rsidR="00570759" w:rsidRPr="00472578" w:rsidRDefault="00570759" w:rsidP="00E92686">
      <w:pPr>
        <w:pStyle w:val="JustifiedSpacing"/>
        <w:ind w:left="1134" w:hanging="567"/>
      </w:pPr>
      <w:r w:rsidRPr="00472578">
        <w:t>(f)</w:t>
      </w:r>
      <w:r w:rsidRPr="00472578">
        <w:tab/>
        <w:t xml:space="preserve">areas or places of significant or outstanding </w:t>
      </w:r>
      <w:r w:rsidRPr="00472578">
        <w:rPr>
          <w:i/>
          <w:iCs/>
        </w:rPr>
        <w:t>historic heritage</w:t>
      </w:r>
      <w:r w:rsidRPr="00472578">
        <w:t>,</w:t>
      </w:r>
    </w:p>
    <w:p w14:paraId="3A050DA7" w14:textId="7D24A85B" w:rsidR="00570759" w:rsidRPr="00472578" w:rsidRDefault="00570759" w:rsidP="00E92686">
      <w:pPr>
        <w:ind w:left="1134" w:hanging="567"/>
        <w:jc w:val="both"/>
      </w:pPr>
      <w:r w:rsidRPr="00472578">
        <w:t>(g</w:t>
      </w:r>
      <w:r w:rsidRPr="00472578">
        <w:rPr>
          <w:u w:val="single"/>
        </w:rPr>
        <w:t>)</w:t>
      </w:r>
      <w:r w:rsidRPr="00472578">
        <w:rPr>
          <w:rStyle w:val="FootnoteReference"/>
        </w:rPr>
        <w:footnoteReference w:id="1136"/>
      </w:r>
      <w:r w:rsidRPr="00472578">
        <w:tab/>
      </w:r>
      <w:r w:rsidRPr="00472578">
        <w:rPr>
          <w:u w:val="single"/>
        </w:rPr>
        <w:t xml:space="preserve">wāhi tūpuna </w:t>
      </w:r>
      <w:r w:rsidRPr="00472578">
        <w:rPr>
          <w:strike/>
        </w:rPr>
        <w:t>wāhi</w:t>
      </w:r>
      <w:r w:rsidRPr="00472578">
        <w:rPr>
          <w:strike/>
          <w:u w:val="single"/>
        </w:rPr>
        <w:t xml:space="preserve"> tapu, </w:t>
      </w:r>
      <w:r w:rsidRPr="00472578">
        <w:rPr>
          <w:strike/>
        </w:rPr>
        <w:t>wāhi taoka,</w:t>
      </w:r>
      <w:r w:rsidRPr="00472578">
        <w:rPr>
          <w:rStyle w:val="FootnoteReference"/>
        </w:rPr>
        <w:footnoteReference w:id="1137"/>
      </w:r>
      <w:r w:rsidRPr="00472578">
        <w:t xml:space="preserve"> and areas with protected customary rights,</w:t>
      </w:r>
      <w:r w:rsidR="00CE293C" w:rsidRPr="00472578">
        <w:t xml:space="preserve"> </w:t>
      </w:r>
      <w:r w:rsidRPr="00472578">
        <w:t>and</w:t>
      </w:r>
    </w:p>
    <w:p w14:paraId="6EE9A3FF" w14:textId="77777777" w:rsidR="00570759" w:rsidRPr="00472578" w:rsidRDefault="00570759" w:rsidP="00E92686">
      <w:pPr>
        <w:pStyle w:val="JustifiedSpacing"/>
        <w:ind w:left="1134" w:hanging="567"/>
      </w:pPr>
      <w:r w:rsidRPr="00472578">
        <w:t>(h)</w:t>
      </w:r>
      <w:r w:rsidRPr="00472578">
        <w:tab/>
        <w:t>areas of high recreational and high amenity value, and</w:t>
      </w:r>
    </w:p>
    <w:p w14:paraId="14454FCC" w14:textId="28FD71D1" w:rsidR="00570759" w:rsidRPr="00472578" w:rsidRDefault="00570759" w:rsidP="00E92686">
      <w:pPr>
        <w:pStyle w:val="JustifiedSpacing"/>
        <w:ind w:left="567" w:hanging="567"/>
      </w:pPr>
      <w:r w:rsidRPr="00472578">
        <w:t>(2)</w:t>
      </w:r>
      <w:r w:rsidRPr="00472578">
        <w:tab/>
        <w:t xml:space="preserve">if it is not possible to avoid locating in the areas listed in (1) above because of the </w:t>
      </w:r>
      <w:r w:rsidRPr="00472578">
        <w:rPr>
          <w:i/>
          <w:iCs/>
        </w:rPr>
        <w:t xml:space="preserve">functional </w:t>
      </w:r>
      <w:r w:rsidR="00D709C8" w:rsidRPr="00472578">
        <w:rPr>
          <w:i/>
          <w:iCs/>
          <w:u w:val="single"/>
        </w:rPr>
        <w:t>needs</w:t>
      </w:r>
      <w:r w:rsidR="000C5F39" w:rsidRPr="00472578">
        <w:rPr>
          <w:rStyle w:val="FootnoteReference"/>
          <w:i/>
          <w:iCs/>
        </w:rPr>
        <w:footnoteReference w:id="1138"/>
      </w:r>
      <w:r w:rsidR="00D03DC6" w:rsidRPr="00472578">
        <w:rPr>
          <w:i/>
          <w:iCs/>
        </w:rPr>
        <w:t xml:space="preserve"> </w:t>
      </w:r>
      <w:r w:rsidRPr="00472578">
        <w:t xml:space="preserve">or </w:t>
      </w:r>
      <w:r w:rsidRPr="00472578">
        <w:rPr>
          <w:i/>
          <w:iCs/>
        </w:rPr>
        <w:t>operational needs</w:t>
      </w:r>
      <w:r w:rsidRPr="00472578">
        <w:t xml:space="preserve"> of the </w:t>
      </w:r>
      <w:r w:rsidRPr="00472578">
        <w:rPr>
          <w:i/>
          <w:iCs/>
        </w:rPr>
        <w:t>infrastructure</w:t>
      </w:r>
      <w:r w:rsidR="000416C4">
        <w:rPr>
          <w:i/>
          <w:iCs/>
          <w:u w:val="single"/>
        </w:rPr>
        <w:t xml:space="preserve">, nationally significant </w:t>
      </w:r>
      <w:proofErr w:type="gramStart"/>
      <w:r w:rsidR="000416C4">
        <w:rPr>
          <w:i/>
          <w:iCs/>
          <w:u w:val="single"/>
        </w:rPr>
        <w:t>infrastructure</w:t>
      </w:r>
      <w:proofErr w:type="gramEnd"/>
      <w:r w:rsidR="000416C4">
        <w:rPr>
          <w:i/>
          <w:iCs/>
          <w:u w:val="single"/>
        </w:rPr>
        <w:t xml:space="preserve"> </w:t>
      </w:r>
      <w:r w:rsidR="000416C4" w:rsidRPr="00EF36D6">
        <w:rPr>
          <w:u w:val="single"/>
        </w:rPr>
        <w:t>and</w:t>
      </w:r>
      <w:r w:rsidR="000416C4">
        <w:rPr>
          <w:i/>
          <w:iCs/>
          <w:u w:val="single"/>
        </w:rPr>
        <w:t xml:space="preserve"> regionally significant infrastructure</w:t>
      </w:r>
      <w:r w:rsidR="005C4459" w:rsidRPr="00040DD6">
        <w:rPr>
          <w:rStyle w:val="FootnoteReference"/>
        </w:rPr>
        <w:footnoteReference w:id="1139"/>
      </w:r>
      <w:r w:rsidRPr="00472578">
        <w:rPr>
          <w:i/>
          <w:iCs/>
        </w:rPr>
        <w:t xml:space="preserve"> </w:t>
      </w:r>
      <w:r w:rsidRPr="00472578">
        <w:t xml:space="preserve">manage adverse </w:t>
      </w:r>
      <w:r w:rsidRPr="00472578">
        <w:rPr>
          <w:i/>
        </w:rPr>
        <w:t>effects</w:t>
      </w:r>
      <w:r w:rsidRPr="00472578">
        <w:t xml:space="preserve"> as follows:</w:t>
      </w:r>
    </w:p>
    <w:p w14:paraId="4212F6C9" w14:textId="3A151A76" w:rsidR="00570759" w:rsidRPr="00472578" w:rsidRDefault="00570759" w:rsidP="00E92686">
      <w:pPr>
        <w:spacing w:line="240" w:lineRule="auto"/>
        <w:ind w:left="1134" w:hanging="567"/>
        <w:jc w:val="both"/>
        <w:rPr>
          <w:rFonts w:ascii="Calibri" w:hAnsi="Calibri" w:cs="Calibri"/>
        </w:rPr>
      </w:pPr>
      <w:r w:rsidRPr="00472578">
        <w:rPr>
          <w:rFonts w:ascii="Calibri" w:hAnsi="Calibri" w:cs="Calibri"/>
        </w:rPr>
        <w:t>(a)</w:t>
      </w:r>
      <w:r w:rsidRPr="00472578">
        <w:rPr>
          <w:rFonts w:ascii="Calibri" w:hAnsi="Calibri" w:cs="Calibri"/>
        </w:rPr>
        <w:tab/>
        <w:t xml:space="preserve">for </w:t>
      </w:r>
      <w:r w:rsidRPr="00472578">
        <w:rPr>
          <w:rFonts w:ascii="Calibri" w:hAnsi="Calibri" w:cs="Calibri"/>
          <w:i/>
        </w:rPr>
        <w:t>nationally</w:t>
      </w:r>
      <w:r w:rsidRPr="00472578">
        <w:rPr>
          <w:rFonts w:ascii="Calibri" w:hAnsi="Calibri" w:cs="Calibri"/>
        </w:rPr>
        <w:t xml:space="preserve"> </w:t>
      </w:r>
      <w:r w:rsidR="00345E8F" w:rsidRPr="00472578">
        <w:rPr>
          <w:rFonts w:ascii="Calibri" w:hAnsi="Calibri" w:cs="Calibri"/>
          <w:i/>
          <w:iCs/>
          <w:u w:val="single"/>
        </w:rPr>
        <w:t xml:space="preserve">significant </w:t>
      </w:r>
      <w:r w:rsidR="00BD489A" w:rsidRPr="00472578">
        <w:rPr>
          <w:rFonts w:ascii="Calibri" w:hAnsi="Calibri" w:cs="Calibri"/>
          <w:i/>
          <w:iCs/>
          <w:u w:val="single"/>
        </w:rPr>
        <w:t>infrastructure</w:t>
      </w:r>
      <w:r w:rsidR="00F63AE4" w:rsidRPr="00040DD6">
        <w:rPr>
          <w:rStyle w:val="FootnoteReference"/>
          <w:rFonts w:ascii="Calibri" w:hAnsi="Calibri" w:cs="Calibri"/>
        </w:rPr>
        <w:footnoteReference w:id="1140"/>
      </w:r>
      <w:r w:rsidR="00D03DC6" w:rsidRPr="00472578">
        <w:rPr>
          <w:rFonts w:ascii="Calibri" w:hAnsi="Calibri" w:cs="Calibri"/>
          <w:i/>
          <w:iCs/>
        </w:rPr>
        <w:t xml:space="preserve"> </w:t>
      </w:r>
      <w:r w:rsidRPr="00472578">
        <w:rPr>
          <w:rFonts w:ascii="Calibri" w:hAnsi="Calibri" w:cs="Calibri"/>
        </w:rPr>
        <w:t xml:space="preserve">or </w:t>
      </w:r>
      <w:r w:rsidRPr="00472578">
        <w:rPr>
          <w:rFonts w:ascii="Calibri" w:hAnsi="Calibri" w:cs="Calibri"/>
          <w:i/>
        </w:rPr>
        <w:t>regionally significant infrastructure</w:t>
      </w:r>
      <w:r w:rsidRPr="00472578">
        <w:rPr>
          <w:rFonts w:ascii="Calibri" w:hAnsi="Calibri" w:cs="Calibri"/>
        </w:rPr>
        <w:t>:</w:t>
      </w:r>
    </w:p>
    <w:p w14:paraId="6C926744" w14:textId="77777777" w:rsidR="00570759" w:rsidRPr="00472578" w:rsidRDefault="00570759" w:rsidP="00E92686">
      <w:pPr>
        <w:spacing w:line="240" w:lineRule="auto"/>
        <w:ind w:left="1701" w:hanging="567"/>
        <w:jc w:val="both"/>
        <w:rPr>
          <w:rFonts w:ascii="Calibri" w:hAnsi="Calibri" w:cs="Calibri"/>
        </w:rPr>
      </w:pPr>
      <w:r w:rsidRPr="00472578">
        <w:rPr>
          <w:rFonts w:ascii="Calibri" w:hAnsi="Calibri" w:cs="Calibri"/>
        </w:rPr>
        <w:t>(i)</w:t>
      </w:r>
      <w:r w:rsidRPr="00472578">
        <w:rPr>
          <w:rFonts w:ascii="Calibri" w:hAnsi="Calibri" w:cs="Calibri"/>
        </w:rPr>
        <w:tab/>
        <w:t xml:space="preserve">in </w:t>
      </w:r>
      <w:r w:rsidRPr="00472578">
        <w:rPr>
          <w:rFonts w:ascii="Calibri" w:hAnsi="Calibri" w:cs="Calibri"/>
          <w:i/>
        </w:rPr>
        <w:t>significant natural areas,</w:t>
      </w:r>
      <w:r w:rsidRPr="00472578">
        <w:rPr>
          <w:rFonts w:ascii="Calibri" w:hAnsi="Calibri" w:cs="Calibri"/>
        </w:rPr>
        <w:t xml:space="preserve"> in accordance with ECO</w:t>
      </w:r>
      <w:r w:rsidRPr="00472578">
        <w:t>-</w:t>
      </w:r>
      <w:r w:rsidRPr="00472578">
        <w:rPr>
          <w:rFonts w:ascii="Calibri" w:hAnsi="Calibri" w:cs="Calibri"/>
        </w:rPr>
        <w:t xml:space="preserve">P4, </w:t>
      </w:r>
    </w:p>
    <w:p w14:paraId="47908B45" w14:textId="77777777" w:rsidR="00570759" w:rsidRPr="00472578" w:rsidRDefault="00570759" w:rsidP="00E92686">
      <w:pPr>
        <w:spacing w:line="240" w:lineRule="auto"/>
        <w:ind w:left="1701" w:hanging="567"/>
        <w:jc w:val="both"/>
        <w:rPr>
          <w:rFonts w:ascii="Calibri" w:hAnsi="Calibri" w:cs="Calibri"/>
        </w:rPr>
      </w:pPr>
      <w:r w:rsidRPr="00472578">
        <w:rPr>
          <w:rFonts w:ascii="Calibri" w:hAnsi="Calibri" w:cs="Calibri"/>
        </w:rPr>
        <w:t xml:space="preserve">(ii) </w:t>
      </w:r>
      <w:r w:rsidRPr="00472578">
        <w:rPr>
          <w:rFonts w:ascii="Calibri" w:hAnsi="Calibri" w:cs="Calibri"/>
        </w:rPr>
        <w:tab/>
        <w:t xml:space="preserve">in </w:t>
      </w:r>
      <w:r w:rsidRPr="00472578">
        <w:rPr>
          <w:rFonts w:ascii="Calibri" w:hAnsi="Calibri" w:cs="Calibri"/>
          <w:i/>
          <w:iCs/>
        </w:rPr>
        <w:t xml:space="preserve">natural wetlands, </w:t>
      </w:r>
      <w:r w:rsidRPr="00472578">
        <w:rPr>
          <w:rFonts w:ascii="Calibri" w:hAnsi="Calibri" w:cs="Calibri"/>
        </w:rPr>
        <w:t>in accordance with the relevant provisions in the NESF,</w:t>
      </w:r>
    </w:p>
    <w:p w14:paraId="0F3BC1BE" w14:textId="77777777" w:rsidR="00570759" w:rsidRPr="00472578" w:rsidRDefault="00570759" w:rsidP="00E92686">
      <w:pPr>
        <w:spacing w:line="240" w:lineRule="auto"/>
        <w:ind w:left="1701" w:hanging="567"/>
        <w:jc w:val="both"/>
      </w:pPr>
      <w:r w:rsidRPr="00472578">
        <w:rPr>
          <w:rFonts w:ascii="Calibri" w:hAnsi="Calibri" w:cs="Calibri"/>
        </w:rPr>
        <w:t>(iii)</w:t>
      </w:r>
      <w:r w:rsidRPr="00472578">
        <w:tab/>
      </w:r>
      <w:r w:rsidRPr="00472578">
        <w:rPr>
          <w:rFonts w:ascii="Calibri" w:hAnsi="Calibri" w:cs="Calibri"/>
        </w:rPr>
        <w:t xml:space="preserve">in </w:t>
      </w:r>
      <w:r w:rsidRPr="00472578">
        <w:rPr>
          <w:rFonts w:ascii="Calibri" w:hAnsi="Calibri" w:cs="Calibri"/>
          <w:i/>
          <w:iCs/>
        </w:rPr>
        <w:t>outstanding water bodies,</w:t>
      </w:r>
      <w:r w:rsidRPr="00472578">
        <w:rPr>
          <w:rFonts w:ascii="Calibri" w:hAnsi="Calibri" w:cs="Calibri"/>
        </w:rPr>
        <w:t xml:space="preserve"> in accordance with LF</w:t>
      </w:r>
      <w:r w:rsidRPr="00472578">
        <w:t>-</w:t>
      </w:r>
      <w:r w:rsidRPr="00472578">
        <w:rPr>
          <w:u w:val="single"/>
        </w:rPr>
        <w:t>FW</w:t>
      </w:r>
      <w:r w:rsidRPr="00472578">
        <w:t>-P12</w:t>
      </w:r>
      <w:r w:rsidRPr="00472578">
        <w:rPr>
          <w:rStyle w:val="FootnoteReference"/>
        </w:rPr>
        <w:footnoteReference w:id="1141"/>
      </w:r>
      <w:r w:rsidRPr="00472578">
        <w:t xml:space="preserve">, </w:t>
      </w:r>
    </w:p>
    <w:p w14:paraId="02844A2D" w14:textId="7383682A" w:rsidR="00570759" w:rsidRPr="00472578" w:rsidRDefault="00570759" w:rsidP="00E92686">
      <w:pPr>
        <w:spacing w:line="240" w:lineRule="auto"/>
        <w:ind w:left="1701" w:hanging="567"/>
        <w:jc w:val="both"/>
        <w:rPr>
          <w:u w:val="single"/>
        </w:rPr>
      </w:pPr>
      <w:r w:rsidRPr="00472578">
        <w:rPr>
          <w:u w:val="single"/>
        </w:rPr>
        <w:t>(iii</w:t>
      </w:r>
      <w:r w:rsidR="00B332CB" w:rsidRPr="00472578">
        <w:rPr>
          <w:u w:val="single"/>
        </w:rPr>
        <w:t>a</w:t>
      </w:r>
      <w:r w:rsidRPr="00472578">
        <w:rPr>
          <w:u w:val="single"/>
        </w:rPr>
        <w:t xml:space="preserve">) </w:t>
      </w:r>
      <w:r w:rsidRPr="00472578">
        <w:rPr>
          <w:u w:val="single"/>
        </w:rPr>
        <w:tab/>
        <w:t>in relation to wāhi tūpuna</w:t>
      </w:r>
      <w:r w:rsidR="0090223E" w:rsidRPr="00472578">
        <w:rPr>
          <w:u w:val="single"/>
        </w:rPr>
        <w:t>,</w:t>
      </w:r>
      <w:r w:rsidRPr="00472578">
        <w:rPr>
          <w:u w:val="single"/>
        </w:rPr>
        <w:t xml:space="preserve"> in accordance with HCV-WT-P2</w:t>
      </w:r>
      <w:r w:rsidRPr="00472578">
        <w:rPr>
          <w:rStyle w:val="FootnoteReference"/>
        </w:rPr>
        <w:footnoteReference w:id="1142"/>
      </w:r>
    </w:p>
    <w:p w14:paraId="281E6402" w14:textId="77777777" w:rsidR="00570759" w:rsidRPr="00472578" w:rsidRDefault="00570759" w:rsidP="00E92686">
      <w:pPr>
        <w:spacing w:line="240" w:lineRule="auto"/>
        <w:ind w:left="1701" w:hanging="567"/>
        <w:jc w:val="both"/>
        <w:rPr>
          <w:rFonts w:ascii="Calibri" w:hAnsi="Calibri" w:cs="Calibri"/>
        </w:rPr>
      </w:pPr>
      <w:r w:rsidRPr="00472578">
        <w:rPr>
          <w:rFonts w:ascii="Calibri" w:hAnsi="Calibri" w:cs="Calibri"/>
        </w:rPr>
        <w:t>(iv)</w:t>
      </w:r>
      <w:r w:rsidRPr="00472578">
        <w:rPr>
          <w:rFonts w:ascii="Calibri" w:hAnsi="Calibri" w:cs="Calibri"/>
        </w:rPr>
        <w:tab/>
        <w:t xml:space="preserve">in other areas listed in </w:t>
      </w:r>
      <w:r w:rsidRPr="00472578">
        <w:t>EIT-INF-P13 (1) above</w:t>
      </w:r>
      <w:r w:rsidRPr="00472578">
        <w:rPr>
          <w:rFonts w:ascii="Calibri" w:hAnsi="Calibri" w:cs="Calibri"/>
        </w:rPr>
        <w:t xml:space="preserve">, minimise the adverse </w:t>
      </w:r>
      <w:r w:rsidRPr="00472578">
        <w:rPr>
          <w:rFonts w:ascii="Calibri" w:hAnsi="Calibri" w:cs="Calibri"/>
          <w:i/>
          <w:iCs/>
        </w:rPr>
        <w:t>effects</w:t>
      </w:r>
      <w:r w:rsidRPr="00472578">
        <w:rPr>
          <w:rFonts w:ascii="Calibri" w:hAnsi="Calibri" w:cs="Calibri"/>
        </w:rPr>
        <w:t xml:space="preserve"> of the </w:t>
      </w:r>
      <w:r w:rsidRPr="00472578">
        <w:rPr>
          <w:rFonts w:ascii="Calibri" w:hAnsi="Calibri" w:cs="Calibri"/>
          <w:i/>
        </w:rPr>
        <w:t>infrastructure</w:t>
      </w:r>
      <w:r w:rsidRPr="00472578">
        <w:rPr>
          <w:rFonts w:ascii="Calibri" w:hAnsi="Calibri" w:cs="Calibri"/>
        </w:rPr>
        <w:t xml:space="preserve"> on the values that contribute to the area’s importance, </w:t>
      </w:r>
    </w:p>
    <w:p w14:paraId="30EF7B65" w14:textId="0AA3F6B9" w:rsidR="00570759" w:rsidRPr="00472578" w:rsidRDefault="00570759" w:rsidP="00E92686">
      <w:pPr>
        <w:spacing w:line="240" w:lineRule="auto"/>
        <w:ind w:left="1134" w:hanging="567"/>
        <w:jc w:val="both"/>
        <w:rPr>
          <w:rFonts w:ascii="Calibri" w:hAnsi="Calibri" w:cs="Calibri"/>
        </w:rPr>
      </w:pPr>
      <w:r w:rsidRPr="00472578">
        <w:rPr>
          <w:rFonts w:ascii="Calibri" w:hAnsi="Calibri" w:cs="Calibri"/>
        </w:rPr>
        <w:lastRenderedPageBreak/>
        <w:t>(b)</w:t>
      </w:r>
      <w:r w:rsidRPr="00472578">
        <w:rPr>
          <w:rFonts w:ascii="Calibri" w:hAnsi="Calibri" w:cs="Calibri"/>
        </w:rPr>
        <w:tab/>
        <w:t xml:space="preserve">for all </w:t>
      </w:r>
      <w:r w:rsidRPr="00472578">
        <w:rPr>
          <w:rFonts w:ascii="Calibri" w:hAnsi="Calibri" w:cs="Calibri"/>
          <w:i/>
          <w:iCs/>
        </w:rPr>
        <w:t>infrastructure</w:t>
      </w:r>
      <w:r w:rsidRPr="00472578">
        <w:rPr>
          <w:rFonts w:ascii="Calibri" w:hAnsi="Calibri" w:cs="Calibri"/>
        </w:rPr>
        <w:t xml:space="preserve"> that is not </w:t>
      </w:r>
      <w:r w:rsidRPr="00472578">
        <w:rPr>
          <w:rFonts w:ascii="Calibri" w:hAnsi="Calibri" w:cs="Calibri"/>
          <w:i/>
        </w:rPr>
        <w:t>nationally</w:t>
      </w:r>
      <w:r w:rsidRPr="00472578">
        <w:rPr>
          <w:rFonts w:ascii="Calibri" w:hAnsi="Calibri" w:cs="Calibri"/>
        </w:rPr>
        <w:t xml:space="preserve"> </w:t>
      </w:r>
      <w:r w:rsidRPr="00472578">
        <w:rPr>
          <w:rFonts w:ascii="Calibri" w:hAnsi="Calibri" w:cs="Calibri"/>
          <w:i/>
          <w:iCs/>
          <w:u w:val="single"/>
        </w:rPr>
        <w:t>significant infrastructure</w:t>
      </w:r>
      <w:r w:rsidRPr="0087368C">
        <w:rPr>
          <w:rStyle w:val="FootnoteReference"/>
          <w:rFonts w:ascii="Calibri" w:hAnsi="Calibri" w:cs="Calibri"/>
        </w:rPr>
        <w:footnoteReference w:id="1143"/>
      </w:r>
      <w:r w:rsidRPr="00472578">
        <w:rPr>
          <w:rFonts w:ascii="Calibri" w:hAnsi="Calibri" w:cs="Calibri"/>
        </w:rPr>
        <w:t xml:space="preserve"> or </w:t>
      </w:r>
      <w:r w:rsidRPr="00472578">
        <w:rPr>
          <w:rFonts w:ascii="Calibri" w:hAnsi="Calibri" w:cs="Calibri"/>
          <w:i/>
        </w:rPr>
        <w:t xml:space="preserve">regionally significant </w:t>
      </w:r>
      <w:r w:rsidRPr="00472578">
        <w:rPr>
          <w:rFonts w:ascii="Calibri" w:hAnsi="Calibri" w:cs="Calibri"/>
          <w:i/>
          <w:iCs/>
          <w:u w:val="single"/>
        </w:rPr>
        <w:t>infrastructure</w:t>
      </w:r>
      <w:r w:rsidR="00DC403C" w:rsidRPr="00472578">
        <w:rPr>
          <w:rFonts w:ascii="Calibri" w:hAnsi="Calibri" w:cs="Calibri"/>
        </w:rPr>
        <w:t>,</w:t>
      </w:r>
      <w:r w:rsidR="00DC403C" w:rsidRPr="0087368C">
        <w:rPr>
          <w:rStyle w:val="FootnoteReference"/>
          <w:rFonts w:ascii="Calibri" w:hAnsi="Calibri" w:cs="Calibri"/>
        </w:rPr>
        <w:footnoteReference w:id="1144"/>
      </w:r>
      <w:r w:rsidRPr="00472578">
        <w:rPr>
          <w:rFonts w:ascii="Calibri" w:hAnsi="Calibri" w:cs="Calibri"/>
        </w:rPr>
        <w:t xml:space="preserve"> avoid adverse </w:t>
      </w:r>
      <w:r w:rsidRPr="00472578">
        <w:rPr>
          <w:rFonts w:ascii="Calibri" w:hAnsi="Calibri" w:cs="Calibri"/>
          <w:i/>
          <w:iCs/>
        </w:rPr>
        <w:t>effects</w:t>
      </w:r>
      <w:r w:rsidRPr="00472578">
        <w:rPr>
          <w:rFonts w:ascii="Calibri" w:hAnsi="Calibri" w:cs="Calibri"/>
        </w:rPr>
        <w:t xml:space="preserve"> on the values that contribute to the area’s </w:t>
      </w:r>
      <w:r w:rsidRPr="00472578">
        <w:t xml:space="preserve">outstanding nature or </w:t>
      </w:r>
      <w:r w:rsidRPr="00472578">
        <w:rPr>
          <w:rFonts w:ascii="Calibri" w:hAnsi="Calibri" w:cs="Calibri"/>
        </w:rPr>
        <w:t>significance.</w:t>
      </w:r>
    </w:p>
    <w:p w14:paraId="6E5D93ED" w14:textId="02BC945D" w:rsidR="00570759" w:rsidRPr="00472578" w:rsidRDefault="00570759" w:rsidP="00E92686">
      <w:pPr>
        <w:pStyle w:val="Heading5"/>
        <w:jc w:val="both"/>
        <w:rPr>
          <w:u w:val="single"/>
        </w:rPr>
      </w:pPr>
      <w:bookmarkStart w:id="235" w:name="_Hlk95190404"/>
      <w:r w:rsidRPr="00472578">
        <w:rPr>
          <w:u w:val="single"/>
        </w:rPr>
        <w:t xml:space="preserve">EIT-INF-P13A – Managing the </w:t>
      </w:r>
      <w:r w:rsidRPr="00472578">
        <w:rPr>
          <w:i/>
          <w:iCs/>
          <w:u w:val="single"/>
        </w:rPr>
        <w:t>effects</w:t>
      </w:r>
      <w:r w:rsidRPr="00472578">
        <w:rPr>
          <w:u w:val="single"/>
        </w:rPr>
        <w:t xml:space="preserve"> of </w:t>
      </w:r>
      <w:r w:rsidRPr="00472578">
        <w:rPr>
          <w:i/>
          <w:iCs/>
          <w:u w:val="single"/>
        </w:rPr>
        <w:t>infrastructure</w:t>
      </w:r>
      <w:r w:rsidR="000416C4">
        <w:rPr>
          <w:i/>
          <w:iCs/>
          <w:u w:val="single"/>
        </w:rPr>
        <w:t xml:space="preserve">, nationally significant </w:t>
      </w:r>
      <w:proofErr w:type="gramStart"/>
      <w:r w:rsidR="000416C4">
        <w:rPr>
          <w:i/>
          <w:iCs/>
          <w:u w:val="single"/>
        </w:rPr>
        <w:t>infrastructure</w:t>
      </w:r>
      <w:proofErr w:type="gramEnd"/>
      <w:r w:rsidR="000416C4">
        <w:rPr>
          <w:i/>
          <w:iCs/>
          <w:u w:val="single"/>
        </w:rPr>
        <w:t xml:space="preserve"> </w:t>
      </w:r>
      <w:r w:rsidR="000416C4" w:rsidRPr="00DF419E">
        <w:t>and</w:t>
      </w:r>
      <w:r w:rsidR="000416C4">
        <w:rPr>
          <w:i/>
          <w:iCs/>
          <w:u w:val="single"/>
        </w:rPr>
        <w:t xml:space="preserve"> regionally significant infrastructure</w:t>
      </w:r>
      <w:r w:rsidRPr="00472578">
        <w:rPr>
          <w:u w:val="single"/>
        </w:rPr>
        <w:t xml:space="preserve"> within the coastal environment </w:t>
      </w:r>
    </w:p>
    <w:p w14:paraId="1700DAD2" w14:textId="5ECF38E9" w:rsidR="00570759" w:rsidRPr="00472578" w:rsidRDefault="00570759" w:rsidP="00E92686">
      <w:pPr>
        <w:jc w:val="both"/>
        <w:rPr>
          <w:u w:val="single"/>
        </w:rPr>
      </w:pPr>
      <w:bookmarkStart w:id="236" w:name="_Hlk96673851"/>
      <w:bookmarkEnd w:id="235"/>
      <w:r w:rsidRPr="00472578">
        <w:rPr>
          <w:u w:val="single"/>
        </w:rPr>
        <w:t xml:space="preserve">When managing the </w:t>
      </w:r>
      <w:r w:rsidRPr="00472578">
        <w:rPr>
          <w:i/>
          <w:iCs/>
          <w:u w:val="single"/>
        </w:rPr>
        <w:t>effects</w:t>
      </w:r>
      <w:r w:rsidRPr="00472578">
        <w:rPr>
          <w:u w:val="single"/>
        </w:rPr>
        <w:t xml:space="preserve"> of </w:t>
      </w:r>
      <w:r w:rsidRPr="00472578">
        <w:rPr>
          <w:i/>
          <w:iCs/>
          <w:u w:val="single"/>
        </w:rPr>
        <w:t>infrastructure</w:t>
      </w:r>
      <w:r w:rsidR="000416C4">
        <w:rPr>
          <w:i/>
          <w:iCs/>
          <w:u w:val="single"/>
        </w:rPr>
        <w:t xml:space="preserve">, nationally significant </w:t>
      </w:r>
      <w:proofErr w:type="gramStart"/>
      <w:r w:rsidR="000416C4">
        <w:rPr>
          <w:i/>
          <w:iCs/>
          <w:u w:val="single"/>
        </w:rPr>
        <w:t>infrastructure</w:t>
      </w:r>
      <w:proofErr w:type="gramEnd"/>
      <w:r w:rsidR="000416C4">
        <w:rPr>
          <w:i/>
          <w:iCs/>
          <w:u w:val="single"/>
        </w:rPr>
        <w:t xml:space="preserve"> </w:t>
      </w:r>
      <w:r w:rsidR="000416C4" w:rsidRPr="003C0E13">
        <w:rPr>
          <w:i/>
          <w:u w:val="single"/>
        </w:rPr>
        <w:t>and</w:t>
      </w:r>
      <w:r w:rsidR="000416C4">
        <w:rPr>
          <w:i/>
          <w:iCs/>
          <w:u w:val="single"/>
        </w:rPr>
        <w:t xml:space="preserve"> regionally significant infrastructure</w:t>
      </w:r>
      <w:r w:rsidRPr="00472578">
        <w:rPr>
          <w:u w:val="single"/>
        </w:rPr>
        <w:t xml:space="preserve"> within the coastal environment the provisions of the CE – Coastal environment chapter apply.</w:t>
      </w:r>
      <w:bookmarkEnd w:id="236"/>
      <w:r w:rsidRPr="00472578">
        <w:rPr>
          <w:rStyle w:val="FootnoteReference"/>
        </w:rPr>
        <w:footnoteReference w:id="1145"/>
      </w:r>
    </w:p>
    <w:p w14:paraId="16D7572D" w14:textId="77777777" w:rsidR="00570759" w:rsidRPr="00472578" w:rsidRDefault="00570759" w:rsidP="00E92686">
      <w:pPr>
        <w:pStyle w:val="Heading5"/>
        <w:jc w:val="both"/>
      </w:pPr>
      <w:r w:rsidRPr="00472578">
        <w:t xml:space="preserve">EIT-INF-P14 – Decision making considerations </w:t>
      </w:r>
    </w:p>
    <w:p w14:paraId="5E380541" w14:textId="77777777" w:rsidR="00570759" w:rsidRPr="00472578" w:rsidRDefault="00570759" w:rsidP="00E92686">
      <w:pPr>
        <w:spacing w:line="240" w:lineRule="auto"/>
        <w:jc w:val="both"/>
      </w:pPr>
      <w:r w:rsidRPr="00472578">
        <w:rPr>
          <w:rFonts w:ascii="Calibri" w:hAnsi="Calibri" w:cs="Calibri"/>
        </w:rPr>
        <w:t xml:space="preserve">When considering proposals to develop or upgrade </w:t>
      </w:r>
      <w:r w:rsidRPr="00472578">
        <w:rPr>
          <w:rFonts w:ascii="Calibri" w:hAnsi="Calibri" w:cs="Calibri"/>
          <w:i/>
          <w:iCs/>
        </w:rPr>
        <w:t>infrastructure</w:t>
      </w:r>
      <w:r w:rsidRPr="00472578">
        <w:rPr>
          <w:rFonts w:ascii="Calibri" w:hAnsi="Calibri" w:cs="Calibri"/>
        </w:rPr>
        <w:t>:</w:t>
      </w:r>
      <w:r w:rsidRPr="00472578">
        <w:t xml:space="preserve"> </w:t>
      </w:r>
    </w:p>
    <w:p w14:paraId="262E7963" w14:textId="77777777" w:rsidR="00570759" w:rsidRPr="00472578" w:rsidRDefault="00570759" w:rsidP="00E92686">
      <w:pPr>
        <w:pStyle w:val="JustifiedSpacing"/>
        <w:ind w:left="567" w:hanging="567"/>
      </w:pPr>
      <w:r w:rsidRPr="00472578">
        <w:t>(1)</w:t>
      </w:r>
      <w:r w:rsidRPr="00472578">
        <w:tab/>
        <w:t>require</w:t>
      </w:r>
      <w:r w:rsidRPr="00472578" w:rsidDel="00E83B14">
        <w:t xml:space="preserve"> </w:t>
      </w:r>
      <w:r w:rsidRPr="00472578">
        <w:t xml:space="preserve">consideration of alternative sites, </w:t>
      </w:r>
      <w:proofErr w:type="gramStart"/>
      <w:r w:rsidRPr="00472578">
        <w:t>methods</w:t>
      </w:r>
      <w:proofErr w:type="gramEnd"/>
      <w:r w:rsidRPr="00472578">
        <w:t xml:space="preserve"> and designs if adverse </w:t>
      </w:r>
      <w:r w:rsidRPr="00472578">
        <w:rPr>
          <w:i/>
          <w:iCs/>
        </w:rPr>
        <w:t>effects</w:t>
      </w:r>
      <w:r w:rsidRPr="00472578">
        <w:t xml:space="preserve"> are potentially significant or irreversible, and</w:t>
      </w:r>
    </w:p>
    <w:p w14:paraId="5FF39E95" w14:textId="77777777" w:rsidR="00570759" w:rsidRPr="00472578" w:rsidRDefault="00570759" w:rsidP="00E92686">
      <w:pPr>
        <w:pStyle w:val="JustifiedSpacing"/>
        <w:ind w:left="567" w:hanging="567"/>
      </w:pPr>
      <w:bookmarkStart w:id="237" w:name="_Hlk52267054"/>
      <w:r w:rsidRPr="00472578" w:rsidDel="00D0651B">
        <w:t>(</w:t>
      </w:r>
      <w:r w:rsidRPr="00472578">
        <w:t>2)</w:t>
      </w:r>
      <w:r w:rsidRPr="00472578">
        <w:tab/>
        <w:t xml:space="preserve">utilise the opportunity of substantial upgrades of </w:t>
      </w:r>
      <w:r w:rsidRPr="00472578">
        <w:rPr>
          <w:i/>
          <w:iCs/>
        </w:rPr>
        <w:t>infrastructure</w:t>
      </w:r>
      <w:r w:rsidRPr="00472578">
        <w:t xml:space="preserve"> to reduce adverse </w:t>
      </w:r>
      <w:r w:rsidRPr="00472578">
        <w:rPr>
          <w:i/>
          <w:iCs/>
        </w:rPr>
        <w:t>effects</w:t>
      </w:r>
      <w:r w:rsidRPr="00472578">
        <w:t xml:space="preserve"> that result from the existing </w:t>
      </w:r>
      <w:r w:rsidRPr="00472578">
        <w:rPr>
          <w:i/>
          <w:iCs/>
        </w:rPr>
        <w:t>infrastructure</w:t>
      </w:r>
      <w:r w:rsidRPr="00472578">
        <w:t xml:space="preserve">, including on </w:t>
      </w:r>
      <w:r w:rsidRPr="00472578">
        <w:rPr>
          <w:i/>
          <w:iCs/>
        </w:rPr>
        <w:t>sensitive activities</w:t>
      </w:r>
      <w:r w:rsidRPr="00472578">
        <w:t>.</w:t>
      </w:r>
    </w:p>
    <w:bookmarkEnd w:id="234"/>
    <w:bookmarkEnd w:id="237"/>
    <w:p w14:paraId="2017AF3E" w14:textId="5446E94B" w:rsidR="00570759" w:rsidRPr="00472578" w:rsidRDefault="00570759" w:rsidP="00E92686">
      <w:pPr>
        <w:pStyle w:val="Heading5"/>
        <w:jc w:val="both"/>
        <w:rPr>
          <w:rFonts w:eastAsiaTheme="minorHAnsi" w:cstheme="minorBidi"/>
          <w:i/>
        </w:rPr>
      </w:pPr>
      <w:r w:rsidRPr="00472578">
        <w:t xml:space="preserve">EIT-INF-P15 – Protecting </w:t>
      </w:r>
      <w:r w:rsidRPr="00472578">
        <w:rPr>
          <w:i/>
        </w:rPr>
        <w:t xml:space="preserve">nationally </w:t>
      </w:r>
      <w:r w:rsidR="004B58FB" w:rsidRPr="00472578">
        <w:rPr>
          <w:i/>
          <w:u w:val="single"/>
        </w:rPr>
        <w:t>significant infrastructure</w:t>
      </w:r>
      <w:r w:rsidR="00C95FBE" w:rsidRPr="00472578">
        <w:rPr>
          <w:rStyle w:val="FootnoteReference"/>
          <w:iCs/>
        </w:rPr>
        <w:footnoteReference w:id="1146"/>
      </w:r>
      <w:r w:rsidR="004B58FB" w:rsidRPr="00472578">
        <w:t xml:space="preserve"> </w:t>
      </w:r>
      <w:r w:rsidRPr="009D3EF4">
        <w:rPr>
          <w:strike/>
        </w:rPr>
        <w:t>or</w:t>
      </w:r>
      <w:r w:rsidRPr="00472578">
        <w:rPr>
          <w:i/>
        </w:rPr>
        <w:t xml:space="preserve"> </w:t>
      </w:r>
      <w:r w:rsidR="009D3EF4" w:rsidRPr="009D3EF4">
        <w:rPr>
          <w:iCs/>
          <w:u w:val="single"/>
        </w:rPr>
        <w:t>and</w:t>
      </w:r>
      <w:r w:rsidR="009D3EF4" w:rsidRPr="00DE1E87">
        <w:rPr>
          <w:rStyle w:val="FootnoteReference"/>
        </w:rPr>
        <w:footnoteReference w:id="1147"/>
      </w:r>
      <w:r w:rsidRPr="00472578">
        <w:rPr>
          <w:i/>
        </w:rPr>
        <w:t xml:space="preserve"> regionally significant infrastructure</w:t>
      </w:r>
    </w:p>
    <w:p w14:paraId="47AAB3B1" w14:textId="77777777" w:rsidR="00570759" w:rsidRPr="00472578" w:rsidRDefault="00570759" w:rsidP="00E92686">
      <w:pPr>
        <w:spacing w:after="0" w:line="256" w:lineRule="auto"/>
        <w:jc w:val="both"/>
        <w:rPr>
          <w:rFonts w:ascii="Calibri" w:eastAsia="Calibri" w:hAnsi="Calibri" w:cs="Times New Roman"/>
          <w:strike/>
        </w:rPr>
      </w:pPr>
      <w:r w:rsidRPr="00472578">
        <w:rPr>
          <w:rFonts w:ascii="Calibri" w:eastAsia="Calibri" w:hAnsi="Calibri" w:cs="Times New Roman"/>
          <w:strike/>
        </w:rPr>
        <w:t xml:space="preserve">Seek to avoid the establishment of activities that may result in reverse sensitivity </w:t>
      </w:r>
      <w:r w:rsidRPr="00472578">
        <w:rPr>
          <w:rFonts w:ascii="Calibri" w:eastAsia="Calibri" w:hAnsi="Calibri" w:cs="Times New Roman"/>
          <w:i/>
          <w:iCs/>
          <w:strike/>
        </w:rPr>
        <w:t>effects</w:t>
      </w:r>
      <w:r w:rsidRPr="00472578">
        <w:rPr>
          <w:rFonts w:ascii="Calibri" w:eastAsia="Calibri" w:hAnsi="Calibri" w:cs="Times New Roman"/>
          <w:strike/>
        </w:rPr>
        <w:t xml:space="preserve"> on </w:t>
      </w:r>
      <w:r w:rsidRPr="00472578">
        <w:rPr>
          <w:rFonts w:ascii="Calibri" w:eastAsia="Calibri" w:hAnsi="Calibri" w:cs="Times New Roman"/>
          <w:i/>
          <w:strike/>
        </w:rPr>
        <w:t>nationally</w:t>
      </w:r>
      <w:r w:rsidRPr="00472578">
        <w:rPr>
          <w:rFonts w:ascii="Calibri" w:eastAsia="Calibri" w:hAnsi="Calibri" w:cs="Times New Roman"/>
          <w:strike/>
        </w:rPr>
        <w:t xml:space="preserve"> or </w:t>
      </w:r>
      <w:r w:rsidRPr="00472578">
        <w:rPr>
          <w:rFonts w:ascii="Calibri" w:eastAsia="Calibri" w:hAnsi="Calibri" w:cs="Times New Roman"/>
          <w:i/>
          <w:strike/>
        </w:rPr>
        <w:t>regionally</w:t>
      </w:r>
      <w:r w:rsidRPr="00472578">
        <w:rPr>
          <w:rFonts w:ascii="Calibri" w:eastAsia="Calibri" w:hAnsi="Calibri" w:cs="Times New Roman"/>
          <w:strike/>
        </w:rPr>
        <w:t xml:space="preserve"> </w:t>
      </w:r>
      <w:r w:rsidRPr="00472578">
        <w:rPr>
          <w:rFonts w:ascii="Calibri" w:eastAsia="Calibri" w:hAnsi="Calibri" w:cs="Times New Roman"/>
          <w:i/>
          <w:iCs/>
          <w:strike/>
        </w:rPr>
        <w:t>significant</w:t>
      </w:r>
      <w:r w:rsidRPr="00472578">
        <w:rPr>
          <w:rFonts w:ascii="Calibri" w:eastAsia="Calibri" w:hAnsi="Calibri" w:cs="Times New Roman"/>
          <w:strike/>
        </w:rPr>
        <w:t xml:space="preserve"> </w:t>
      </w:r>
      <w:r w:rsidRPr="00472578">
        <w:rPr>
          <w:rFonts w:ascii="Calibri" w:eastAsia="Calibri" w:hAnsi="Calibri" w:cs="Times New Roman"/>
          <w:i/>
          <w:iCs/>
          <w:strike/>
        </w:rPr>
        <w:t>infrastructure</w:t>
      </w:r>
      <w:r w:rsidRPr="00472578">
        <w:rPr>
          <w:rFonts w:ascii="Calibri" w:eastAsia="Calibri" w:hAnsi="Calibri" w:cs="Times New Roman"/>
          <w:strike/>
        </w:rPr>
        <w:t>, and/or where they may compromise</w:t>
      </w:r>
      <w:r w:rsidRPr="00472578">
        <w:rPr>
          <w:rFonts w:ascii="Calibri" w:eastAsia="Calibri" w:hAnsi="Calibri" w:cs="Times New Roman"/>
          <w:i/>
          <w:iCs/>
          <w:strike/>
        </w:rPr>
        <w:t xml:space="preserve"> t</w:t>
      </w:r>
      <w:r w:rsidRPr="00472578">
        <w:rPr>
          <w:rFonts w:ascii="Calibri" w:eastAsia="Calibri" w:hAnsi="Calibri" w:cs="Times New Roman"/>
          <w:strike/>
        </w:rPr>
        <w:t xml:space="preserve">he </w:t>
      </w:r>
      <w:r w:rsidRPr="00472578">
        <w:rPr>
          <w:rFonts w:ascii="Calibri" w:eastAsia="Calibri" w:hAnsi="Calibri" w:cs="Times New Roman"/>
          <w:i/>
          <w:iCs/>
          <w:strike/>
        </w:rPr>
        <w:t>functional</w:t>
      </w:r>
      <w:r w:rsidRPr="00472578">
        <w:rPr>
          <w:rFonts w:ascii="Calibri" w:eastAsia="Calibri" w:hAnsi="Calibri" w:cs="Times New Roman"/>
          <w:strike/>
        </w:rPr>
        <w:t xml:space="preserve"> or </w:t>
      </w:r>
      <w:r w:rsidRPr="00472578">
        <w:rPr>
          <w:rFonts w:ascii="Calibri" w:eastAsia="Calibri" w:hAnsi="Calibri" w:cs="Times New Roman"/>
          <w:i/>
          <w:iCs/>
          <w:strike/>
        </w:rPr>
        <w:t>operational needs</w:t>
      </w:r>
      <w:r w:rsidRPr="00472578">
        <w:rPr>
          <w:rFonts w:ascii="Calibri" w:eastAsia="Calibri" w:hAnsi="Calibri" w:cs="Times New Roman"/>
          <w:strike/>
        </w:rPr>
        <w:t xml:space="preserve"> of </w:t>
      </w:r>
      <w:r w:rsidRPr="00472578">
        <w:rPr>
          <w:rFonts w:ascii="Calibri" w:eastAsia="Calibri" w:hAnsi="Calibri" w:cs="Times New Roman"/>
          <w:i/>
          <w:iCs/>
          <w:strike/>
        </w:rPr>
        <w:t>nationally</w:t>
      </w:r>
      <w:r w:rsidRPr="00472578">
        <w:rPr>
          <w:rFonts w:ascii="Calibri" w:eastAsia="Calibri" w:hAnsi="Calibri" w:cs="Times New Roman"/>
          <w:strike/>
        </w:rPr>
        <w:t xml:space="preserve"> or </w:t>
      </w:r>
      <w:r w:rsidRPr="00472578">
        <w:rPr>
          <w:rFonts w:ascii="Calibri" w:eastAsia="Calibri" w:hAnsi="Calibri" w:cs="Times New Roman"/>
          <w:i/>
          <w:iCs/>
          <w:strike/>
        </w:rPr>
        <w:t>regionally</w:t>
      </w:r>
      <w:r w:rsidRPr="00472578">
        <w:rPr>
          <w:rFonts w:ascii="Calibri" w:eastAsia="Calibri" w:hAnsi="Calibri" w:cs="Times New Roman"/>
          <w:strike/>
        </w:rPr>
        <w:t xml:space="preserve"> </w:t>
      </w:r>
      <w:r w:rsidRPr="00472578">
        <w:rPr>
          <w:rFonts w:ascii="Calibri" w:eastAsia="Calibri" w:hAnsi="Calibri" w:cs="Times New Roman"/>
          <w:i/>
          <w:iCs/>
          <w:strike/>
        </w:rPr>
        <w:t>significant</w:t>
      </w:r>
      <w:r w:rsidRPr="00472578">
        <w:rPr>
          <w:rFonts w:ascii="Calibri" w:eastAsia="Calibri" w:hAnsi="Calibri" w:cs="Times New Roman"/>
          <w:strike/>
        </w:rPr>
        <w:t xml:space="preserve"> </w:t>
      </w:r>
      <w:r w:rsidRPr="00472578">
        <w:rPr>
          <w:rFonts w:ascii="Calibri" w:eastAsia="Calibri" w:hAnsi="Calibri" w:cs="Times New Roman"/>
          <w:i/>
          <w:iCs/>
          <w:strike/>
        </w:rPr>
        <w:t>infrastructure.</w:t>
      </w:r>
      <w:r w:rsidRPr="00472578">
        <w:rPr>
          <w:rFonts w:ascii="Calibri" w:eastAsia="Calibri" w:hAnsi="Calibri" w:cs="Times New Roman"/>
          <w:strike/>
        </w:rPr>
        <w:t xml:space="preserve"> </w:t>
      </w:r>
    </w:p>
    <w:p w14:paraId="7ABC62CA" w14:textId="77777777" w:rsidR="00570759" w:rsidRPr="00472578" w:rsidRDefault="00570759" w:rsidP="00E92686">
      <w:pPr>
        <w:spacing w:after="0" w:line="256" w:lineRule="auto"/>
        <w:jc w:val="both"/>
        <w:rPr>
          <w:rFonts w:ascii="Calibri" w:eastAsia="Calibri" w:hAnsi="Calibri" w:cs="Times New Roman"/>
        </w:rPr>
      </w:pPr>
    </w:p>
    <w:p w14:paraId="2826E941" w14:textId="77777777" w:rsidR="00570759" w:rsidRPr="00472578" w:rsidRDefault="00570759" w:rsidP="00E92686">
      <w:pPr>
        <w:jc w:val="both"/>
        <w:rPr>
          <w:rFonts w:ascii="Calibri" w:hAnsi="Calibri" w:cs="Calibri"/>
          <w:u w:val="single"/>
        </w:rPr>
      </w:pPr>
      <w:bookmarkStart w:id="238" w:name="_Hlk95856539"/>
      <w:r w:rsidRPr="00472578">
        <w:rPr>
          <w:rFonts w:ascii="Calibri" w:hAnsi="Calibri" w:cs="Calibri"/>
          <w:u w:val="single"/>
        </w:rPr>
        <w:t xml:space="preserve">Protect the </w:t>
      </w:r>
      <w:bookmarkStart w:id="239" w:name="_Hlk94976804"/>
      <w:r w:rsidRPr="00472578">
        <w:rPr>
          <w:rFonts w:ascii="Calibri" w:hAnsi="Calibri" w:cs="Calibri"/>
          <w:u w:val="single"/>
        </w:rPr>
        <w:t xml:space="preserve">efficient and effective operation of </w:t>
      </w:r>
      <w:r w:rsidRPr="00472578">
        <w:rPr>
          <w:rFonts w:ascii="Calibri" w:hAnsi="Calibri" w:cs="Calibri"/>
          <w:i/>
          <w:iCs/>
          <w:u w:val="single"/>
        </w:rPr>
        <w:t>nationally significant infrastructure</w:t>
      </w:r>
      <w:r w:rsidRPr="00472578">
        <w:rPr>
          <w:rFonts w:ascii="Calibri" w:hAnsi="Calibri" w:cs="Calibri"/>
          <w:u w:val="single"/>
        </w:rPr>
        <w:t xml:space="preserve"> and </w:t>
      </w:r>
      <w:r w:rsidRPr="00472578">
        <w:rPr>
          <w:rFonts w:ascii="Calibri" w:hAnsi="Calibri" w:cs="Calibri"/>
          <w:i/>
          <w:iCs/>
          <w:u w:val="single"/>
        </w:rPr>
        <w:t>regionally significant infrastructure</w:t>
      </w:r>
      <w:bookmarkEnd w:id="239"/>
      <w:r w:rsidRPr="00472578">
        <w:rPr>
          <w:rFonts w:ascii="Calibri" w:hAnsi="Calibri" w:cs="Calibri"/>
          <w:u w:val="single"/>
        </w:rPr>
        <w:t xml:space="preserve"> by: </w:t>
      </w:r>
    </w:p>
    <w:p w14:paraId="77CF1E7A" w14:textId="6B94436A" w:rsidR="00570759" w:rsidRPr="00472578" w:rsidRDefault="00570759" w:rsidP="00E92686">
      <w:pPr>
        <w:pStyle w:val="JustifiedSpacing"/>
        <w:ind w:left="567" w:hanging="567"/>
        <w:rPr>
          <w:u w:val="single"/>
        </w:rPr>
      </w:pPr>
      <w:r w:rsidRPr="00472578">
        <w:rPr>
          <w:rFonts w:eastAsia="Calibri" w:cs="Times New Roman"/>
          <w:u w:val="single"/>
        </w:rPr>
        <w:t>(</w:t>
      </w:r>
      <w:r w:rsidRPr="00472578">
        <w:rPr>
          <w:u w:val="single"/>
        </w:rPr>
        <w:t xml:space="preserve">1) </w:t>
      </w:r>
      <w:r w:rsidRPr="00472578">
        <w:rPr>
          <w:u w:val="single"/>
        </w:rPr>
        <w:tab/>
        <w:t xml:space="preserve">avoiding activities that may give rise to an adverse effect on the </w:t>
      </w:r>
      <w:r w:rsidRPr="00472578">
        <w:rPr>
          <w:i/>
          <w:u w:val="single"/>
        </w:rPr>
        <w:t>functional</w:t>
      </w:r>
      <w:r w:rsidRPr="00472578">
        <w:rPr>
          <w:u w:val="single"/>
        </w:rPr>
        <w:t xml:space="preserve"> </w:t>
      </w:r>
      <w:r w:rsidR="00FD0FB1" w:rsidRPr="00472578">
        <w:rPr>
          <w:i/>
          <w:iCs/>
          <w:u w:val="single"/>
        </w:rPr>
        <w:t xml:space="preserve">needs </w:t>
      </w:r>
      <w:r w:rsidRPr="00472578">
        <w:rPr>
          <w:u w:val="single"/>
        </w:rPr>
        <w:t xml:space="preserve">or </w:t>
      </w:r>
      <w:r w:rsidRPr="00472578">
        <w:rPr>
          <w:i/>
          <w:u w:val="single"/>
        </w:rPr>
        <w:t>operational needs</w:t>
      </w:r>
      <w:r w:rsidRPr="00472578">
        <w:rPr>
          <w:u w:val="single"/>
        </w:rPr>
        <w:t xml:space="preserve"> of </w:t>
      </w:r>
      <w:r w:rsidRPr="00472578">
        <w:rPr>
          <w:i/>
          <w:iCs/>
          <w:u w:val="single"/>
        </w:rPr>
        <w:t>nationally significant infrastructure</w:t>
      </w:r>
      <w:r w:rsidRPr="00472578">
        <w:rPr>
          <w:u w:val="single"/>
        </w:rPr>
        <w:t xml:space="preserve"> or </w:t>
      </w:r>
      <w:r w:rsidRPr="00472578">
        <w:rPr>
          <w:i/>
          <w:iCs/>
          <w:u w:val="single"/>
        </w:rPr>
        <w:t>regionally significant infrastructure</w:t>
      </w:r>
      <w:r w:rsidRPr="00472578">
        <w:rPr>
          <w:u w:val="single"/>
        </w:rPr>
        <w:t>,</w:t>
      </w:r>
    </w:p>
    <w:p w14:paraId="5FD1338B" w14:textId="77777777" w:rsidR="00570759" w:rsidRPr="00472578" w:rsidRDefault="00570759" w:rsidP="00E92686">
      <w:pPr>
        <w:pStyle w:val="JustifiedSpacing"/>
        <w:shd w:val="clear" w:color="auto" w:fill="FFFFFF" w:themeFill="background1"/>
        <w:ind w:left="567" w:hanging="567"/>
        <w:rPr>
          <w:u w:val="single"/>
        </w:rPr>
      </w:pPr>
      <w:r w:rsidRPr="00472578">
        <w:rPr>
          <w:u w:val="single"/>
        </w:rPr>
        <w:t xml:space="preserve">(2) </w:t>
      </w:r>
      <w:r w:rsidRPr="00472578">
        <w:rPr>
          <w:u w:val="single"/>
        </w:rPr>
        <w:tab/>
        <w:t xml:space="preserve">avoiding activities that may result in reverse sensitivity effects on </w:t>
      </w:r>
      <w:r w:rsidRPr="00472578">
        <w:rPr>
          <w:i/>
          <w:iCs/>
          <w:u w:val="single"/>
        </w:rPr>
        <w:t>nationally significant infrastructure</w:t>
      </w:r>
      <w:r w:rsidRPr="00472578">
        <w:rPr>
          <w:u w:val="single"/>
        </w:rPr>
        <w:t xml:space="preserve"> or </w:t>
      </w:r>
      <w:r w:rsidRPr="00472578">
        <w:rPr>
          <w:i/>
          <w:iCs/>
          <w:u w:val="single"/>
        </w:rPr>
        <w:t>regionally significant infrastructure</w:t>
      </w:r>
      <w:r w:rsidRPr="00472578">
        <w:rPr>
          <w:u w:val="single"/>
        </w:rPr>
        <w:t>, and</w:t>
      </w:r>
    </w:p>
    <w:p w14:paraId="77B333D5" w14:textId="77777777" w:rsidR="00570759" w:rsidRPr="00472578" w:rsidRDefault="00570759" w:rsidP="00E92686">
      <w:pPr>
        <w:pStyle w:val="JustifiedSpacing"/>
        <w:ind w:left="567" w:hanging="567"/>
        <w:rPr>
          <w:u w:val="single"/>
        </w:rPr>
      </w:pPr>
      <w:r w:rsidRPr="00472578">
        <w:rPr>
          <w:u w:val="single"/>
        </w:rPr>
        <w:t xml:space="preserve">(3) </w:t>
      </w:r>
      <w:r w:rsidRPr="00472578">
        <w:rPr>
          <w:u w:val="single"/>
        </w:rPr>
        <w:tab/>
        <w:t xml:space="preserve">avoiding activities and development that foreclose an opportunity to adapt, upgrade or develop </w:t>
      </w:r>
      <w:r w:rsidRPr="00472578">
        <w:rPr>
          <w:i/>
          <w:iCs/>
          <w:u w:val="single"/>
        </w:rPr>
        <w:t>nationally significant infrastructure</w:t>
      </w:r>
      <w:r w:rsidRPr="00472578">
        <w:rPr>
          <w:u w:val="single"/>
        </w:rPr>
        <w:t xml:space="preserve"> or </w:t>
      </w:r>
      <w:r w:rsidRPr="00472578">
        <w:rPr>
          <w:i/>
          <w:iCs/>
          <w:u w:val="single"/>
        </w:rPr>
        <w:t>regionally significant infrastructure</w:t>
      </w:r>
      <w:r w:rsidRPr="00472578" w:rsidDel="006F54CB">
        <w:rPr>
          <w:u w:val="single"/>
        </w:rPr>
        <w:t xml:space="preserve"> </w:t>
      </w:r>
      <w:r w:rsidRPr="00472578">
        <w:rPr>
          <w:u w:val="single"/>
        </w:rPr>
        <w:t>to meet future demand</w:t>
      </w:r>
      <w:bookmarkEnd w:id="238"/>
      <w:r w:rsidRPr="00472578">
        <w:rPr>
          <w:u w:val="single"/>
        </w:rPr>
        <w:t>.</w:t>
      </w:r>
      <w:r w:rsidRPr="00472578">
        <w:rPr>
          <w:rStyle w:val="FootnoteReference"/>
        </w:rPr>
        <w:footnoteReference w:id="1148"/>
      </w:r>
      <w:r w:rsidRPr="00472578">
        <w:rPr>
          <w:u w:val="single"/>
        </w:rPr>
        <w:t xml:space="preserve"> </w:t>
      </w:r>
    </w:p>
    <w:p w14:paraId="30D87880" w14:textId="77777777" w:rsidR="00570759" w:rsidRPr="00472578" w:rsidRDefault="00570759" w:rsidP="00E92686">
      <w:pPr>
        <w:pStyle w:val="Heading5"/>
        <w:jc w:val="both"/>
        <w:rPr>
          <w:rFonts w:eastAsiaTheme="minorHAnsi" w:cstheme="minorBidi"/>
        </w:rPr>
      </w:pPr>
      <w:bookmarkStart w:id="241" w:name="_Toc56620250"/>
      <w:r w:rsidRPr="00472578">
        <w:t xml:space="preserve">EIT-INF-P16 – Providing for electricity transmission and the </w:t>
      </w:r>
      <w:r w:rsidRPr="00472578">
        <w:rPr>
          <w:i/>
          <w:iCs/>
        </w:rPr>
        <w:t>National Grid</w:t>
      </w:r>
    </w:p>
    <w:p w14:paraId="7B93A5BB" w14:textId="77777777" w:rsidR="00570759" w:rsidRPr="00472578" w:rsidRDefault="00570759" w:rsidP="00E92686">
      <w:pPr>
        <w:spacing w:line="240" w:lineRule="auto"/>
        <w:jc w:val="both"/>
        <w:rPr>
          <w:rFonts w:ascii="Calibri" w:eastAsia="Calibri" w:hAnsi="Calibri" w:cs="Times New Roman"/>
        </w:rPr>
      </w:pPr>
      <w:r w:rsidRPr="00472578">
        <w:rPr>
          <w:rFonts w:ascii="Calibri" w:eastAsia="Calibri" w:hAnsi="Calibri" w:cs="Times New Roman"/>
        </w:rPr>
        <w:t>Maintain</w:t>
      </w:r>
      <w:r w:rsidRPr="00472578">
        <w:rPr>
          <w:rFonts w:ascii="Calibri" w:eastAsia="Calibri" w:hAnsi="Calibri" w:cs="Times New Roman"/>
          <w:strike/>
        </w:rPr>
        <w:t xml:space="preserve"> </w:t>
      </w:r>
      <w:r w:rsidRPr="00472578">
        <w:rPr>
          <w:rFonts w:ascii="Calibri" w:eastAsia="Calibri" w:hAnsi="Calibri" w:cs="Times New Roman"/>
        </w:rPr>
        <w:t xml:space="preserve">a </w:t>
      </w:r>
      <w:r w:rsidRPr="00472578">
        <w:rPr>
          <w:rFonts w:ascii="Calibri" w:hAnsi="Calibri" w:cs="Calibri"/>
        </w:rPr>
        <w:t>secure</w:t>
      </w:r>
      <w:r w:rsidRPr="00472578">
        <w:rPr>
          <w:rFonts w:ascii="Calibri" w:eastAsia="Calibri" w:hAnsi="Calibri" w:cs="Times New Roman"/>
        </w:rPr>
        <w:t xml:space="preserve"> and sustainable electricity supply in Otago by:</w:t>
      </w:r>
    </w:p>
    <w:p w14:paraId="6A49F1F7" w14:textId="77777777" w:rsidR="00570759" w:rsidRPr="00472578" w:rsidRDefault="00570759" w:rsidP="00E92686">
      <w:pPr>
        <w:pStyle w:val="JustifiedSpacing"/>
        <w:ind w:left="567" w:hanging="567"/>
      </w:pPr>
      <w:r w:rsidRPr="00472578">
        <w:t>(1)</w:t>
      </w:r>
      <w:r w:rsidRPr="00472578">
        <w:tab/>
        <w:t xml:space="preserve">providing for development of, and upgrades to, the electricity transmission network and requiring, as far as practicable, its integration with </w:t>
      </w:r>
      <w:r w:rsidRPr="00472578">
        <w:rPr>
          <w:i/>
          <w:iCs/>
        </w:rPr>
        <w:t xml:space="preserve">land </w:t>
      </w:r>
      <w:r w:rsidRPr="00472578">
        <w:t>use,</w:t>
      </w:r>
    </w:p>
    <w:p w14:paraId="31D47476" w14:textId="175C1DA6" w:rsidR="00570759" w:rsidRPr="00472578" w:rsidRDefault="00570759" w:rsidP="00E92686">
      <w:pPr>
        <w:pStyle w:val="JustifiedSpacing"/>
        <w:ind w:left="567" w:hanging="567"/>
      </w:pPr>
      <w:r w:rsidRPr="00472578">
        <w:lastRenderedPageBreak/>
        <w:t>(2)</w:t>
      </w:r>
      <w:r w:rsidRPr="00472578">
        <w:tab/>
        <w:t xml:space="preserve">considering the requirements of and constraints on the </w:t>
      </w:r>
      <w:r w:rsidRPr="00472578">
        <w:rPr>
          <w:i/>
          <w:iCs/>
        </w:rPr>
        <w:t>functional</w:t>
      </w:r>
      <w:r w:rsidRPr="00472578">
        <w:t xml:space="preserve"> </w:t>
      </w:r>
      <w:r w:rsidR="006C0501" w:rsidRPr="00472578">
        <w:rPr>
          <w:i/>
          <w:iCs/>
          <w:u w:val="single"/>
        </w:rPr>
        <w:t>needs</w:t>
      </w:r>
      <w:r w:rsidR="006C0501" w:rsidRPr="006665DE">
        <w:rPr>
          <w:rStyle w:val="FootnoteReference"/>
        </w:rPr>
        <w:footnoteReference w:id="1149"/>
      </w:r>
      <w:r w:rsidR="00D868EA" w:rsidRPr="006665DE">
        <w:t xml:space="preserve"> </w:t>
      </w:r>
      <w:r w:rsidRPr="00472578">
        <w:t xml:space="preserve">or </w:t>
      </w:r>
      <w:r w:rsidRPr="00472578">
        <w:rPr>
          <w:i/>
          <w:iCs/>
        </w:rPr>
        <w:t>operational needs</w:t>
      </w:r>
      <w:r w:rsidRPr="00472578">
        <w:t xml:space="preserve"> of the electricity transmission network,</w:t>
      </w:r>
    </w:p>
    <w:p w14:paraId="3E84A3A4" w14:textId="77777777" w:rsidR="00570759" w:rsidRPr="00472578" w:rsidRDefault="00570759" w:rsidP="00E92686">
      <w:pPr>
        <w:pStyle w:val="JustifiedSpacing"/>
        <w:ind w:left="567" w:hanging="567"/>
      </w:pPr>
      <w:r w:rsidRPr="00472578">
        <w:t>(3)</w:t>
      </w:r>
      <w:r w:rsidRPr="00472578">
        <w:tab/>
      </w:r>
      <w:r w:rsidRPr="00472578" w:rsidDel="000C72CF">
        <w:t>providing</w:t>
      </w:r>
      <w:r w:rsidRPr="00472578" w:rsidDel="00533A2F">
        <w:t xml:space="preserve"> for</w:t>
      </w:r>
      <w:r w:rsidRPr="00472578">
        <w:t xml:space="preserve"> the efficient and effective development, operation, maintenance, and upgrading of the </w:t>
      </w:r>
      <w:r w:rsidRPr="00472578">
        <w:rPr>
          <w:i/>
          <w:iCs/>
        </w:rPr>
        <w:t>National Grid</w:t>
      </w:r>
      <w:r w:rsidRPr="00472578">
        <w:t>,</w:t>
      </w:r>
    </w:p>
    <w:p w14:paraId="01869D14" w14:textId="77777777" w:rsidR="00570759" w:rsidRPr="00472578" w:rsidRDefault="00570759" w:rsidP="00E92686">
      <w:pPr>
        <w:pStyle w:val="JustifiedSpacing"/>
        <w:ind w:left="567" w:hanging="567"/>
      </w:pPr>
      <w:r w:rsidRPr="00472578">
        <w:t>(4)</w:t>
      </w:r>
      <w:r w:rsidRPr="00472578">
        <w:tab/>
        <w:t xml:space="preserve">enabling the reasonable operation, </w:t>
      </w:r>
      <w:proofErr w:type="gramStart"/>
      <w:r w:rsidRPr="00472578">
        <w:t>maintenance</w:t>
      </w:r>
      <w:proofErr w:type="gramEnd"/>
      <w:r w:rsidRPr="00472578">
        <w:t xml:space="preserve"> and minor upgrade requirements of established electricity transmission assets, and</w:t>
      </w:r>
    </w:p>
    <w:p w14:paraId="2444BB38" w14:textId="77777777" w:rsidR="00570759" w:rsidRPr="00472578" w:rsidRDefault="00570759" w:rsidP="00E92686">
      <w:pPr>
        <w:pStyle w:val="JustifiedSpacing"/>
        <w:ind w:left="567" w:hanging="567"/>
      </w:pPr>
      <w:r w:rsidRPr="00472578">
        <w:t>(5)</w:t>
      </w:r>
      <w:r w:rsidRPr="00472578">
        <w:tab/>
        <w:t xml:space="preserve">minimising the adverse </w:t>
      </w:r>
      <w:r w:rsidRPr="00472578">
        <w:rPr>
          <w:i/>
        </w:rPr>
        <w:t>effects</w:t>
      </w:r>
      <w:r w:rsidRPr="00472578">
        <w:t xml:space="preserve"> of the electricity transmission network on urban amenity, and avoiding adverse </w:t>
      </w:r>
      <w:r w:rsidRPr="00472578">
        <w:rPr>
          <w:i/>
          <w:iCs/>
        </w:rPr>
        <w:t>effects</w:t>
      </w:r>
      <w:r w:rsidRPr="00472578">
        <w:t xml:space="preserve"> on town centres, </w:t>
      </w:r>
      <w:r w:rsidRPr="00472578">
        <w:rPr>
          <w:u w:val="single"/>
        </w:rPr>
        <w:t>areas of significance to mana whenua such as wāhi tūpuna,</w:t>
      </w:r>
      <w:r w:rsidRPr="00472578">
        <w:rPr>
          <w:rStyle w:val="FootnoteReference"/>
        </w:rPr>
        <w:footnoteReference w:id="1150"/>
      </w:r>
      <w:r w:rsidRPr="00472578">
        <w:t xml:space="preserve"> areas of high amenity or recreational value and existing </w:t>
      </w:r>
      <w:r w:rsidRPr="00472578">
        <w:rPr>
          <w:i/>
        </w:rPr>
        <w:t>sensitive activities</w:t>
      </w:r>
      <w:r w:rsidRPr="00472578">
        <w:t>.</w:t>
      </w:r>
    </w:p>
    <w:p w14:paraId="7BCF1A99" w14:textId="77777777" w:rsidR="00570759" w:rsidRPr="00472578" w:rsidRDefault="00570759" w:rsidP="00E92686">
      <w:pPr>
        <w:pStyle w:val="Heading5"/>
        <w:jc w:val="both"/>
        <w:rPr>
          <w:rFonts w:eastAsiaTheme="minorHAnsi" w:cstheme="minorBidi"/>
          <w:i/>
          <w:iCs/>
        </w:rPr>
      </w:pPr>
      <w:r w:rsidRPr="00472578">
        <w:t xml:space="preserve">EIT-INF-P17 </w:t>
      </w:r>
      <w:bookmarkStart w:id="242" w:name="_Hlk72429634"/>
      <w:r w:rsidRPr="00472578">
        <w:t>–</w:t>
      </w:r>
      <w:bookmarkEnd w:id="242"/>
      <w:r w:rsidRPr="00472578">
        <w:t xml:space="preserve"> Urban growth and </w:t>
      </w:r>
      <w:r w:rsidRPr="00472578">
        <w:rPr>
          <w:i/>
          <w:iCs/>
        </w:rPr>
        <w:t>infrastructure</w:t>
      </w:r>
    </w:p>
    <w:p w14:paraId="533C6152" w14:textId="77777777" w:rsidR="00570759" w:rsidRPr="00472578" w:rsidRDefault="00570759" w:rsidP="00E92686">
      <w:pPr>
        <w:spacing w:line="256" w:lineRule="auto"/>
        <w:jc w:val="both"/>
        <w:rPr>
          <w:rFonts w:eastAsia="National-Book" w:cs="Times New Roman"/>
        </w:rPr>
      </w:pPr>
      <w:r w:rsidRPr="00472578">
        <w:t xml:space="preserve">Provide for </w:t>
      </w:r>
      <w:r w:rsidRPr="00472578">
        <w:rPr>
          <w:i/>
        </w:rPr>
        <w:t>development infrastructure</w:t>
      </w:r>
      <w:r w:rsidRPr="00472578">
        <w:t xml:space="preserve"> and </w:t>
      </w:r>
      <w:r w:rsidRPr="00472578">
        <w:rPr>
          <w:i/>
        </w:rPr>
        <w:t>additional infrastructure</w:t>
      </w:r>
      <w:r w:rsidRPr="00472578">
        <w:t xml:space="preserve"> required to service existing, planned and expected urban growth demands in the short, </w:t>
      </w:r>
      <w:proofErr w:type="gramStart"/>
      <w:r w:rsidRPr="00472578">
        <w:t>medium</w:t>
      </w:r>
      <w:proofErr w:type="gramEnd"/>
      <w:r w:rsidRPr="00472578">
        <w:t xml:space="preserve"> and long term, taking in account </w:t>
      </w:r>
      <w:r w:rsidRPr="00472578">
        <w:rPr>
          <w:rFonts w:eastAsia="National-Book" w:cs="Times New Roman"/>
        </w:rPr>
        <w:t>UFD</w:t>
      </w:r>
      <w:r w:rsidRPr="00472578">
        <w:t xml:space="preserve"> – </w:t>
      </w:r>
      <w:r w:rsidRPr="00472578">
        <w:rPr>
          <w:rFonts w:eastAsia="National-Book" w:cs="Times New Roman"/>
        </w:rPr>
        <w:t>P1 to UFD</w:t>
      </w:r>
      <w:r w:rsidRPr="00472578">
        <w:t xml:space="preserve"> – </w:t>
      </w:r>
      <w:r w:rsidRPr="00472578">
        <w:rPr>
          <w:rFonts w:eastAsia="National-Book" w:cs="Times New Roman"/>
        </w:rPr>
        <w:t>P10.</w:t>
      </w:r>
      <w:r w:rsidRPr="00472578" w:rsidDel="00073B0A">
        <w:rPr>
          <w:rFonts w:eastAsia="National-Book" w:cs="Times New Roman"/>
        </w:rPr>
        <w:t xml:space="preserve"> </w:t>
      </w:r>
    </w:p>
    <w:p w14:paraId="4E6E6114" w14:textId="77777777" w:rsidR="00570759" w:rsidRPr="00472578" w:rsidRDefault="00570759" w:rsidP="00E92686">
      <w:pPr>
        <w:pStyle w:val="Heading4"/>
        <w:jc w:val="both"/>
      </w:pPr>
      <w:r w:rsidRPr="00472578">
        <w:t>Methods</w:t>
      </w:r>
      <w:bookmarkEnd w:id="241"/>
    </w:p>
    <w:p w14:paraId="7B8F1161" w14:textId="77777777" w:rsidR="00570759" w:rsidRPr="00472578" w:rsidRDefault="00570759" w:rsidP="00E92686">
      <w:pPr>
        <w:pStyle w:val="Heading5"/>
        <w:jc w:val="both"/>
      </w:pPr>
      <w:r w:rsidRPr="00472578">
        <w:t xml:space="preserve">EIT-INF-M4 – </w:t>
      </w:r>
      <w:r w:rsidRPr="00472578">
        <w:rPr>
          <w:i/>
        </w:rPr>
        <w:t>Regional plans</w:t>
      </w:r>
    </w:p>
    <w:p w14:paraId="3A9AC3A1" w14:textId="77777777" w:rsidR="00570759" w:rsidRPr="00472578" w:rsidRDefault="00570759" w:rsidP="00E92686">
      <w:pPr>
        <w:jc w:val="both"/>
      </w:pPr>
      <w:bookmarkStart w:id="243" w:name="_Hlk42179918"/>
      <w:r w:rsidRPr="00472578">
        <w:t xml:space="preserve">Otago Regional Council must </w:t>
      </w:r>
      <w:r w:rsidRPr="00472578">
        <w:rPr>
          <w:rFonts w:ascii="Calibri" w:eastAsia="Calibri" w:hAnsi="Calibri" w:cs="Times New Roman"/>
        </w:rPr>
        <w:t>prepare or amend and maintain</w:t>
      </w:r>
      <w:r w:rsidRPr="00472578">
        <w:t xml:space="preserve"> its </w:t>
      </w:r>
      <w:r w:rsidRPr="00472578">
        <w:rPr>
          <w:i/>
          <w:iCs/>
        </w:rPr>
        <w:t>regional plans</w:t>
      </w:r>
      <w:r w:rsidRPr="00472578">
        <w:t xml:space="preserve"> to: </w:t>
      </w:r>
    </w:p>
    <w:p w14:paraId="5E4FC809" w14:textId="77777777" w:rsidR="00570759" w:rsidRPr="00472578" w:rsidRDefault="00570759" w:rsidP="00E92686">
      <w:pPr>
        <w:ind w:left="567" w:hanging="567"/>
        <w:jc w:val="both"/>
      </w:pPr>
      <w:r w:rsidRPr="00472578">
        <w:t>(1)</w:t>
      </w:r>
      <w:r w:rsidRPr="00472578">
        <w:tab/>
        <w:t xml:space="preserve">manage the adverse </w:t>
      </w:r>
      <w:r w:rsidRPr="00472578">
        <w:rPr>
          <w:i/>
          <w:iCs/>
        </w:rPr>
        <w:t>effects</w:t>
      </w:r>
      <w:r w:rsidRPr="00472578">
        <w:t xml:space="preserve"> of </w:t>
      </w:r>
      <w:r w:rsidRPr="00472578">
        <w:rPr>
          <w:i/>
          <w:iCs/>
        </w:rPr>
        <w:t>infrastructure</w:t>
      </w:r>
      <w:r w:rsidRPr="00472578">
        <w:t xml:space="preserve"> activities that:</w:t>
      </w:r>
    </w:p>
    <w:p w14:paraId="35B9E53A" w14:textId="77777777" w:rsidR="00570759" w:rsidRPr="00472578" w:rsidRDefault="00570759" w:rsidP="00E92686">
      <w:pPr>
        <w:pStyle w:val="JustifiedSpacing"/>
        <w:ind w:left="1134" w:hanging="567"/>
      </w:pPr>
      <w:r w:rsidRPr="00472578">
        <w:t>(a)</w:t>
      </w:r>
      <w:r w:rsidRPr="00472578">
        <w:tab/>
        <w:t xml:space="preserve">are in 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or </w:t>
      </w:r>
    </w:p>
    <w:p w14:paraId="379BA163" w14:textId="77777777" w:rsidR="00570759" w:rsidRPr="00472578" w:rsidRDefault="00570759" w:rsidP="00E92686">
      <w:pPr>
        <w:pStyle w:val="JustifiedSpacing"/>
        <w:ind w:left="1134" w:hanging="567"/>
      </w:pPr>
      <w:r w:rsidRPr="00472578">
        <w:t>(b)</w:t>
      </w:r>
      <w:r w:rsidRPr="00472578">
        <w:tab/>
        <w:t xml:space="preserve">are in the </w:t>
      </w:r>
      <w:r w:rsidRPr="00472578">
        <w:rPr>
          <w:i/>
          <w:iCs/>
        </w:rPr>
        <w:t>coastal marine area</w:t>
      </w:r>
      <w:r w:rsidRPr="00472578">
        <w:t>, or</w:t>
      </w:r>
    </w:p>
    <w:p w14:paraId="688B1918" w14:textId="77777777" w:rsidR="00570759" w:rsidRPr="00472578" w:rsidRDefault="00570759" w:rsidP="00E92686">
      <w:pPr>
        <w:pStyle w:val="JustifiedSpacing"/>
        <w:ind w:left="1134" w:hanging="567"/>
      </w:pPr>
      <w:r w:rsidRPr="00472578">
        <w:t>(c)</w:t>
      </w:r>
      <w:r w:rsidRPr="00472578">
        <w:tab/>
        <w:t xml:space="preserve">involve the taking, use, damming or diversion of </w:t>
      </w:r>
      <w:r w:rsidRPr="00472578">
        <w:rPr>
          <w:i/>
          <w:iCs/>
        </w:rPr>
        <w:t>water</w:t>
      </w:r>
      <w:r w:rsidRPr="00472578">
        <w:t xml:space="preserve"> or,</w:t>
      </w:r>
    </w:p>
    <w:p w14:paraId="3B4EAE85" w14:textId="77777777" w:rsidR="00570759" w:rsidRPr="00472578" w:rsidRDefault="00570759" w:rsidP="00E92686">
      <w:pPr>
        <w:pStyle w:val="JustifiedSpacing"/>
        <w:numPr>
          <w:ilvl w:val="0"/>
          <w:numId w:val="32"/>
        </w:numPr>
        <w:spacing w:line="240" w:lineRule="auto"/>
        <w:ind w:left="1134" w:hanging="567"/>
      </w:pPr>
      <w:r w:rsidRPr="00472578">
        <w:t xml:space="preserve">involve the </w:t>
      </w:r>
      <w:r w:rsidRPr="00472578">
        <w:rPr>
          <w:i/>
          <w:iCs/>
        </w:rPr>
        <w:t>discharge</w:t>
      </w:r>
      <w:r w:rsidRPr="00472578">
        <w:t xml:space="preserve"> of </w:t>
      </w:r>
      <w:r w:rsidRPr="00472578">
        <w:rPr>
          <w:i/>
          <w:iCs/>
        </w:rPr>
        <w:t>water</w:t>
      </w:r>
      <w:r w:rsidRPr="00472578">
        <w:t xml:space="preserve"> or </w:t>
      </w:r>
      <w:r w:rsidRPr="00472578">
        <w:rPr>
          <w:i/>
          <w:iCs/>
        </w:rPr>
        <w:t>contaminants</w:t>
      </w:r>
      <w:r w:rsidRPr="00472578">
        <w:t>, and</w:t>
      </w:r>
    </w:p>
    <w:bookmarkEnd w:id="243"/>
    <w:p w14:paraId="548A075F" w14:textId="77777777" w:rsidR="00570759" w:rsidRPr="00472578" w:rsidRDefault="00570759" w:rsidP="00E92686">
      <w:pPr>
        <w:ind w:left="567" w:hanging="567"/>
        <w:jc w:val="both"/>
        <w:rPr>
          <w:rFonts w:ascii="Times New Roman" w:eastAsia="Times New Roman" w:hAnsi="Times New Roman" w:cs="Times New Roman"/>
          <w:sz w:val="24"/>
          <w:szCs w:val="24"/>
          <w:lang w:eastAsia="en-GB"/>
        </w:rPr>
      </w:pPr>
      <w:r w:rsidRPr="00472578">
        <w:rPr>
          <w:rFonts w:eastAsia="Times New Roman"/>
          <w:color w:val="000000"/>
          <w:lang w:eastAsia="en-GB"/>
        </w:rPr>
        <w:t>(2)</w:t>
      </w:r>
      <w:r w:rsidRPr="00472578">
        <w:rPr>
          <w:rFonts w:eastAsia="Times New Roman"/>
          <w:color w:val="000000"/>
          <w:lang w:eastAsia="en-GB"/>
        </w:rPr>
        <w:tab/>
      </w:r>
      <w:bookmarkStart w:id="244" w:name="_Hlk95858307"/>
      <w:r w:rsidRPr="00472578">
        <w:rPr>
          <w:rFonts w:eastAsia="Times New Roman"/>
          <w:color w:val="000000"/>
          <w:lang w:eastAsia="en-GB"/>
        </w:rPr>
        <w:t xml:space="preserve">require the prioritisation of sites for </w:t>
      </w:r>
      <w:r w:rsidRPr="00472578">
        <w:rPr>
          <w:rFonts w:eastAsia="Times New Roman"/>
          <w:i/>
          <w:color w:val="000000"/>
          <w:lang w:eastAsia="en-GB"/>
        </w:rPr>
        <w:t>infrastructure</w:t>
      </w:r>
      <w:r w:rsidRPr="00472578">
        <w:rPr>
          <w:rFonts w:eastAsia="Times New Roman"/>
          <w:color w:val="000000"/>
          <w:lang w:eastAsia="en-GB"/>
        </w:rPr>
        <w:t xml:space="preserve"> where adverse </w:t>
      </w:r>
      <w:r w:rsidRPr="00472578">
        <w:rPr>
          <w:rFonts w:eastAsia="Times New Roman"/>
          <w:i/>
          <w:color w:val="000000"/>
          <w:lang w:eastAsia="en-GB"/>
        </w:rPr>
        <w:t>effects</w:t>
      </w:r>
      <w:r w:rsidRPr="00472578">
        <w:rPr>
          <w:rFonts w:eastAsia="Times New Roman"/>
          <w:color w:val="000000"/>
          <w:lang w:eastAsia="en-GB"/>
        </w:rPr>
        <w:t xml:space="preserve"> on highly valued </w:t>
      </w:r>
      <w:r w:rsidRPr="00472578">
        <w:rPr>
          <w:rFonts w:eastAsia="Times New Roman"/>
          <w:i/>
          <w:color w:val="000000"/>
          <w:lang w:eastAsia="en-GB"/>
        </w:rPr>
        <w:t>natural and physical resources</w:t>
      </w:r>
      <w:r w:rsidRPr="00472578">
        <w:rPr>
          <w:rFonts w:eastAsia="Times New Roman"/>
          <w:color w:val="000000"/>
          <w:lang w:eastAsia="en-GB"/>
        </w:rPr>
        <w:t xml:space="preserve"> and </w:t>
      </w:r>
      <w:r w:rsidRPr="00472578">
        <w:rPr>
          <w:rFonts w:eastAsia="Times New Roman"/>
          <w:i/>
          <w:color w:val="000000"/>
          <w:lang w:eastAsia="en-GB"/>
        </w:rPr>
        <w:t>mana whenua</w:t>
      </w:r>
      <w:r w:rsidRPr="00472578">
        <w:rPr>
          <w:rFonts w:eastAsia="Times New Roman"/>
          <w:color w:val="000000"/>
          <w:lang w:eastAsia="en-GB"/>
        </w:rPr>
        <w:t xml:space="preserve"> values can be avoided or, at the very least, minimised</w:t>
      </w:r>
      <w:bookmarkEnd w:id="244"/>
      <w:r w:rsidRPr="00472578">
        <w:rPr>
          <w:rFonts w:eastAsia="Times New Roman"/>
          <w:color w:val="000000"/>
          <w:lang w:eastAsia="en-GB"/>
        </w:rPr>
        <w:t>.</w:t>
      </w:r>
    </w:p>
    <w:p w14:paraId="4E49A64C" w14:textId="77777777" w:rsidR="00570759" w:rsidRPr="00472578" w:rsidRDefault="00570759" w:rsidP="00E92686">
      <w:pPr>
        <w:pStyle w:val="Heading5"/>
        <w:jc w:val="both"/>
      </w:pPr>
      <w:r w:rsidRPr="00472578">
        <w:t xml:space="preserve">EIT-INF-M5 – </w:t>
      </w:r>
      <w:r w:rsidRPr="00472578">
        <w:rPr>
          <w:i/>
        </w:rPr>
        <w:t>District plans</w:t>
      </w:r>
    </w:p>
    <w:p w14:paraId="7A7D82D4" w14:textId="77777777" w:rsidR="00570759" w:rsidRPr="00472578" w:rsidRDefault="00570759" w:rsidP="00E92686">
      <w:pPr>
        <w:jc w:val="both"/>
      </w:pPr>
      <w:r w:rsidRPr="00472578">
        <w:rPr>
          <w:i/>
          <w:iCs/>
        </w:rPr>
        <w:t>Territorial authorities</w:t>
      </w:r>
      <w:r w:rsidRPr="00472578">
        <w:t xml:space="preserve"> must </w:t>
      </w:r>
      <w:r w:rsidRPr="00472578">
        <w:rPr>
          <w:rFonts w:ascii="Calibri" w:eastAsia="Calibri" w:hAnsi="Calibri" w:cs="Times New Roman"/>
        </w:rPr>
        <w:t>prepare or amend and maintain</w:t>
      </w:r>
      <w:r w:rsidRPr="00472578">
        <w:t xml:space="preserve"> their </w:t>
      </w:r>
      <w:r w:rsidRPr="00472578">
        <w:rPr>
          <w:i/>
          <w:iCs/>
        </w:rPr>
        <w:t>district plans</w:t>
      </w:r>
      <w:r w:rsidRPr="00472578">
        <w:t xml:space="preserve"> to: </w:t>
      </w:r>
    </w:p>
    <w:p w14:paraId="3C10FB52" w14:textId="273844D2" w:rsidR="00570759" w:rsidRPr="00472578" w:rsidRDefault="00570759" w:rsidP="00E92686">
      <w:pPr>
        <w:ind w:left="567" w:hanging="567"/>
        <w:jc w:val="both"/>
      </w:pPr>
      <w:bookmarkStart w:id="245" w:name="_Hlk49344982"/>
      <w:r w:rsidRPr="00472578">
        <w:t>(1)</w:t>
      </w:r>
      <w:r w:rsidRPr="00472578">
        <w:tab/>
        <w:t xml:space="preserve">require a strategic approach to the integration of </w:t>
      </w:r>
      <w:r w:rsidRPr="00472578">
        <w:rPr>
          <w:i/>
          <w:iCs/>
        </w:rPr>
        <w:t xml:space="preserve">land </w:t>
      </w:r>
      <w:r w:rsidRPr="00472578">
        <w:t xml:space="preserve">use and </w:t>
      </w:r>
      <w:r w:rsidRPr="00472578">
        <w:rPr>
          <w:i/>
          <w:iCs/>
        </w:rPr>
        <w:t>nationally</w:t>
      </w:r>
      <w:r w:rsidR="004E7594" w:rsidRPr="00472578">
        <w:rPr>
          <w:i/>
        </w:rPr>
        <w:t xml:space="preserve"> </w:t>
      </w:r>
      <w:r w:rsidR="00EB78E3" w:rsidRPr="00472578">
        <w:rPr>
          <w:i/>
          <w:iCs/>
          <w:u w:val="single"/>
        </w:rPr>
        <w:t>significant</w:t>
      </w:r>
      <w:r w:rsidR="000D5193" w:rsidRPr="00472578">
        <w:rPr>
          <w:i/>
          <w:iCs/>
          <w:u w:val="single"/>
        </w:rPr>
        <w:t xml:space="preserve"> infrastructure</w:t>
      </w:r>
      <w:r w:rsidR="00E55344" w:rsidRPr="00472578">
        <w:rPr>
          <w:rStyle w:val="FootnoteReference"/>
        </w:rPr>
        <w:footnoteReference w:id="1151"/>
      </w:r>
      <w:r w:rsidRPr="00472578">
        <w:t xml:space="preserve"> or </w:t>
      </w:r>
      <w:r w:rsidRPr="00472578">
        <w:rPr>
          <w:i/>
          <w:iCs/>
        </w:rPr>
        <w:t>regionally significant infrastructure</w:t>
      </w:r>
      <w:r w:rsidRPr="00472578">
        <w:t xml:space="preserve">, </w:t>
      </w:r>
    </w:p>
    <w:p w14:paraId="72865FD0" w14:textId="77777777" w:rsidR="00570759" w:rsidRPr="00472578" w:rsidRDefault="00570759" w:rsidP="00E92686">
      <w:pPr>
        <w:ind w:left="567" w:hanging="567"/>
        <w:jc w:val="both"/>
      </w:pPr>
      <w:r w:rsidRPr="00472578">
        <w:t xml:space="preserve">(2) </w:t>
      </w:r>
      <w:r w:rsidRPr="00472578">
        <w:tab/>
        <w:t xml:space="preserve">enable planning for the </w:t>
      </w:r>
      <w:bookmarkStart w:id="246" w:name="_Hlk95859622"/>
      <w:r w:rsidRPr="00472578">
        <w:rPr>
          <w:strike/>
        </w:rPr>
        <w:t>electricity transmission network and</w:t>
      </w:r>
      <w:r w:rsidRPr="00472578">
        <w:t xml:space="preserve"> </w:t>
      </w:r>
      <w:bookmarkEnd w:id="246"/>
      <w:r w:rsidRPr="00472578">
        <w:rPr>
          <w:i/>
          <w:iCs/>
        </w:rPr>
        <w:t>National Grid</w:t>
      </w:r>
      <w:r w:rsidRPr="00472578">
        <w:t xml:space="preserve"> </w:t>
      </w:r>
      <w:bookmarkStart w:id="247" w:name="_Hlk95859682"/>
      <w:r w:rsidRPr="00472578">
        <w:rPr>
          <w:strike/>
        </w:rPr>
        <w:t>to achieve efficient distribution of electricity</w:t>
      </w:r>
      <w:r w:rsidRPr="00472578">
        <w:t>,</w:t>
      </w:r>
      <w:bookmarkEnd w:id="245"/>
      <w:bookmarkEnd w:id="247"/>
      <w:r w:rsidRPr="00472578">
        <w:rPr>
          <w:rStyle w:val="FootnoteReference"/>
        </w:rPr>
        <w:footnoteReference w:id="1152"/>
      </w:r>
    </w:p>
    <w:p w14:paraId="2816A567" w14:textId="77777777" w:rsidR="00570759" w:rsidRPr="00472578" w:rsidRDefault="00570759" w:rsidP="00E92686">
      <w:pPr>
        <w:pStyle w:val="JustifiedSpacing"/>
        <w:ind w:left="567" w:hanging="567"/>
      </w:pPr>
      <w:r w:rsidRPr="00472578">
        <w:lastRenderedPageBreak/>
        <w:t>(3)</w:t>
      </w:r>
      <w:r w:rsidRPr="00472578">
        <w:tab/>
        <w:t xml:space="preserve">map the </w:t>
      </w:r>
      <w:bookmarkStart w:id="248" w:name="_Hlk95859404"/>
      <w:r w:rsidRPr="00472578">
        <w:rPr>
          <w:strike/>
        </w:rPr>
        <w:t>electricity transmission network, and in relation to the</w:t>
      </w:r>
      <w:r w:rsidRPr="00472578">
        <w:t xml:space="preserve"> </w:t>
      </w:r>
      <w:r w:rsidRPr="00472578">
        <w:rPr>
          <w:i/>
        </w:rPr>
        <w:t>National Grid</w:t>
      </w:r>
      <w:r w:rsidRPr="00472578">
        <w:t xml:space="preserve">, </w:t>
      </w:r>
      <w:r w:rsidRPr="00472578">
        <w:rPr>
          <w:u w:val="single"/>
        </w:rPr>
        <w:t>and</w:t>
      </w:r>
      <w:r w:rsidRPr="00472578">
        <w:rPr>
          <w:rStyle w:val="FootnoteReference"/>
        </w:rPr>
        <w:footnoteReference w:id="1153"/>
      </w:r>
      <w:r w:rsidRPr="00472578">
        <w:t xml:space="preserve"> identify a buffer corridor within which </w:t>
      </w:r>
      <w:r w:rsidRPr="00472578">
        <w:rPr>
          <w:i/>
        </w:rPr>
        <w:t>sensitive activities</w:t>
      </w:r>
      <w:r w:rsidRPr="00472578">
        <w:t xml:space="preserve"> shall generally not be allowed</w:t>
      </w:r>
      <w:bookmarkEnd w:id="248"/>
      <w:r w:rsidRPr="00472578">
        <w:t>, and</w:t>
      </w:r>
    </w:p>
    <w:p w14:paraId="07D41732" w14:textId="44A9E2A4" w:rsidR="00570759" w:rsidRPr="00472578" w:rsidRDefault="00570759" w:rsidP="00E92686">
      <w:pPr>
        <w:pStyle w:val="JustifiedSpacing"/>
        <w:ind w:left="567" w:hanging="567"/>
      </w:pPr>
      <w:r w:rsidRPr="00472578">
        <w:t xml:space="preserve">(4) </w:t>
      </w:r>
      <w:r w:rsidRPr="00472578">
        <w:tab/>
        <w:t xml:space="preserve">manage the </w:t>
      </w:r>
      <w:r w:rsidRPr="00472578">
        <w:rPr>
          <w:i/>
          <w:iCs/>
        </w:rPr>
        <w:t>subdivision</w:t>
      </w:r>
      <w:r w:rsidRPr="00472578">
        <w:t xml:space="preserve">, use and development of </w:t>
      </w:r>
      <w:r w:rsidRPr="00472578">
        <w:rPr>
          <w:i/>
          <w:iCs/>
        </w:rPr>
        <w:t>land</w:t>
      </w:r>
      <w:r w:rsidRPr="00472578">
        <w:t xml:space="preserve"> to ensure </w:t>
      </w:r>
      <w:r w:rsidRPr="00472578">
        <w:rPr>
          <w:i/>
          <w:iCs/>
        </w:rPr>
        <w:t>nationally</w:t>
      </w:r>
      <w:r w:rsidR="007F220C" w:rsidRPr="00472578">
        <w:rPr>
          <w:i/>
        </w:rPr>
        <w:t xml:space="preserve"> </w:t>
      </w:r>
      <w:r w:rsidR="00537D7A" w:rsidRPr="00472578">
        <w:rPr>
          <w:i/>
          <w:iCs/>
          <w:u w:val="single"/>
        </w:rPr>
        <w:t xml:space="preserve">significant </w:t>
      </w:r>
      <w:r w:rsidR="000E5BC5" w:rsidRPr="00472578">
        <w:rPr>
          <w:i/>
          <w:iCs/>
          <w:u w:val="single"/>
        </w:rPr>
        <w:t>infrastructure</w:t>
      </w:r>
      <w:r w:rsidR="004C518C" w:rsidRPr="005A3546">
        <w:rPr>
          <w:rStyle w:val="FootnoteReference"/>
        </w:rPr>
        <w:footnoteReference w:id="1154"/>
      </w:r>
      <w:r w:rsidRPr="00472578">
        <w:t xml:space="preserve"> or </w:t>
      </w:r>
      <w:r w:rsidRPr="00472578">
        <w:rPr>
          <w:i/>
          <w:iCs/>
        </w:rPr>
        <w:t>regionally significant infrastructure</w:t>
      </w:r>
      <w:r w:rsidRPr="00472578">
        <w:t xml:space="preserve"> can develop to meet increased demand,</w:t>
      </w:r>
    </w:p>
    <w:p w14:paraId="6E8A842C" w14:textId="77777777" w:rsidR="00570759" w:rsidRPr="00472578" w:rsidRDefault="00570759" w:rsidP="00E92686">
      <w:pPr>
        <w:pStyle w:val="JustifiedSpacing"/>
        <w:ind w:left="567" w:hanging="567"/>
      </w:pPr>
      <w:r w:rsidRPr="00472578">
        <w:t>(5)</w:t>
      </w:r>
      <w:r w:rsidRPr="00472578">
        <w:tab/>
        <w:t xml:space="preserve">manage the adverse </w:t>
      </w:r>
      <w:r w:rsidRPr="00472578">
        <w:rPr>
          <w:i/>
          <w:iCs/>
        </w:rPr>
        <w:t>effects</w:t>
      </w:r>
      <w:r w:rsidRPr="00472578">
        <w:t xml:space="preserve"> of developing, operating, maintaining, or upgrading </w:t>
      </w:r>
      <w:r w:rsidRPr="00472578">
        <w:rPr>
          <w:i/>
          <w:iCs/>
        </w:rPr>
        <w:t>nationally</w:t>
      </w:r>
      <w:r w:rsidRPr="00472578">
        <w:t xml:space="preserve"> </w:t>
      </w:r>
      <w:r w:rsidRPr="00472578">
        <w:rPr>
          <w:i/>
          <w:iCs/>
          <w:u w:val="single"/>
        </w:rPr>
        <w:t>significant infrastructure</w:t>
      </w:r>
      <w:r w:rsidRPr="005A3546">
        <w:rPr>
          <w:rStyle w:val="FootnoteReference"/>
        </w:rPr>
        <w:footnoteReference w:id="1155"/>
      </w:r>
      <w:r w:rsidRPr="00472578">
        <w:t xml:space="preserve"> or </w:t>
      </w:r>
      <w:r w:rsidRPr="00472578">
        <w:rPr>
          <w:i/>
          <w:iCs/>
        </w:rPr>
        <w:t>regionally significant infrastructure</w:t>
      </w:r>
      <w:r w:rsidRPr="00472578">
        <w:t xml:space="preserve"> that are on:</w:t>
      </w:r>
    </w:p>
    <w:p w14:paraId="52FD6FDD" w14:textId="77777777" w:rsidR="00570759" w:rsidRPr="00472578" w:rsidRDefault="00570759" w:rsidP="00E92686">
      <w:pPr>
        <w:pStyle w:val="JustifiedSpacing"/>
        <w:ind w:left="1134" w:hanging="567"/>
      </w:pPr>
      <w:r w:rsidRPr="00472578">
        <w:t xml:space="preserve">(a) </w:t>
      </w:r>
      <w:r w:rsidRPr="00472578">
        <w:tab/>
        <w:t xml:space="preserve">the surface of </w:t>
      </w:r>
      <w:r w:rsidRPr="00472578">
        <w:rPr>
          <w:i/>
          <w:iCs/>
        </w:rPr>
        <w:t>rivers</w:t>
      </w:r>
      <w:r w:rsidRPr="00472578">
        <w:t xml:space="preserve"> and </w:t>
      </w:r>
      <w:r w:rsidRPr="00472578">
        <w:rPr>
          <w:i/>
          <w:iCs/>
        </w:rPr>
        <w:t>lakes</w:t>
      </w:r>
      <w:r w:rsidRPr="00472578">
        <w:t xml:space="preserve"> and on </w:t>
      </w:r>
      <w:r w:rsidRPr="00472578">
        <w:rPr>
          <w:i/>
          <w:iCs/>
        </w:rPr>
        <w:t>land</w:t>
      </w:r>
      <w:r w:rsidRPr="00472578">
        <w:t xml:space="preserve"> outside the </w:t>
      </w:r>
      <w:r w:rsidRPr="00472578">
        <w:rPr>
          <w:i/>
          <w:iCs/>
        </w:rPr>
        <w:t>coastal marine area</w:t>
      </w:r>
      <w:r w:rsidRPr="00472578">
        <w:t xml:space="preserve">, and </w:t>
      </w:r>
    </w:p>
    <w:p w14:paraId="5FB95011" w14:textId="77777777" w:rsidR="00570759" w:rsidRPr="00472578" w:rsidRDefault="00570759" w:rsidP="00E92686">
      <w:pPr>
        <w:pStyle w:val="JustifiedSpacing"/>
        <w:ind w:left="1134" w:hanging="567"/>
      </w:pPr>
      <w:r w:rsidRPr="00472578">
        <w:t xml:space="preserve">(b) </w:t>
      </w:r>
      <w:r w:rsidRPr="00472578">
        <w:tab/>
        <w:t xml:space="preserve">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w:t>
      </w:r>
    </w:p>
    <w:p w14:paraId="634193C2" w14:textId="77777777" w:rsidR="00570759" w:rsidRPr="00472578" w:rsidRDefault="00570759" w:rsidP="00E92686">
      <w:pPr>
        <w:pStyle w:val="JustifiedSpacing"/>
        <w:ind w:left="567" w:hanging="567"/>
      </w:pPr>
      <w:r w:rsidRPr="00472578">
        <w:t>(6)</w:t>
      </w:r>
      <w:r w:rsidRPr="00472578">
        <w:tab/>
        <w:t>ensure that development is avoided where:</w:t>
      </w:r>
    </w:p>
    <w:p w14:paraId="65CE75C8" w14:textId="423A2B84" w:rsidR="00570759" w:rsidRPr="00472578" w:rsidRDefault="00570759" w:rsidP="00E92686">
      <w:pPr>
        <w:pStyle w:val="JustifiedSpacing"/>
        <w:ind w:left="1134" w:hanging="567"/>
      </w:pPr>
      <w:r w:rsidRPr="00472578">
        <w:t>(a)</w:t>
      </w:r>
      <w:r w:rsidRPr="00472578">
        <w:tab/>
        <w:t xml:space="preserve">it cannot be adequately served with </w:t>
      </w:r>
      <w:r w:rsidRPr="00472578">
        <w:rPr>
          <w:i/>
          <w:iCs/>
        </w:rPr>
        <w:t>infrastructure</w:t>
      </w:r>
      <w:r w:rsidRPr="00472578">
        <w:t xml:space="preserve">, </w:t>
      </w:r>
    </w:p>
    <w:p w14:paraId="3C89609C" w14:textId="77777777" w:rsidR="00570759" w:rsidRPr="00472578" w:rsidRDefault="00570759" w:rsidP="00E92686">
      <w:pPr>
        <w:pStyle w:val="JustifiedSpacing"/>
        <w:ind w:left="1134" w:hanging="567"/>
      </w:pPr>
      <w:r w:rsidRPr="00472578">
        <w:t>(b)</w:t>
      </w:r>
      <w:r w:rsidRPr="00472578">
        <w:tab/>
        <w:t xml:space="preserve">it utilises </w:t>
      </w:r>
      <w:r w:rsidRPr="00472578">
        <w:rPr>
          <w:i/>
          <w:iCs/>
        </w:rPr>
        <w:t>infrastructure</w:t>
      </w:r>
      <w:r w:rsidRPr="00472578">
        <w:t xml:space="preserve"> capacity for other planned development, or </w:t>
      </w:r>
    </w:p>
    <w:p w14:paraId="7D4C0A2C" w14:textId="77777777" w:rsidR="00570759" w:rsidRPr="00472578" w:rsidRDefault="00570759" w:rsidP="00E92686">
      <w:pPr>
        <w:pStyle w:val="JustifiedSpacing"/>
        <w:ind w:left="1134" w:hanging="567"/>
      </w:pPr>
      <w:r w:rsidRPr="00472578">
        <w:t xml:space="preserve">(c) </w:t>
      </w:r>
      <w:r w:rsidRPr="00472578">
        <w:tab/>
        <w:t xml:space="preserve">the required upgrading of </w:t>
      </w:r>
      <w:r w:rsidRPr="00472578">
        <w:rPr>
          <w:i/>
          <w:iCs/>
        </w:rPr>
        <w:t>infrastructure</w:t>
      </w:r>
      <w:r w:rsidRPr="00472578">
        <w:t xml:space="preserve"> is not funded, and</w:t>
      </w:r>
    </w:p>
    <w:p w14:paraId="692F4174" w14:textId="3C8CEE1D" w:rsidR="00570759" w:rsidRPr="00472578" w:rsidRDefault="00570759" w:rsidP="00E92686">
      <w:pPr>
        <w:ind w:left="567" w:hanging="567"/>
        <w:jc w:val="both"/>
        <w:rPr>
          <w:rFonts w:ascii="Times New Roman" w:eastAsia="Times New Roman" w:hAnsi="Times New Roman" w:cs="Times New Roman"/>
          <w:sz w:val="24"/>
          <w:szCs w:val="24"/>
          <w:lang w:eastAsia="en-GB"/>
        </w:rPr>
      </w:pPr>
      <w:r w:rsidRPr="00472578">
        <w:rPr>
          <w:rFonts w:ascii="Calibri" w:eastAsia="Times New Roman" w:hAnsi="Calibri" w:cs="Calibri"/>
          <w:color w:val="000000"/>
          <w:lang w:eastAsia="en-GB"/>
        </w:rPr>
        <w:t>(7)</w:t>
      </w:r>
      <w:r w:rsidRPr="00472578">
        <w:rPr>
          <w:rFonts w:ascii="Calibri" w:eastAsia="Times New Roman" w:hAnsi="Calibri" w:cs="Calibri"/>
          <w:color w:val="000000"/>
          <w:lang w:eastAsia="en-GB"/>
        </w:rPr>
        <w:tab/>
      </w:r>
      <w:bookmarkStart w:id="249" w:name="_Hlk95859970"/>
      <w:bookmarkStart w:id="250" w:name="_Hlk95923394"/>
      <w:r w:rsidRPr="00472578">
        <w:rPr>
          <w:rFonts w:ascii="Calibri" w:eastAsia="Times New Roman" w:hAnsi="Calibri" w:cs="Calibri"/>
          <w:color w:val="000000"/>
          <w:lang w:eastAsia="en-GB"/>
        </w:rPr>
        <w:t xml:space="preserve">require </w:t>
      </w:r>
      <w:r w:rsidRPr="00472578">
        <w:rPr>
          <w:rFonts w:eastAsia="Times New Roman"/>
          <w:color w:val="000000"/>
          <w:lang w:eastAsia="en-GB"/>
        </w:rPr>
        <w:t>the prioritisation of</w:t>
      </w:r>
      <w:r w:rsidRPr="00472578">
        <w:rPr>
          <w:rFonts w:ascii="Calibri" w:eastAsia="Times New Roman" w:hAnsi="Calibri" w:cs="Calibri"/>
          <w:color w:val="000000"/>
          <w:lang w:eastAsia="en-GB"/>
        </w:rPr>
        <w:t xml:space="preserve"> </w:t>
      </w:r>
      <w:r w:rsidR="00DE73D9" w:rsidRPr="00472578">
        <w:rPr>
          <w:rFonts w:ascii="Calibri" w:eastAsia="Times New Roman" w:hAnsi="Calibri" w:cs="Calibri"/>
          <w:color w:val="000000"/>
          <w:lang w:eastAsia="en-GB"/>
        </w:rPr>
        <w:t>sites for</w:t>
      </w:r>
      <w:r w:rsidRPr="00472578">
        <w:rPr>
          <w:rFonts w:ascii="Calibri" w:eastAsia="Times New Roman" w:hAnsi="Calibri" w:cs="Calibri"/>
          <w:color w:val="000000"/>
          <w:u w:val="single"/>
          <w:lang w:eastAsia="en-GB"/>
        </w:rPr>
        <w:t xml:space="preserve"> </w:t>
      </w:r>
      <w:r w:rsidRPr="00472578">
        <w:rPr>
          <w:rFonts w:ascii="Calibri" w:eastAsia="Times New Roman" w:hAnsi="Calibri" w:cs="Calibri"/>
          <w:i/>
          <w:color w:val="000000"/>
          <w:u w:val="single"/>
          <w:lang w:eastAsia="en-GB"/>
        </w:rPr>
        <w:t>infrastructure</w:t>
      </w:r>
      <w:r w:rsidR="00380891">
        <w:rPr>
          <w:rFonts w:ascii="Calibri" w:eastAsia="Times New Roman" w:hAnsi="Calibri" w:cs="Calibri"/>
          <w:i/>
          <w:color w:val="000000"/>
          <w:u w:val="single"/>
          <w:lang w:eastAsia="en-GB"/>
        </w:rPr>
        <w:t xml:space="preserve">, nationally significant </w:t>
      </w:r>
      <w:proofErr w:type="gramStart"/>
      <w:r w:rsidR="00380891">
        <w:rPr>
          <w:rFonts w:ascii="Calibri" w:eastAsia="Times New Roman" w:hAnsi="Calibri" w:cs="Calibri"/>
          <w:i/>
          <w:color w:val="000000"/>
          <w:u w:val="single"/>
          <w:lang w:eastAsia="en-GB"/>
        </w:rPr>
        <w:t>infrastructure</w:t>
      </w:r>
      <w:proofErr w:type="gramEnd"/>
      <w:r w:rsidR="00380891">
        <w:rPr>
          <w:rFonts w:ascii="Calibri" w:eastAsia="Times New Roman" w:hAnsi="Calibri" w:cs="Calibri"/>
          <w:i/>
          <w:color w:val="000000"/>
          <w:u w:val="single"/>
          <w:lang w:eastAsia="en-GB"/>
        </w:rPr>
        <w:t xml:space="preserve"> and regionally significant infrastructure</w:t>
      </w:r>
      <w:r w:rsidRPr="00472578">
        <w:rPr>
          <w:rFonts w:ascii="Calibri" w:eastAsia="Times New Roman" w:hAnsi="Calibri" w:cs="Calibri"/>
          <w:color w:val="000000"/>
          <w:lang w:eastAsia="en-GB"/>
        </w:rPr>
        <w:t xml:space="preserve"> where adverse </w:t>
      </w:r>
      <w:r w:rsidRPr="00472578">
        <w:rPr>
          <w:rFonts w:ascii="Calibri" w:eastAsia="Times New Roman" w:hAnsi="Calibri" w:cs="Calibri"/>
          <w:i/>
          <w:color w:val="000000"/>
          <w:lang w:eastAsia="en-GB"/>
        </w:rPr>
        <w:t>effects</w:t>
      </w:r>
      <w:r w:rsidRPr="00472578">
        <w:rPr>
          <w:rFonts w:ascii="Calibri" w:eastAsia="Times New Roman" w:hAnsi="Calibri" w:cs="Calibri"/>
          <w:color w:val="000000"/>
          <w:lang w:eastAsia="en-GB"/>
        </w:rPr>
        <w:t xml:space="preserve"> </w:t>
      </w:r>
      <w:r w:rsidRPr="00472578">
        <w:rPr>
          <w:u w:val="single"/>
          <w:lang w:eastAsia="en-GB"/>
        </w:rPr>
        <w:t>on those matters addressed by EIT</w:t>
      </w:r>
      <w:r w:rsidRPr="00472578">
        <w:rPr>
          <w:u w:val="single"/>
        </w:rPr>
        <w:t>-INF-</w:t>
      </w:r>
      <w:r w:rsidRPr="00472578">
        <w:rPr>
          <w:u w:val="single"/>
          <w:lang w:eastAsia="en-GB"/>
        </w:rPr>
        <w:t>P13</w:t>
      </w:r>
      <w:r w:rsidR="00892462">
        <w:rPr>
          <w:rStyle w:val="FootnoteReference"/>
          <w:u w:val="single"/>
          <w:lang w:eastAsia="en-GB"/>
        </w:rPr>
        <w:footnoteReference w:id="1156"/>
      </w:r>
      <w:r w:rsidR="00B56ECF">
        <w:rPr>
          <w:u w:val="single"/>
          <w:lang w:eastAsia="en-GB"/>
        </w:rPr>
        <w:t xml:space="preserve"> and EIT-INF-P13A</w:t>
      </w:r>
      <w:r w:rsidR="00B56ECF">
        <w:rPr>
          <w:rStyle w:val="FootnoteReference"/>
          <w:u w:val="single"/>
          <w:lang w:eastAsia="en-GB"/>
        </w:rPr>
        <w:footnoteReference w:id="1157"/>
      </w:r>
      <w:r w:rsidRPr="00472578">
        <w:rPr>
          <w:u w:val="single"/>
          <w:lang w:eastAsia="en-GB"/>
        </w:rPr>
        <w:t xml:space="preserve"> </w:t>
      </w:r>
      <w:r w:rsidRPr="00472578">
        <w:rPr>
          <w:rFonts w:ascii="Calibri" w:eastAsia="Times New Roman" w:hAnsi="Calibri" w:cs="Calibri"/>
          <w:strike/>
          <w:color w:val="000000"/>
          <w:lang w:eastAsia="en-GB"/>
        </w:rPr>
        <w:t>on highly valued </w:t>
      </w:r>
      <w:r w:rsidRPr="00472578">
        <w:rPr>
          <w:rFonts w:ascii="Calibri" w:eastAsia="Times New Roman" w:hAnsi="Calibri" w:cs="Calibri"/>
          <w:i/>
          <w:strike/>
          <w:color w:val="000000"/>
          <w:lang w:eastAsia="en-GB"/>
        </w:rPr>
        <w:t>natural and physical resources</w:t>
      </w:r>
      <w:r w:rsidRPr="00472578">
        <w:rPr>
          <w:rFonts w:ascii="Calibri" w:eastAsia="Times New Roman" w:hAnsi="Calibri" w:cs="Calibri"/>
          <w:strike/>
          <w:color w:val="000000"/>
          <w:lang w:eastAsia="en-GB"/>
        </w:rPr>
        <w:t xml:space="preserve"> and </w:t>
      </w:r>
      <w:r w:rsidRPr="00472578">
        <w:rPr>
          <w:rFonts w:ascii="Calibri" w:eastAsia="Times New Roman" w:hAnsi="Calibri" w:cs="Calibri"/>
          <w:i/>
          <w:strike/>
          <w:color w:val="000000"/>
          <w:lang w:eastAsia="en-GB"/>
        </w:rPr>
        <w:t>mana whenua</w:t>
      </w:r>
      <w:r w:rsidRPr="00472578">
        <w:rPr>
          <w:rFonts w:ascii="Calibri" w:eastAsia="Times New Roman" w:hAnsi="Calibri" w:cs="Calibri"/>
          <w:strike/>
          <w:color w:val="000000"/>
          <w:lang w:eastAsia="en-GB"/>
        </w:rPr>
        <w:t xml:space="preserve"> values </w:t>
      </w:r>
      <w:r w:rsidRPr="00DE6798">
        <w:rPr>
          <w:rFonts w:ascii="Calibri" w:eastAsia="Times New Roman" w:hAnsi="Calibri" w:cs="Calibri"/>
          <w:strike/>
          <w:color w:val="000000"/>
          <w:lang w:eastAsia="en-GB"/>
        </w:rPr>
        <w:t xml:space="preserve">can be avoided </w:t>
      </w:r>
      <w:r w:rsidRPr="00472578">
        <w:rPr>
          <w:rFonts w:ascii="Calibri" w:eastAsia="Times New Roman" w:hAnsi="Calibri" w:cs="Calibri"/>
          <w:strike/>
          <w:color w:val="000000"/>
          <w:lang w:eastAsia="en-GB"/>
        </w:rPr>
        <w:t>or</w:t>
      </w:r>
      <w:r w:rsidRPr="00DE6798">
        <w:rPr>
          <w:rFonts w:ascii="Calibri" w:eastAsia="Times New Roman" w:hAnsi="Calibri" w:cs="Calibri"/>
          <w:strike/>
          <w:color w:val="000000"/>
          <w:lang w:eastAsia="en-GB"/>
        </w:rPr>
        <w:t xml:space="preserve">, </w:t>
      </w:r>
      <w:r w:rsidRPr="00472578">
        <w:rPr>
          <w:rFonts w:ascii="Calibri" w:eastAsia="Times New Roman" w:hAnsi="Calibri" w:cs="Calibri"/>
          <w:strike/>
          <w:color w:val="000000"/>
          <w:lang w:eastAsia="en-GB"/>
        </w:rPr>
        <w:t>at the very least, minimised</w:t>
      </w:r>
      <w:r w:rsidRPr="00472578">
        <w:rPr>
          <w:rFonts w:ascii="Calibri" w:eastAsia="Times New Roman" w:hAnsi="Calibri" w:cs="Calibri"/>
          <w:color w:val="000000"/>
          <w:lang w:eastAsia="en-GB"/>
        </w:rPr>
        <w:t>.</w:t>
      </w:r>
      <w:bookmarkEnd w:id="249"/>
      <w:bookmarkEnd w:id="250"/>
      <w:r w:rsidRPr="00472578">
        <w:rPr>
          <w:rStyle w:val="FootnoteReference"/>
          <w:rFonts w:ascii="Calibri" w:eastAsia="Times New Roman" w:hAnsi="Calibri" w:cs="Calibri"/>
          <w:color w:val="000000"/>
          <w:lang w:eastAsia="en-GB"/>
        </w:rPr>
        <w:footnoteReference w:id="1158"/>
      </w:r>
    </w:p>
    <w:p w14:paraId="54EEE890" w14:textId="77777777" w:rsidR="00570759" w:rsidRPr="00472578" w:rsidRDefault="00570759" w:rsidP="00E92686">
      <w:pPr>
        <w:pStyle w:val="Heading5"/>
        <w:jc w:val="both"/>
      </w:pPr>
      <w:r w:rsidRPr="00472578">
        <w:t xml:space="preserve">EIT-INF-M6 – Advocacy </w:t>
      </w:r>
    </w:p>
    <w:p w14:paraId="6C5CCBF4" w14:textId="77777777" w:rsidR="00570759" w:rsidRPr="00472578" w:rsidRDefault="00570759" w:rsidP="00E92686">
      <w:pPr>
        <w:ind w:left="567" w:hanging="567"/>
        <w:jc w:val="both"/>
      </w:pPr>
      <w:r w:rsidRPr="00472578">
        <w:rPr>
          <w:i/>
          <w:iCs/>
        </w:rPr>
        <w:t>Local authorities</w:t>
      </w:r>
      <w:r w:rsidRPr="00472578">
        <w:t xml:space="preserve"> </w:t>
      </w:r>
      <w:r w:rsidRPr="00472578">
        <w:rPr>
          <w:u w:val="single"/>
        </w:rPr>
        <w:t>should</w:t>
      </w:r>
      <w:r w:rsidRPr="00472578">
        <w:t xml:space="preserve"> </w:t>
      </w:r>
      <w:r w:rsidRPr="00472578">
        <w:rPr>
          <w:strike/>
        </w:rPr>
        <w:t>must</w:t>
      </w:r>
      <w:r w:rsidRPr="00472578">
        <w:rPr>
          <w:rStyle w:val="FootnoteReference"/>
        </w:rPr>
        <w:footnoteReference w:id="1159"/>
      </w:r>
      <w:r w:rsidRPr="00472578">
        <w:rPr>
          <w:strike/>
        </w:rPr>
        <w:t>:</w:t>
      </w:r>
    </w:p>
    <w:p w14:paraId="3F094235" w14:textId="77777777" w:rsidR="00570759" w:rsidRPr="00472578" w:rsidRDefault="00570759" w:rsidP="00E92686">
      <w:pPr>
        <w:pStyle w:val="JustifiedSpacing"/>
        <w:ind w:left="567" w:hanging="567"/>
        <w:rPr>
          <w:strike/>
        </w:rPr>
      </w:pPr>
      <w:r w:rsidRPr="00472578">
        <w:rPr>
          <w:strike/>
        </w:rPr>
        <w:t>(1)</w:t>
      </w:r>
      <w:r w:rsidRPr="00472578">
        <w:rPr>
          <w:strike/>
        </w:rPr>
        <w:tab/>
        <w:t xml:space="preserve">advocate for the upgrading or replacement of existing </w:t>
      </w:r>
      <w:r w:rsidRPr="00472578">
        <w:rPr>
          <w:i/>
          <w:iCs/>
          <w:strike/>
        </w:rPr>
        <w:t>nationally</w:t>
      </w:r>
      <w:r w:rsidRPr="00472578">
        <w:rPr>
          <w:strike/>
        </w:rPr>
        <w:t xml:space="preserve"> or </w:t>
      </w:r>
      <w:r w:rsidRPr="00472578">
        <w:rPr>
          <w:i/>
          <w:iCs/>
          <w:strike/>
        </w:rPr>
        <w:t>regionally significant infrastructure</w:t>
      </w:r>
      <w:r w:rsidRPr="00472578">
        <w:rPr>
          <w:strike/>
        </w:rPr>
        <w:t xml:space="preserve"> if the operation of </w:t>
      </w:r>
      <w:r w:rsidRPr="00472578">
        <w:rPr>
          <w:i/>
          <w:iCs/>
          <w:strike/>
        </w:rPr>
        <w:t>infrastructure</w:t>
      </w:r>
      <w:r w:rsidRPr="00472578">
        <w:rPr>
          <w:strike/>
        </w:rPr>
        <w:t xml:space="preserve"> results in significant adverse </w:t>
      </w:r>
      <w:r w:rsidRPr="00472578">
        <w:rPr>
          <w:i/>
          <w:iCs/>
          <w:strike/>
        </w:rPr>
        <w:t>effects</w:t>
      </w:r>
      <w:r w:rsidRPr="00472578">
        <w:rPr>
          <w:strike/>
        </w:rPr>
        <w:t>, and</w:t>
      </w:r>
      <w:r w:rsidRPr="00472578">
        <w:rPr>
          <w:rStyle w:val="FootnoteReference"/>
        </w:rPr>
        <w:footnoteReference w:id="1160"/>
      </w:r>
    </w:p>
    <w:p w14:paraId="613DBAC0" w14:textId="7A598B74" w:rsidR="00570759" w:rsidRPr="00472578" w:rsidRDefault="00570759" w:rsidP="00E92686">
      <w:pPr>
        <w:pStyle w:val="JustifiedSpacing"/>
        <w:ind w:left="567" w:hanging="567"/>
      </w:pPr>
      <w:r w:rsidRPr="00472578">
        <w:rPr>
          <w:strike/>
        </w:rPr>
        <w:t>(2)</w:t>
      </w:r>
      <w:r w:rsidRPr="00472578">
        <w:rPr>
          <w:strike/>
        </w:rPr>
        <w:tab/>
      </w:r>
      <w:r w:rsidRPr="00472578">
        <w:t xml:space="preserve">work proactively with </w:t>
      </w:r>
      <w:r w:rsidRPr="00472578">
        <w:rPr>
          <w:i/>
          <w:iCs/>
        </w:rPr>
        <w:t>infrastructure</w:t>
      </w:r>
      <w:r w:rsidRPr="00472578">
        <w:t xml:space="preserve"> providers to co-ordinate the upgrading or development of </w:t>
      </w:r>
      <w:r w:rsidRPr="00472578">
        <w:rPr>
          <w:i/>
          <w:iCs/>
        </w:rPr>
        <w:t>nationally</w:t>
      </w:r>
      <w:r w:rsidRPr="00472578">
        <w:t xml:space="preserve"> </w:t>
      </w:r>
      <w:r w:rsidR="00E465D8" w:rsidRPr="00472578">
        <w:rPr>
          <w:i/>
          <w:iCs/>
          <w:u w:val="single"/>
        </w:rPr>
        <w:t>significant infrastructure</w:t>
      </w:r>
      <w:r w:rsidR="00A14052" w:rsidRPr="00472578">
        <w:rPr>
          <w:rStyle w:val="FootnoteReference"/>
        </w:rPr>
        <w:footnoteReference w:id="1161"/>
      </w:r>
      <w:r w:rsidR="00DD7341">
        <w:t xml:space="preserve"> </w:t>
      </w:r>
      <w:r w:rsidRPr="00472578">
        <w:t xml:space="preserve">or </w:t>
      </w:r>
      <w:r w:rsidRPr="00472578">
        <w:rPr>
          <w:i/>
          <w:iCs/>
        </w:rPr>
        <w:t>regionally significant infrastructure</w:t>
      </w:r>
      <w:r w:rsidRPr="00472578">
        <w:t xml:space="preserve"> to support co-location or concurrent construction to reduce adverse </w:t>
      </w:r>
      <w:r w:rsidRPr="00472578">
        <w:rPr>
          <w:i/>
          <w:iCs/>
        </w:rPr>
        <w:t>effects.</w:t>
      </w:r>
    </w:p>
    <w:p w14:paraId="18324D3E" w14:textId="77777777" w:rsidR="00570759" w:rsidRPr="00472578" w:rsidRDefault="00570759" w:rsidP="00E92686">
      <w:pPr>
        <w:pStyle w:val="Heading4"/>
        <w:jc w:val="both"/>
      </w:pPr>
      <w:bookmarkStart w:id="251" w:name="_Toc56620251"/>
      <w:r w:rsidRPr="00472578">
        <w:t>Explanation</w:t>
      </w:r>
      <w:bookmarkEnd w:id="251"/>
    </w:p>
    <w:p w14:paraId="5CC9EFCE" w14:textId="77777777" w:rsidR="00570759" w:rsidRPr="00472578" w:rsidRDefault="00570759" w:rsidP="00E92686">
      <w:pPr>
        <w:pStyle w:val="Heading5"/>
        <w:jc w:val="both"/>
      </w:pPr>
      <w:r w:rsidRPr="00472578">
        <w:t>EIT-INF-E2 – Explanation</w:t>
      </w:r>
    </w:p>
    <w:p w14:paraId="4A019916" w14:textId="4A74EC16" w:rsidR="00570759" w:rsidRPr="00472578" w:rsidRDefault="00570759" w:rsidP="00E92686">
      <w:pPr>
        <w:jc w:val="both"/>
      </w:pPr>
      <w:r w:rsidRPr="00472578">
        <w:t xml:space="preserve">The policies in this section recognise the critical importance of </w:t>
      </w:r>
      <w:r w:rsidRPr="00472578">
        <w:rPr>
          <w:i/>
          <w:iCs/>
        </w:rPr>
        <w:t>infrastructure</w:t>
      </w:r>
      <w:r w:rsidRPr="00472578">
        <w:t xml:space="preserve"> to communities and provide for the continued operation of existing </w:t>
      </w:r>
      <w:r w:rsidRPr="00472578">
        <w:rPr>
          <w:i/>
          <w:iCs/>
        </w:rPr>
        <w:t>infrastructure</w:t>
      </w:r>
      <w:r w:rsidRPr="00472578">
        <w:t xml:space="preserve"> and the development of upgraded or new </w:t>
      </w:r>
      <w:r w:rsidRPr="00472578">
        <w:rPr>
          <w:i/>
          <w:iCs/>
        </w:rPr>
        <w:t>infrastructure</w:t>
      </w:r>
      <w:r w:rsidRPr="00472578">
        <w:t xml:space="preserve"> where adverse </w:t>
      </w:r>
      <w:r w:rsidRPr="00472578">
        <w:rPr>
          <w:i/>
          <w:iCs/>
        </w:rPr>
        <w:t>effects</w:t>
      </w:r>
      <w:r w:rsidRPr="00472578">
        <w:t xml:space="preserve"> are managed. As many assets rely on </w:t>
      </w:r>
      <w:proofErr w:type="gramStart"/>
      <w:r w:rsidRPr="00472578">
        <w:t>particular resource</w:t>
      </w:r>
      <w:proofErr w:type="gramEnd"/>
      <w:r w:rsidRPr="00472578">
        <w:t xml:space="preserve"> </w:t>
      </w:r>
      <w:r w:rsidRPr="00472578">
        <w:lastRenderedPageBreak/>
        <w:t xml:space="preserve">requirements or specific locations, decisions on allocating </w:t>
      </w:r>
      <w:r w:rsidRPr="00472578">
        <w:rPr>
          <w:i/>
        </w:rPr>
        <w:t>natural and physical resources</w:t>
      </w:r>
      <w:r w:rsidRPr="00472578">
        <w:t xml:space="preserve"> shall make provision for the </w:t>
      </w:r>
      <w:r w:rsidRPr="00472578">
        <w:rPr>
          <w:i/>
          <w:iCs/>
        </w:rPr>
        <w:t>functional</w:t>
      </w:r>
      <w:r w:rsidR="002B7D6A" w:rsidRPr="00472578">
        <w:rPr>
          <w:i/>
          <w:iCs/>
        </w:rPr>
        <w:t xml:space="preserve"> </w:t>
      </w:r>
      <w:r w:rsidR="002B7D6A" w:rsidRPr="00472578">
        <w:rPr>
          <w:i/>
          <w:iCs/>
          <w:u w:val="single"/>
        </w:rPr>
        <w:t xml:space="preserve">needs </w:t>
      </w:r>
      <w:r w:rsidR="002B7D6A" w:rsidRPr="00E7212A">
        <w:rPr>
          <w:rStyle w:val="FootnoteReference"/>
        </w:rPr>
        <w:footnoteReference w:id="1162"/>
      </w:r>
      <w:r w:rsidRPr="00472578">
        <w:rPr>
          <w:i/>
          <w:iCs/>
        </w:rPr>
        <w:t xml:space="preserve"> </w:t>
      </w:r>
      <w:r w:rsidRPr="00472578">
        <w:t xml:space="preserve">or </w:t>
      </w:r>
      <w:r w:rsidRPr="00472578">
        <w:rPr>
          <w:i/>
          <w:iCs/>
        </w:rPr>
        <w:t xml:space="preserve">operational needs </w:t>
      </w:r>
      <w:r w:rsidRPr="00472578">
        <w:t>of</w:t>
      </w:r>
      <w:r w:rsidRPr="00472578">
        <w:rPr>
          <w:i/>
          <w:iCs/>
        </w:rPr>
        <w:t xml:space="preserve"> nationally</w:t>
      </w:r>
      <w:r w:rsidRPr="00472578">
        <w:t xml:space="preserve"> </w:t>
      </w:r>
      <w:r w:rsidRPr="00472578">
        <w:rPr>
          <w:rFonts w:ascii="Calibri" w:hAnsi="Calibri" w:cs="Calibri"/>
          <w:i/>
          <w:iCs/>
          <w:u w:val="single"/>
        </w:rPr>
        <w:t>significant infrastructure</w:t>
      </w:r>
      <w:r w:rsidRPr="00472578">
        <w:rPr>
          <w:rStyle w:val="FootnoteReference"/>
          <w:rFonts w:ascii="Calibri" w:hAnsi="Calibri" w:cs="Calibri"/>
        </w:rPr>
        <w:footnoteReference w:id="1163"/>
      </w:r>
      <w:r w:rsidRPr="00472578">
        <w:t xml:space="preserve"> and </w:t>
      </w:r>
      <w:r w:rsidRPr="00472578">
        <w:rPr>
          <w:i/>
          <w:iCs/>
        </w:rPr>
        <w:t>regionally significant infrastructure</w:t>
      </w:r>
      <w:r w:rsidRPr="00472578">
        <w:t xml:space="preserve">. For </w:t>
      </w:r>
      <w:r w:rsidRPr="00472578">
        <w:rPr>
          <w:i/>
        </w:rPr>
        <w:t>infrastructure</w:t>
      </w:r>
      <w:r w:rsidRPr="00472578">
        <w:t xml:space="preserve"> in the coastal environment, the provisions of the CE – Coastal environment chapter are also applicable to ensure the NZCPS is given effect.</w:t>
      </w:r>
    </w:p>
    <w:p w14:paraId="3A5AC65F" w14:textId="58CC7F06" w:rsidR="00570759" w:rsidRPr="00472578" w:rsidRDefault="00570759" w:rsidP="00E92686">
      <w:pPr>
        <w:jc w:val="both"/>
      </w:pPr>
      <w:r w:rsidRPr="00472578">
        <w:t xml:space="preserve">Given the potential magnitude of adverse </w:t>
      </w:r>
      <w:r w:rsidRPr="00472578">
        <w:rPr>
          <w:i/>
          <w:iCs/>
        </w:rPr>
        <w:t>effects</w:t>
      </w:r>
      <w:r w:rsidRPr="00472578">
        <w:t xml:space="preserve"> associated with this </w:t>
      </w:r>
      <w:r w:rsidRPr="00472578">
        <w:rPr>
          <w:i/>
          <w:iCs/>
        </w:rPr>
        <w:t>infrastructure</w:t>
      </w:r>
      <w:r w:rsidRPr="00472578">
        <w:t xml:space="preserve">, consideration is required of the ability to remedy or mitigate unavoidable adverse </w:t>
      </w:r>
      <w:r w:rsidRPr="00472578">
        <w:rPr>
          <w:i/>
          <w:iCs/>
        </w:rPr>
        <w:t>effects</w:t>
      </w:r>
      <w:r w:rsidRPr="00472578">
        <w:t>, alternative options and offsetting or compensation.</w:t>
      </w:r>
    </w:p>
    <w:p w14:paraId="4778FB22" w14:textId="77777777" w:rsidR="00570759" w:rsidRPr="00472578" w:rsidRDefault="00570759" w:rsidP="00E92686">
      <w:pPr>
        <w:jc w:val="both"/>
      </w:pPr>
      <w:r w:rsidRPr="00472578">
        <w:t xml:space="preserve">To ensure </w:t>
      </w:r>
      <w:r w:rsidRPr="00472578">
        <w:rPr>
          <w:i/>
          <w:iCs/>
        </w:rPr>
        <w:t>infrastructure</w:t>
      </w:r>
      <w:r w:rsidRPr="00472578">
        <w:t xml:space="preserve"> is planned for, and used efficiently, the provisions require that the benefits of existing </w:t>
      </w:r>
      <w:r w:rsidRPr="00472578">
        <w:rPr>
          <w:i/>
          <w:iCs/>
        </w:rPr>
        <w:t>nationally</w:t>
      </w:r>
      <w:r w:rsidRPr="00472578">
        <w:t xml:space="preserve"> </w:t>
      </w:r>
      <w:r w:rsidRPr="00472578">
        <w:rPr>
          <w:rFonts w:ascii="Calibri" w:hAnsi="Calibri" w:cs="Calibri"/>
          <w:i/>
          <w:iCs/>
          <w:u w:val="single"/>
        </w:rPr>
        <w:t>significant infrastructure</w:t>
      </w:r>
      <w:r w:rsidRPr="00472578">
        <w:rPr>
          <w:rStyle w:val="FootnoteReference"/>
          <w:rFonts w:ascii="Calibri" w:hAnsi="Calibri" w:cs="Calibri"/>
        </w:rPr>
        <w:footnoteReference w:id="1164"/>
      </w:r>
      <w:r w:rsidRPr="00472578">
        <w:t xml:space="preserve"> and </w:t>
      </w:r>
      <w:r w:rsidRPr="00472578">
        <w:rPr>
          <w:i/>
          <w:iCs/>
        </w:rPr>
        <w:t>regionally significant infrastructure</w:t>
      </w:r>
      <w:r w:rsidRPr="00472578">
        <w:t xml:space="preserve"> are maximised, and </w:t>
      </w:r>
      <w:r w:rsidRPr="00472578">
        <w:rPr>
          <w:i/>
          <w:iCs/>
        </w:rPr>
        <w:t>infrastructure</w:t>
      </w:r>
      <w:r w:rsidRPr="00472578">
        <w:t xml:space="preserve"> provision is undertaken in a co-ordinated manner. The policies also seek to manage the potential adverse </w:t>
      </w:r>
      <w:r w:rsidRPr="00472578">
        <w:rPr>
          <w:i/>
          <w:iCs/>
        </w:rPr>
        <w:t>effects</w:t>
      </w:r>
      <w:r w:rsidRPr="00472578">
        <w:t xml:space="preserve"> of other activities on </w:t>
      </w:r>
      <w:r w:rsidRPr="00472578">
        <w:rPr>
          <w:i/>
          <w:iCs/>
        </w:rPr>
        <w:t xml:space="preserve">nationally </w:t>
      </w:r>
      <w:r w:rsidRPr="00472578">
        <w:rPr>
          <w:i/>
          <w:iCs/>
          <w:u w:val="single"/>
        </w:rPr>
        <w:t>significant infrastructure</w:t>
      </w:r>
      <w:r w:rsidRPr="00472578">
        <w:rPr>
          <w:rStyle w:val="FootnoteReference"/>
        </w:rPr>
        <w:footnoteReference w:id="1165"/>
      </w:r>
      <w:r w:rsidRPr="00472578">
        <w:t xml:space="preserve"> and</w:t>
      </w:r>
      <w:r w:rsidRPr="00472578">
        <w:rPr>
          <w:i/>
          <w:iCs/>
        </w:rPr>
        <w:t xml:space="preserve"> regionally significant infrastructure</w:t>
      </w:r>
      <w:r w:rsidRPr="00472578">
        <w:t xml:space="preserve"> to ensure the ability to operate these assets is not compromised.</w:t>
      </w:r>
    </w:p>
    <w:p w14:paraId="07473247" w14:textId="77777777" w:rsidR="00570759" w:rsidRPr="00472578" w:rsidRDefault="00570759" w:rsidP="00E92686">
      <w:pPr>
        <w:pStyle w:val="Heading4"/>
        <w:jc w:val="both"/>
      </w:pPr>
      <w:bookmarkStart w:id="252" w:name="_Toc56620252"/>
      <w:r w:rsidRPr="00472578">
        <w:t>Principal reasons</w:t>
      </w:r>
      <w:bookmarkEnd w:id="252"/>
    </w:p>
    <w:p w14:paraId="516088FC" w14:textId="77777777" w:rsidR="00570759" w:rsidRPr="00472578" w:rsidRDefault="00570759" w:rsidP="00E92686">
      <w:pPr>
        <w:pStyle w:val="Heading5"/>
        <w:jc w:val="both"/>
      </w:pPr>
      <w:r w:rsidRPr="00472578">
        <w:t xml:space="preserve">EIT-INF-PR2 – Principal reasons </w:t>
      </w:r>
    </w:p>
    <w:p w14:paraId="7F74186A" w14:textId="77777777" w:rsidR="00570759" w:rsidRPr="00472578" w:rsidRDefault="00570759" w:rsidP="00E92686">
      <w:pPr>
        <w:pStyle w:val="Normal2"/>
        <w:numPr>
          <w:ilvl w:val="0"/>
          <w:numId w:val="0"/>
        </w:numPr>
      </w:pPr>
      <w:r w:rsidRPr="00472578">
        <w:rPr>
          <w:i/>
          <w:iCs/>
        </w:rPr>
        <w:t>Infrastructure</w:t>
      </w:r>
      <w:r w:rsidRPr="00472578">
        <w:t xml:space="preserve"> is fundamental to the health and safety of communities, and their social and economic well-being and functioning. The nature of </w:t>
      </w:r>
      <w:r w:rsidRPr="00472578">
        <w:rPr>
          <w:i/>
          <w:iCs/>
        </w:rPr>
        <w:t>infrastructure</w:t>
      </w:r>
      <w:r w:rsidRPr="00472578">
        <w:t xml:space="preserve"> means there are typically operational and functional constraints which dictate where and how these activities operate to properly serve local communities. These types of assets also tend to require significant investment, although some have at times been subject to under-investment. </w:t>
      </w:r>
    </w:p>
    <w:p w14:paraId="23D997CA" w14:textId="3831F41A" w:rsidR="00570759" w:rsidRPr="00472578" w:rsidRDefault="00570759" w:rsidP="00E92686">
      <w:pPr>
        <w:pStyle w:val="Normal2"/>
        <w:numPr>
          <w:ilvl w:val="0"/>
          <w:numId w:val="0"/>
        </w:numPr>
      </w:pPr>
      <w:r w:rsidRPr="00472578">
        <w:t xml:space="preserve">The scale and type of activities involved in the development, operation, maintenance, and upgrading of </w:t>
      </w:r>
      <w:r w:rsidRPr="00472578">
        <w:rPr>
          <w:i/>
          <w:iCs/>
        </w:rPr>
        <w:t>infrastructure</w:t>
      </w:r>
      <w:r w:rsidRPr="00472578">
        <w:t xml:space="preserve"> are such that adverse </w:t>
      </w:r>
      <w:r w:rsidRPr="00472578">
        <w:rPr>
          <w:i/>
          <w:iCs/>
        </w:rPr>
        <w:t>effects</w:t>
      </w:r>
      <w:r w:rsidRPr="00472578">
        <w:t xml:space="preserve"> on the </w:t>
      </w:r>
      <w:r w:rsidRPr="00472578">
        <w:rPr>
          <w:i/>
        </w:rPr>
        <w:t>environment</w:t>
      </w:r>
      <w:r w:rsidRPr="00472578">
        <w:t xml:space="preserve"> are likely and, at times, significant. Efforts are required to reduce impacts from </w:t>
      </w:r>
      <w:r w:rsidRPr="00472578">
        <w:rPr>
          <w:i/>
          <w:iCs/>
        </w:rPr>
        <w:t>infrastructure</w:t>
      </w:r>
      <w:r w:rsidRPr="00472578">
        <w:t xml:space="preserve">, by avoiding its location in areas that are important to Otago, particularly where alternatives are available. If it is necessary to locate in those areas, then it is necessary that the values that make those areas important are protected. There are instances however, when residual </w:t>
      </w:r>
      <w:r w:rsidRPr="00472578">
        <w:rPr>
          <w:i/>
          <w:iCs/>
        </w:rPr>
        <w:t>effects</w:t>
      </w:r>
      <w:r w:rsidRPr="00472578">
        <w:t xml:space="preserve"> cannot be avoided, in which case </w:t>
      </w:r>
      <w:r w:rsidRPr="00472578">
        <w:rPr>
          <w:i/>
          <w:iCs/>
        </w:rPr>
        <w:t>effects</w:t>
      </w:r>
      <w:r w:rsidRPr="00472578">
        <w:t xml:space="preserve"> should be remedied or mitigated and offsetting or compensation may be necessary if it meets any criteria set. Given the potential for adverse </w:t>
      </w:r>
      <w:r w:rsidRPr="00472578">
        <w:rPr>
          <w:i/>
          <w:iCs/>
        </w:rPr>
        <w:t>effects</w:t>
      </w:r>
      <w:r w:rsidRPr="00472578">
        <w:t xml:space="preserve">, it is important that </w:t>
      </w:r>
      <w:r w:rsidRPr="00472578">
        <w:rPr>
          <w:i/>
          <w:iCs/>
        </w:rPr>
        <w:t>local authorities</w:t>
      </w:r>
      <w:r w:rsidRPr="00472578">
        <w:t xml:space="preserve"> monitor and enforce the standards set in plans and on </w:t>
      </w:r>
      <w:r w:rsidRPr="00472578">
        <w:rPr>
          <w:i/>
          <w:iCs/>
        </w:rPr>
        <w:t xml:space="preserve">resource consents </w:t>
      </w:r>
      <w:r w:rsidRPr="00472578">
        <w:t>and</w:t>
      </w:r>
      <w:r w:rsidRPr="00472578">
        <w:rPr>
          <w:i/>
          <w:iCs/>
        </w:rPr>
        <w:t xml:space="preserve"> </w:t>
      </w:r>
      <w:r w:rsidRPr="00472578">
        <w:t>designations.</w:t>
      </w:r>
    </w:p>
    <w:p w14:paraId="6DA0EED5" w14:textId="77777777" w:rsidR="00570759" w:rsidRPr="00472578" w:rsidRDefault="00570759" w:rsidP="00E92686">
      <w:pPr>
        <w:jc w:val="both"/>
      </w:pPr>
      <w:r w:rsidRPr="00472578">
        <w:t xml:space="preserve">The policies in this chapter give effect to the NPSREG, NPSET, NPSFM and NPSUD and recognise </w:t>
      </w:r>
      <w:r w:rsidRPr="00472578">
        <w:rPr>
          <w:i/>
          <w:iCs/>
        </w:rPr>
        <w:t>infrastructure</w:t>
      </w:r>
      <w:r w:rsidRPr="00472578">
        <w:t xml:space="preserve"> that has benefits for the wider Otago region and nationally. Implementation of the provisions will occur through the </w:t>
      </w:r>
      <w:r w:rsidRPr="00472578">
        <w:rPr>
          <w:i/>
          <w:iCs/>
        </w:rPr>
        <w:t>regional</w:t>
      </w:r>
      <w:r w:rsidRPr="00472578">
        <w:t xml:space="preserve"> </w:t>
      </w:r>
      <w:r w:rsidRPr="00472578">
        <w:rPr>
          <w:i/>
          <w:iCs/>
          <w:u w:val="single"/>
        </w:rPr>
        <w:t>plan</w:t>
      </w:r>
      <w:r w:rsidRPr="00472578">
        <w:rPr>
          <w:rStyle w:val="FootnoteReference"/>
        </w:rPr>
        <w:footnoteReference w:id="1166"/>
      </w:r>
      <w:r w:rsidRPr="00472578">
        <w:t xml:space="preserve"> and </w:t>
      </w:r>
      <w:r w:rsidRPr="00472578">
        <w:rPr>
          <w:i/>
          <w:iCs/>
        </w:rPr>
        <w:t>district plan</w:t>
      </w:r>
      <w:r w:rsidRPr="00472578">
        <w:t xml:space="preserve"> provisions.</w:t>
      </w:r>
    </w:p>
    <w:p w14:paraId="51F74209" w14:textId="77777777" w:rsidR="00570759" w:rsidRPr="00472578" w:rsidRDefault="00570759" w:rsidP="00E92686">
      <w:pPr>
        <w:pStyle w:val="Heading4"/>
        <w:jc w:val="both"/>
      </w:pPr>
      <w:bookmarkStart w:id="253" w:name="_Toc56620253"/>
      <w:r w:rsidRPr="00472578">
        <w:t>Anticipated environmental results</w:t>
      </w:r>
      <w:bookmarkEnd w:id="253"/>
    </w:p>
    <w:p w14:paraId="15AD3966" w14:textId="77777777" w:rsidR="00570759" w:rsidRPr="00472578" w:rsidRDefault="00570759" w:rsidP="00E92686">
      <w:pPr>
        <w:spacing w:after="0" w:line="240" w:lineRule="auto"/>
        <w:ind w:left="2160" w:hanging="2160"/>
        <w:jc w:val="both"/>
      </w:pPr>
      <w:bookmarkStart w:id="254" w:name="_Hlk49345238"/>
      <w:r w:rsidRPr="00472578">
        <w:rPr>
          <w:b/>
          <w:bCs/>
          <w:color w:val="1F3864" w:themeColor="accent1" w:themeShade="80"/>
        </w:rPr>
        <w:t>EIT-INF-AER5</w:t>
      </w:r>
      <w:r w:rsidRPr="00472578">
        <w:rPr>
          <w:color w:val="1F3864" w:themeColor="accent1" w:themeShade="80"/>
        </w:rPr>
        <w:t xml:space="preserve"> </w:t>
      </w:r>
      <w:r w:rsidRPr="00472578">
        <w:tab/>
      </w:r>
      <w:r w:rsidRPr="00472578">
        <w:rPr>
          <w:i/>
          <w:iCs/>
        </w:rPr>
        <w:t>Infrastructure</w:t>
      </w:r>
      <w:r w:rsidRPr="00472578">
        <w:t xml:space="preserve"> provides safe, </w:t>
      </w:r>
      <w:proofErr w:type="gramStart"/>
      <w:r w:rsidRPr="00472578">
        <w:t>effective</w:t>
      </w:r>
      <w:proofErr w:type="gramEnd"/>
      <w:r w:rsidRPr="00472578">
        <w:t xml:space="preserve"> and efficient services to the Otago community.</w:t>
      </w:r>
    </w:p>
    <w:p w14:paraId="317FC7A3" w14:textId="77777777" w:rsidR="00570759" w:rsidRPr="00472578" w:rsidRDefault="00570759" w:rsidP="00E92686">
      <w:pPr>
        <w:spacing w:after="0" w:line="240" w:lineRule="auto"/>
        <w:ind w:left="1440" w:hanging="1440"/>
        <w:jc w:val="both"/>
        <w:rPr>
          <w:b/>
          <w:bCs/>
        </w:rPr>
      </w:pPr>
    </w:p>
    <w:p w14:paraId="0E1A79EE" w14:textId="77777777" w:rsidR="00570759" w:rsidRPr="00472578" w:rsidRDefault="00570759" w:rsidP="00E92686">
      <w:pPr>
        <w:spacing w:after="0" w:line="240" w:lineRule="auto"/>
        <w:ind w:left="2160" w:hanging="2160"/>
        <w:jc w:val="both"/>
        <w:rPr>
          <w:b/>
          <w:bCs/>
        </w:rPr>
      </w:pPr>
      <w:r w:rsidRPr="00472578">
        <w:rPr>
          <w:b/>
          <w:bCs/>
          <w:color w:val="1F3864" w:themeColor="accent1" w:themeShade="80"/>
        </w:rPr>
        <w:lastRenderedPageBreak/>
        <w:t xml:space="preserve">EIT-INF-AER6 </w:t>
      </w:r>
      <w:r w:rsidRPr="00472578">
        <w:rPr>
          <w:b/>
          <w:bCs/>
        </w:rPr>
        <w:tab/>
      </w:r>
      <w:r w:rsidRPr="00472578">
        <w:t xml:space="preserve">The provision of </w:t>
      </w:r>
      <w:r w:rsidRPr="00472578">
        <w:rPr>
          <w:i/>
          <w:iCs/>
        </w:rPr>
        <w:t>infrastructure</w:t>
      </w:r>
      <w:r w:rsidRPr="00472578">
        <w:t xml:space="preserve"> is co-ordinated and integrated to service growth efficiently. </w:t>
      </w:r>
    </w:p>
    <w:p w14:paraId="28C45E67" w14:textId="77777777" w:rsidR="00570759" w:rsidRPr="00472578" w:rsidRDefault="00570759" w:rsidP="00E92686">
      <w:pPr>
        <w:spacing w:after="0" w:line="240" w:lineRule="auto"/>
        <w:ind w:left="1440" w:hanging="1440"/>
        <w:jc w:val="both"/>
      </w:pPr>
    </w:p>
    <w:p w14:paraId="10665F13" w14:textId="77777777" w:rsidR="00570759" w:rsidRPr="00472578" w:rsidRDefault="00570759" w:rsidP="00E92686">
      <w:pPr>
        <w:spacing w:after="0" w:line="240" w:lineRule="auto"/>
        <w:ind w:left="2160" w:hanging="2160"/>
        <w:jc w:val="both"/>
      </w:pPr>
      <w:r w:rsidRPr="00472578">
        <w:rPr>
          <w:b/>
          <w:bCs/>
          <w:color w:val="1F3864" w:themeColor="accent1" w:themeShade="80"/>
        </w:rPr>
        <w:t xml:space="preserve">EIT-INF-AER7 </w:t>
      </w:r>
      <w:r w:rsidRPr="00472578">
        <w:tab/>
      </w:r>
      <w:r w:rsidRPr="00472578">
        <w:rPr>
          <w:i/>
          <w:iCs/>
        </w:rPr>
        <w:t>Nationally</w:t>
      </w:r>
      <w:r w:rsidRPr="00472578">
        <w:t xml:space="preserve"> </w:t>
      </w:r>
      <w:r w:rsidRPr="00472578">
        <w:rPr>
          <w:rFonts w:ascii="Calibri" w:hAnsi="Calibri" w:cs="Calibri"/>
          <w:i/>
          <w:iCs/>
          <w:u w:val="single"/>
        </w:rPr>
        <w:t>significant infrastructure</w:t>
      </w:r>
      <w:r w:rsidRPr="00472578">
        <w:rPr>
          <w:rStyle w:val="FootnoteReference"/>
          <w:rFonts w:ascii="Calibri" w:hAnsi="Calibri" w:cs="Calibri"/>
        </w:rPr>
        <w:footnoteReference w:id="1167"/>
      </w:r>
      <w:r w:rsidRPr="00472578">
        <w:t xml:space="preserve"> and </w:t>
      </w:r>
      <w:r w:rsidRPr="00472578">
        <w:rPr>
          <w:i/>
          <w:iCs/>
        </w:rPr>
        <w:t>regionally significant infrastructure</w:t>
      </w:r>
      <w:r w:rsidRPr="00472578">
        <w:t xml:space="preserve"> is protected from reverse sensitivity </w:t>
      </w:r>
      <w:r w:rsidRPr="00472578">
        <w:rPr>
          <w:i/>
        </w:rPr>
        <w:t>effects</w:t>
      </w:r>
      <w:r w:rsidRPr="00472578">
        <w:t xml:space="preserve"> caused by incompatible activities. </w:t>
      </w:r>
    </w:p>
    <w:p w14:paraId="425A2495" w14:textId="77777777" w:rsidR="00570759" w:rsidRPr="00472578" w:rsidRDefault="00570759" w:rsidP="00E92686">
      <w:pPr>
        <w:spacing w:after="0" w:line="240" w:lineRule="auto"/>
        <w:jc w:val="both"/>
      </w:pPr>
    </w:p>
    <w:p w14:paraId="173A4950" w14:textId="77777777" w:rsidR="00570759" w:rsidRPr="00472578" w:rsidRDefault="00570759" w:rsidP="00E92686">
      <w:pPr>
        <w:spacing w:after="0" w:line="240" w:lineRule="auto"/>
        <w:ind w:left="2160" w:hanging="2160"/>
        <w:jc w:val="both"/>
      </w:pPr>
      <w:r w:rsidRPr="00472578">
        <w:rPr>
          <w:b/>
          <w:bCs/>
          <w:color w:val="1F3864" w:themeColor="accent1" w:themeShade="80"/>
        </w:rPr>
        <w:t xml:space="preserve">EIT-INF-AER8 </w:t>
      </w:r>
      <w:r w:rsidRPr="00472578">
        <w:rPr>
          <w:b/>
          <w:bCs/>
        </w:rPr>
        <w:tab/>
      </w:r>
      <w:r w:rsidRPr="00472578">
        <w:t xml:space="preserve">The adverse </w:t>
      </w:r>
      <w:r w:rsidRPr="00472578">
        <w:rPr>
          <w:iCs/>
        </w:rPr>
        <w:t>effects</w:t>
      </w:r>
      <w:r w:rsidRPr="00472578">
        <w:t xml:space="preserve"> associated with </w:t>
      </w:r>
      <w:r w:rsidRPr="00472578">
        <w:rPr>
          <w:i/>
          <w:iCs/>
          <w:strike/>
        </w:rPr>
        <w:t>nationally</w:t>
      </w:r>
      <w:r w:rsidRPr="00472578">
        <w:rPr>
          <w:strike/>
        </w:rPr>
        <w:t xml:space="preserve"> and </w:t>
      </w:r>
      <w:r w:rsidRPr="00472578">
        <w:rPr>
          <w:i/>
          <w:iCs/>
          <w:strike/>
        </w:rPr>
        <w:t>regionally significant</w:t>
      </w:r>
      <w:r w:rsidRPr="00472578">
        <w:rPr>
          <w:rStyle w:val="FootnoteReference"/>
          <w:i/>
          <w:iCs/>
          <w:strike/>
        </w:rPr>
        <w:t xml:space="preserve"> </w:t>
      </w:r>
      <w:r w:rsidRPr="00472578">
        <w:rPr>
          <w:i/>
          <w:iCs/>
          <w:strike/>
        </w:rPr>
        <w:t>infrastructure</w:t>
      </w:r>
      <w:r w:rsidRPr="00472578">
        <w:t xml:space="preserve"> </w:t>
      </w:r>
      <w:r w:rsidRPr="00472578">
        <w:rPr>
          <w:u w:val="single"/>
        </w:rPr>
        <w:t>infrastructure</w:t>
      </w:r>
      <w:r w:rsidRPr="00472578">
        <w:t xml:space="preserve"> </w:t>
      </w:r>
      <w:proofErr w:type="gramStart"/>
      <w:r w:rsidRPr="00472578">
        <w:t>are</w:t>
      </w:r>
      <w:proofErr w:type="gramEnd"/>
      <w:r w:rsidRPr="00472578">
        <w:t xml:space="preserve"> </w:t>
      </w:r>
      <w:r w:rsidRPr="00472578">
        <w:rPr>
          <w:u w:val="single"/>
        </w:rPr>
        <w:t>avoided or</w:t>
      </w:r>
      <w:r w:rsidRPr="00472578">
        <w:rPr>
          <w:rStyle w:val="FootnoteReference"/>
        </w:rPr>
        <w:footnoteReference w:id="1168"/>
      </w:r>
      <w:r w:rsidRPr="00472578">
        <w:t xml:space="preserve"> minimised. </w:t>
      </w:r>
      <w:bookmarkEnd w:id="254"/>
    </w:p>
    <w:p w14:paraId="321B4C18" w14:textId="77777777" w:rsidR="00570759" w:rsidRPr="00472578" w:rsidRDefault="00570759" w:rsidP="00E92686">
      <w:pPr>
        <w:pStyle w:val="Heading3"/>
        <w:jc w:val="both"/>
      </w:pPr>
      <w:bookmarkStart w:id="255" w:name="_Toc56620254"/>
      <w:r w:rsidRPr="00472578">
        <w:rPr>
          <w:u w:val="single"/>
        </w:rPr>
        <w:t>EIT-</w:t>
      </w:r>
      <w:r w:rsidRPr="00472578">
        <w:t>TRAN – Transport</w:t>
      </w:r>
      <w:bookmarkEnd w:id="255"/>
      <w:r w:rsidRPr="00472578">
        <w:rPr>
          <w:rStyle w:val="FootnoteReference"/>
          <w:b w:val="0"/>
          <w:bCs/>
          <w:color w:val="auto"/>
        </w:rPr>
        <w:footnoteReference w:id="1169"/>
      </w:r>
    </w:p>
    <w:p w14:paraId="5C42F9E0" w14:textId="3FE47F00" w:rsidR="00570759" w:rsidRPr="00472578" w:rsidRDefault="00570759" w:rsidP="00E92686">
      <w:pPr>
        <w:pStyle w:val="Heading4"/>
        <w:tabs>
          <w:tab w:val="left" w:pos="3028"/>
        </w:tabs>
        <w:jc w:val="both"/>
      </w:pPr>
      <w:bookmarkStart w:id="256" w:name="_Toc56620255"/>
      <w:r w:rsidRPr="00472578">
        <w:t>Objectives</w:t>
      </w:r>
      <w:bookmarkEnd w:id="256"/>
      <w:r w:rsidR="00C670FC" w:rsidRPr="00472578">
        <w:tab/>
      </w:r>
    </w:p>
    <w:p w14:paraId="1078F951" w14:textId="77777777" w:rsidR="00570759" w:rsidRPr="00472578" w:rsidRDefault="00570759" w:rsidP="00E92686">
      <w:pPr>
        <w:pStyle w:val="Heading5"/>
        <w:jc w:val="both"/>
      </w:pPr>
      <w:r w:rsidRPr="00472578">
        <w:t xml:space="preserve">EIT-TRAN-O7 – Effective, efficient, and safe transport </w:t>
      </w:r>
    </w:p>
    <w:p w14:paraId="0C016455" w14:textId="2250F39F" w:rsidR="00570759" w:rsidRPr="00472578" w:rsidRDefault="00570759" w:rsidP="00E92686">
      <w:pPr>
        <w:jc w:val="both"/>
      </w:pPr>
      <w:r w:rsidRPr="00472578">
        <w:t xml:space="preserve">Otago has an integrated air, </w:t>
      </w:r>
      <w:proofErr w:type="gramStart"/>
      <w:r w:rsidRPr="00472578">
        <w:rPr>
          <w:i/>
          <w:iCs/>
        </w:rPr>
        <w:t>land</w:t>
      </w:r>
      <w:proofErr w:type="gramEnd"/>
      <w:r w:rsidRPr="00472578">
        <w:t xml:space="preserve"> and</w:t>
      </w:r>
      <w:r w:rsidR="00D224BA" w:rsidRPr="00472578">
        <w:t xml:space="preserve"> </w:t>
      </w:r>
      <w:r w:rsidR="00D224BA" w:rsidRPr="00472578">
        <w:rPr>
          <w:strike/>
        </w:rPr>
        <w:t>sea</w:t>
      </w:r>
      <w:r w:rsidRPr="00472578">
        <w:t xml:space="preserve"> </w:t>
      </w:r>
      <w:r w:rsidRPr="00472578">
        <w:rPr>
          <w:u w:val="single"/>
        </w:rPr>
        <w:t>water-based</w:t>
      </w:r>
      <w:r w:rsidRPr="00472578">
        <w:rPr>
          <w:rStyle w:val="FootnoteReference"/>
        </w:rPr>
        <w:footnoteReference w:id="1170"/>
      </w:r>
      <w:r w:rsidRPr="00472578">
        <w:t xml:space="preserve"> transport network that: </w:t>
      </w:r>
    </w:p>
    <w:p w14:paraId="2C72C46E" w14:textId="77777777" w:rsidR="00570759" w:rsidRPr="00472578" w:rsidRDefault="00570759" w:rsidP="00E92686">
      <w:pPr>
        <w:ind w:left="567" w:hanging="567"/>
        <w:jc w:val="both"/>
      </w:pPr>
      <w:r w:rsidRPr="00472578">
        <w:t>(1)</w:t>
      </w:r>
      <w:r w:rsidRPr="00472578">
        <w:tab/>
        <w:t xml:space="preserve">is effective, </w:t>
      </w:r>
      <w:proofErr w:type="gramStart"/>
      <w:r w:rsidRPr="00472578">
        <w:t>efficient</w:t>
      </w:r>
      <w:proofErr w:type="gramEnd"/>
      <w:r w:rsidRPr="00472578">
        <w:t xml:space="preserve"> and safe,</w:t>
      </w:r>
    </w:p>
    <w:p w14:paraId="49E6889A" w14:textId="77777777" w:rsidR="00570759" w:rsidRPr="00472578" w:rsidRDefault="00570759" w:rsidP="00E92686">
      <w:pPr>
        <w:ind w:left="567" w:hanging="567"/>
        <w:jc w:val="both"/>
      </w:pPr>
      <w:r w:rsidRPr="00472578">
        <w:t>(2)</w:t>
      </w:r>
      <w:r w:rsidRPr="00472578">
        <w:tab/>
        <w:t xml:space="preserve">connects communities and their activities within Otago, with other regions, and internationally, and </w:t>
      </w:r>
    </w:p>
    <w:p w14:paraId="2C135137" w14:textId="77777777" w:rsidR="00570759" w:rsidRPr="00472578" w:rsidRDefault="00570759" w:rsidP="00E92686">
      <w:pPr>
        <w:ind w:left="567" w:hanging="567"/>
        <w:jc w:val="both"/>
      </w:pPr>
      <w:r w:rsidRPr="00472578">
        <w:t>(3)</w:t>
      </w:r>
      <w:r w:rsidRPr="00472578">
        <w:tab/>
        <w:t xml:space="preserve">is </w:t>
      </w:r>
      <w:r w:rsidRPr="00472578">
        <w:rPr>
          <w:i/>
          <w:iCs/>
        </w:rPr>
        <w:t>resilient</w:t>
      </w:r>
      <w:r w:rsidRPr="00472578">
        <w:t xml:space="preserve"> to </w:t>
      </w:r>
      <w:r w:rsidRPr="00472578">
        <w:rPr>
          <w:i/>
          <w:iCs/>
        </w:rPr>
        <w:t>natural hazards</w:t>
      </w:r>
      <w:r w:rsidRPr="00472578">
        <w:t xml:space="preserve"> </w:t>
      </w:r>
      <w:r w:rsidRPr="00472578">
        <w:rPr>
          <w:u w:val="single"/>
        </w:rPr>
        <w:t>and the effects of climate change, and the changing needs of communities</w:t>
      </w:r>
      <w:r w:rsidRPr="00472578">
        <w:t>.</w:t>
      </w:r>
      <w:r w:rsidRPr="00472578">
        <w:rPr>
          <w:rStyle w:val="FootnoteReference"/>
        </w:rPr>
        <w:footnoteReference w:id="1171"/>
      </w:r>
    </w:p>
    <w:p w14:paraId="7C1F7994" w14:textId="77777777" w:rsidR="00570759" w:rsidRPr="00472578" w:rsidRDefault="00570759" w:rsidP="00E92686">
      <w:pPr>
        <w:pStyle w:val="Heading5"/>
        <w:jc w:val="both"/>
      </w:pPr>
      <w:r w:rsidRPr="00472578">
        <w:t xml:space="preserve">EIT-TRAN-O8 – Transport system </w:t>
      </w:r>
    </w:p>
    <w:p w14:paraId="5E88115C" w14:textId="77777777" w:rsidR="00570759" w:rsidRPr="00472578" w:rsidRDefault="00570759" w:rsidP="00E92686">
      <w:pPr>
        <w:jc w:val="both"/>
      </w:pPr>
      <w:r w:rsidRPr="00472578">
        <w:t xml:space="preserve">The transport system within Otago supports the movement of people, </w:t>
      </w:r>
      <w:proofErr w:type="gramStart"/>
      <w:r w:rsidRPr="00472578">
        <w:t>goods</w:t>
      </w:r>
      <w:proofErr w:type="gramEnd"/>
      <w:r w:rsidRPr="00472578">
        <w:t xml:space="preserve"> and services, is integrated with </w:t>
      </w:r>
      <w:r w:rsidRPr="00472578">
        <w:rPr>
          <w:i/>
          <w:iCs/>
        </w:rPr>
        <w:t xml:space="preserve">land </w:t>
      </w:r>
      <w:r w:rsidRPr="00472578">
        <w:t>use</w:t>
      </w:r>
      <w:r w:rsidRPr="00472578">
        <w:rPr>
          <w:i/>
          <w:iCs/>
        </w:rPr>
        <w:t xml:space="preserve">, </w:t>
      </w:r>
      <w:r w:rsidRPr="00472578">
        <w:t>provides a choice of transport modes and is adaptable to changes in demand.</w:t>
      </w:r>
    </w:p>
    <w:p w14:paraId="250ED429" w14:textId="77777777" w:rsidR="00570759" w:rsidRPr="00472578" w:rsidRDefault="00570759" w:rsidP="00E92686">
      <w:pPr>
        <w:pStyle w:val="Heading5"/>
        <w:jc w:val="both"/>
      </w:pPr>
      <w:r w:rsidRPr="00472578">
        <w:t xml:space="preserve">EIT-TRAN-O9 – </w:t>
      </w:r>
      <w:r w:rsidRPr="00472578">
        <w:rPr>
          <w:i/>
        </w:rPr>
        <w:t>Effects</w:t>
      </w:r>
      <w:r w:rsidRPr="00472578">
        <w:t xml:space="preserve"> of the transport system</w:t>
      </w:r>
    </w:p>
    <w:p w14:paraId="44EDE549" w14:textId="77777777" w:rsidR="00570759" w:rsidRPr="00472578" w:rsidRDefault="00570759" w:rsidP="00E92686">
      <w:pPr>
        <w:jc w:val="both"/>
      </w:pPr>
      <w:r w:rsidRPr="00472578">
        <w:t xml:space="preserve">The contribution of transport to Otago’s </w:t>
      </w:r>
      <w:r w:rsidRPr="00472578">
        <w:rPr>
          <w:i/>
          <w:iCs/>
        </w:rPr>
        <w:t>greenhouse gas</w:t>
      </w:r>
      <w:r w:rsidRPr="00472578">
        <w:t xml:space="preserve"> emissions is reduced and communities are less reliant on fossil fuels for transportation.</w:t>
      </w:r>
    </w:p>
    <w:p w14:paraId="75820ACA" w14:textId="77777777" w:rsidR="00570759" w:rsidRPr="00472578" w:rsidRDefault="00570759" w:rsidP="00E92686">
      <w:pPr>
        <w:pStyle w:val="Heading5"/>
        <w:jc w:val="both"/>
      </w:pPr>
      <w:r w:rsidRPr="00472578">
        <w:t xml:space="preserve">EIT-TRAN-O10 – </w:t>
      </w:r>
      <w:r w:rsidRPr="00472578">
        <w:rPr>
          <w:i/>
        </w:rPr>
        <w:t>Commercial port activities</w:t>
      </w:r>
    </w:p>
    <w:p w14:paraId="18E4EF75" w14:textId="1E26214D" w:rsidR="00570759" w:rsidRPr="00472578" w:rsidRDefault="00570759" w:rsidP="00E92686">
      <w:pPr>
        <w:jc w:val="both"/>
      </w:pPr>
      <w:r w:rsidRPr="00472578">
        <w:rPr>
          <w:i/>
        </w:rPr>
        <w:t>Commercial port</w:t>
      </w:r>
      <w:r w:rsidRPr="00472578">
        <w:t xml:space="preserve"> </w:t>
      </w:r>
      <w:r w:rsidRPr="00472578">
        <w:rPr>
          <w:i/>
          <w:iCs/>
        </w:rPr>
        <w:t>activities</w:t>
      </w:r>
      <w:r w:rsidRPr="00472578">
        <w:t xml:space="preserve"> operate safely and efficiently, and within </w:t>
      </w:r>
      <w:r w:rsidRPr="00472578">
        <w:rPr>
          <w:i/>
          <w:iCs/>
        </w:rPr>
        <w:t>environmental limits</w:t>
      </w:r>
      <w:r w:rsidR="0023392E" w:rsidRPr="00472578">
        <w:rPr>
          <w:i/>
          <w:iCs/>
        </w:rPr>
        <w:t>.</w:t>
      </w:r>
    </w:p>
    <w:p w14:paraId="21C30996" w14:textId="77777777" w:rsidR="00570759" w:rsidRPr="00472578" w:rsidRDefault="00570759" w:rsidP="00E92686">
      <w:pPr>
        <w:pStyle w:val="Heading4"/>
        <w:jc w:val="both"/>
      </w:pPr>
      <w:bookmarkStart w:id="257" w:name="_Toc56620256"/>
      <w:r w:rsidRPr="00472578">
        <w:t>Policies</w:t>
      </w:r>
      <w:bookmarkEnd w:id="257"/>
    </w:p>
    <w:p w14:paraId="52538E2B" w14:textId="77777777" w:rsidR="00570759" w:rsidRPr="00472578" w:rsidRDefault="00570759" w:rsidP="00E92686">
      <w:pPr>
        <w:pStyle w:val="Heading5"/>
        <w:jc w:val="both"/>
      </w:pPr>
      <w:r w:rsidRPr="00472578">
        <w:t>EIT-TRAN-P18 – Integration of the transport system</w:t>
      </w:r>
    </w:p>
    <w:p w14:paraId="6A81D6D1" w14:textId="77777777" w:rsidR="00570759" w:rsidRPr="00472578" w:rsidRDefault="00570759" w:rsidP="00E92686">
      <w:pPr>
        <w:jc w:val="both"/>
      </w:pPr>
      <w:r w:rsidRPr="00472578">
        <w:lastRenderedPageBreak/>
        <w:t xml:space="preserve">The transport system contributes to the social, </w:t>
      </w:r>
      <w:proofErr w:type="gramStart"/>
      <w:r w:rsidRPr="00472578">
        <w:t>cultural</w:t>
      </w:r>
      <w:proofErr w:type="gramEnd"/>
      <w:r w:rsidRPr="00472578">
        <w:t xml:space="preserve"> and economic well-being of the people </w:t>
      </w:r>
      <w:r w:rsidRPr="00472578">
        <w:rPr>
          <w:u w:val="single"/>
        </w:rPr>
        <w:t>and communities</w:t>
      </w:r>
      <w:r w:rsidRPr="00472578">
        <w:rPr>
          <w:rStyle w:val="FootnoteReference"/>
        </w:rPr>
        <w:footnoteReference w:id="1172"/>
      </w:r>
      <w:r w:rsidRPr="00472578">
        <w:t xml:space="preserve"> of Otago through: </w:t>
      </w:r>
    </w:p>
    <w:p w14:paraId="121B0FE8" w14:textId="77777777" w:rsidR="00570759" w:rsidRPr="00472578" w:rsidRDefault="00570759" w:rsidP="00E92686">
      <w:pPr>
        <w:pStyle w:val="JustifiedSpacing"/>
        <w:ind w:left="567" w:hanging="567"/>
      </w:pPr>
      <w:r w:rsidRPr="00472578">
        <w:t>(1)</w:t>
      </w:r>
      <w:r w:rsidRPr="00472578">
        <w:tab/>
        <w:t xml:space="preserve">integration with </w:t>
      </w:r>
      <w:r w:rsidRPr="00472578">
        <w:rPr>
          <w:i/>
          <w:iCs/>
        </w:rPr>
        <w:t xml:space="preserve">land </w:t>
      </w:r>
      <w:r w:rsidRPr="00472578">
        <w:t xml:space="preserve">use activities and across transport modes, and </w:t>
      </w:r>
    </w:p>
    <w:p w14:paraId="333DF40D" w14:textId="38EEA6A9" w:rsidR="00570759" w:rsidRPr="00472578" w:rsidRDefault="00570759" w:rsidP="00E92686">
      <w:pPr>
        <w:pStyle w:val="JustifiedSpacing"/>
        <w:ind w:left="567" w:hanging="567"/>
      </w:pPr>
      <w:r w:rsidRPr="00472578">
        <w:t>(2)</w:t>
      </w:r>
      <w:r w:rsidRPr="00472578">
        <w:tab/>
      </w:r>
      <w:bookmarkStart w:id="258" w:name="_Hlk96157852"/>
      <w:r w:rsidRPr="00472578">
        <w:t xml:space="preserve">provision of transport </w:t>
      </w:r>
      <w:r w:rsidRPr="00472578">
        <w:rPr>
          <w:i/>
          <w:iCs/>
        </w:rPr>
        <w:t>infrastructure</w:t>
      </w:r>
      <w:r w:rsidRPr="00472578">
        <w:t xml:space="preserve"> that enables </w:t>
      </w:r>
      <w:r w:rsidRPr="00472578">
        <w:rPr>
          <w:u w:val="single"/>
        </w:rPr>
        <w:t>efficient</w:t>
      </w:r>
      <w:r w:rsidRPr="00472578">
        <w:rPr>
          <w:rStyle w:val="FootnoteReference"/>
        </w:rPr>
        <w:footnoteReference w:id="1173"/>
      </w:r>
      <w:r w:rsidRPr="00472578">
        <w:t xml:space="preserve"> service delivery </w:t>
      </w:r>
      <w:r w:rsidRPr="00472578">
        <w:rPr>
          <w:u w:val="single"/>
        </w:rPr>
        <w:t>in response to demand</w:t>
      </w:r>
      <w:r w:rsidR="00BC7C5A" w:rsidRPr="00472578">
        <w:rPr>
          <w:u w:val="single"/>
        </w:rPr>
        <w:t xml:space="preserve"> </w:t>
      </w:r>
      <w:r w:rsidRPr="00472578">
        <w:rPr>
          <w:strike/>
        </w:rPr>
        <w:t>as demand requires</w:t>
      </w:r>
      <w:r w:rsidRPr="00472578">
        <w:t>.</w:t>
      </w:r>
      <w:r w:rsidRPr="00472578">
        <w:rPr>
          <w:rStyle w:val="FootnoteReference"/>
        </w:rPr>
        <w:footnoteReference w:id="1174"/>
      </w:r>
    </w:p>
    <w:bookmarkEnd w:id="258"/>
    <w:p w14:paraId="6AC8561C" w14:textId="77777777" w:rsidR="00570759" w:rsidRPr="00472578" w:rsidRDefault="00570759" w:rsidP="00E92686">
      <w:pPr>
        <w:pStyle w:val="Heading5"/>
        <w:jc w:val="both"/>
      </w:pPr>
      <w:r w:rsidRPr="00472578">
        <w:t>EIT-TRAN-P19 – Transport system design</w:t>
      </w:r>
    </w:p>
    <w:p w14:paraId="229C63A3" w14:textId="59696437" w:rsidR="00570759" w:rsidRPr="00472578" w:rsidRDefault="00570759" w:rsidP="00E92686">
      <w:pPr>
        <w:pStyle w:val="JustifiedSpacing"/>
      </w:pPr>
      <w:bookmarkStart w:id="259" w:name="_Hlk96159206"/>
      <w:r w:rsidRPr="00472578">
        <w:rPr>
          <w:i/>
          <w:iCs/>
        </w:rPr>
        <w:t>Resilience</w:t>
      </w:r>
      <w:r w:rsidRPr="00472578">
        <w:t xml:space="preserve"> and adaptability of the transport system supports efficient networks for the transport of people and goods </w:t>
      </w:r>
      <w:bookmarkStart w:id="260" w:name="_Hlk95948854"/>
      <w:r w:rsidRPr="00472578">
        <w:t>that are sustained</w:t>
      </w:r>
      <w:r w:rsidRPr="00472578">
        <w:rPr>
          <w:u w:val="single"/>
        </w:rPr>
        <w:t>,</w:t>
      </w:r>
      <w:r w:rsidRPr="00472578">
        <w:t xml:space="preserve"> </w:t>
      </w:r>
      <w:r w:rsidRPr="00472578">
        <w:rPr>
          <w:strike/>
        </w:rPr>
        <w:t>and</w:t>
      </w:r>
      <w:r w:rsidRPr="00472578">
        <w:t xml:space="preserve"> improved</w:t>
      </w:r>
      <w:r w:rsidR="00BE5FD4" w:rsidRPr="00472578">
        <w:rPr>
          <w:u w:val="single"/>
        </w:rPr>
        <w:t>,</w:t>
      </w:r>
      <w:r w:rsidRPr="00472578">
        <w:rPr>
          <w:u w:val="single"/>
        </w:rPr>
        <w:t xml:space="preserve"> </w:t>
      </w:r>
      <w:bookmarkEnd w:id="260"/>
      <w:r w:rsidRPr="00472578">
        <w:rPr>
          <w:u w:val="single"/>
        </w:rPr>
        <w:t>and responsive to growth</w:t>
      </w:r>
      <w:r w:rsidRPr="00472578">
        <w:rPr>
          <w:rStyle w:val="FootnoteReference"/>
        </w:rPr>
        <w:footnoteReference w:id="1175"/>
      </w:r>
      <w:r w:rsidRPr="00472578">
        <w:t xml:space="preserve"> by:</w:t>
      </w:r>
    </w:p>
    <w:bookmarkEnd w:id="259"/>
    <w:p w14:paraId="64A73A9B" w14:textId="77777777" w:rsidR="00570759" w:rsidRPr="00472578" w:rsidRDefault="00570759" w:rsidP="00E92686">
      <w:pPr>
        <w:pStyle w:val="JustifiedSpacing"/>
        <w:ind w:left="567" w:hanging="567"/>
      </w:pPr>
      <w:r w:rsidRPr="00472578">
        <w:t>(1)</w:t>
      </w:r>
      <w:r w:rsidRPr="00472578">
        <w:tab/>
        <w:t xml:space="preserve">promoting a consolidated urban form that integrates </w:t>
      </w:r>
      <w:r w:rsidRPr="00472578">
        <w:rPr>
          <w:i/>
        </w:rPr>
        <w:t>land</w:t>
      </w:r>
      <w:r w:rsidRPr="00472578">
        <w:t xml:space="preserve"> use activities with the transport system, </w:t>
      </w:r>
    </w:p>
    <w:p w14:paraId="7E8036B4" w14:textId="77777777" w:rsidR="00570759" w:rsidRPr="00472578" w:rsidRDefault="00570759" w:rsidP="00E92686">
      <w:pPr>
        <w:pStyle w:val="JustifiedSpacing"/>
        <w:ind w:left="567" w:hanging="567"/>
      </w:pPr>
      <w:r w:rsidRPr="00472578">
        <w:t>(2)</w:t>
      </w:r>
      <w:r w:rsidRPr="00472578">
        <w:tab/>
        <w:t xml:space="preserve">placing a high priority on </w:t>
      </w:r>
      <w:r w:rsidRPr="00472578">
        <w:rPr>
          <w:i/>
        </w:rPr>
        <w:t>active transport</w:t>
      </w:r>
      <w:r w:rsidRPr="00472578">
        <w:t xml:space="preserve"> and </w:t>
      </w:r>
      <w:r w:rsidRPr="00472578">
        <w:rPr>
          <w:i/>
          <w:iCs/>
        </w:rPr>
        <w:t>public transport</w:t>
      </w:r>
      <w:r w:rsidRPr="00472578">
        <w:t xml:space="preserve"> and their integration into the design of development and transport networks, and</w:t>
      </w:r>
    </w:p>
    <w:p w14:paraId="17BF94E6" w14:textId="7CF6C876" w:rsidR="00570759" w:rsidRPr="00472578" w:rsidRDefault="00570759" w:rsidP="00E92686">
      <w:pPr>
        <w:pStyle w:val="JustifiedSpacing"/>
        <w:ind w:left="567" w:hanging="567"/>
        <w:rPr>
          <w:u w:val="single"/>
        </w:rPr>
      </w:pPr>
      <w:r w:rsidRPr="00472578">
        <w:t>(3)</w:t>
      </w:r>
      <w:r w:rsidRPr="00472578">
        <w:tab/>
        <w:t>encouraging</w:t>
      </w:r>
      <w:r w:rsidR="00385F54" w:rsidRPr="00472578">
        <w:rPr>
          <w:u w:val="single"/>
        </w:rPr>
        <w:t xml:space="preserve"> regional connectivity, including to key visitor destinations, and</w:t>
      </w:r>
      <w:r w:rsidR="00385F54" w:rsidRPr="00472578">
        <w:rPr>
          <w:rStyle w:val="FootnoteReference"/>
        </w:rPr>
        <w:footnoteReference w:id="1176"/>
      </w:r>
      <w:r w:rsidR="00385F54" w:rsidRPr="00472578">
        <w:t xml:space="preserve"> </w:t>
      </w:r>
      <w:r w:rsidRPr="00472578">
        <w:t>improved access to public spaces</w:t>
      </w:r>
      <w:r w:rsidR="00126B60" w:rsidRPr="00472578">
        <w:t>,</w:t>
      </w:r>
      <w:r w:rsidRPr="00472578">
        <w:t xml:space="preserve"> including the </w:t>
      </w:r>
      <w:r w:rsidRPr="00472578">
        <w:rPr>
          <w:i/>
          <w:iCs/>
        </w:rPr>
        <w:t>coastal marine area</w:t>
      </w:r>
      <w:r w:rsidRPr="00472578">
        <w:t xml:space="preserve">, </w:t>
      </w:r>
      <w:proofErr w:type="gramStart"/>
      <w:r w:rsidRPr="00472578">
        <w:rPr>
          <w:i/>
          <w:iCs/>
        </w:rPr>
        <w:t>lakes</w:t>
      </w:r>
      <w:proofErr w:type="gramEnd"/>
      <w:r w:rsidRPr="00472578">
        <w:t xml:space="preserve"> and </w:t>
      </w:r>
      <w:r w:rsidRPr="00472578">
        <w:rPr>
          <w:i/>
          <w:iCs/>
        </w:rPr>
        <w:t>rivers</w:t>
      </w:r>
      <w:r w:rsidR="00385F54" w:rsidRPr="00472578">
        <w:t>.</w:t>
      </w:r>
      <w:r w:rsidRPr="00472578">
        <w:rPr>
          <w:u w:val="single"/>
        </w:rPr>
        <w:t xml:space="preserve"> </w:t>
      </w:r>
    </w:p>
    <w:p w14:paraId="2BBFF89F" w14:textId="77777777" w:rsidR="00570759" w:rsidRPr="00472578" w:rsidRDefault="00570759" w:rsidP="00E92686">
      <w:pPr>
        <w:pStyle w:val="Heading5"/>
        <w:jc w:val="both"/>
      </w:pPr>
      <w:r w:rsidRPr="00472578">
        <w:t>EIT-TRAN-P20 – Public transport</w:t>
      </w:r>
    </w:p>
    <w:p w14:paraId="7EB1C705" w14:textId="0205AD11" w:rsidR="00570759" w:rsidRPr="00472578" w:rsidRDefault="00570759" w:rsidP="00DD7341">
      <w:pPr>
        <w:jc w:val="both"/>
      </w:pPr>
      <w:r w:rsidRPr="00472578">
        <w:rPr>
          <w:strike/>
        </w:rPr>
        <w:t xml:space="preserve">Plans and proposals for </w:t>
      </w:r>
      <w:r w:rsidR="00DE73D9" w:rsidRPr="00472578">
        <w:rPr>
          <w:strike/>
        </w:rPr>
        <w:t>m</w:t>
      </w:r>
      <w:r w:rsidR="00DE73D9" w:rsidRPr="00472578">
        <w:rPr>
          <w:u w:val="single"/>
        </w:rPr>
        <w:t>M</w:t>
      </w:r>
      <w:r w:rsidR="00DE73D9" w:rsidRPr="00472578">
        <w:t>aintenance and</w:t>
      </w:r>
      <w:r w:rsidRPr="00472578">
        <w:t xml:space="preserve"> development of the transport system</w:t>
      </w:r>
      <w:r w:rsidRPr="00DD7341">
        <w:t xml:space="preserve"> </w:t>
      </w:r>
      <w:r w:rsidRPr="00472578">
        <w:rPr>
          <w:strike/>
        </w:rPr>
        <w:t>enhance</w:t>
      </w:r>
      <w:r w:rsidRPr="00472578">
        <w:t xml:space="preserve"> </w:t>
      </w:r>
      <w:r w:rsidRPr="00472578">
        <w:rPr>
          <w:u w:val="single"/>
        </w:rPr>
        <w:t>enhances</w:t>
      </w:r>
      <w:r w:rsidRPr="00472578">
        <w:rPr>
          <w:rStyle w:val="FootnoteReference"/>
        </w:rPr>
        <w:footnoteReference w:id="1177"/>
      </w:r>
      <w:r w:rsidRPr="00472578">
        <w:t xml:space="preserve"> the uptake of </w:t>
      </w:r>
      <w:r w:rsidRPr="00472578">
        <w:rPr>
          <w:i/>
          <w:iCs/>
        </w:rPr>
        <w:t>public transport</w:t>
      </w:r>
      <w:r w:rsidRPr="00472578">
        <w:t xml:space="preserve"> by: </w:t>
      </w:r>
    </w:p>
    <w:p w14:paraId="052D142A" w14:textId="77777777" w:rsidR="00570759" w:rsidRPr="00472578" w:rsidRDefault="00570759" w:rsidP="00E92686">
      <w:pPr>
        <w:pStyle w:val="JustifiedSpacing"/>
        <w:ind w:left="567" w:hanging="567"/>
      </w:pPr>
      <w:r w:rsidRPr="00472578">
        <w:t>(1)</w:t>
      </w:r>
      <w:r w:rsidRPr="00472578">
        <w:tab/>
        <w:t xml:space="preserve">providing safe and reliable alternatives to private vehicle transport, </w:t>
      </w:r>
    </w:p>
    <w:p w14:paraId="2D6B40C9" w14:textId="77777777" w:rsidR="00570759" w:rsidRPr="00472578" w:rsidRDefault="00570759" w:rsidP="00E92686">
      <w:pPr>
        <w:pStyle w:val="JustifiedSpacing"/>
        <w:ind w:left="567" w:hanging="567"/>
      </w:pPr>
      <w:r w:rsidRPr="00472578">
        <w:t>(2)</w:t>
      </w:r>
      <w:r w:rsidRPr="00472578">
        <w:tab/>
        <w:t>including measures to ensure pedestrian and cyclist safety and amenity, and</w:t>
      </w:r>
    </w:p>
    <w:p w14:paraId="06A13B56" w14:textId="77777777" w:rsidR="00570759" w:rsidRPr="00472578" w:rsidRDefault="00570759" w:rsidP="00E92686">
      <w:pPr>
        <w:pStyle w:val="JustifiedSpacing"/>
        <w:ind w:left="567" w:hanging="567"/>
      </w:pPr>
      <w:r w:rsidRPr="00472578">
        <w:t>(3)</w:t>
      </w:r>
      <w:r w:rsidRPr="00472578">
        <w:tab/>
        <w:t>taking into consideration the accessibility needs of the community.</w:t>
      </w:r>
    </w:p>
    <w:p w14:paraId="726DFD53" w14:textId="77777777" w:rsidR="00570759" w:rsidRPr="00472578" w:rsidRDefault="00570759" w:rsidP="00E92686">
      <w:pPr>
        <w:pStyle w:val="Heading5"/>
        <w:jc w:val="both"/>
      </w:pPr>
      <w:r w:rsidRPr="00472578">
        <w:t xml:space="preserve">EIT-TRAN-P21 – Operation of the transport system </w:t>
      </w:r>
    </w:p>
    <w:p w14:paraId="009C4401" w14:textId="77777777" w:rsidR="00570759" w:rsidRPr="00472578" w:rsidRDefault="00570759" w:rsidP="00E92686">
      <w:pPr>
        <w:jc w:val="both"/>
      </w:pPr>
      <w:r w:rsidRPr="00472578">
        <w:t>The efficient and effective operation of the transport system is maintained by:</w:t>
      </w:r>
    </w:p>
    <w:p w14:paraId="05E98EBE" w14:textId="77777777" w:rsidR="00570759" w:rsidRPr="00472578" w:rsidRDefault="00570759" w:rsidP="00E92686">
      <w:pPr>
        <w:pStyle w:val="JustifiedSpacing"/>
        <w:ind w:left="567" w:hanging="567"/>
      </w:pPr>
      <w:r w:rsidRPr="00472578">
        <w:t>(1)</w:t>
      </w:r>
      <w:r w:rsidRPr="00472578">
        <w:tab/>
        <w:t xml:space="preserve">avoiding </w:t>
      </w:r>
      <w:r w:rsidRPr="00472578">
        <w:rPr>
          <w:u w:val="single"/>
        </w:rPr>
        <w:t>or mitigating</w:t>
      </w:r>
      <w:r w:rsidRPr="00472578">
        <w:rPr>
          <w:rStyle w:val="FootnoteReference"/>
        </w:rPr>
        <w:footnoteReference w:id="1178"/>
      </w:r>
      <w:r w:rsidRPr="00472578">
        <w:t xml:space="preserve"> adverse </w:t>
      </w:r>
      <w:r w:rsidRPr="00472578">
        <w:rPr>
          <w:i/>
          <w:iCs/>
        </w:rPr>
        <w:t>effects</w:t>
      </w:r>
      <w:r w:rsidRPr="00472578">
        <w:t xml:space="preserve"> of activities on the functioning of the transport system, </w:t>
      </w:r>
    </w:p>
    <w:p w14:paraId="6C15C139" w14:textId="0E7981DC" w:rsidR="00570759" w:rsidRPr="00472578" w:rsidRDefault="00570759" w:rsidP="00E92686">
      <w:pPr>
        <w:pStyle w:val="JustifiedSpacing"/>
        <w:ind w:left="567" w:hanging="567"/>
      </w:pPr>
      <w:r w:rsidRPr="00472578">
        <w:t>(2)</w:t>
      </w:r>
      <w:r w:rsidRPr="00472578">
        <w:tab/>
        <w:t xml:space="preserve">avoiding the impacts of incompatible activities, including those that may result in reverse sensitivity </w:t>
      </w:r>
      <w:r w:rsidRPr="00472578">
        <w:rPr>
          <w:i/>
          <w:iCs/>
        </w:rPr>
        <w:t>effects</w:t>
      </w:r>
      <w:r w:rsidRPr="00472578">
        <w:t>,</w:t>
      </w:r>
    </w:p>
    <w:p w14:paraId="19A2A7DF" w14:textId="77777777" w:rsidR="00570759" w:rsidRPr="00472578" w:rsidRDefault="00570759" w:rsidP="00E92686">
      <w:pPr>
        <w:pStyle w:val="JustifiedSpacing"/>
        <w:ind w:left="567" w:hanging="567"/>
      </w:pPr>
      <w:r w:rsidRPr="00472578">
        <w:t>(3)</w:t>
      </w:r>
      <w:r w:rsidRPr="00472578">
        <w:tab/>
        <w:t xml:space="preserve">avoiding development that forecloses an opportunity to adapt, upgrade or develop the transport system to meet future transport demand, </w:t>
      </w:r>
    </w:p>
    <w:p w14:paraId="100EC97E" w14:textId="77777777" w:rsidR="00570759" w:rsidRPr="00472578" w:rsidRDefault="00570759" w:rsidP="00E92686">
      <w:pPr>
        <w:pStyle w:val="JustifiedSpacing"/>
        <w:ind w:left="567" w:hanging="567"/>
      </w:pPr>
      <w:r w:rsidRPr="00472578">
        <w:t>(4)</w:t>
      </w:r>
      <w:r w:rsidRPr="00472578">
        <w:tab/>
      </w:r>
      <w:bookmarkStart w:id="262" w:name="_Hlk95952044"/>
      <w:r w:rsidRPr="00472578">
        <w:t>promoting the development and use of transport hubs that enable an efficient transfer of goods for transport and distribution across different freight and people transport modes,</w:t>
      </w:r>
      <w:bookmarkEnd w:id="262"/>
    </w:p>
    <w:p w14:paraId="22549216" w14:textId="77777777" w:rsidR="00570759" w:rsidRPr="00472578" w:rsidRDefault="00570759" w:rsidP="00E92686">
      <w:pPr>
        <w:pStyle w:val="JustifiedSpacing"/>
        <w:ind w:left="567" w:hanging="567"/>
      </w:pPr>
      <w:r w:rsidRPr="00472578">
        <w:lastRenderedPageBreak/>
        <w:t>(5)</w:t>
      </w:r>
      <w:r w:rsidRPr="00472578">
        <w:tab/>
        <w:t xml:space="preserve">promoting methods that provide more efficient use of, or reduce reliance on, private motor vehicles, including ridesharing, park and ride facilities, </w:t>
      </w:r>
      <w:r w:rsidRPr="00472578">
        <w:rPr>
          <w:u w:val="single"/>
        </w:rPr>
        <w:t>bus hubs, bicycle facilities,</w:t>
      </w:r>
      <w:r w:rsidRPr="00472578">
        <w:rPr>
          <w:rStyle w:val="FootnoteReference"/>
        </w:rPr>
        <w:footnoteReference w:id="1179"/>
      </w:r>
      <w:r w:rsidRPr="00472578">
        <w:t xml:space="preserve"> demand management and alternative transport modes, and</w:t>
      </w:r>
    </w:p>
    <w:p w14:paraId="21750905" w14:textId="77777777" w:rsidR="00570759" w:rsidRPr="00472578" w:rsidRDefault="00570759" w:rsidP="00E92686">
      <w:pPr>
        <w:pStyle w:val="JustifiedSpacing"/>
        <w:ind w:left="567" w:hanging="567"/>
      </w:pPr>
      <w:r w:rsidRPr="00472578">
        <w:t>(6)</w:t>
      </w:r>
      <w:r w:rsidRPr="00472578">
        <w:tab/>
        <w:t>encouraging a shift to using renewable energy sources.</w:t>
      </w:r>
    </w:p>
    <w:p w14:paraId="21E7D30B" w14:textId="77777777" w:rsidR="00570759" w:rsidRPr="00472578" w:rsidRDefault="00570759" w:rsidP="00E92686">
      <w:pPr>
        <w:pStyle w:val="Heading5"/>
        <w:jc w:val="both"/>
      </w:pPr>
      <w:r w:rsidRPr="00472578">
        <w:t>EIT-TRAN-P22 – Sustainable transportation</w:t>
      </w:r>
    </w:p>
    <w:p w14:paraId="559818BF" w14:textId="684ED858" w:rsidR="00570759" w:rsidRPr="00472578" w:rsidRDefault="00570759" w:rsidP="00E92686">
      <w:pPr>
        <w:spacing w:after="0"/>
        <w:jc w:val="both"/>
      </w:pPr>
      <w:r w:rsidRPr="00472578">
        <w:rPr>
          <w:u w:val="single"/>
        </w:rPr>
        <w:t xml:space="preserve">Enable the development of </w:t>
      </w:r>
      <w:r w:rsidR="00EA6F92" w:rsidRPr="00472578">
        <w:rPr>
          <w:u w:val="single"/>
        </w:rPr>
        <w:t>s</w:t>
      </w:r>
      <w:r w:rsidRPr="00472578">
        <w:rPr>
          <w:strike/>
        </w:rPr>
        <w:t>S</w:t>
      </w:r>
      <w:r w:rsidRPr="00472578">
        <w:t>ustainable transport networks that</w:t>
      </w:r>
      <w:r w:rsidR="00EA6F92" w:rsidRPr="00472578">
        <w:t xml:space="preserve"> </w:t>
      </w:r>
      <w:r w:rsidRPr="00472578">
        <w:t xml:space="preserve">enhance the uptake of new technologies and reduce reliance on fossil fuels </w:t>
      </w:r>
      <w:r w:rsidRPr="00472578">
        <w:rPr>
          <w:strike/>
        </w:rPr>
        <w:t>are developed</w:t>
      </w:r>
      <w:r w:rsidRPr="00472578">
        <w:t xml:space="preserve"> throughout Otago.</w:t>
      </w:r>
      <w:r w:rsidR="00EA6F92" w:rsidRPr="00472578">
        <w:rPr>
          <w:rStyle w:val="FootnoteReference"/>
        </w:rPr>
        <w:footnoteReference w:id="1180"/>
      </w:r>
    </w:p>
    <w:p w14:paraId="46FA49BA" w14:textId="77777777" w:rsidR="00570759" w:rsidRPr="00472578" w:rsidRDefault="00570759" w:rsidP="00E92686">
      <w:pPr>
        <w:pStyle w:val="Heading5"/>
        <w:jc w:val="both"/>
      </w:pPr>
      <w:r w:rsidRPr="00472578">
        <w:t xml:space="preserve">EIT-TRAN-P23 – </w:t>
      </w:r>
      <w:r w:rsidRPr="00472578">
        <w:rPr>
          <w:i/>
        </w:rPr>
        <w:t>Commercial port activities</w:t>
      </w:r>
    </w:p>
    <w:p w14:paraId="0AEB4575" w14:textId="77777777" w:rsidR="00570759" w:rsidRPr="00472578" w:rsidRDefault="00570759" w:rsidP="00E92686">
      <w:pPr>
        <w:jc w:val="both"/>
        <w:rPr>
          <w:rFonts w:ascii="Calibri" w:hAnsi="Calibri" w:cs="Calibri"/>
        </w:rPr>
      </w:pPr>
      <w:r w:rsidRPr="00472578">
        <w:rPr>
          <w:rFonts w:ascii="Calibri" w:hAnsi="Calibri" w:cs="Calibri"/>
        </w:rPr>
        <w:t xml:space="preserve">Recognise the national and regional significance of the </w:t>
      </w:r>
      <w:r w:rsidRPr="00472578">
        <w:rPr>
          <w:rFonts w:ascii="Calibri" w:hAnsi="Calibri" w:cs="Calibri"/>
          <w:i/>
        </w:rPr>
        <w:t>commercial port</w:t>
      </w:r>
      <w:r w:rsidRPr="00472578">
        <w:rPr>
          <w:rFonts w:ascii="Calibri" w:hAnsi="Calibri" w:cs="Calibri"/>
        </w:rPr>
        <w:t xml:space="preserve"> </w:t>
      </w:r>
      <w:r w:rsidRPr="00472578">
        <w:rPr>
          <w:rFonts w:ascii="Calibri" w:hAnsi="Calibri" w:cs="Calibri"/>
          <w:i/>
        </w:rPr>
        <w:t>activities</w:t>
      </w:r>
      <w:r w:rsidRPr="00472578">
        <w:rPr>
          <w:rFonts w:ascii="Calibri" w:hAnsi="Calibri" w:cs="Calibri"/>
        </w:rPr>
        <w:t xml:space="preserve"> associated with the ports at Port Chalmers and Dunedin (respectively) by:</w:t>
      </w:r>
    </w:p>
    <w:p w14:paraId="7ED447A8" w14:textId="7AE1999F" w:rsidR="00570759" w:rsidRPr="00472578" w:rsidRDefault="00570759" w:rsidP="00E92686">
      <w:pPr>
        <w:pStyle w:val="JustifiedSpacing"/>
        <w:ind w:left="567" w:hanging="567"/>
      </w:pPr>
      <w:r w:rsidRPr="00472578">
        <w:t>(1)</w:t>
      </w:r>
      <w:r w:rsidRPr="00472578">
        <w:tab/>
        <w:t xml:space="preserve">within </w:t>
      </w:r>
      <w:r w:rsidRPr="00472578">
        <w:rPr>
          <w:i/>
          <w:iCs/>
        </w:rPr>
        <w:t>environmental limits</w:t>
      </w:r>
      <w:r w:rsidRPr="00472578">
        <w:t xml:space="preserve"> as set out in Policies CE-P3 to CE-P12, providing for the efficient and safe operation of these ports and efficient connections with other transport modes,</w:t>
      </w:r>
    </w:p>
    <w:p w14:paraId="30CDF40A" w14:textId="2908B263" w:rsidR="00570759" w:rsidRPr="00472578" w:rsidRDefault="00570759" w:rsidP="00E92686">
      <w:pPr>
        <w:pStyle w:val="JustifiedSpacing"/>
        <w:ind w:left="567" w:hanging="567"/>
      </w:pPr>
      <w:r w:rsidRPr="00472578">
        <w:t>(2)</w:t>
      </w:r>
      <w:r w:rsidRPr="00472578">
        <w:tab/>
        <w:t xml:space="preserve">within the </w:t>
      </w:r>
      <w:r w:rsidRPr="00472578">
        <w:rPr>
          <w:i/>
          <w:iCs/>
        </w:rPr>
        <w:t>environmental limits</w:t>
      </w:r>
      <w:r w:rsidRPr="00472578">
        <w:t xml:space="preserve"> set out in Policies CE-P3 to CE-P12, providing for the development of the ports’ capacity for national and international shipping in and adjacent to existing port activities, and</w:t>
      </w:r>
    </w:p>
    <w:p w14:paraId="6817EEC9" w14:textId="77777777" w:rsidR="00570759" w:rsidRPr="00472578" w:rsidRDefault="00570759" w:rsidP="00E92686">
      <w:pPr>
        <w:spacing w:after="0" w:line="256" w:lineRule="auto"/>
        <w:ind w:left="567" w:hanging="567"/>
        <w:jc w:val="both"/>
      </w:pPr>
      <w:r w:rsidRPr="00472578">
        <w:t>(3)</w:t>
      </w:r>
      <w:r w:rsidRPr="00472578">
        <w:tab/>
        <w:t>ensuring that development in the coastal environment does not adversely affect the efficient and safe operation of these ports, or their connections with other transport modes.</w:t>
      </w:r>
    </w:p>
    <w:p w14:paraId="793075F9" w14:textId="77777777" w:rsidR="00570759" w:rsidRPr="00472578" w:rsidRDefault="00570759" w:rsidP="00E92686">
      <w:pPr>
        <w:pStyle w:val="Heading4"/>
        <w:jc w:val="both"/>
      </w:pPr>
      <w:bookmarkStart w:id="263" w:name="_Toc56620257"/>
      <w:r w:rsidRPr="00472578">
        <w:t>Methods</w:t>
      </w:r>
      <w:bookmarkEnd w:id="263"/>
    </w:p>
    <w:p w14:paraId="532AD34F" w14:textId="77777777" w:rsidR="00570759" w:rsidRPr="00472578" w:rsidRDefault="00570759" w:rsidP="00E92686">
      <w:pPr>
        <w:pStyle w:val="Heading5"/>
        <w:jc w:val="both"/>
      </w:pPr>
      <w:r w:rsidRPr="00472578">
        <w:t xml:space="preserve">EIT-TRAN-M7 </w:t>
      </w:r>
      <w:r w:rsidRPr="00472578">
        <w:rPr>
          <w:i/>
        </w:rPr>
        <w:t>– Regional plans</w:t>
      </w:r>
    </w:p>
    <w:p w14:paraId="2CF94F4C" w14:textId="77777777" w:rsidR="00570759" w:rsidRPr="00472578" w:rsidRDefault="00570759" w:rsidP="00E92686">
      <w:pPr>
        <w:jc w:val="both"/>
      </w:pPr>
      <w:r w:rsidRPr="00472578">
        <w:t xml:space="preserve">Otago Regional Council must </w:t>
      </w:r>
      <w:r w:rsidRPr="00472578">
        <w:rPr>
          <w:rFonts w:ascii="Calibri" w:eastAsia="Calibri" w:hAnsi="Calibri" w:cs="Times New Roman"/>
        </w:rPr>
        <w:t>prepare or amend and maintain</w:t>
      </w:r>
      <w:r w:rsidRPr="00472578">
        <w:t xml:space="preserve"> its </w:t>
      </w:r>
      <w:r w:rsidRPr="00472578">
        <w:rPr>
          <w:i/>
          <w:iCs/>
        </w:rPr>
        <w:t>regional plans</w:t>
      </w:r>
      <w:r w:rsidRPr="00472578">
        <w:t xml:space="preserve"> to:</w:t>
      </w:r>
    </w:p>
    <w:p w14:paraId="7363E907" w14:textId="77777777" w:rsidR="00570759" w:rsidRPr="00472578" w:rsidRDefault="00570759" w:rsidP="00E92686">
      <w:pPr>
        <w:pStyle w:val="JustifiedSpacing"/>
        <w:ind w:left="567" w:hanging="567"/>
      </w:pPr>
      <w:r w:rsidRPr="00472578">
        <w:t>(1)</w:t>
      </w:r>
      <w:r w:rsidRPr="00472578">
        <w:tab/>
        <w:t>provide for the development, operation, maintenance, or upgrade of the transport system that:</w:t>
      </w:r>
    </w:p>
    <w:p w14:paraId="5AEFAA40" w14:textId="77777777" w:rsidR="00570759" w:rsidRPr="00472578" w:rsidRDefault="00570759" w:rsidP="00E92686">
      <w:pPr>
        <w:pStyle w:val="JustifiedSpacing"/>
        <w:ind w:left="1134" w:hanging="567"/>
      </w:pPr>
      <w:r w:rsidRPr="00472578">
        <w:t>(a)</w:t>
      </w:r>
      <w:r w:rsidRPr="00472578">
        <w:tab/>
        <w:t xml:space="preserve">is within 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or the </w:t>
      </w:r>
      <w:r w:rsidRPr="00472578">
        <w:rPr>
          <w:i/>
          <w:iCs/>
        </w:rPr>
        <w:t>coastal marine area</w:t>
      </w:r>
      <w:r w:rsidRPr="00472578">
        <w:t>, or</w:t>
      </w:r>
    </w:p>
    <w:p w14:paraId="37634B11" w14:textId="77777777" w:rsidR="00570759" w:rsidRPr="00472578" w:rsidRDefault="00570759" w:rsidP="00E92686">
      <w:pPr>
        <w:pStyle w:val="JustifiedSpacing"/>
        <w:ind w:left="1134" w:hanging="567"/>
      </w:pPr>
      <w:r w:rsidRPr="00472578">
        <w:t>(b)</w:t>
      </w:r>
      <w:r w:rsidRPr="00472578">
        <w:tab/>
        <w:t xml:space="preserve">involves the taking, use, damming or diversion of </w:t>
      </w:r>
      <w:r w:rsidRPr="00472578">
        <w:rPr>
          <w:i/>
          <w:iCs/>
        </w:rPr>
        <w:t>water</w:t>
      </w:r>
      <w:r w:rsidRPr="00472578">
        <w:t xml:space="preserve"> and </w:t>
      </w:r>
      <w:r w:rsidRPr="00472578">
        <w:rPr>
          <w:i/>
          <w:iCs/>
        </w:rPr>
        <w:t>discharge</w:t>
      </w:r>
      <w:r w:rsidRPr="00472578">
        <w:t xml:space="preserve"> of </w:t>
      </w:r>
      <w:r w:rsidRPr="00472578">
        <w:rPr>
          <w:i/>
          <w:iCs/>
        </w:rPr>
        <w:t xml:space="preserve">water </w:t>
      </w:r>
      <w:r w:rsidRPr="00472578">
        <w:t xml:space="preserve">and </w:t>
      </w:r>
      <w:r w:rsidRPr="00472578">
        <w:rPr>
          <w:i/>
        </w:rPr>
        <w:t>contaminants</w:t>
      </w:r>
      <w:r w:rsidRPr="00472578">
        <w:t>,</w:t>
      </w:r>
    </w:p>
    <w:p w14:paraId="7743A1A4" w14:textId="77777777" w:rsidR="00570759" w:rsidRPr="00472578" w:rsidRDefault="00570759" w:rsidP="00E92686">
      <w:pPr>
        <w:pStyle w:val="JustifiedSpacing"/>
        <w:rPr>
          <w:strike/>
        </w:rPr>
      </w:pPr>
      <w:r w:rsidRPr="00472578">
        <w:t>(2)</w:t>
      </w:r>
      <w:r w:rsidRPr="00472578">
        <w:tab/>
      </w:r>
      <w:r w:rsidRPr="00472578">
        <w:rPr>
          <w:strike/>
        </w:rPr>
        <w:t xml:space="preserve">manage the adverse </w:t>
      </w:r>
      <w:r w:rsidRPr="00472578">
        <w:rPr>
          <w:i/>
          <w:iCs/>
          <w:strike/>
        </w:rPr>
        <w:t>effects</w:t>
      </w:r>
      <w:r w:rsidRPr="00472578">
        <w:rPr>
          <w:strike/>
        </w:rPr>
        <w:t xml:space="preserve"> of </w:t>
      </w:r>
      <w:r w:rsidRPr="00472578">
        <w:rPr>
          <w:i/>
          <w:iCs/>
          <w:strike/>
        </w:rPr>
        <w:t>infrastructure</w:t>
      </w:r>
      <w:r w:rsidRPr="00472578">
        <w:rPr>
          <w:strike/>
        </w:rPr>
        <w:t xml:space="preserve"> activities that: </w:t>
      </w:r>
    </w:p>
    <w:p w14:paraId="789D01F1" w14:textId="77777777" w:rsidR="00570759" w:rsidRPr="00472578" w:rsidRDefault="00570759" w:rsidP="00E92686">
      <w:pPr>
        <w:pStyle w:val="JustifiedSpacing"/>
        <w:ind w:left="1134" w:hanging="567"/>
      </w:pPr>
      <w:bookmarkStart w:id="264" w:name="_Hlk52269974"/>
      <w:r w:rsidRPr="00472578">
        <w:rPr>
          <w:strike/>
        </w:rPr>
        <w:t>(a)</w:t>
      </w:r>
      <w:r w:rsidRPr="00472578">
        <w:rPr>
          <w:strike/>
        </w:rPr>
        <w:tab/>
        <w:t xml:space="preserve">provide for the establishment of transport </w:t>
      </w:r>
      <w:r w:rsidRPr="00472578">
        <w:rPr>
          <w:i/>
          <w:iCs/>
          <w:strike/>
        </w:rPr>
        <w:t>infrastructure</w:t>
      </w:r>
      <w:r w:rsidRPr="00472578">
        <w:rPr>
          <w:strike/>
        </w:rPr>
        <w:t xml:space="preserve"> that supports modes of transport that are not reliant on fossil fuels, and</w:t>
      </w:r>
      <w:r w:rsidRPr="00472578">
        <w:rPr>
          <w:rStyle w:val="FootnoteReference"/>
        </w:rPr>
        <w:footnoteReference w:id="1181"/>
      </w:r>
    </w:p>
    <w:bookmarkEnd w:id="264"/>
    <w:p w14:paraId="3A607403" w14:textId="77777777" w:rsidR="00570759" w:rsidRPr="00472578" w:rsidRDefault="00570759" w:rsidP="00E92686">
      <w:pPr>
        <w:pStyle w:val="JustifiedSpacing"/>
        <w:ind w:left="1134" w:hanging="567"/>
      </w:pPr>
      <w:r w:rsidRPr="00472578">
        <w:rPr>
          <w:strike/>
        </w:rPr>
        <w:t>(b)</w:t>
      </w:r>
      <w:r w:rsidRPr="00472578">
        <w:rPr>
          <w:strike/>
        </w:rPr>
        <w:tab/>
      </w:r>
      <w:r w:rsidRPr="00472578">
        <w:t xml:space="preserve">include policies and methods that provide for the </w:t>
      </w:r>
      <w:r w:rsidRPr="00472578">
        <w:rPr>
          <w:i/>
          <w:iCs/>
        </w:rPr>
        <w:t>commercial port</w:t>
      </w:r>
      <w:r w:rsidRPr="00472578">
        <w:t xml:space="preserve"> </w:t>
      </w:r>
      <w:r w:rsidRPr="00472578">
        <w:rPr>
          <w:i/>
        </w:rPr>
        <w:t>activities</w:t>
      </w:r>
      <w:r w:rsidRPr="00472578">
        <w:t xml:space="preserve"> associated with the operations at Otago Harbour and the ports at Port Chalmers and Dunedin, and</w:t>
      </w:r>
    </w:p>
    <w:p w14:paraId="214F5B80" w14:textId="15EBBDDF" w:rsidR="00570759" w:rsidRPr="00472578" w:rsidRDefault="00570759" w:rsidP="00E92686">
      <w:pPr>
        <w:pStyle w:val="JustifiedSpacing"/>
        <w:ind w:left="567" w:hanging="567"/>
      </w:pPr>
      <w:r w:rsidRPr="00472578">
        <w:t>(3)</w:t>
      </w:r>
      <w:r w:rsidRPr="00472578">
        <w:tab/>
        <w:t xml:space="preserve">within </w:t>
      </w:r>
      <w:r w:rsidRPr="00472578">
        <w:rPr>
          <w:i/>
          <w:iCs/>
        </w:rPr>
        <w:t>environmental limits</w:t>
      </w:r>
      <w:r w:rsidR="00E6294D" w:rsidRPr="00472578">
        <w:t>,</w:t>
      </w:r>
      <w:r w:rsidR="00E6294D" w:rsidRPr="00472578">
        <w:rPr>
          <w:i/>
          <w:iCs/>
        </w:rPr>
        <w:t xml:space="preserve"> </w:t>
      </w:r>
      <w:r w:rsidRPr="00472578">
        <w:t xml:space="preserve">facilitate the safe and efficient operation and development of </w:t>
      </w:r>
      <w:r w:rsidRPr="00472578">
        <w:rPr>
          <w:i/>
        </w:rPr>
        <w:t xml:space="preserve">commercial </w:t>
      </w:r>
      <w:r w:rsidRPr="00472578">
        <w:rPr>
          <w:i/>
          <w:iCs/>
        </w:rPr>
        <w:t>port activities</w:t>
      </w:r>
      <w:r w:rsidRPr="00472578">
        <w:t xml:space="preserve"> at Port Chalmers and Dunedin. This includes previously approved </w:t>
      </w:r>
      <w:r w:rsidRPr="00472578">
        <w:rPr>
          <w:i/>
          <w:iCs/>
        </w:rPr>
        <w:t>resource consents</w:t>
      </w:r>
      <w:r w:rsidRPr="00472578">
        <w:t xml:space="preserve"> for the following activities in the coastal development area mapped in MAP2:</w:t>
      </w:r>
    </w:p>
    <w:p w14:paraId="7C76111E" w14:textId="77777777" w:rsidR="00570759" w:rsidRPr="00472578" w:rsidRDefault="00570759" w:rsidP="00E92686">
      <w:pPr>
        <w:pStyle w:val="JustifiedSpacing"/>
        <w:ind w:left="1134" w:hanging="567"/>
      </w:pPr>
      <w:r w:rsidRPr="00472578">
        <w:lastRenderedPageBreak/>
        <w:t>(a)</w:t>
      </w:r>
      <w:r w:rsidRPr="00472578">
        <w:tab/>
        <w:t xml:space="preserve">dredging of Otago lower </w:t>
      </w:r>
      <w:r w:rsidRPr="00472578">
        <w:rPr>
          <w:strike/>
        </w:rPr>
        <w:t>harbor</w:t>
      </w:r>
      <w:r w:rsidRPr="00472578">
        <w:t xml:space="preserve"> </w:t>
      </w:r>
      <w:r w:rsidRPr="00472578">
        <w:rPr>
          <w:u w:val="single"/>
        </w:rPr>
        <w:t>harbour</w:t>
      </w:r>
      <w:r w:rsidRPr="00472578">
        <w:rPr>
          <w:rStyle w:val="FootnoteReference"/>
        </w:rPr>
        <w:footnoteReference w:id="1182"/>
      </w:r>
      <w:r w:rsidRPr="00472578">
        <w:t xml:space="preserve"> (to 17.5m for entrance channel, and 14.5m through to Port Chalmers),</w:t>
      </w:r>
    </w:p>
    <w:p w14:paraId="587BA103" w14:textId="77777777" w:rsidR="00570759" w:rsidRPr="00472578" w:rsidRDefault="00570759" w:rsidP="00E92686">
      <w:pPr>
        <w:pStyle w:val="JustifiedSpacing"/>
        <w:ind w:left="1134" w:hanging="567"/>
      </w:pPr>
      <w:r w:rsidRPr="00472578">
        <w:t>(b)</w:t>
      </w:r>
      <w:r w:rsidRPr="00472578">
        <w:tab/>
        <w:t>dredging of Otago upper harbour to 10.5m,</w:t>
      </w:r>
    </w:p>
    <w:p w14:paraId="19DCC656" w14:textId="77777777" w:rsidR="00570759" w:rsidRPr="00472578" w:rsidRDefault="00570759" w:rsidP="00E92686">
      <w:pPr>
        <w:pStyle w:val="JustifiedSpacing"/>
        <w:ind w:left="1134" w:hanging="567"/>
      </w:pPr>
      <w:r w:rsidRPr="00472578">
        <w:t>(c)</w:t>
      </w:r>
      <w:r w:rsidRPr="00472578">
        <w:tab/>
        <w:t>management of upper and lower harbour navigation beacons,</w:t>
      </w:r>
    </w:p>
    <w:p w14:paraId="45B18757" w14:textId="77777777" w:rsidR="00570759" w:rsidRPr="00472578" w:rsidRDefault="00570759" w:rsidP="00E92686">
      <w:pPr>
        <w:pStyle w:val="JustifiedSpacing"/>
        <w:ind w:left="1134" w:hanging="567"/>
      </w:pPr>
      <w:r w:rsidRPr="00472578">
        <w:t>(d)</w:t>
      </w:r>
      <w:r w:rsidRPr="00472578">
        <w:tab/>
      </w:r>
      <w:r w:rsidRPr="00472578">
        <w:rPr>
          <w:i/>
          <w:iCs/>
        </w:rPr>
        <w:t>discharge</w:t>
      </w:r>
      <w:r w:rsidRPr="00472578">
        <w:t xml:space="preserve"> of dredging spoil to the disposal grounds at Heyward Point, Aramoana, Shelley Beach, and </w:t>
      </w:r>
      <w:r w:rsidRPr="00472578">
        <w:rPr>
          <w:strike/>
        </w:rPr>
        <w:t xml:space="preserve">AO </w:t>
      </w:r>
      <w:r w:rsidRPr="00472578">
        <w:rPr>
          <w:u w:val="single"/>
        </w:rPr>
        <w:t>A0</w:t>
      </w:r>
      <w:r w:rsidRPr="00472578">
        <w:rPr>
          <w:rStyle w:val="FootnoteReference"/>
        </w:rPr>
        <w:footnoteReference w:id="1183"/>
      </w:r>
      <w:r w:rsidRPr="00472578">
        <w:t>, and</w:t>
      </w:r>
    </w:p>
    <w:p w14:paraId="46A1F3FD" w14:textId="77777777" w:rsidR="00570759" w:rsidRPr="00472578" w:rsidRDefault="00570759" w:rsidP="00E92686">
      <w:pPr>
        <w:pStyle w:val="JustifiedSpacing"/>
        <w:ind w:left="1134" w:hanging="567"/>
      </w:pPr>
      <w:r w:rsidRPr="00472578">
        <w:t>(e)</w:t>
      </w:r>
      <w:r w:rsidRPr="00472578">
        <w:tab/>
        <w:t>placement and use of scientific buoys.</w:t>
      </w:r>
    </w:p>
    <w:p w14:paraId="4E1A1384" w14:textId="77777777" w:rsidR="00570759" w:rsidRPr="00472578" w:rsidRDefault="00570759" w:rsidP="00E92686">
      <w:pPr>
        <w:pStyle w:val="Heading5"/>
        <w:jc w:val="both"/>
      </w:pPr>
      <w:r w:rsidRPr="00472578">
        <w:t xml:space="preserve">EIT-TRAN-M8 – </w:t>
      </w:r>
      <w:r w:rsidRPr="00472578">
        <w:rPr>
          <w:i/>
        </w:rPr>
        <w:t>District plans</w:t>
      </w:r>
    </w:p>
    <w:p w14:paraId="596B8A4A" w14:textId="77777777" w:rsidR="00570759" w:rsidRPr="00472578" w:rsidRDefault="00570759" w:rsidP="00E92686">
      <w:pPr>
        <w:jc w:val="both"/>
      </w:pPr>
      <w:r w:rsidRPr="00472578">
        <w:rPr>
          <w:i/>
        </w:rPr>
        <w:t>Territorial authorities</w:t>
      </w:r>
      <w:r w:rsidRPr="00472578">
        <w:t xml:space="preserve"> must </w:t>
      </w:r>
      <w:r w:rsidRPr="00472578">
        <w:rPr>
          <w:rFonts w:ascii="Calibri" w:eastAsia="Calibri" w:hAnsi="Calibri" w:cs="Times New Roman"/>
        </w:rPr>
        <w:t>prepare or amend and maintain</w:t>
      </w:r>
      <w:r w:rsidRPr="00472578">
        <w:t xml:space="preserve"> their </w:t>
      </w:r>
      <w:r w:rsidRPr="00472578">
        <w:rPr>
          <w:i/>
          <w:iCs/>
        </w:rPr>
        <w:t>district plans</w:t>
      </w:r>
      <w:r w:rsidRPr="00472578">
        <w:t xml:space="preserve"> to:</w:t>
      </w:r>
    </w:p>
    <w:p w14:paraId="0DA522D6" w14:textId="77777777" w:rsidR="00570759" w:rsidRPr="00472578" w:rsidRDefault="00570759" w:rsidP="00E92686">
      <w:pPr>
        <w:pStyle w:val="JustifiedSpacing"/>
        <w:ind w:left="567" w:hanging="567"/>
      </w:pPr>
      <w:r w:rsidRPr="00472578">
        <w:t>(1)</w:t>
      </w:r>
      <w:r w:rsidRPr="00472578">
        <w:tab/>
        <w:t xml:space="preserve">require a strategic approach to the integration of the transport system with </w:t>
      </w:r>
      <w:r w:rsidRPr="00472578">
        <w:rPr>
          <w:i/>
          <w:iCs/>
        </w:rPr>
        <w:t>land</w:t>
      </w:r>
      <w:r w:rsidRPr="00472578">
        <w:t xml:space="preserve"> uses and between modes,</w:t>
      </w:r>
      <w:r w:rsidRPr="00472578">
        <w:tab/>
      </w:r>
    </w:p>
    <w:p w14:paraId="13361914" w14:textId="3DFC3C6F" w:rsidR="00570759" w:rsidRPr="00472578" w:rsidRDefault="00570759" w:rsidP="00E92686">
      <w:pPr>
        <w:pStyle w:val="JustifiedSpacing"/>
        <w:ind w:left="567" w:hanging="567"/>
      </w:pPr>
      <w:r w:rsidRPr="00472578">
        <w:t>(2)</w:t>
      </w:r>
      <w:r w:rsidRPr="00472578">
        <w:tab/>
        <w:t xml:space="preserve">require high trip generating activities to be integrated with </w:t>
      </w:r>
      <w:r w:rsidRPr="00472578">
        <w:rPr>
          <w:i/>
          <w:iCs/>
        </w:rPr>
        <w:t>public transport</w:t>
      </w:r>
      <w:r w:rsidRPr="00472578">
        <w:t xml:space="preserve"> services and provide for safe pedestrian and cycling access,</w:t>
      </w:r>
    </w:p>
    <w:p w14:paraId="1D6CC39F" w14:textId="742C147D" w:rsidR="00570759" w:rsidRPr="00472578" w:rsidRDefault="00570759" w:rsidP="00E92686">
      <w:pPr>
        <w:pStyle w:val="JustifiedSpacing"/>
        <w:ind w:left="567" w:hanging="567"/>
      </w:pPr>
      <w:r w:rsidRPr="00472578">
        <w:t>(3)</w:t>
      </w:r>
      <w:r w:rsidRPr="00472578">
        <w:tab/>
        <w:t xml:space="preserve">include </w:t>
      </w:r>
      <w:r w:rsidRPr="00472578">
        <w:rPr>
          <w:i/>
          <w:iCs/>
        </w:rPr>
        <w:t>subdivision</w:t>
      </w:r>
      <w:r w:rsidRPr="00472578">
        <w:t xml:space="preserve"> and </w:t>
      </w:r>
      <w:r w:rsidRPr="00472578">
        <w:rPr>
          <w:i/>
          <w:iCs/>
        </w:rPr>
        <w:t>infrastructure</w:t>
      </w:r>
      <w:r w:rsidRPr="00472578">
        <w:t xml:space="preserve"> design standards to </w:t>
      </w:r>
      <w:r w:rsidRPr="00472578">
        <w:rPr>
          <w:strike/>
        </w:rPr>
        <w:t>minimise private vehicle use,</w:t>
      </w:r>
      <w:r w:rsidRPr="00472578">
        <w:t xml:space="preserve"> </w:t>
      </w:r>
      <w:r w:rsidRPr="00472578">
        <w:rPr>
          <w:u w:val="single"/>
          <w:lang w:val="en-US"/>
        </w:rPr>
        <w:t>facilitate the use of travel modes other than private vehicles</w:t>
      </w:r>
      <w:r w:rsidRPr="00472578">
        <w:rPr>
          <w:u w:val="single"/>
        </w:rPr>
        <w:t>,</w:t>
      </w:r>
      <w:r w:rsidR="009558B5" w:rsidRPr="00472578">
        <w:rPr>
          <w:rStyle w:val="FootnoteReference"/>
          <w:lang w:val="en-US"/>
        </w:rPr>
        <w:footnoteReference w:id="1184"/>
      </w:r>
      <w:r w:rsidRPr="00472578">
        <w:t xml:space="preserve"> enable public transport networks to operate, </w:t>
      </w:r>
      <w:r w:rsidRPr="00472578">
        <w:rPr>
          <w:u w:val="single"/>
        </w:rPr>
        <w:t>access for emergency services,</w:t>
      </w:r>
      <w:r w:rsidR="009558B5" w:rsidRPr="00472578">
        <w:rPr>
          <w:rStyle w:val="FootnoteReference"/>
          <w:u w:val="single"/>
        </w:rPr>
        <w:t xml:space="preserve"> </w:t>
      </w:r>
      <w:r w:rsidR="009558B5" w:rsidRPr="00472578">
        <w:rPr>
          <w:rStyle w:val="FootnoteReference"/>
        </w:rPr>
        <w:footnoteReference w:id="1185"/>
      </w:r>
      <w:r w:rsidRPr="00472578">
        <w:t xml:space="preserve"> and recognise the accessibility needs of the community, including the mobility impaired, the elderly and children, </w:t>
      </w:r>
    </w:p>
    <w:p w14:paraId="70997CCE" w14:textId="77777777" w:rsidR="00570759" w:rsidRPr="00472578" w:rsidRDefault="00570759" w:rsidP="00E92686">
      <w:pPr>
        <w:pStyle w:val="JustifiedSpacing"/>
        <w:ind w:left="567" w:hanging="567"/>
      </w:pPr>
      <w:r w:rsidRPr="00472578">
        <w:t>(4)</w:t>
      </w:r>
      <w:r w:rsidRPr="00472578">
        <w:tab/>
        <w:t xml:space="preserve">restrict or prevent the establishment or expansion of activities adjacent to transport </w:t>
      </w:r>
      <w:r w:rsidRPr="00472578">
        <w:rPr>
          <w:i/>
          <w:iCs/>
        </w:rPr>
        <w:t>infrastructure</w:t>
      </w:r>
      <w:r w:rsidRPr="00472578">
        <w:t xml:space="preserve"> that may compromise the operation or safety of the transport system, </w:t>
      </w:r>
    </w:p>
    <w:p w14:paraId="4B55E711" w14:textId="77777777" w:rsidR="00570759" w:rsidRPr="00472578" w:rsidRDefault="00570759" w:rsidP="00E92686">
      <w:pPr>
        <w:pStyle w:val="JustifiedSpacing"/>
        <w:ind w:left="567" w:hanging="567"/>
      </w:pPr>
      <w:r w:rsidRPr="00472578">
        <w:t>(5)</w:t>
      </w:r>
      <w:r w:rsidRPr="00472578">
        <w:tab/>
        <w:t xml:space="preserve">provide for the establishment of transport </w:t>
      </w:r>
      <w:r w:rsidRPr="00472578">
        <w:rPr>
          <w:i/>
          <w:iCs/>
        </w:rPr>
        <w:t>infrastructure</w:t>
      </w:r>
      <w:r w:rsidRPr="00472578">
        <w:t xml:space="preserve"> that supports modes of transport that are not reliant on fossil fuels, and </w:t>
      </w:r>
    </w:p>
    <w:p w14:paraId="398E574F" w14:textId="77777777" w:rsidR="00570759" w:rsidRPr="00472578" w:rsidRDefault="00570759" w:rsidP="00E92686">
      <w:pPr>
        <w:pStyle w:val="JustifiedSpacing"/>
        <w:ind w:left="567" w:hanging="567"/>
      </w:pPr>
      <w:r w:rsidRPr="00472578">
        <w:t>(6)</w:t>
      </w:r>
      <w:r w:rsidRPr="00472578">
        <w:tab/>
        <w:t xml:space="preserve">include policies and methods that provide for </w:t>
      </w:r>
      <w:r w:rsidRPr="00472578">
        <w:rPr>
          <w:i/>
          <w:iCs/>
        </w:rPr>
        <w:t>commercial port</w:t>
      </w:r>
      <w:r w:rsidRPr="00472578">
        <w:t xml:space="preserve"> </w:t>
      </w:r>
      <w:r w:rsidRPr="00472578">
        <w:rPr>
          <w:i/>
          <w:iCs/>
        </w:rPr>
        <w:t>activities</w:t>
      </w:r>
      <w:r w:rsidRPr="00472578">
        <w:t xml:space="preserve"> associated with the operations at Otago Harbour and the ports at Port Chalmers and Dunedin</w:t>
      </w:r>
      <w:r w:rsidRPr="00472578">
        <w:rPr>
          <w:u w:val="single"/>
        </w:rPr>
        <w:t xml:space="preserve"> and avoid encroachment of activities which give rise to reverse sensitivity effects</w:t>
      </w:r>
      <w:r w:rsidRPr="00472578">
        <w:t>.</w:t>
      </w:r>
      <w:r w:rsidRPr="00472578">
        <w:rPr>
          <w:rStyle w:val="FootnoteReference"/>
        </w:rPr>
        <w:footnoteReference w:id="1186"/>
      </w:r>
    </w:p>
    <w:p w14:paraId="24B84D43" w14:textId="77777777" w:rsidR="00570759" w:rsidRPr="00472578" w:rsidRDefault="00570759" w:rsidP="00E92686">
      <w:pPr>
        <w:pStyle w:val="Heading5"/>
        <w:jc w:val="both"/>
      </w:pPr>
      <w:r w:rsidRPr="00472578">
        <w:t>EIT-TRAN-M9 – Regional Land Transport Plan</w:t>
      </w:r>
    </w:p>
    <w:p w14:paraId="4D78DBD4" w14:textId="77777777" w:rsidR="00570759" w:rsidRPr="00472578" w:rsidRDefault="00570759" w:rsidP="00E92686">
      <w:pPr>
        <w:jc w:val="both"/>
      </w:pPr>
      <w:r w:rsidRPr="00472578">
        <w:t xml:space="preserve">Otago Regional Council will </w:t>
      </w:r>
      <w:proofErr w:type="gramStart"/>
      <w:r w:rsidRPr="00472578">
        <w:t>take into account</w:t>
      </w:r>
      <w:proofErr w:type="gramEnd"/>
      <w:r w:rsidRPr="00472578">
        <w:t xml:space="preserve"> the objectives, provisions and methods of this chapter in preparing its Regional Land Transport Plan and Regional Public Transport Plan.</w:t>
      </w:r>
    </w:p>
    <w:p w14:paraId="309641B6" w14:textId="77777777" w:rsidR="00570759" w:rsidRPr="00472578" w:rsidRDefault="00570759" w:rsidP="00E92686">
      <w:pPr>
        <w:pStyle w:val="Heading4"/>
        <w:jc w:val="both"/>
      </w:pPr>
      <w:bookmarkStart w:id="265" w:name="_Toc56620258"/>
      <w:r w:rsidRPr="00472578">
        <w:t>Explanation</w:t>
      </w:r>
      <w:bookmarkEnd w:id="265"/>
    </w:p>
    <w:p w14:paraId="0F63B9F6" w14:textId="77777777" w:rsidR="00570759" w:rsidRPr="00472578" w:rsidRDefault="00570759" w:rsidP="00E92686">
      <w:pPr>
        <w:pStyle w:val="Heading5"/>
        <w:jc w:val="both"/>
      </w:pPr>
      <w:r w:rsidRPr="00472578">
        <w:t>EIT-TRAN-E3 – Explanation</w:t>
      </w:r>
    </w:p>
    <w:p w14:paraId="7FE1D9D8" w14:textId="77777777" w:rsidR="00570759" w:rsidRPr="00472578" w:rsidRDefault="00570759" w:rsidP="00E92686">
      <w:pPr>
        <w:spacing w:before="240"/>
        <w:jc w:val="both"/>
      </w:pPr>
      <w:r w:rsidRPr="00472578">
        <w:t xml:space="preserve">The policies in this section seek to ensure that transport </w:t>
      </w:r>
      <w:r w:rsidRPr="00472578">
        <w:rPr>
          <w:i/>
          <w:iCs/>
        </w:rPr>
        <w:t>infrastructure</w:t>
      </w:r>
      <w:r w:rsidRPr="00472578">
        <w:t xml:space="preserve"> is well designed and functions effectively, including providing for accessibility for different modes and purposes. This includes managing potential </w:t>
      </w:r>
      <w:r w:rsidRPr="00472578">
        <w:rPr>
          <w:i/>
          <w:iCs/>
        </w:rPr>
        <w:t>effects</w:t>
      </w:r>
      <w:r w:rsidRPr="00472578">
        <w:t xml:space="preserve"> of other activities on the transport system and ensuring strategic decision </w:t>
      </w:r>
      <w:r w:rsidRPr="00472578">
        <w:lastRenderedPageBreak/>
        <w:t xml:space="preserve">making in the provision of transport </w:t>
      </w:r>
      <w:r w:rsidRPr="00472578">
        <w:rPr>
          <w:i/>
          <w:iCs/>
        </w:rPr>
        <w:t>infrastructure</w:t>
      </w:r>
      <w:r w:rsidRPr="00472578">
        <w:t xml:space="preserve"> to best provide for connectivity. The policies also recognise the contribution of the transport system to emissions and provide for networks that seek to adopt technologies which reduce the adverse </w:t>
      </w:r>
      <w:r w:rsidRPr="00472578">
        <w:rPr>
          <w:i/>
          <w:iCs/>
        </w:rPr>
        <w:t>effects</w:t>
      </w:r>
      <w:r w:rsidRPr="00472578">
        <w:t xml:space="preserve"> on the </w:t>
      </w:r>
      <w:r w:rsidRPr="00472578">
        <w:rPr>
          <w:i/>
        </w:rPr>
        <w:t>environment</w:t>
      </w:r>
      <w:r w:rsidRPr="00472578">
        <w:t xml:space="preserve"> arising from fuel usage. In relation to </w:t>
      </w:r>
      <w:r w:rsidRPr="00472578">
        <w:rPr>
          <w:i/>
          <w:iCs/>
        </w:rPr>
        <w:t>commercial port</w:t>
      </w:r>
      <w:r w:rsidRPr="00472578">
        <w:t xml:space="preserve"> </w:t>
      </w:r>
      <w:r w:rsidRPr="00472578">
        <w:rPr>
          <w:i/>
          <w:iCs/>
        </w:rPr>
        <w:t>activities</w:t>
      </w:r>
      <w:r w:rsidRPr="00472578">
        <w:t xml:space="preserve"> taking place within the </w:t>
      </w:r>
      <w:r w:rsidRPr="00472578">
        <w:rPr>
          <w:iCs/>
        </w:rPr>
        <w:t>coastal environment</w:t>
      </w:r>
      <w:r w:rsidRPr="00472578">
        <w:t>, the provisions of the CE – Coastal Environment chapter also apply.</w:t>
      </w:r>
    </w:p>
    <w:p w14:paraId="166F3E9D" w14:textId="77777777" w:rsidR="00570759" w:rsidRPr="00472578" w:rsidRDefault="00570759" w:rsidP="00E92686">
      <w:pPr>
        <w:pStyle w:val="Heading4"/>
        <w:jc w:val="both"/>
      </w:pPr>
      <w:bookmarkStart w:id="266" w:name="_Toc56620259"/>
      <w:r w:rsidRPr="00472578">
        <w:t>Principal reasons</w:t>
      </w:r>
      <w:bookmarkEnd w:id="266"/>
    </w:p>
    <w:p w14:paraId="44C1CC59" w14:textId="77777777" w:rsidR="00570759" w:rsidRPr="00472578" w:rsidRDefault="00570759" w:rsidP="00E92686">
      <w:pPr>
        <w:pStyle w:val="Heading5"/>
        <w:jc w:val="both"/>
      </w:pPr>
      <w:r w:rsidRPr="00472578">
        <w:t>EIT-TRAN-PR3 – Principal reasons</w:t>
      </w:r>
    </w:p>
    <w:p w14:paraId="59C95ED4" w14:textId="77777777" w:rsidR="00570759" w:rsidRPr="00472578" w:rsidRDefault="00570759" w:rsidP="00E92686">
      <w:pPr>
        <w:pStyle w:val="Normal2"/>
        <w:numPr>
          <w:ilvl w:val="0"/>
          <w:numId w:val="0"/>
        </w:numPr>
      </w:pPr>
      <w:r w:rsidRPr="00472578">
        <w:t xml:space="preserve">The transport system is critical for connecting people and communities and transporting goods, the effective functioning of Otago’s economy and the well-being of Otago’s community. The transport network can, however, have adverse </w:t>
      </w:r>
      <w:r w:rsidRPr="00472578">
        <w:rPr>
          <w:i/>
          <w:iCs/>
        </w:rPr>
        <w:t>effects</w:t>
      </w:r>
      <w:r w:rsidRPr="00472578">
        <w:t xml:space="preserve"> on the </w:t>
      </w:r>
      <w:r w:rsidRPr="00472578">
        <w:rPr>
          <w:i/>
        </w:rPr>
        <w:t>environment</w:t>
      </w:r>
      <w:r w:rsidRPr="00472578">
        <w:t xml:space="preserve"> and impact on community well-being. If there is sufficient demand, integration and the necessary </w:t>
      </w:r>
      <w:r w:rsidRPr="00472578">
        <w:rPr>
          <w:i/>
        </w:rPr>
        <w:t>infrastructure</w:t>
      </w:r>
      <w:r w:rsidRPr="00472578">
        <w:t xml:space="preserve">, modal choices can be provided and by giving preference to modes with lower environmental </w:t>
      </w:r>
      <w:r w:rsidRPr="00472578">
        <w:rPr>
          <w:i/>
          <w:iCs/>
        </w:rPr>
        <w:t>effects</w:t>
      </w:r>
      <w:r w:rsidRPr="00472578">
        <w:t xml:space="preserve">, the adverse impacts of the transport system can be reduced. However, as large parts of the Otago region are rural, reliance on private vehicles will remain the preferred, or the only practical, transport option for many people. This should not exclude the potential for improvements in modal choice or accessibility for a range of abilities and sectors of the community. Planning for transport </w:t>
      </w:r>
      <w:r w:rsidRPr="00472578">
        <w:rPr>
          <w:i/>
          <w:iCs/>
        </w:rPr>
        <w:t>infrastructure</w:t>
      </w:r>
      <w:r w:rsidRPr="00472578">
        <w:t xml:space="preserve"> should be co-ordinated with urban and commercial growth and development to enable the transport system to effectively serve local communities and avoid reducing the efficiency of existing </w:t>
      </w:r>
      <w:r w:rsidRPr="00472578">
        <w:rPr>
          <w:i/>
          <w:iCs/>
        </w:rPr>
        <w:t>infrastructure</w:t>
      </w:r>
      <w:r w:rsidRPr="00472578">
        <w:t xml:space="preserve">. </w:t>
      </w:r>
    </w:p>
    <w:p w14:paraId="1D47C575" w14:textId="77777777" w:rsidR="00570759" w:rsidRPr="00472578" w:rsidRDefault="00570759" w:rsidP="00E92686">
      <w:pPr>
        <w:pStyle w:val="Heading5"/>
        <w:jc w:val="both"/>
      </w:pPr>
      <w:bookmarkStart w:id="267" w:name="_Toc56620260"/>
      <w:r w:rsidRPr="00472578">
        <w:t>Anticipated environmental results</w:t>
      </w:r>
      <w:bookmarkEnd w:id="267"/>
    </w:p>
    <w:p w14:paraId="656ED632" w14:textId="77777777" w:rsidR="00570759" w:rsidRPr="00472578" w:rsidRDefault="00570759" w:rsidP="00E92686">
      <w:pPr>
        <w:ind w:left="2160" w:hanging="2160"/>
        <w:jc w:val="both"/>
        <w:rPr>
          <w:b/>
          <w:bCs/>
        </w:rPr>
      </w:pPr>
      <w:r w:rsidRPr="00472578">
        <w:rPr>
          <w:b/>
          <w:color w:val="1F3864" w:themeColor="accent1" w:themeShade="80"/>
        </w:rPr>
        <w:t xml:space="preserve">EIT-TRAN-AER9 </w:t>
      </w:r>
      <w:r w:rsidRPr="00472578">
        <w:rPr>
          <w:b/>
          <w:bCs/>
        </w:rPr>
        <w:tab/>
      </w:r>
      <w:r w:rsidRPr="00472578">
        <w:t xml:space="preserve">Structure planning and </w:t>
      </w:r>
      <w:r w:rsidRPr="00472578">
        <w:rPr>
          <w:i/>
        </w:rPr>
        <w:t>district plans</w:t>
      </w:r>
      <w:r w:rsidRPr="00472578">
        <w:t xml:space="preserve"> make explicit provision for all modes of transport.</w:t>
      </w:r>
    </w:p>
    <w:p w14:paraId="681C1AF2" w14:textId="77777777" w:rsidR="00570759" w:rsidRPr="00472578" w:rsidRDefault="00570759" w:rsidP="00E92686">
      <w:pPr>
        <w:ind w:left="2160" w:hanging="2160"/>
        <w:jc w:val="both"/>
      </w:pPr>
      <w:r w:rsidRPr="00472578">
        <w:rPr>
          <w:b/>
          <w:color w:val="1F3864" w:themeColor="accent1" w:themeShade="80"/>
        </w:rPr>
        <w:t>EIT-TRAN-AER10</w:t>
      </w:r>
      <w:r w:rsidRPr="00472578">
        <w:rPr>
          <w:color w:val="1F3864" w:themeColor="accent1" w:themeShade="80"/>
        </w:rPr>
        <w:t xml:space="preserve"> </w:t>
      </w:r>
      <w:r w:rsidRPr="00472578">
        <w:tab/>
        <w:t xml:space="preserve">The number of people participating in active transport increases. </w:t>
      </w:r>
    </w:p>
    <w:p w14:paraId="1942AD81" w14:textId="77777777" w:rsidR="00570759" w:rsidRPr="00472578" w:rsidRDefault="00570759" w:rsidP="00E92686">
      <w:pPr>
        <w:ind w:left="2160" w:hanging="2160"/>
        <w:jc w:val="both"/>
      </w:pPr>
      <w:r w:rsidRPr="00472578">
        <w:rPr>
          <w:b/>
          <w:color w:val="1F3864" w:themeColor="accent1" w:themeShade="80"/>
        </w:rPr>
        <w:t>EIT-TRAN-AER11</w:t>
      </w:r>
      <w:r w:rsidRPr="00472578">
        <w:rPr>
          <w:color w:val="1F3864" w:themeColor="accent1" w:themeShade="80"/>
        </w:rPr>
        <w:t xml:space="preserve"> </w:t>
      </w:r>
      <w:r w:rsidRPr="00472578" w:rsidDel="004A147C">
        <w:tab/>
      </w:r>
      <w:r w:rsidRPr="00472578">
        <w:t xml:space="preserve">The number of dwellings per hectare in areas accessible to </w:t>
      </w:r>
      <w:r w:rsidRPr="00472578">
        <w:rPr>
          <w:i/>
          <w:iCs/>
        </w:rPr>
        <w:t>public transport</w:t>
      </w:r>
      <w:r w:rsidRPr="00472578">
        <w:t xml:space="preserve"> increases over the life of this RPS.</w:t>
      </w:r>
    </w:p>
    <w:p w14:paraId="2E06DD72" w14:textId="77777777" w:rsidR="00570759" w:rsidRPr="00472578" w:rsidRDefault="00570759" w:rsidP="00E92686">
      <w:pPr>
        <w:ind w:left="2160" w:hanging="2160"/>
        <w:jc w:val="both"/>
      </w:pPr>
      <w:r w:rsidRPr="00472578">
        <w:rPr>
          <w:b/>
          <w:color w:val="1F3864" w:themeColor="accent1" w:themeShade="80"/>
        </w:rPr>
        <w:t>EIT-TRAN-AER12</w:t>
      </w:r>
      <w:r w:rsidRPr="00472578">
        <w:rPr>
          <w:color w:val="1F3864" w:themeColor="accent1" w:themeShade="80"/>
        </w:rPr>
        <w:t xml:space="preserve"> </w:t>
      </w:r>
      <w:r w:rsidRPr="00472578">
        <w:tab/>
      </w:r>
      <w:r w:rsidRPr="00472578">
        <w:rPr>
          <w:i/>
          <w:iCs/>
        </w:rPr>
        <w:t>Public transport</w:t>
      </w:r>
      <w:r w:rsidRPr="00472578">
        <w:t xml:space="preserve"> patronage </w:t>
      </w:r>
      <w:proofErr w:type="gramStart"/>
      <w:r w:rsidRPr="00472578">
        <w:t>increases</w:t>
      </w:r>
      <w:proofErr w:type="gramEnd"/>
      <w:r w:rsidRPr="00472578">
        <w:t xml:space="preserve"> a</w:t>
      </w:r>
      <w:r w:rsidRPr="00472578">
        <w:rPr>
          <w:strike/>
        </w:rPr>
        <w:t>nd congestion levels decrease</w:t>
      </w:r>
      <w:r w:rsidRPr="00472578">
        <w:rPr>
          <w:rStyle w:val="FootnoteReference"/>
        </w:rPr>
        <w:footnoteReference w:id="1187"/>
      </w:r>
      <w:r w:rsidRPr="00472578">
        <w:t xml:space="preserve"> over the life of this RPS.</w:t>
      </w:r>
    </w:p>
    <w:p w14:paraId="586A1F00" w14:textId="77777777" w:rsidR="00570759" w:rsidRPr="00472578" w:rsidRDefault="00570759" w:rsidP="00E92686">
      <w:pPr>
        <w:ind w:left="2160" w:hanging="2160"/>
        <w:jc w:val="both"/>
      </w:pPr>
      <w:r w:rsidRPr="00472578">
        <w:rPr>
          <w:b/>
          <w:color w:val="1F3864" w:themeColor="accent1" w:themeShade="80"/>
        </w:rPr>
        <w:t xml:space="preserve">EIT-TRAN-AER13 </w:t>
      </w:r>
      <w:r w:rsidRPr="00472578">
        <w:rPr>
          <w:b/>
          <w:bCs/>
        </w:rPr>
        <w:tab/>
      </w:r>
      <w:r w:rsidRPr="00472578">
        <w:rPr>
          <w:i/>
          <w:iCs/>
        </w:rPr>
        <w:t>Greenhouse gas</w:t>
      </w:r>
      <w:r w:rsidRPr="00472578">
        <w:t xml:space="preserve"> emissions arising from the transport system reduce over time from increased active transport, shared travel and </w:t>
      </w:r>
      <w:r w:rsidRPr="00472578">
        <w:rPr>
          <w:i/>
          <w:iCs/>
        </w:rPr>
        <w:t xml:space="preserve">public transport </w:t>
      </w:r>
      <w:r w:rsidRPr="00472578">
        <w:t>patronage</w:t>
      </w:r>
      <w:r w:rsidRPr="00472578">
        <w:rPr>
          <w:u w:val="single"/>
        </w:rPr>
        <w:t>, increased use of rail for freight,</w:t>
      </w:r>
      <w:r w:rsidRPr="00472578">
        <w:rPr>
          <w:rStyle w:val="FootnoteReference"/>
        </w:rPr>
        <w:footnoteReference w:id="1188"/>
      </w:r>
      <w:r w:rsidRPr="00472578">
        <w:t xml:space="preserve"> and reduced reliance on fossil fuels.</w:t>
      </w:r>
    </w:p>
    <w:p w14:paraId="7A3432DD" w14:textId="77777777" w:rsidR="00570759" w:rsidRPr="00472578" w:rsidRDefault="00570759" w:rsidP="00E92686">
      <w:pPr>
        <w:ind w:left="2160" w:hanging="2160"/>
        <w:jc w:val="both"/>
      </w:pPr>
      <w:r w:rsidRPr="00472578">
        <w:rPr>
          <w:b/>
          <w:color w:val="1F3864" w:themeColor="accent1" w:themeShade="80"/>
        </w:rPr>
        <w:t>EIT</w:t>
      </w:r>
      <w:r w:rsidRPr="00472578">
        <w:rPr>
          <w:b/>
          <w:bCs/>
          <w:color w:val="1F3864" w:themeColor="accent1" w:themeShade="80"/>
        </w:rPr>
        <w:t>-TRAN-</w:t>
      </w:r>
      <w:r w:rsidRPr="00472578">
        <w:rPr>
          <w:b/>
          <w:color w:val="1F3864" w:themeColor="accent1" w:themeShade="80"/>
        </w:rPr>
        <w:t xml:space="preserve">AER14 </w:t>
      </w:r>
      <w:r w:rsidRPr="00472578">
        <w:rPr>
          <w:b/>
          <w:bCs/>
        </w:rPr>
        <w:tab/>
      </w:r>
      <w:r w:rsidRPr="00472578">
        <w:t>The transport of people, goods and services within Otago is achieved in a timely manner and at costs comparable to other regions.</w:t>
      </w:r>
    </w:p>
    <w:p w14:paraId="3F904FC1" w14:textId="77777777" w:rsidR="00570759" w:rsidRPr="00472578" w:rsidRDefault="00570759" w:rsidP="00E92686">
      <w:pPr>
        <w:jc w:val="both"/>
      </w:pPr>
      <w:bookmarkStart w:id="268" w:name="_Hlk48824675"/>
      <w:bookmarkStart w:id="269" w:name="_Hlk52262069"/>
      <w:bookmarkEnd w:id="268"/>
      <w:bookmarkEnd w:id="269"/>
    </w:p>
    <w:p w14:paraId="1E50888A" w14:textId="4DD3D9A4" w:rsidR="00570759" w:rsidRPr="00472578" w:rsidRDefault="00570759" w:rsidP="00E92686">
      <w:pPr>
        <w:jc w:val="both"/>
      </w:pPr>
      <w:r w:rsidRPr="00472578">
        <w:br w:type="page"/>
      </w:r>
    </w:p>
    <w:p w14:paraId="7BA5E013" w14:textId="63E2F92C" w:rsidR="00D038D4" w:rsidRPr="00472578" w:rsidRDefault="00D038D4" w:rsidP="00E92686">
      <w:pPr>
        <w:pStyle w:val="Heading2"/>
        <w:jc w:val="both"/>
        <w:rPr>
          <w:i/>
          <w:sz w:val="28"/>
          <w:szCs w:val="28"/>
        </w:rPr>
      </w:pPr>
      <w:bookmarkStart w:id="270" w:name="_Toc102551285"/>
      <w:r w:rsidRPr="00472578">
        <w:lastRenderedPageBreak/>
        <w:t>HAZ</w:t>
      </w:r>
      <w:r w:rsidR="00A4057F" w:rsidRPr="00472578">
        <w:t xml:space="preserve"> </w:t>
      </w:r>
      <w:r w:rsidRPr="00472578">
        <w:t>–</w:t>
      </w:r>
      <w:r w:rsidR="00A4057F" w:rsidRPr="00472578">
        <w:t xml:space="preserve"> </w:t>
      </w:r>
      <w:r w:rsidRPr="00472578">
        <w:t>Hazards and Risks</w:t>
      </w:r>
      <w:bookmarkEnd w:id="270"/>
    </w:p>
    <w:p w14:paraId="75243872" w14:textId="2AB61746" w:rsidR="00D038D4" w:rsidRPr="00472578" w:rsidRDefault="00D038D4" w:rsidP="00E92686">
      <w:pPr>
        <w:pStyle w:val="Heading3"/>
        <w:jc w:val="both"/>
        <w:rPr>
          <w:color w:val="auto"/>
        </w:rPr>
      </w:pPr>
      <w:r w:rsidRPr="00472578">
        <w:t>HAZ</w:t>
      </w:r>
      <w:r w:rsidR="00893DC6" w:rsidRPr="00472578">
        <w:t>-</w:t>
      </w:r>
      <w:r w:rsidRPr="00472578">
        <w:t>NH – Natural hazards</w:t>
      </w:r>
    </w:p>
    <w:p w14:paraId="6C092BEF" w14:textId="77777777" w:rsidR="00D038D4" w:rsidRPr="00472578" w:rsidRDefault="00D038D4" w:rsidP="00E92686">
      <w:pPr>
        <w:pStyle w:val="Heading4"/>
        <w:jc w:val="both"/>
      </w:pPr>
      <w:r w:rsidRPr="00472578">
        <w:t>Objective</w:t>
      </w:r>
    </w:p>
    <w:p w14:paraId="62D966E1" w14:textId="20C41EC7"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O1 – Natural hazards</w:t>
      </w:r>
    </w:p>
    <w:p w14:paraId="494CAAE4" w14:textId="062F8B3A" w:rsidR="00D038D4" w:rsidRPr="00472578" w:rsidRDefault="00D038D4" w:rsidP="00E92686">
      <w:pPr>
        <w:pStyle w:val="BodyText"/>
      </w:pPr>
      <w:r w:rsidRPr="00472578">
        <w:rPr>
          <w:strike/>
        </w:rPr>
        <w:t>Levels of</w:t>
      </w:r>
      <w:r w:rsidRPr="00472578">
        <w:t xml:space="preserve"> </w:t>
      </w:r>
      <w:r w:rsidRPr="00472578">
        <w:rPr>
          <w:i/>
          <w:strike/>
        </w:rPr>
        <w:t>r</w:t>
      </w:r>
      <w:r w:rsidRPr="00472578">
        <w:rPr>
          <w:i/>
          <w:u w:val="single"/>
        </w:rPr>
        <w:t>R</w:t>
      </w:r>
      <w:r w:rsidRPr="00472578">
        <w:rPr>
          <w:i/>
        </w:rPr>
        <w:t>isk</w:t>
      </w:r>
      <w:r w:rsidRPr="00472578">
        <w:rPr>
          <w:i/>
          <w:u w:val="single"/>
        </w:rPr>
        <w:t>s</w:t>
      </w:r>
      <w:r w:rsidR="00804A60">
        <w:rPr>
          <w:i/>
          <w:u w:val="single"/>
        </w:rPr>
        <w:t xml:space="preserve"> (in relation to natural hazards)</w:t>
      </w:r>
      <w:r w:rsidRPr="00472578">
        <w:rPr>
          <w:rStyle w:val="FootnoteReference"/>
          <w:i/>
        </w:rPr>
        <w:footnoteReference w:id="1189"/>
      </w:r>
      <w:r w:rsidRPr="00472578">
        <w:rPr>
          <w:i/>
        </w:rPr>
        <w:t xml:space="preserve"> </w:t>
      </w:r>
      <w:r w:rsidRPr="00472578">
        <w:t xml:space="preserve">to </w:t>
      </w:r>
      <w:bookmarkStart w:id="271" w:name="_Hlk94876321"/>
      <w:r w:rsidRPr="00472578">
        <w:t xml:space="preserve">people, communities and </w:t>
      </w:r>
      <w:bookmarkStart w:id="272" w:name="_Hlk94876416"/>
      <w:r w:rsidRPr="00472578">
        <w:t xml:space="preserve">property </w:t>
      </w:r>
      <w:bookmarkEnd w:id="271"/>
      <w:bookmarkEnd w:id="272"/>
      <w:r w:rsidRPr="00472578">
        <w:t xml:space="preserve">from </w:t>
      </w:r>
      <w:r w:rsidRPr="00472578">
        <w:rPr>
          <w:i/>
        </w:rPr>
        <w:t xml:space="preserve">natural hazards </w:t>
      </w:r>
      <w:r w:rsidRPr="00472578">
        <w:t xml:space="preserve">within Otago </w:t>
      </w:r>
      <w:r w:rsidRPr="00472578">
        <w:rPr>
          <w:u w:val="single"/>
        </w:rPr>
        <w:t xml:space="preserve">are maintained where they are </w:t>
      </w:r>
      <w:proofErr w:type="gramStart"/>
      <w:r w:rsidRPr="00472578">
        <w:rPr>
          <w:u w:val="single"/>
        </w:rPr>
        <w:t>acceptable</w:t>
      </w:r>
      <w:r w:rsidR="004B2702" w:rsidRPr="00472578">
        <w:rPr>
          <w:u w:val="single"/>
        </w:rPr>
        <w:t>,</w:t>
      </w:r>
      <w:r w:rsidRPr="00472578">
        <w:rPr>
          <w:u w:val="single"/>
        </w:rPr>
        <w:t xml:space="preserve"> and</w:t>
      </w:r>
      <w:proofErr w:type="gramEnd"/>
      <w:r w:rsidRPr="00472578">
        <w:rPr>
          <w:u w:val="single"/>
        </w:rPr>
        <w:t xml:space="preserve"> managed to ensure they</w:t>
      </w:r>
      <w:r w:rsidRPr="00472578">
        <w:rPr>
          <w:rStyle w:val="FootnoteReference"/>
        </w:rPr>
        <w:footnoteReference w:id="1190"/>
      </w:r>
      <w:r w:rsidRPr="00472578">
        <w:t xml:space="preserve"> do not exceed a tolerable level.</w:t>
      </w:r>
    </w:p>
    <w:p w14:paraId="73C29190" w14:textId="306ACB81"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O2 – Adapt</w:t>
      </w:r>
      <w:r w:rsidRPr="00472578">
        <w:rPr>
          <w:u w:val="single"/>
        </w:rPr>
        <w:t>at</w:t>
      </w:r>
      <w:r w:rsidRPr="00472578">
        <w:t>ion</w:t>
      </w:r>
      <w:r w:rsidRPr="00472578">
        <w:rPr>
          <w:rStyle w:val="FootnoteReference"/>
          <w:b w:val="0"/>
          <w:bCs w:val="0"/>
          <w:color w:val="auto"/>
        </w:rPr>
        <w:footnoteReference w:id="1191"/>
      </w:r>
    </w:p>
    <w:p w14:paraId="0A57481D" w14:textId="7A1001D7" w:rsidR="00D038D4" w:rsidRPr="00472578" w:rsidRDefault="00D038D4" w:rsidP="00E92686">
      <w:pPr>
        <w:spacing w:before="179" w:line="254" w:lineRule="auto"/>
        <w:ind w:right="97"/>
        <w:jc w:val="both"/>
      </w:pPr>
      <w:r w:rsidRPr="00472578">
        <w:t xml:space="preserve">Otago’s people, </w:t>
      </w:r>
      <w:r w:rsidRPr="00472578">
        <w:rPr>
          <w:strike/>
        </w:rPr>
        <w:t>property and</w:t>
      </w:r>
      <w:r w:rsidRPr="00472578">
        <w:t xml:space="preserve"> communities</w:t>
      </w:r>
      <w:r w:rsidRPr="00472578">
        <w:rPr>
          <w:u w:val="single"/>
        </w:rPr>
        <w:t>, and property</w:t>
      </w:r>
      <w:r w:rsidRPr="00472578">
        <w:rPr>
          <w:rStyle w:val="FootnoteReference"/>
        </w:rPr>
        <w:footnoteReference w:id="1192"/>
      </w:r>
      <w:r w:rsidRPr="00472578">
        <w:t xml:space="preserve"> are prepared for and able to adapt to the </w:t>
      </w:r>
      <w:r w:rsidRPr="00472578">
        <w:rPr>
          <w:i/>
        </w:rPr>
        <w:t xml:space="preserve">effects </w:t>
      </w:r>
      <w:r w:rsidRPr="00472578">
        <w:t xml:space="preserve">of </w:t>
      </w:r>
      <w:r w:rsidR="00DE73D9" w:rsidRPr="00472578">
        <w:rPr>
          <w:i/>
        </w:rPr>
        <w:t>natural hazards</w:t>
      </w:r>
      <w:r w:rsidRPr="00472578">
        <w:t xml:space="preserve">, including </w:t>
      </w:r>
      <w:r w:rsidRPr="00472578">
        <w:rPr>
          <w:i/>
          <w:u w:val="single"/>
        </w:rPr>
        <w:t>natural hazard risks</w:t>
      </w:r>
      <w:r w:rsidRPr="00472578">
        <w:rPr>
          <w:iCs/>
          <w:u w:val="single"/>
        </w:rPr>
        <w:t xml:space="preserve"> that are exacerbated by</w:t>
      </w:r>
      <w:r w:rsidRPr="00472578">
        <w:rPr>
          <w:rStyle w:val="FootnoteReference"/>
          <w:iCs/>
        </w:rPr>
        <w:footnoteReference w:id="1193"/>
      </w:r>
      <w:r w:rsidRPr="00472578">
        <w:rPr>
          <w:iCs/>
        </w:rPr>
        <w:t xml:space="preserve"> </w:t>
      </w:r>
      <w:r w:rsidRPr="00472578">
        <w:rPr>
          <w:i/>
        </w:rPr>
        <w:t>climate change</w:t>
      </w:r>
      <w:r w:rsidRPr="00472578">
        <w:t xml:space="preserve">. </w:t>
      </w:r>
    </w:p>
    <w:p w14:paraId="3D68B7C4" w14:textId="77777777" w:rsidR="00D038D4" w:rsidRPr="00472578" w:rsidRDefault="00D038D4" w:rsidP="00E92686">
      <w:pPr>
        <w:pStyle w:val="Heading4"/>
        <w:jc w:val="both"/>
      </w:pPr>
      <w:r w:rsidRPr="00472578">
        <w:t>Policies</w:t>
      </w:r>
    </w:p>
    <w:p w14:paraId="4A034023" w14:textId="0DCF3F48"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 xml:space="preserve">P1 – Identifying areas subject to </w:t>
      </w:r>
      <w:r w:rsidRPr="00472578">
        <w:rPr>
          <w:i/>
        </w:rPr>
        <w:t>natural hazards</w:t>
      </w:r>
    </w:p>
    <w:p w14:paraId="79C06357" w14:textId="6D0F37CF" w:rsidR="00D038D4" w:rsidRPr="00472578" w:rsidRDefault="00D038D4" w:rsidP="00E92686">
      <w:pPr>
        <w:pStyle w:val="BodyText"/>
      </w:pPr>
      <w:r w:rsidRPr="00472578">
        <w:rPr>
          <w:u w:val="single"/>
        </w:rPr>
        <w:t>Using the best available information</w:t>
      </w:r>
      <w:r w:rsidR="004B7081" w:rsidRPr="00472578">
        <w:rPr>
          <w:u w:val="single"/>
        </w:rPr>
        <w:t>,</w:t>
      </w:r>
      <w:r w:rsidRPr="00472578">
        <w:rPr>
          <w:rStyle w:val="FootnoteReference"/>
        </w:rPr>
        <w:footnoteReference w:id="1194"/>
      </w:r>
      <w:r w:rsidRPr="00472578">
        <w:t xml:space="preserve"> </w:t>
      </w:r>
      <w:r w:rsidRPr="00472578">
        <w:rPr>
          <w:strike/>
        </w:rPr>
        <w:t>I</w:t>
      </w:r>
      <w:r w:rsidRPr="00472578">
        <w:rPr>
          <w:u w:val="single"/>
        </w:rPr>
        <w:t>i</w:t>
      </w:r>
      <w:r w:rsidRPr="00472578">
        <w:t xml:space="preserve">dentify areas where </w:t>
      </w:r>
      <w:r w:rsidRPr="00472578">
        <w:rPr>
          <w:i/>
        </w:rPr>
        <w:t xml:space="preserve">natural hazards </w:t>
      </w:r>
      <w:r w:rsidRPr="00472578">
        <w:t xml:space="preserve">may adversely affect Otago’s people, </w:t>
      </w:r>
      <w:proofErr w:type="gramStart"/>
      <w:r w:rsidRPr="00472578">
        <w:t>communities</w:t>
      </w:r>
      <w:proofErr w:type="gramEnd"/>
      <w:r w:rsidRPr="00472578">
        <w:t xml:space="preserve"> and property, </w:t>
      </w:r>
      <w:r w:rsidR="00DE73D9" w:rsidRPr="00472578">
        <w:t>by assessing</w:t>
      </w:r>
      <w:r w:rsidRPr="00472578">
        <w:t>:</w:t>
      </w:r>
    </w:p>
    <w:p w14:paraId="64AFFEA2" w14:textId="74E2ECDC" w:rsidR="00D038D4" w:rsidRPr="00472578" w:rsidRDefault="007131D6" w:rsidP="00E92686">
      <w:pPr>
        <w:widowControl w:val="0"/>
        <w:tabs>
          <w:tab w:val="left" w:pos="867"/>
        </w:tabs>
        <w:autoSpaceDE w:val="0"/>
        <w:autoSpaceDN w:val="0"/>
        <w:ind w:left="567" w:hanging="567"/>
        <w:jc w:val="both"/>
      </w:pPr>
      <w:r w:rsidRPr="00472578">
        <w:t>(1)</w:t>
      </w:r>
      <w:r w:rsidRPr="00472578">
        <w:tab/>
      </w:r>
      <w:r w:rsidR="00D038D4" w:rsidRPr="00472578">
        <w:t>the hazard type and characteristics,</w:t>
      </w:r>
    </w:p>
    <w:p w14:paraId="4EC87AC5" w14:textId="52B299DE" w:rsidR="00D038D4" w:rsidRPr="00472578" w:rsidRDefault="00315C68" w:rsidP="00E92686">
      <w:pPr>
        <w:widowControl w:val="0"/>
        <w:tabs>
          <w:tab w:val="left" w:pos="867"/>
        </w:tabs>
        <w:autoSpaceDE w:val="0"/>
        <w:autoSpaceDN w:val="0"/>
        <w:ind w:left="567" w:hanging="567"/>
        <w:jc w:val="both"/>
      </w:pPr>
      <w:r w:rsidRPr="00472578">
        <w:rPr>
          <w:iCs/>
        </w:rPr>
        <w:t>(2)</w:t>
      </w:r>
      <w:r w:rsidRPr="00472578">
        <w:rPr>
          <w:iCs/>
        </w:rPr>
        <w:tab/>
      </w:r>
      <w:r w:rsidR="00D038D4" w:rsidRPr="00472578">
        <w:rPr>
          <w:i/>
        </w:rPr>
        <w:t xml:space="preserve">multiple </w:t>
      </w:r>
      <w:r w:rsidR="00D038D4" w:rsidRPr="00472578">
        <w:t xml:space="preserve">and </w:t>
      </w:r>
      <w:r w:rsidR="00D038D4" w:rsidRPr="00472578">
        <w:rPr>
          <w:i/>
        </w:rPr>
        <w:t xml:space="preserve">cascading hazards, </w:t>
      </w:r>
      <w:r w:rsidR="00D038D4" w:rsidRPr="00472578">
        <w:t>where present,</w:t>
      </w:r>
    </w:p>
    <w:p w14:paraId="7C1AC34F" w14:textId="467C3AF1" w:rsidR="00D038D4" w:rsidRPr="00472578" w:rsidRDefault="00315C68" w:rsidP="00E92686">
      <w:pPr>
        <w:widowControl w:val="0"/>
        <w:tabs>
          <w:tab w:val="left" w:pos="867"/>
        </w:tabs>
        <w:autoSpaceDE w:val="0"/>
        <w:autoSpaceDN w:val="0"/>
        <w:ind w:left="567" w:hanging="567"/>
        <w:jc w:val="both"/>
      </w:pPr>
      <w:r w:rsidRPr="00472578">
        <w:t>(3)</w:t>
      </w:r>
      <w:r w:rsidRPr="00472578">
        <w:tab/>
      </w:r>
      <w:r w:rsidR="00D038D4" w:rsidRPr="00472578">
        <w:t xml:space="preserve">any cumulative </w:t>
      </w:r>
      <w:r w:rsidR="00D038D4" w:rsidRPr="00472578">
        <w:rPr>
          <w:i/>
        </w:rPr>
        <w:t>effects</w:t>
      </w:r>
      <w:r w:rsidR="00D038D4" w:rsidRPr="00472578">
        <w:t>,</w:t>
      </w:r>
    </w:p>
    <w:p w14:paraId="29C3B58C" w14:textId="22A86D5B" w:rsidR="00D038D4" w:rsidRPr="00472578" w:rsidRDefault="00315C68" w:rsidP="00E92686">
      <w:pPr>
        <w:widowControl w:val="0"/>
        <w:tabs>
          <w:tab w:val="left" w:pos="867"/>
        </w:tabs>
        <w:autoSpaceDE w:val="0"/>
        <w:autoSpaceDN w:val="0"/>
        <w:ind w:left="567" w:hanging="567"/>
        <w:jc w:val="both"/>
      </w:pPr>
      <w:r w:rsidRPr="00472578">
        <w:t>(4)</w:t>
      </w:r>
      <w:r w:rsidRPr="00472578">
        <w:tab/>
      </w:r>
      <w:r w:rsidR="00D038D4" w:rsidRPr="00472578">
        <w:t xml:space="preserve">any </w:t>
      </w:r>
      <w:r w:rsidR="00D038D4" w:rsidRPr="00472578">
        <w:rPr>
          <w:i/>
        </w:rPr>
        <w:t xml:space="preserve">effects </w:t>
      </w:r>
      <w:r w:rsidR="00D038D4" w:rsidRPr="00472578">
        <w:t xml:space="preserve">of </w:t>
      </w:r>
      <w:r w:rsidR="00D038D4" w:rsidRPr="00472578">
        <w:rPr>
          <w:i/>
        </w:rPr>
        <w:t>climate change</w:t>
      </w:r>
      <w:r w:rsidR="00D038D4" w:rsidRPr="00472578">
        <w:t>,</w:t>
      </w:r>
    </w:p>
    <w:p w14:paraId="54187B79" w14:textId="5A894D49" w:rsidR="00D038D4" w:rsidRPr="00472578" w:rsidRDefault="00315C68" w:rsidP="00E92686">
      <w:pPr>
        <w:widowControl w:val="0"/>
        <w:tabs>
          <w:tab w:val="left" w:pos="867"/>
        </w:tabs>
        <w:autoSpaceDE w:val="0"/>
        <w:autoSpaceDN w:val="0"/>
        <w:ind w:left="567" w:hanging="567"/>
        <w:jc w:val="both"/>
      </w:pPr>
      <w:r w:rsidRPr="00472578">
        <w:t>(5)</w:t>
      </w:r>
      <w:r w:rsidRPr="00472578">
        <w:tab/>
      </w:r>
      <w:r w:rsidR="00D038D4" w:rsidRPr="00472578">
        <w:rPr>
          <w:u w:val="single"/>
        </w:rPr>
        <w:t>the</w:t>
      </w:r>
      <w:r w:rsidR="00D038D4" w:rsidRPr="00472578">
        <w:t xml:space="preserve"> likelihood </w:t>
      </w:r>
      <w:r w:rsidR="00D038D4" w:rsidRPr="00472578">
        <w:rPr>
          <w:u w:val="single"/>
        </w:rPr>
        <w:t>of an event occurring</w:t>
      </w:r>
      <w:r w:rsidR="001B1FCA" w:rsidRPr="00472578">
        <w:t xml:space="preserve"> </w:t>
      </w:r>
      <w:r w:rsidR="00D038D4" w:rsidRPr="00472578">
        <w:rPr>
          <w:strike/>
        </w:rPr>
        <w:t>using the best available information</w:t>
      </w:r>
      <w:r w:rsidR="00D038D4" w:rsidRPr="00472578">
        <w:rPr>
          <w:rStyle w:val="FootnoteReference"/>
        </w:rPr>
        <w:footnoteReference w:id="1195"/>
      </w:r>
      <w:r w:rsidR="00D038D4" w:rsidRPr="00472578">
        <w:t>, and</w:t>
      </w:r>
    </w:p>
    <w:p w14:paraId="4A45B2F7" w14:textId="7B2DE6E0" w:rsidR="00D038D4" w:rsidRPr="00472578" w:rsidRDefault="00315C68" w:rsidP="00E92686">
      <w:pPr>
        <w:widowControl w:val="0"/>
        <w:tabs>
          <w:tab w:val="left" w:pos="867"/>
        </w:tabs>
        <w:autoSpaceDE w:val="0"/>
        <w:autoSpaceDN w:val="0"/>
        <w:ind w:left="567" w:hanging="567"/>
        <w:jc w:val="both"/>
      </w:pPr>
      <w:r w:rsidRPr="00472578">
        <w:t>(6)</w:t>
      </w:r>
      <w:r w:rsidRPr="00472578">
        <w:tab/>
      </w:r>
      <w:r w:rsidR="00D038D4" w:rsidRPr="00472578">
        <w:t>any other exacerbating factors.</w:t>
      </w:r>
    </w:p>
    <w:p w14:paraId="73CF5920" w14:textId="22B7145F"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 xml:space="preserve">P2 – </w:t>
      </w:r>
      <w:r w:rsidRPr="00472578">
        <w:rPr>
          <w:i/>
        </w:rPr>
        <w:t xml:space="preserve">Risk </w:t>
      </w:r>
      <w:r w:rsidRPr="00472578">
        <w:t>assessments</w:t>
      </w:r>
    </w:p>
    <w:p w14:paraId="749B17D5" w14:textId="77777777" w:rsidR="00D038D4" w:rsidRPr="00472578" w:rsidRDefault="00D038D4" w:rsidP="00E92686">
      <w:pPr>
        <w:pStyle w:val="BodyText"/>
      </w:pPr>
      <w:r w:rsidRPr="00472578">
        <w:rPr>
          <w:u w:val="single"/>
        </w:rPr>
        <w:t>Within areas identified under HAZ-NH-P1 as being subject to natural hazards,</w:t>
      </w:r>
      <w:r w:rsidRPr="00472578">
        <w:t xml:space="preserve"> </w:t>
      </w:r>
      <w:r w:rsidRPr="00472578">
        <w:rPr>
          <w:strike/>
          <w:u w:val="single"/>
        </w:rPr>
        <w:t>A</w:t>
      </w:r>
      <w:r w:rsidRPr="00472578">
        <w:rPr>
          <w:u w:val="single"/>
        </w:rPr>
        <w:t>assess</w:t>
      </w:r>
      <w:r w:rsidRPr="00472578">
        <w:rPr>
          <w:rStyle w:val="FootnoteReference"/>
        </w:rPr>
        <w:footnoteReference w:id="1196"/>
      </w:r>
      <w:r w:rsidRPr="00472578">
        <w:t xml:space="preserve"> </w:t>
      </w:r>
      <w:r w:rsidRPr="00472578">
        <w:rPr>
          <w:strike/>
        </w:rPr>
        <w:t>the level of</w:t>
      </w:r>
      <w:r w:rsidRPr="00472578">
        <w:rPr>
          <w:rStyle w:val="FootnoteReference"/>
        </w:rPr>
        <w:footnoteReference w:id="1197"/>
      </w:r>
      <w:r w:rsidRPr="00472578">
        <w:rPr>
          <w:i/>
        </w:rPr>
        <w:t xml:space="preserve"> natural hazard risk </w:t>
      </w:r>
      <w:r w:rsidRPr="00472578">
        <w:t xml:space="preserve">by determining a range of </w:t>
      </w:r>
      <w:r w:rsidRPr="00472578">
        <w:rPr>
          <w:i/>
        </w:rPr>
        <w:t xml:space="preserve">natural hazard </w:t>
      </w:r>
      <w:r w:rsidRPr="00472578">
        <w:t>event scenarios and their potential consequences in accordance with the criteria set out within APP6.</w:t>
      </w:r>
    </w:p>
    <w:p w14:paraId="5C0B1464" w14:textId="4F33F1D3" w:rsidR="00D038D4" w:rsidRPr="00472578" w:rsidRDefault="00D038D4" w:rsidP="00E92686">
      <w:pPr>
        <w:pStyle w:val="Heading5"/>
        <w:jc w:val="both"/>
      </w:pPr>
      <w:r w:rsidRPr="00472578">
        <w:lastRenderedPageBreak/>
        <w:t>HAZ</w:t>
      </w:r>
      <w:r w:rsidR="00893DC6" w:rsidRPr="00472578">
        <w:t>-</w:t>
      </w:r>
      <w:r w:rsidRPr="00472578">
        <w:t>NH</w:t>
      </w:r>
      <w:r w:rsidR="00893DC6" w:rsidRPr="00472578">
        <w:t>-</w:t>
      </w:r>
      <w:r w:rsidRPr="00472578">
        <w:t>P3 – New activities</w:t>
      </w:r>
    </w:p>
    <w:p w14:paraId="301A313F" w14:textId="0DB560E6" w:rsidR="00D038D4" w:rsidRPr="00472578" w:rsidRDefault="00D038D4" w:rsidP="00E92686">
      <w:pPr>
        <w:pStyle w:val="BodyText"/>
      </w:pPr>
      <w:r w:rsidRPr="00472578">
        <w:t xml:space="preserve">Once the level of </w:t>
      </w:r>
      <w:r w:rsidRPr="00472578">
        <w:rPr>
          <w:i/>
        </w:rPr>
        <w:t xml:space="preserve">natural hazard risk </w:t>
      </w:r>
      <w:r w:rsidRPr="00472578">
        <w:t>associated with an activity has been determined in accordance with HAZ</w:t>
      </w:r>
      <w:r w:rsidR="00893DC6" w:rsidRPr="00472578">
        <w:t>-</w:t>
      </w:r>
      <w:r w:rsidRPr="00472578">
        <w:t>NH</w:t>
      </w:r>
      <w:r w:rsidR="00893DC6" w:rsidRPr="00472578">
        <w:t>-</w:t>
      </w:r>
      <w:r w:rsidRPr="00472578">
        <w:t>P2, manage new activities to achieve the following outcomes:</w:t>
      </w:r>
    </w:p>
    <w:p w14:paraId="77E00D75" w14:textId="76A46F0C" w:rsidR="00D038D4" w:rsidRPr="00472578" w:rsidRDefault="00766720" w:rsidP="00E92686">
      <w:pPr>
        <w:widowControl w:val="0"/>
        <w:tabs>
          <w:tab w:val="left" w:pos="867"/>
        </w:tabs>
        <w:autoSpaceDE w:val="0"/>
        <w:autoSpaceDN w:val="0"/>
        <w:ind w:left="567" w:hanging="567"/>
        <w:jc w:val="both"/>
      </w:pPr>
      <w:r w:rsidRPr="00472578">
        <w:t>(1)</w:t>
      </w:r>
      <w:r w:rsidRPr="00472578">
        <w:tab/>
      </w:r>
      <w:r w:rsidR="00D038D4" w:rsidRPr="00472578">
        <w:t xml:space="preserve">when the </w:t>
      </w:r>
      <w:r w:rsidR="00D038D4" w:rsidRPr="00472578">
        <w:rPr>
          <w:i/>
        </w:rPr>
        <w:t xml:space="preserve">natural hazard risk </w:t>
      </w:r>
      <w:r w:rsidR="00D038D4" w:rsidRPr="00472578">
        <w:t>is significant, the activity is avoided,</w:t>
      </w:r>
    </w:p>
    <w:p w14:paraId="69713DF5" w14:textId="532B9A18" w:rsidR="00D038D4" w:rsidRPr="00472578" w:rsidRDefault="00766720" w:rsidP="00E92686">
      <w:pPr>
        <w:widowControl w:val="0"/>
        <w:tabs>
          <w:tab w:val="left" w:pos="867"/>
        </w:tabs>
        <w:autoSpaceDE w:val="0"/>
        <w:autoSpaceDN w:val="0"/>
        <w:ind w:left="567" w:right="117" w:hanging="567"/>
        <w:jc w:val="both"/>
      </w:pPr>
      <w:r w:rsidRPr="00472578">
        <w:t>(2)</w:t>
      </w:r>
      <w:r w:rsidRPr="00472578">
        <w:tab/>
      </w:r>
      <w:r w:rsidR="00D038D4" w:rsidRPr="00472578">
        <w:t xml:space="preserve">when the </w:t>
      </w:r>
      <w:r w:rsidR="00D038D4" w:rsidRPr="00472578">
        <w:rPr>
          <w:i/>
        </w:rPr>
        <w:t xml:space="preserve">natural hazard risk </w:t>
      </w:r>
      <w:r w:rsidR="00D038D4" w:rsidRPr="00472578">
        <w:t xml:space="preserve">is tolerable, manage the level of </w:t>
      </w:r>
      <w:r w:rsidR="00D038D4" w:rsidRPr="00472578">
        <w:rPr>
          <w:i/>
        </w:rPr>
        <w:t xml:space="preserve">risk </w:t>
      </w:r>
      <w:r w:rsidR="00D038D4" w:rsidRPr="00472578">
        <w:t xml:space="preserve">so that it does not </w:t>
      </w:r>
      <w:r w:rsidR="00DE73D9" w:rsidRPr="00472578">
        <w:rPr>
          <w:strike/>
        </w:rPr>
        <w:t>become significant</w:t>
      </w:r>
      <w:r w:rsidR="00D038D4" w:rsidRPr="00472578">
        <w:t xml:space="preserve"> </w:t>
      </w:r>
      <w:r w:rsidR="00D038D4" w:rsidRPr="00472578">
        <w:rPr>
          <w:u w:val="single"/>
        </w:rPr>
        <w:t>exceed tolerable</w:t>
      </w:r>
      <w:r w:rsidR="00D038D4" w:rsidRPr="00472578">
        <w:rPr>
          <w:rStyle w:val="FootnoteReference"/>
        </w:rPr>
        <w:footnoteReference w:id="1198"/>
      </w:r>
      <w:r w:rsidR="00D038D4" w:rsidRPr="00472578">
        <w:t>, and</w:t>
      </w:r>
    </w:p>
    <w:p w14:paraId="3862D4F8" w14:textId="0CD56390" w:rsidR="00D038D4" w:rsidRPr="00472578" w:rsidRDefault="00766720" w:rsidP="004E4B6B">
      <w:pPr>
        <w:ind w:left="567" w:hanging="567"/>
      </w:pPr>
      <w:r w:rsidRPr="00472578">
        <w:t>(3)</w:t>
      </w:r>
      <w:r w:rsidRPr="00472578">
        <w:tab/>
      </w:r>
      <w:r w:rsidR="00D038D4" w:rsidRPr="00472578">
        <w:t xml:space="preserve">when the </w:t>
      </w:r>
      <w:r w:rsidR="00D038D4" w:rsidRPr="00472578">
        <w:rPr>
          <w:i/>
        </w:rPr>
        <w:t xml:space="preserve">natural hazard risk </w:t>
      </w:r>
      <w:r w:rsidR="00D038D4" w:rsidRPr="00472578">
        <w:t xml:space="preserve">is acceptable, </w:t>
      </w:r>
      <w:bookmarkStart w:id="273" w:name="_Hlk96007593"/>
      <w:r w:rsidR="00D038D4" w:rsidRPr="00472578">
        <w:t xml:space="preserve">maintain the level of </w:t>
      </w:r>
      <w:r w:rsidR="00D038D4" w:rsidRPr="00472578">
        <w:rPr>
          <w:i/>
        </w:rPr>
        <w:t>risk</w:t>
      </w:r>
      <w:bookmarkEnd w:id="273"/>
      <w:r w:rsidR="00537EDB">
        <w:rPr>
          <w:i/>
        </w:rPr>
        <w:t xml:space="preserve"> </w:t>
      </w:r>
      <w:r w:rsidR="00537EDB">
        <w:rPr>
          <w:i/>
          <w:u w:val="single"/>
        </w:rPr>
        <w:t>(in relation to natural hazards)</w:t>
      </w:r>
      <w:r w:rsidR="00D038D4" w:rsidRPr="00472578">
        <w:t>.</w:t>
      </w:r>
      <w:r w:rsidR="004E4B6B" w:rsidRPr="00181614">
        <w:rPr>
          <w:sz w:val="20"/>
          <w:szCs w:val="20"/>
          <w:vertAlign w:val="superscript"/>
        </w:rPr>
        <w:footnoteReference w:id="1199"/>
      </w:r>
    </w:p>
    <w:p w14:paraId="4E46ABE3" w14:textId="3F3969F5"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P4 – Existing activities</w:t>
      </w:r>
    </w:p>
    <w:p w14:paraId="083D0639" w14:textId="77777777" w:rsidR="00D038D4" w:rsidRPr="00472578" w:rsidRDefault="00D038D4" w:rsidP="00E92686">
      <w:pPr>
        <w:ind w:left="567" w:hanging="567"/>
        <w:jc w:val="both"/>
      </w:pPr>
      <w:r w:rsidRPr="00472578">
        <w:t xml:space="preserve">Reduce existing </w:t>
      </w:r>
      <w:r w:rsidRPr="00472578">
        <w:rPr>
          <w:i/>
        </w:rPr>
        <w:t xml:space="preserve">natural hazard risk </w:t>
      </w:r>
      <w:r w:rsidRPr="00472578">
        <w:rPr>
          <w:iCs/>
          <w:u w:val="single"/>
        </w:rPr>
        <w:t>to a tolerable or acceptable level</w:t>
      </w:r>
      <w:r w:rsidRPr="00472578">
        <w:rPr>
          <w:rStyle w:val="FootnoteReference"/>
          <w:iCs/>
        </w:rPr>
        <w:footnoteReference w:id="1200"/>
      </w:r>
      <w:r w:rsidRPr="00472578">
        <w:rPr>
          <w:i/>
        </w:rPr>
        <w:t xml:space="preserve"> </w:t>
      </w:r>
      <w:r w:rsidRPr="00472578">
        <w:t>by:</w:t>
      </w:r>
    </w:p>
    <w:p w14:paraId="28247B9F" w14:textId="666B15D8" w:rsidR="00D038D4" w:rsidRPr="00472578" w:rsidRDefault="00E76710" w:rsidP="00E92686">
      <w:pPr>
        <w:widowControl w:val="0"/>
        <w:tabs>
          <w:tab w:val="left" w:pos="867"/>
        </w:tabs>
        <w:autoSpaceDE w:val="0"/>
        <w:autoSpaceDN w:val="0"/>
        <w:ind w:left="567" w:hanging="567"/>
        <w:jc w:val="both"/>
      </w:pPr>
      <w:r w:rsidRPr="00472578">
        <w:t>(1)</w:t>
      </w:r>
      <w:r w:rsidRPr="00472578">
        <w:tab/>
      </w:r>
      <w:r w:rsidR="00D038D4" w:rsidRPr="00472578">
        <w:t xml:space="preserve">encouraging activities that reduce </w:t>
      </w:r>
      <w:r w:rsidR="00D038D4" w:rsidRPr="00472578">
        <w:rPr>
          <w:i/>
        </w:rPr>
        <w:t>risk</w:t>
      </w:r>
      <w:r w:rsidR="00F26E4F">
        <w:rPr>
          <w:i/>
        </w:rPr>
        <w:t xml:space="preserve"> </w:t>
      </w:r>
      <w:r w:rsidR="00F26E4F">
        <w:rPr>
          <w:i/>
          <w:u w:val="single"/>
        </w:rPr>
        <w:t>(in relation to natural hazards)</w:t>
      </w:r>
      <w:r w:rsidR="00F26E4F">
        <w:t>,</w:t>
      </w:r>
      <w:r w:rsidR="00F26E4F" w:rsidRPr="00181614">
        <w:rPr>
          <w:sz w:val="20"/>
          <w:szCs w:val="20"/>
          <w:vertAlign w:val="superscript"/>
        </w:rPr>
        <w:footnoteReference w:id="1201"/>
      </w:r>
      <w:r w:rsidR="00D038D4" w:rsidRPr="00472578">
        <w:t xml:space="preserve"> or reduce community vulnerability,</w:t>
      </w:r>
    </w:p>
    <w:p w14:paraId="1AA73E1C" w14:textId="598B13DD" w:rsidR="00D038D4" w:rsidRPr="00472578" w:rsidRDefault="00E76710" w:rsidP="00E92686">
      <w:pPr>
        <w:widowControl w:val="0"/>
        <w:tabs>
          <w:tab w:val="left" w:pos="867"/>
        </w:tabs>
        <w:autoSpaceDE w:val="0"/>
        <w:autoSpaceDN w:val="0"/>
        <w:ind w:left="567" w:hanging="567"/>
        <w:jc w:val="both"/>
        <w:rPr>
          <w:strike/>
        </w:rPr>
      </w:pPr>
      <w:r w:rsidRPr="00472578">
        <w:rPr>
          <w:strike/>
        </w:rPr>
        <w:t>(2)</w:t>
      </w:r>
      <w:r w:rsidRPr="00472578">
        <w:rPr>
          <w:strike/>
        </w:rPr>
        <w:tab/>
      </w:r>
      <w:r w:rsidR="00D038D4" w:rsidRPr="00472578">
        <w:rPr>
          <w:strike/>
        </w:rPr>
        <w:t xml:space="preserve">restricting activities that increase </w:t>
      </w:r>
      <w:r w:rsidR="00D038D4" w:rsidRPr="00472578">
        <w:rPr>
          <w:i/>
          <w:strike/>
        </w:rPr>
        <w:t>risk</w:t>
      </w:r>
      <w:r w:rsidR="00D038D4" w:rsidRPr="00472578">
        <w:rPr>
          <w:strike/>
        </w:rPr>
        <w:t>, or increase community vulnerability,</w:t>
      </w:r>
      <w:r w:rsidR="00D038D4" w:rsidRPr="00472578">
        <w:rPr>
          <w:rStyle w:val="FootnoteReference"/>
        </w:rPr>
        <w:footnoteReference w:id="1202"/>
      </w:r>
    </w:p>
    <w:p w14:paraId="1D066641" w14:textId="03B1E20C" w:rsidR="00D038D4" w:rsidRPr="00472578" w:rsidRDefault="00E76710" w:rsidP="00E92686">
      <w:pPr>
        <w:widowControl w:val="0"/>
        <w:tabs>
          <w:tab w:val="left" w:pos="867"/>
        </w:tabs>
        <w:autoSpaceDE w:val="0"/>
        <w:autoSpaceDN w:val="0"/>
        <w:ind w:left="567" w:hanging="567"/>
        <w:jc w:val="both"/>
      </w:pPr>
      <w:r w:rsidRPr="00472578">
        <w:t>(3)</w:t>
      </w:r>
      <w:r w:rsidRPr="00472578">
        <w:tab/>
      </w:r>
      <w:r w:rsidR="00D038D4" w:rsidRPr="00472578">
        <w:t xml:space="preserve">managing existing </w:t>
      </w:r>
      <w:bookmarkStart w:id="275" w:name="_Hlk95388073"/>
      <w:r w:rsidR="00D038D4" w:rsidRPr="00472578">
        <w:rPr>
          <w:i/>
          <w:strike/>
        </w:rPr>
        <w:t xml:space="preserve">land </w:t>
      </w:r>
      <w:r w:rsidR="00D038D4" w:rsidRPr="00472578">
        <w:rPr>
          <w:strike/>
        </w:rPr>
        <w:t>uses</w:t>
      </w:r>
      <w:r w:rsidR="00D038D4" w:rsidRPr="00472578">
        <w:t xml:space="preserve"> </w:t>
      </w:r>
      <w:r w:rsidR="00D038D4" w:rsidRPr="00472578">
        <w:rPr>
          <w:u w:val="single"/>
        </w:rPr>
        <w:t>activities</w:t>
      </w:r>
      <w:r w:rsidR="00D038D4" w:rsidRPr="00472578">
        <w:rPr>
          <w:rStyle w:val="FootnoteReference"/>
        </w:rPr>
        <w:footnoteReference w:id="1203"/>
      </w:r>
      <w:r w:rsidR="00D038D4" w:rsidRPr="00472578">
        <w:t xml:space="preserve"> </w:t>
      </w:r>
      <w:bookmarkEnd w:id="275"/>
      <w:r w:rsidR="00D038D4" w:rsidRPr="00472578">
        <w:t xml:space="preserve">within areas of significant </w:t>
      </w:r>
      <w:r w:rsidR="00D038D4" w:rsidRPr="00472578">
        <w:rPr>
          <w:i/>
        </w:rPr>
        <w:t>risk</w:t>
      </w:r>
      <w:r w:rsidR="00F26E4F">
        <w:rPr>
          <w:i/>
        </w:rPr>
        <w:t xml:space="preserve"> </w:t>
      </w:r>
      <w:r w:rsidR="00F26E4F">
        <w:rPr>
          <w:i/>
          <w:u w:val="single"/>
        </w:rPr>
        <w:t>(in relation to natural hazards)</w:t>
      </w:r>
      <w:r w:rsidR="00F26E4F" w:rsidRPr="00181614">
        <w:rPr>
          <w:sz w:val="20"/>
          <w:szCs w:val="20"/>
          <w:vertAlign w:val="superscript"/>
        </w:rPr>
        <w:footnoteReference w:id="1204"/>
      </w:r>
      <w:r w:rsidR="00D038D4" w:rsidRPr="00472578">
        <w:rPr>
          <w:i/>
        </w:rPr>
        <w:t xml:space="preserve"> </w:t>
      </w:r>
      <w:r w:rsidR="00D038D4" w:rsidRPr="00472578">
        <w:t>to people</w:t>
      </w:r>
      <w:r w:rsidR="00F22755" w:rsidRPr="00472578">
        <w:rPr>
          <w:u w:val="single"/>
        </w:rPr>
        <w:t>,</w:t>
      </w:r>
      <w:r w:rsidR="00D038D4" w:rsidRPr="00472578">
        <w:rPr>
          <w:u w:val="single"/>
        </w:rPr>
        <w:t xml:space="preserve"> </w:t>
      </w:r>
      <w:r w:rsidR="00D038D4" w:rsidRPr="00472578">
        <w:rPr>
          <w:strike/>
        </w:rPr>
        <w:t>and</w:t>
      </w:r>
      <w:r w:rsidR="00D038D4" w:rsidRPr="00472578">
        <w:t xml:space="preserve"> communities </w:t>
      </w:r>
      <w:r w:rsidR="00D038D4" w:rsidRPr="00472578">
        <w:rPr>
          <w:u w:val="single"/>
        </w:rPr>
        <w:t>and property</w:t>
      </w:r>
      <w:r w:rsidR="00D038D4" w:rsidRPr="00472578">
        <w:t>,</w:t>
      </w:r>
      <w:r w:rsidR="00D038D4" w:rsidRPr="00472578">
        <w:rPr>
          <w:rStyle w:val="FootnoteReference"/>
        </w:rPr>
        <w:footnoteReference w:id="1205"/>
      </w:r>
    </w:p>
    <w:p w14:paraId="198D9A4A" w14:textId="2C17C33C" w:rsidR="00D038D4" w:rsidRPr="00472578" w:rsidRDefault="00E76710" w:rsidP="00E92686">
      <w:pPr>
        <w:widowControl w:val="0"/>
        <w:tabs>
          <w:tab w:val="left" w:pos="867"/>
        </w:tabs>
        <w:autoSpaceDE w:val="0"/>
        <w:autoSpaceDN w:val="0"/>
        <w:ind w:left="567" w:hanging="567"/>
        <w:jc w:val="both"/>
      </w:pPr>
      <w:r w:rsidRPr="00472578">
        <w:t>(4)</w:t>
      </w:r>
      <w:r w:rsidRPr="00472578">
        <w:tab/>
      </w:r>
      <w:r w:rsidR="00D038D4" w:rsidRPr="00472578">
        <w:t>encouraging design that facilitates:</w:t>
      </w:r>
    </w:p>
    <w:p w14:paraId="6864D814" w14:textId="2A23D348" w:rsidR="00D038D4" w:rsidRPr="00472578" w:rsidRDefault="00E76710" w:rsidP="00E92686">
      <w:pPr>
        <w:widowControl w:val="0"/>
        <w:tabs>
          <w:tab w:val="left" w:pos="1433"/>
        </w:tabs>
        <w:autoSpaceDE w:val="0"/>
        <w:autoSpaceDN w:val="0"/>
        <w:ind w:left="1134" w:hanging="567"/>
        <w:jc w:val="both"/>
        <w:rPr>
          <w:strike/>
        </w:rPr>
      </w:pPr>
      <w:r w:rsidRPr="00472578">
        <w:rPr>
          <w:strike/>
        </w:rPr>
        <w:t>(</w:t>
      </w:r>
      <w:r w:rsidR="00361139" w:rsidRPr="00472578">
        <w:rPr>
          <w:strike/>
        </w:rPr>
        <w:t>a</w:t>
      </w:r>
      <w:r w:rsidRPr="00472578">
        <w:rPr>
          <w:strike/>
        </w:rPr>
        <w:t>)</w:t>
      </w:r>
      <w:r w:rsidRPr="00472578">
        <w:rPr>
          <w:strike/>
        </w:rPr>
        <w:tab/>
      </w:r>
      <w:r w:rsidR="00D038D4" w:rsidRPr="00472578">
        <w:rPr>
          <w:strike/>
        </w:rPr>
        <w:t xml:space="preserve">recovery from </w:t>
      </w:r>
      <w:r w:rsidR="00D038D4" w:rsidRPr="00472578">
        <w:rPr>
          <w:i/>
          <w:strike/>
        </w:rPr>
        <w:t xml:space="preserve">natural hazard </w:t>
      </w:r>
      <w:r w:rsidR="00D038D4" w:rsidRPr="00472578">
        <w:rPr>
          <w:strike/>
        </w:rPr>
        <w:t>events, or</w:t>
      </w:r>
      <w:r w:rsidR="00E13D69" w:rsidRPr="00472578">
        <w:rPr>
          <w:rStyle w:val="FootnoteReference"/>
        </w:rPr>
        <w:footnoteReference w:id="1206"/>
      </w:r>
    </w:p>
    <w:p w14:paraId="7FC2773D" w14:textId="62F5372F" w:rsidR="00D038D4" w:rsidRPr="00472578" w:rsidRDefault="00E76710" w:rsidP="00E92686">
      <w:pPr>
        <w:widowControl w:val="0"/>
        <w:tabs>
          <w:tab w:val="left" w:pos="1433"/>
        </w:tabs>
        <w:autoSpaceDE w:val="0"/>
        <w:autoSpaceDN w:val="0"/>
        <w:ind w:left="1134" w:hanging="567"/>
        <w:jc w:val="both"/>
      </w:pPr>
      <w:r w:rsidRPr="00472578">
        <w:t>(</w:t>
      </w:r>
      <w:r w:rsidR="00361139" w:rsidRPr="00472578">
        <w:t>b</w:t>
      </w:r>
      <w:r w:rsidRPr="00472578">
        <w:t>)</w:t>
      </w:r>
      <w:r w:rsidRPr="00472578">
        <w:tab/>
      </w:r>
      <w:r w:rsidR="00D038D4" w:rsidRPr="00472578">
        <w:t xml:space="preserve">relocation to areas of acceptable </w:t>
      </w:r>
      <w:r w:rsidR="00D038D4" w:rsidRPr="00472578">
        <w:rPr>
          <w:i/>
        </w:rPr>
        <w:t>risk</w:t>
      </w:r>
      <w:r w:rsidR="00F26E4F">
        <w:rPr>
          <w:i/>
        </w:rPr>
        <w:t xml:space="preserve"> </w:t>
      </w:r>
      <w:r w:rsidR="00F26E4F">
        <w:rPr>
          <w:i/>
          <w:u w:val="single"/>
        </w:rPr>
        <w:t>(in relation to natural hazards)</w:t>
      </w:r>
      <w:r w:rsidR="00F26E4F">
        <w:t>,</w:t>
      </w:r>
      <w:r w:rsidR="00F26E4F" w:rsidRPr="00181614">
        <w:rPr>
          <w:sz w:val="20"/>
          <w:szCs w:val="20"/>
          <w:vertAlign w:val="superscript"/>
        </w:rPr>
        <w:footnoteReference w:id="1207"/>
      </w:r>
      <w:r w:rsidR="00D038D4" w:rsidRPr="00472578">
        <w:t xml:space="preserve"> or</w:t>
      </w:r>
    </w:p>
    <w:p w14:paraId="626568A7" w14:textId="77947CAA" w:rsidR="00D038D4" w:rsidRPr="00472578" w:rsidRDefault="00E76710" w:rsidP="00E92686">
      <w:pPr>
        <w:widowControl w:val="0"/>
        <w:tabs>
          <w:tab w:val="left" w:pos="1433"/>
        </w:tabs>
        <w:autoSpaceDE w:val="0"/>
        <w:autoSpaceDN w:val="0"/>
        <w:ind w:left="1134" w:hanging="567"/>
        <w:jc w:val="both"/>
      </w:pPr>
      <w:r w:rsidRPr="00472578">
        <w:t>(</w:t>
      </w:r>
      <w:r w:rsidR="00361139" w:rsidRPr="00472578">
        <w:t>c</w:t>
      </w:r>
      <w:r w:rsidRPr="00472578">
        <w:t>)</w:t>
      </w:r>
      <w:r w:rsidRPr="00472578">
        <w:tab/>
      </w:r>
      <w:r w:rsidR="00D038D4" w:rsidRPr="00472578">
        <w:t xml:space="preserve">reduction of </w:t>
      </w:r>
      <w:proofErr w:type="gramStart"/>
      <w:r w:rsidR="00D038D4" w:rsidRPr="00472578">
        <w:rPr>
          <w:i/>
        </w:rPr>
        <w:t>risk</w:t>
      </w:r>
      <w:r w:rsidR="00F26E4F">
        <w:rPr>
          <w:i/>
          <w:u w:val="single"/>
        </w:rPr>
        <w:t>(</w:t>
      </w:r>
      <w:proofErr w:type="gramEnd"/>
      <w:r w:rsidR="00F26E4F">
        <w:rPr>
          <w:i/>
          <w:u w:val="single"/>
        </w:rPr>
        <w:t>in relation to natural hazards)</w:t>
      </w:r>
      <w:r w:rsidR="00F26E4F">
        <w:t>,</w:t>
      </w:r>
      <w:r w:rsidR="00F26E4F" w:rsidRPr="00181614">
        <w:rPr>
          <w:sz w:val="20"/>
          <w:szCs w:val="20"/>
          <w:vertAlign w:val="superscript"/>
        </w:rPr>
        <w:footnoteReference w:id="1208"/>
      </w:r>
    </w:p>
    <w:p w14:paraId="676CB47E" w14:textId="025C90EC" w:rsidR="00D038D4" w:rsidRPr="00472578" w:rsidRDefault="00E76710" w:rsidP="00E92686">
      <w:pPr>
        <w:widowControl w:val="0"/>
        <w:tabs>
          <w:tab w:val="left" w:pos="867"/>
        </w:tabs>
        <w:autoSpaceDE w:val="0"/>
        <w:autoSpaceDN w:val="0"/>
        <w:ind w:left="567" w:right="117" w:hanging="567"/>
        <w:jc w:val="both"/>
      </w:pPr>
      <w:r w:rsidRPr="00472578">
        <w:t>(</w:t>
      </w:r>
      <w:r w:rsidR="00361139" w:rsidRPr="00472578">
        <w:t>5</w:t>
      </w:r>
      <w:r w:rsidRPr="00472578">
        <w:t>)</w:t>
      </w:r>
      <w:r w:rsidRPr="00472578">
        <w:tab/>
      </w:r>
      <w:r w:rsidR="00D038D4" w:rsidRPr="00472578">
        <w:t xml:space="preserve">relocating </w:t>
      </w:r>
      <w:r w:rsidR="00D038D4" w:rsidRPr="00472578">
        <w:rPr>
          <w:i/>
        </w:rPr>
        <w:t>lifeline utilities</w:t>
      </w:r>
      <w:r w:rsidR="00D038D4" w:rsidRPr="00472578">
        <w:t xml:space="preserve">, and facilities for essential and emergency services, away from areas of significant </w:t>
      </w:r>
      <w:r w:rsidR="00D038D4" w:rsidRPr="00472578">
        <w:rPr>
          <w:i/>
        </w:rPr>
        <w:t>risk</w:t>
      </w:r>
      <w:r w:rsidR="00F26E4F">
        <w:rPr>
          <w:i/>
        </w:rPr>
        <w:t xml:space="preserve"> </w:t>
      </w:r>
      <w:r w:rsidR="00F26E4F">
        <w:rPr>
          <w:i/>
          <w:u w:val="single"/>
        </w:rPr>
        <w:t>(in relation to natural hazards)</w:t>
      </w:r>
      <w:r w:rsidR="00F26E4F">
        <w:t>,</w:t>
      </w:r>
      <w:r w:rsidR="00F26E4F" w:rsidRPr="00181614">
        <w:rPr>
          <w:sz w:val="20"/>
          <w:szCs w:val="20"/>
          <w:vertAlign w:val="superscript"/>
        </w:rPr>
        <w:footnoteReference w:id="1209"/>
      </w:r>
      <w:r w:rsidR="00D038D4" w:rsidRPr="00472578">
        <w:t xml:space="preserve"> where appropriate and practicable, and</w:t>
      </w:r>
    </w:p>
    <w:p w14:paraId="50554035" w14:textId="785E9580" w:rsidR="00D038D4" w:rsidRPr="00472578" w:rsidRDefault="00E76710" w:rsidP="00E92686">
      <w:pPr>
        <w:widowControl w:val="0"/>
        <w:tabs>
          <w:tab w:val="left" w:pos="867"/>
        </w:tabs>
        <w:autoSpaceDE w:val="0"/>
        <w:autoSpaceDN w:val="0"/>
        <w:ind w:left="567" w:right="117" w:hanging="567"/>
        <w:jc w:val="both"/>
      </w:pPr>
      <w:r w:rsidRPr="00472578">
        <w:t>(</w:t>
      </w:r>
      <w:r w:rsidR="00361139" w:rsidRPr="00472578">
        <w:t>6</w:t>
      </w:r>
      <w:r w:rsidRPr="00472578">
        <w:t>)</w:t>
      </w:r>
      <w:r w:rsidRPr="00472578">
        <w:tab/>
      </w:r>
      <w:r w:rsidR="00D038D4" w:rsidRPr="00472578">
        <w:t xml:space="preserve">enabling development, upgrade, maintenance and operation of </w:t>
      </w:r>
      <w:r w:rsidR="00D038D4" w:rsidRPr="00472578">
        <w:rPr>
          <w:i/>
        </w:rPr>
        <w:t xml:space="preserve">lifeline utilities </w:t>
      </w:r>
      <w:r w:rsidR="00D038D4" w:rsidRPr="00472578">
        <w:t>and facilities for essential and emergency services.</w:t>
      </w:r>
    </w:p>
    <w:p w14:paraId="49CA3695" w14:textId="32CE2C2C" w:rsidR="00D038D4" w:rsidRPr="00472578" w:rsidRDefault="00D038D4" w:rsidP="00E92686">
      <w:pPr>
        <w:pStyle w:val="Heading5"/>
        <w:jc w:val="both"/>
        <w:rPr>
          <w:i/>
        </w:rPr>
      </w:pPr>
      <w:r w:rsidRPr="00472578">
        <w:t>HAZ</w:t>
      </w:r>
      <w:r w:rsidR="00893DC6" w:rsidRPr="00472578">
        <w:t>-</w:t>
      </w:r>
      <w:r w:rsidRPr="00472578">
        <w:t>NH</w:t>
      </w:r>
      <w:r w:rsidR="00893DC6" w:rsidRPr="00472578">
        <w:t>-</w:t>
      </w:r>
      <w:r w:rsidRPr="00472578">
        <w:t xml:space="preserve">P5 – Precautionary approach to </w:t>
      </w:r>
      <w:r w:rsidRPr="00472578">
        <w:rPr>
          <w:i/>
        </w:rPr>
        <w:t>natural hazard risk</w:t>
      </w:r>
    </w:p>
    <w:p w14:paraId="6D9CC9DE" w14:textId="59EC5D87" w:rsidR="00D038D4" w:rsidRPr="00472578" w:rsidRDefault="00D038D4" w:rsidP="00E92686">
      <w:pPr>
        <w:pStyle w:val="BodyText"/>
      </w:pPr>
      <w:r w:rsidRPr="00472578">
        <w:t xml:space="preserve">Where the </w:t>
      </w:r>
      <w:r w:rsidRPr="00472578">
        <w:rPr>
          <w:i/>
        </w:rPr>
        <w:t>natural hazard risk</w:t>
      </w:r>
      <w:r w:rsidRPr="00472578">
        <w:rPr>
          <w:i/>
          <w:strike/>
        </w:rPr>
        <w:t>,</w:t>
      </w:r>
      <w:r w:rsidRPr="00F26E4F">
        <w:rPr>
          <w:i/>
        </w:rPr>
        <w:t xml:space="preserve"> </w:t>
      </w:r>
      <w:bookmarkStart w:id="276" w:name="_Hlk95673094"/>
      <w:r w:rsidRPr="00472578">
        <w:t>either individually or cumulatively</w:t>
      </w:r>
      <w:bookmarkEnd w:id="276"/>
      <w:r w:rsidRPr="00472578">
        <w:t xml:space="preserve">, is uncertain or unknown, but potentially significant or irreversible, apply a precautionary approach to identifying, </w:t>
      </w:r>
      <w:proofErr w:type="gramStart"/>
      <w:r w:rsidRPr="00472578">
        <w:t>assessing</w:t>
      </w:r>
      <w:proofErr w:type="gramEnd"/>
      <w:r w:rsidRPr="00472578">
        <w:t xml:space="preserve"> and </w:t>
      </w:r>
      <w:r w:rsidRPr="00472578">
        <w:lastRenderedPageBreak/>
        <w:t xml:space="preserve">managing that </w:t>
      </w:r>
      <w:r w:rsidRPr="00472578">
        <w:rPr>
          <w:i/>
        </w:rPr>
        <w:t xml:space="preserve">risk </w:t>
      </w:r>
      <w:r w:rsidR="00F26E4F">
        <w:rPr>
          <w:i/>
          <w:u w:val="single"/>
        </w:rPr>
        <w:t>(in relation to natural hazards)</w:t>
      </w:r>
      <w:r w:rsidR="00F26E4F" w:rsidRPr="00181614">
        <w:rPr>
          <w:sz w:val="20"/>
          <w:szCs w:val="20"/>
          <w:vertAlign w:val="superscript"/>
        </w:rPr>
        <w:footnoteReference w:id="1210"/>
      </w:r>
      <w:r w:rsidR="00F26E4F" w:rsidRPr="00472578">
        <w:t xml:space="preserve"> </w:t>
      </w:r>
      <w:r w:rsidRPr="00472578">
        <w:t xml:space="preserve">by adopting an avoidance or adaptive management </w:t>
      </w:r>
      <w:bookmarkStart w:id="277" w:name="_Hlk95673106"/>
      <w:r w:rsidRPr="00472578">
        <w:t>response</w:t>
      </w:r>
      <w:r w:rsidRPr="00472578">
        <w:rPr>
          <w:strike/>
        </w:rPr>
        <w:t xml:space="preserve"> to diminish the </w:t>
      </w:r>
      <w:r w:rsidRPr="00472578">
        <w:rPr>
          <w:i/>
          <w:strike/>
        </w:rPr>
        <w:t xml:space="preserve">risk </w:t>
      </w:r>
      <w:r w:rsidRPr="00472578">
        <w:rPr>
          <w:strike/>
        </w:rPr>
        <w:t>and uncertainty</w:t>
      </w:r>
      <w:bookmarkEnd w:id="277"/>
      <w:r w:rsidRPr="00472578">
        <w:t>.</w:t>
      </w:r>
      <w:r w:rsidRPr="00472578">
        <w:rPr>
          <w:rStyle w:val="FootnoteReference"/>
        </w:rPr>
        <w:footnoteReference w:id="1211"/>
      </w:r>
    </w:p>
    <w:p w14:paraId="1EDB35CE" w14:textId="3F260E71"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P6 – Protecting features and systems that provide hazard mitigation</w:t>
      </w:r>
    </w:p>
    <w:p w14:paraId="5AABF182" w14:textId="77777777" w:rsidR="00D038D4" w:rsidRPr="00472578" w:rsidRDefault="00D038D4" w:rsidP="00E92686">
      <w:pPr>
        <w:spacing w:before="180" w:line="254" w:lineRule="auto"/>
        <w:ind w:right="114"/>
        <w:jc w:val="both"/>
        <w:rPr>
          <w:i/>
        </w:rPr>
      </w:pPr>
      <w:r w:rsidRPr="00472578">
        <w:t xml:space="preserve">Protect natural or modified features and systems that contribute to mitigating the </w:t>
      </w:r>
      <w:r w:rsidRPr="00472578">
        <w:rPr>
          <w:i/>
        </w:rPr>
        <w:t xml:space="preserve">effects </w:t>
      </w:r>
      <w:r w:rsidRPr="00472578">
        <w:t xml:space="preserve">of </w:t>
      </w:r>
      <w:r w:rsidRPr="00472578">
        <w:rPr>
          <w:i/>
        </w:rPr>
        <w:t xml:space="preserve">natural hazards </w:t>
      </w:r>
      <w:r w:rsidRPr="00472578">
        <w:t xml:space="preserve">and </w:t>
      </w:r>
      <w:r w:rsidRPr="00472578">
        <w:rPr>
          <w:i/>
        </w:rPr>
        <w:t>climate change.</w:t>
      </w:r>
    </w:p>
    <w:p w14:paraId="334838A0" w14:textId="7EDC4E86"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 xml:space="preserve">P7 – Mitigating </w:t>
      </w:r>
      <w:r w:rsidRPr="00472578">
        <w:rPr>
          <w:i/>
        </w:rPr>
        <w:t>natural hazards</w:t>
      </w:r>
    </w:p>
    <w:p w14:paraId="74B11DE0" w14:textId="504290DC" w:rsidR="00D038D4" w:rsidRPr="00472578" w:rsidRDefault="00D038D4" w:rsidP="00E92686">
      <w:pPr>
        <w:spacing w:before="178"/>
        <w:ind w:right="97"/>
        <w:jc w:val="both"/>
      </w:pPr>
      <w:r w:rsidRPr="00472578">
        <w:t xml:space="preserve">Prioritise </w:t>
      </w:r>
      <w:r w:rsidRPr="00472578">
        <w:rPr>
          <w:i/>
        </w:rPr>
        <w:t xml:space="preserve">risk </w:t>
      </w:r>
      <w:r w:rsidR="00F26E4F">
        <w:rPr>
          <w:i/>
          <w:u w:val="single"/>
        </w:rPr>
        <w:t>(in relation to natural hazards)</w:t>
      </w:r>
      <w:r w:rsidR="00F26E4F" w:rsidRPr="00181614">
        <w:rPr>
          <w:sz w:val="20"/>
          <w:szCs w:val="20"/>
          <w:vertAlign w:val="superscript"/>
        </w:rPr>
        <w:footnoteReference w:id="1212"/>
      </w:r>
      <w:r w:rsidR="00F26E4F" w:rsidRPr="00472578">
        <w:t xml:space="preserve"> </w:t>
      </w:r>
      <w:r w:rsidRPr="00472578">
        <w:t xml:space="preserve">management approaches that reduce the need for </w:t>
      </w:r>
      <w:r w:rsidRPr="00472578">
        <w:rPr>
          <w:i/>
        </w:rPr>
        <w:t xml:space="preserve">hard protection structures </w:t>
      </w:r>
      <w:r w:rsidRPr="00472578">
        <w:t xml:space="preserve">or similar engineering interventions, and provide for </w:t>
      </w:r>
      <w:r w:rsidRPr="00472578">
        <w:rPr>
          <w:i/>
        </w:rPr>
        <w:t xml:space="preserve">hard protection structures </w:t>
      </w:r>
      <w:r w:rsidRPr="00472578">
        <w:t>only when:</w:t>
      </w:r>
    </w:p>
    <w:p w14:paraId="49D40CB7" w14:textId="54AFC01C" w:rsidR="00D038D4" w:rsidRPr="00472578" w:rsidRDefault="0057347B" w:rsidP="00E92686">
      <w:pPr>
        <w:widowControl w:val="0"/>
        <w:tabs>
          <w:tab w:val="left" w:pos="867"/>
        </w:tabs>
        <w:autoSpaceDE w:val="0"/>
        <w:autoSpaceDN w:val="0"/>
        <w:spacing w:before="161"/>
        <w:ind w:left="567" w:hanging="567"/>
        <w:jc w:val="both"/>
        <w:rPr>
          <w:strike/>
        </w:rPr>
      </w:pPr>
      <w:r w:rsidRPr="00472578">
        <w:rPr>
          <w:iCs/>
          <w:strike/>
        </w:rPr>
        <w:t>(1)</w:t>
      </w:r>
      <w:r w:rsidRPr="00472578">
        <w:rPr>
          <w:iCs/>
          <w:strike/>
        </w:rPr>
        <w:tab/>
      </w:r>
      <w:r w:rsidR="00D038D4" w:rsidRPr="00472578">
        <w:rPr>
          <w:i/>
          <w:strike/>
        </w:rPr>
        <w:t xml:space="preserve">hard protection structures </w:t>
      </w:r>
      <w:r w:rsidR="00D038D4" w:rsidRPr="00472578">
        <w:rPr>
          <w:strike/>
        </w:rPr>
        <w:t xml:space="preserve">are essential to manage </w:t>
      </w:r>
      <w:r w:rsidR="00D038D4" w:rsidRPr="00472578">
        <w:rPr>
          <w:i/>
          <w:strike/>
        </w:rPr>
        <w:t xml:space="preserve">risk </w:t>
      </w:r>
      <w:r w:rsidR="00D038D4" w:rsidRPr="00472578">
        <w:rPr>
          <w:strike/>
        </w:rPr>
        <w:t xml:space="preserve">to a level the community </w:t>
      </w:r>
      <w:proofErr w:type="gramStart"/>
      <w:r w:rsidR="00D038D4" w:rsidRPr="00472578">
        <w:rPr>
          <w:strike/>
        </w:rPr>
        <w:t>is able to</w:t>
      </w:r>
      <w:proofErr w:type="gramEnd"/>
      <w:r w:rsidR="00D038D4" w:rsidRPr="00472578">
        <w:rPr>
          <w:strike/>
        </w:rPr>
        <w:t xml:space="preserve"> tolerate</w:t>
      </w:r>
      <w:r w:rsidR="00E13D69" w:rsidRPr="00472578">
        <w:t>,</w:t>
      </w:r>
      <w:r w:rsidR="00D038D4" w:rsidRPr="00472578">
        <w:rPr>
          <w:rStyle w:val="FootnoteReference"/>
        </w:rPr>
        <w:footnoteReference w:id="1213"/>
      </w:r>
    </w:p>
    <w:p w14:paraId="66F8A983" w14:textId="0760F91B" w:rsidR="00D038D4" w:rsidRPr="00472578" w:rsidRDefault="0057347B" w:rsidP="00E92686">
      <w:pPr>
        <w:widowControl w:val="0"/>
        <w:tabs>
          <w:tab w:val="left" w:pos="867"/>
        </w:tabs>
        <w:autoSpaceDE w:val="0"/>
        <w:autoSpaceDN w:val="0"/>
        <w:spacing w:before="159"/>
        <w:ind w:left="567" w:hanging="567"/>
        <w:jc w:val="both"/>
      </w:pPr>
      <w:r w:rsidRPr="00472578">
        <w:t>(2)</w:t>
      </w:r>
      <w:r w:rsidRPr="00472578">
        <w:tab/>
      </w:r>
      <w:r w:rsidR="00D038D4" w:rsidRPr="00472578">
        <w:t xml:space="preserve">there are no reasonable alternatives that result in reducing the </w:t>
      </w:r>
      <w:r w:rsidR="00D038D4" w:rsidRPr="00472578">
        <w:rPr>
          <w:i/>
        </w:rPr>
        <w:t xml:space="preserve">risk </w:t>
      </w:r>
      <w:r w:rsidR="00F26E4F">
        <w:rPr>
          <w:i/>
          <w:u w:val="single"/>
        </w:rPr>
        <w:t>(in relation to natural hazards)</w:t>
      </w:r>
      <w:r w:rsidR="00F26E4F" w:rsidRPr="00181614">
        <w:rPr>
          <w:sz w:val="20"/>
          <w:szCs w:val="20"/>
          <w:vertAlign w:val="superscript"/>
        </w:rPr>
        <w:footnoteReference w:id="1214"/>
      </w:r>
      <w:r w:rsidR="00F26E4F" w:rsidRPr="00472578">
        <w:t xml:space="preserve"> </w:t>
      </w:r>
      <w:r w:rsidR="00D038D4" w:rsidRPr="00472578">
        <w:t>exposure,</w:t>
      </w:r>
    </w:p>
    <w:p w14:paraId="6C8BE90B" w14:textId="3ABA3E78" w:rsidR="00D038D4" w:rsidRPr="00472578" w:rsidRDefault="0057347B" w:rsidP="00E92686">
      <w:pPr>
        <w:widowControl w:val="0"/>
        <w:tabs>
          <w:tab w:val="left" w:pos="867"/>
        </w:tabs>
        <w:autoSpaceDE w:val="0"/>
        <w:autoSpaceDN w:val="0"/>
        <w:spacing w:before="161"/>
        <w:ind w:left="567" w:right="113" w:hanging="567"/>
        <w:jc w:val="both"/>
      </w:pPr>
      <w:r w:rsidRPr="00472578">
        <w:rPr>
          <w:iCs/>
        </w:rPr>
        <w:t>(3)</w:t>
      </w:r>
      <w:r w:rsidRPr="00472578">
        <w:rPr>
          <w:iCs/>
        </w:rPr>
        <w:tab/>
      </w:r>
      <w:r w:rsidR="00D038D4" w:rsidRPr="00472578">
        <w:rPr>
          <w:i/>
        </w:rPr>
        <w:t xml:space="preserve">hard protection structures </w:t>
      </w:r>
      <w:r w:rsidR="00D038D4" w:rsidRPr="00472578">
        <w:t xml:space="preserve">would not result in an increase in </w:t>
      </w:r>
      <w:r w:rsidR="00D038D4" w:rsidRPr="00472578">
        <w:rPr>
          <w:i/>
        </w:rPr>
        <w:t xml:space="preserve">risk </w:t>
      </w:r>
      <w:r w:rsidR="00F26E4F">
        <w:rPr>
          <w:i/>
          <w:u w:val="single"/>
        </w:rPr>
        <w:t>(in relation to natural hazards)</w:t>
      </w:r>
      <w:r w:rsidR="00F26E4F" w:rsidRPr="00181614">
        <w:rPr>
          <w:sz w:val="20"/>
          <w:szCs w:val="20"/>
          <w:vertAlign w:val="superscript"/>
        </w:rPr>
        <w:footnoteReference w:id="1215"/>
      </w:r>
      <w:r w:rsidR="00F26E4F" w:rsidRPr="00472578">
        <w:t xml:space="preserve"> </w:t>
      </w:r>
      <w:r w:rsidR="00D038D4" w:rsidRPr="00472578">
        <w:t xml:space="preserve">to people, </w:t>
      </w:r>
      <w:proofErr w:type="gramStart"/>
      <w:r w:rsidR="00D038D4" w:rsidRPr="00472578">
        <w:t>communities</w:t>
      </w:r>
      <w:proofErr w:type="gramEnd"/>
      <w:r w:rsidR="00D038D4" w:rsidRPr="00472578">
        <w:t xml:space="preserve"> and property, including displacement of </w:t>
      </w:r>
      <w:r w:rsidR="00D038D4" w:rsidRPr="00472578">
        <w:rPr>
          <w:i/>
        </w:rPr>
        <w:t xml:space="preserve">risk </w:t>
      </w:r>
      <w:r w:rsidR="00F26E4F">
        <w:rPr>
          <w:i/>
          <w:u w:val="single"/>
        </w:rPr>
        <w:t>(in relation to natural hazards)</w:t>
      </w:r>
      <w:r w:rsidR="00F26E4F" w:rsidRPr="00181614">
        <w:rPr>
          <w:sz w:val="20"/>
          <w:szCs w:val="20"/>
          <w:vertAlign w:val="superscript"/>
        </w:rPr>
        <w:footnoteReference w:id="1216"/>
      </w:r>
      <w:r w:rsidR="00F26E4F" w:rsidRPr="00472578">
        <w:t xml:space="preserve"> </w:t>
      </w:r>
      <w:r w:rsidR="00D038D4" w:rsidRPr="00472578">
        <w:t>off-site,</w:t>
      </w:r>
    </w:p>
    <w:p w14:paraId="4E783EC2" w14:textId="2D7A0C4C" w:rsidR="00D038D4" w:rsidRPr="00472578" w:rsidRDefault="0057347B" w:rsidP="00E92686">
      <w:pPr>
        <w:widowControl w:val="0"/>
        <w:tabs>
          <w:tab w:val="left" w:pos="867"/>
        </w:tabs>
        <w:autoSpaceDE w:val="0"/>
        <w:autoSpaceDN w:val="0"/>
        <w:spacing w:before="159"/>
        <w:ind w:left="567" w:hanging="567"/>
        <w:jc w:val="both"/>
      </w:pPr>
      <w:r w:rsidRPr="00472578">
        <w:t>(4)</w:t>
      </w:r>
      <w:r w:rsidRPr="00472578">
        <w:tab/>
      </w:r>
      <w:r w:rsidR="00D038D4" w:rsidRPr="00472578">
        <w:t xml:space="preserve">the adverse </w:t>
      </w:r>
      <w:r w:rsidR="00D038D4" w:rsidRPr="00472578">
        <w:rPr>
          <w:i/>
        </w:rPr>
        <w:t xml:space="preserve">effects </w:t>
      </w:r>
      <w:r w:rsidR="00D038D4" w:rsidRPr="00472578">
        <w:t xml:space="preserve">of the </w:t>
      </w:r>
      <w:r w:rsidR="00D038D4" w:rsidRPr="00472578">
        <w:rPr>
          <w:i/>
        </w:rPr>
        <w:t xml:space="preserve">hard protection structures </w:t>
      </w:r>
      <w:r w:rsidR="00D038D4" w:rsidRPr="00472578">
        <w:t>can be adequately managed, and</w:t>
      </w:r>
    </w:p>
    <w:p w14:paraId="760C8ABD" w14:textId="20E5C43B" w:rsidR="00D038D4" w:rsidRPr="00472578" w:rsidRDefault="0057347B" w:rsidP="00E92686">
      <w:pPr>
        <w:widowControl w:val="0"/>
        <w:tabs>
          <w:tab w:val="left" w:pos="867"/>
        </w:tabs>
        <w:autoSpaceDE w:val="0"/>
        <w:autoSpaceDN w:val="0"/>
        <w:spacing w:before="161"/>
        <w:ind w:left="567" w:right="116" w:hanging="567"/>
        <w:jc w:val="both"/>
      </w:pPr>
      <w:r w:rsidRPr="00472578">
        <w:t>(5)</w:t>
      </w:r>
      <w:r w:rsidRPr="00472578">
        <w:tab/>
      </w:r>
      <w:r w:rsidR="00D038D4" w:rsidRPr="00472578">
        <w:t>the mitigation is viable in the reasonably foreseeable long term or provides time for future adaptation methods to be implemented, or</w:t>
      </w:r>
    </w:p>
    <w:p w14:paraId="5A3374F0" w14:textId="2C064174" w:rsidR="00D038D4" w:rsidRPr="00472578" w:rsidRDefault="0057347B" w:rsidP="00E92686">
      <w:pPr>
        <w:widowControl w:val="0"/>
        <w:tabs>
          <w:tab w:val="left" w:pos="867"/>
        </w:tabs>
        <w:autoSpaceDE w:val="0"/>
        <w:autoSpaceDN w:val="0"/>
        <w:spacing w:before="159"/>
        <w:ind w:left="567" w:right="118" w:hanging="567"/>
        <w:jc w:val="both"/>
      </w:pPr>
      <w:r w:rsidRPr="00472578">
        <w:t>(6)</w:t>
      </w:r>
      <w:r w:rsidRPr="00472578">
        <w:tab/>
      </w:r>
      <w:r w:rsidR="00D038D4" w:rsidRPr="00472578">
        <w:t xml:space="preserve">the </w:t>
      </w:r>
      <w:r w:rsidR="00D038D4" w:rsidRPr="00472578">
        <w:rPr>
          <w:i/>
        </w:rPr>
        <w:t xml:space="preserve">hard protection structure </w:t>
      </w:r>
      <w:r w:rsidR="00D038D4" w:rsidRPr="00472578">
        <w:t xml:space="preserve">protects a </w:t>
      </w:r>
      <w:r w:rsidR="00D038D4" w:rsidRPr="00472578">
        <w:rPr>
          <w:i/>
        </w:rPr>
        <w:t>lifeline utility</w:t>
      </w:r>
      <w:r w:rsidR="00D038D4" w:rsidRPr="00472578">
        <w:t>, or a facility for essential or emergency services.</w:t>
      </w:r>
    </w:p>
    <w:p w14:paraId="15ABE149" w14:textId="519A9332"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 xml:space="preserve">P8 – </w:t>
      </w:r>
      <w:r w:rsidRPr="00472578">
        <w:rPr>
          <w:i/>
        </w:rPr>
        <w:t>Lifeline utilities</w:t>
      </w:r>
      <w:r w:rsidRPr="00472578">
        <w:t xml:space="preserve"> and facilities for essential or emergency services</w:t>
      </w:r>
    </w:p>
    <w:p w14:paraId="7DEE7C1E" w14:textId="77777777" w:rsidR="00D038D4" w:rsidRPr="00472578" w:rsidRDefault="00D038D4" w:rsidP="00E92686">
      <w:pPr>
        <w:pStyle w:val="BodyText"/>
      </w:pPr>
      <w:bookmarkStart w:id="278" w:name="_Hlk95673912"/>
      <w:r w:rsidRPr="00472578">
        <w:t>Locate</w:t>
      </w:r>
      <w:r w:rsidRPr="00472578">
        <w:rPr>
          <w:strike/>
        </w:rPr>
        <w:t>, relocate,</w:t>
      </w:r>
      <w:r w:rsidRPr="00472578">
        <w:rPr>
          <w:rStyle w:val="FootnoteReference"/>
        </w:rPr>
        <w:footnoteReference w:id="1217"/>
      </w:r>
      <w:r w:rsidRPr="00472578">
        <w:t xml:space="preserve"> and design </w:t>
      </w:r>
      <w:r w:rsidRPr="00472578">
        <w:rPr>
          <w:i/>
        </w:rPr>
        <w:t xml:space="preserve">lifeline utilities </w:t>
      </w:r>
      <w:r w:rsidRPr="00472578">
        <w:t>and facilities for essential or emergency services</w:t>
      </w:r>
      <w:bookmarkEnd w:id="278"/>
      <w:r w:rsidRPr="00472578">
        <w:t xml:space="preserve"> to:</w:t>
      </w:r>
    </w:p>
    <w:p w14:paraId="7FE02CE1" w14:textId="79AC0E99" w:rsidR="00D038D4" w:rsidRPr="00472578" w:rsidRDefault="0057347B" w:rsidP="00E92686">
      <w:pPr>
        <w:widowControl w:val="0"/>
        <w:tabs>
          <w:tab w:val="left" w:pos="867"/>
        </w:tabs>
        <w:autoSpaceDE w:val="0"/>
        <w:autoSpaceDN w:val="0"/>
        <w:ind w:left="567" w:hanging="567"/>
        <w:jc w:val="both"/>
      </w:pPr>
      <w:r w:rsidRPr="00472578">
        <w:t>(1)</w:t>
      </w:r>
      <w:r w:rsidRPr="00472578">
        <w:tab/>
      </w:r>
      <w:r w:rsidR="00D038D4" w:rsidRPr="00472578">
        <w:t xml:space="preserve">maintain their ability to </w:t>
      </w:r>
      <w:proofErr w:type="gramStart"/>
      <w:r w:rsidR="00D038D4" w:rsidRPr="00472578">
        <w:t>function to the fullest extent</w:t>
      </w:r>
      <w:proofErr w:type="gramEnd"/>
      <w:r w:rsidR="00D038D4" w:rsidRPr="00472578">
        <w:t xml:space="preserve"> possible, during and after </w:t>
      </w:r>
      <w:r w:rsidR="00D038D4" w:rsidRPr="00472578">
        <w:rPr>
          <w:i/>
        </w:rPr>
        <w:t>natural hazard</w:t>
      </w:r>
      <w:r w:rsidRPr="00472578">
        <w:rPr>
          <w:i/>
        </w:rPr>
        <w:t xml:space="preserve"> </w:t>
      </w:r>
      <w:r w:rsidR="00D038D4" w:rsidRPr="00472578">
        <w:t xml:space="preserve">events, and </w:t>
      </w:r>
    </w:p>
    <w:p w14:paraId="56269E49" w14:textId="2C53786D" w:rsidR="00D038D4" w:rsidRPr="00472578" w:rsidRDefault="0057347B" w:rsidP="00E92686">
      <w:pPr>
        <w:widowControl w:val="0"/>
        <w:tabs>
          <w:tab w:val="left" w:pos="867"/>
        </w:tabs>
        <w:autoSpaceDE w:val="0"/>
        <w:autoSpaceDN w:val="0"/>
        <w:ind w:left="567" w:hanging="567"/>
        <w:jc w:val="both"/>
      </w:pPr>
      <w:r w:rsidRPr="00472578">
        <w:t>(2)</w:t>
      </w:r>
      <w:r w:rsidRPr="00472578">
        <w:tab/>
      </w:r>
      <w:proofErr w:type="gramStart"/>
      <w:r w:rsidR="00D038D4" w:rsidRPr="00472578">
        <w:t>take into account</w:t>
      </w:r>
      <w:proofErr w:type="gramEnd"/>
      <w:r w:rsidR="00D038D4" w:rsidRPr="00472578">
        <w:t xml:space="preserve"> their operational co-dependence with other </w:t>
      </w:r>
      <w:r w:rsidR="00D038D4" w:rsidRPr="00472578">
        <w:rPr>
          <w:i/>
        </w:rPr>
        <w:t xml:space="preserve">lifeline utilities </w:t>
      </w:r>
      <w:r w:rsidR="00D038D4" w:rsidRPr="00472578">
        <w:t>and essential services to ensure their effective operation.</w:t>
      </w:r>
    </w:p>
    <w:p w14:paraId="0567F771" w14:textId="555F6FC8"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P9 – Protection of hazard mitigation measures</w:t>
      </w:r>
      <w:r w:rsidRPr="00472578">
        <w:rPr>
          <w:u w:val="single"/>
        </w:rPr>
        <w:t xml:space="preserve">, </w:t>
      </w:r>
      <w:r w:rsidRPr="00472578">
        <w:rPr>
          <w:i/>
          <w:iCs/>
          <w:u w:val="single"/>
        </w:rPr>
        <w:t>lifeline utilities</w:t>
      </w:r>
      <w:r w:rsidRPr="00472578">
        <w:rPr>
          <w:u w:val="single"/>
        </w:rPr>
        <w:t>, and essential or emergency services</w:t>
      </w:r>
      <w:r w:rsidRPr="00472578">
        <w:rPr>
          <w:rStyle w:val="FootnoteReference"/>
          <w:b w:val="0"/>
          <w:bCs w:val="0"/>
          <w:color w:val="auto"/>
        </w:rPr>
        <w:footnoteReference w:id="1218"/>
      </w:r>
    </w:p>
    <w:p w14:paraId="008C507E" w14:textId="6F890291" w:rsidR="00D038D4" w:rsidRPr="00472578" w:rsidRDefault="00D038D4" w:rsidP="00E92686">
      <w:pPr>
        <w:jc w:val="both"/>
      </w:pPr>
      <w:r w:rsidRPr="00472578">
        <w:lastRenderedPageBreak/>
        <w:t xml:space="preserve">Protect the </w:t>
      </w:r>
      <w:r w:rsidRPr="00472578">
        <w:rPr>
          <w:i/>
        </w:rPr>
        <w:t xml:space="preserve">functional </w:t>
      </w:r>
      <w:r w:rsidR="00B01655" w:rsidRPr="00472578">
        <w:rPr>
          <w:i/>
          <w:u w:val="single"/>
        </w:rPr>
        <w:t>needs</w:t>
      </w:r>
      <w:r w:rsidRPr="00472578">
        <w:rPr>
          <w:i/>
        </w:rPr>
        <w:t xml:space="preserve"> </w:t>
      </w:r>
      <w:r w:rsidRPr="00472578">
        <w:rPr>
          <w:u w:val="single"/>
        </w:rPr>
        <w:t>and</w:t>
      </w:r>
      <w:r w:rsidRPr="00472578">
        <w:rPr>
          <w:i/>
          <w:u w:val="single"/>
        </w:rPr>
        <w:t xml:space="preserve"> operational</w:t>
      </w:r>
      <w:r w:rsidRPr="00472578">
        <w:rPr>
          <w:rStyle w:val="FootnoteReference"/>
          <w:iCs/>
        </w:rPr>
        <w:footnoteReference w:id="1219"/>
      </w:r>
      <w:r w:rsidRPr="00472578">
        <w:rPr>
          <w:i/>
        </w:rPr>
        <w:t xml:space="preserve"> needs </w:t>
      </w:r>
      <w:r w:rsidRPr="00472578">
        <w:t xml:space="preserve">of hazard mitigation measures, </w:t>
      </w:r>
      <w:r w:rsidRPr="00472578">
        <w:rPr>
          <w:i/>
        </w:rPr>
        <w:t>lifeline utilities</w:t>
      </w:r>
      <w:r w:rsidRPr="00472578">
        <w:t>, and essential or emergency services, including by:</w:t>
      </w:r>
    </w:p>
    <w:p w14:paraId="21F8AC38" w14:textId="08526BF7" w:rsidR="00D038D4" w:rsidRPr="00472578" w:rsidRDefault="0057347B" w:rsidP="00E92686">
      <w:pPr>
        <w:widowControl w:val="0"/>
        <w:tabs>
          <w:tab w:val="left" w:pos="867"/>
        </w:tabs>
        <w:autoSpaceDE w:val="0"/>
        <w:autoSpaceDN w:val="0"/>
        <w:ind w:left="567" w:hanging="567"/>
        <w:jc w:val="both"/>
      </w:pPr>
      <w:r w:rsidRPr="00472578">
        <w:t>(1)</w:t>
      </w:r>
      <w:r w:rsidRPr="00472578">
        <w:tab/>
      </w:r>
      <w:r w:rsidR="00D038D4" w:rsidRPr="00472578">
        <w:t xml:space="preserve">avoiding significant adverse </w:t>
      </w:r>
      <w:r w:rsidR="00D038D4" w:rsidRPr="00472578">
        <w:rPr>
          <w:i/>
        </w:rPr>
        <w:t xml:space="preserve">effects </w:t>
      </w:r>
      <w:r w:rsidR="00D038D4" w:rsidRPr="00472578">
        <w:t xml:space="preserve">on those measures, </w:t>
      </w:r>
      <w:proofErr w:type="gramStart"/>
      <w:r w:rsidR="00D038D4" w:rsidRPr="00472578">
        <w:t>utilities</w:t>
      </w:r>
      <w:proofErr w:type="gramEnd"/>
      <w:r w:rsidR="00D038D4" w:rsidRPr="00472578">
        <w:t xml:space="preserve"> or services,</w:t>
      </w:r>
    </w:p>
    <w:p w14:paraId="2E630F75" w14:textId="78B05F97" w:rsidR="00D038D4" w:rsidRPr="00472578" w:rsidRDefault="0057347B" w:rsidP="00E92686">
      <w:pPr>
        <w:widowControl w:val="0"/>
        <w:tabs>
          <w:tab w:val="left" w:pos="867"/>
        </w:tabs>
        <w:autoSpaceDE w:val="0"/>
        <w:autoSpaceDN w:val="0"/>
        <w:ind w:left="567" w:hanging="567"/>
        <w:jc w:val="both"/>
      </w:pPr>
      <w:r w:rsidRPr="00472578">
        <w:t>(2)</w:t>
      </w:r>
      <w:r w:rsidRPr="00472578">
        <w:tab/>
      </w:r>
      <w:r w:rsidR="00D038D4" w:rsidRPr="00472578">
        <w:t>avoiding, and only where avoidance is not practicable, remedying or mitigating other adverse</w:t>
      </w:r>
      <w:r w:rsidRPr="00472578">
        <w:t xml:space="preserve"> </w:t>
      </w:r>
      <w:r w:rsidR="00D038D4" w:rsidRPr="00472578">
        <w:rPr>
          <w:i/>
        </w:rPr>
        <w:t xml:space="preserve">effects </w:t>
      </w:r>
      <w:r w:rsidR="00D038D4" w:rsidRPr="00472578">
        <w:t xml:space="preserve">on those measures, </w:t>
      </w:r>
      <w:proofErr w:type="gramStart"/>
      <w:r w:rsidR="00D038D4" w:rsidRPr="00472578">
        <w:t>utilities</w:t>
      </w:r>
      <w:proofErr w:type="gramEnd"/>
      <w:r w:rsidR="00D038D4" w:rsidRPr="00472578">
        <w:t xml:space="preserve"> or services,</w:t>
      </w:r>
    </w:p>
    <w:p w14:paraId="2954D4D2" w14:textId="1F0D5C54" w:rsidR="00D038D4" w:rsidRPr="00472578" w:rsidRDefault="0057347B" w:rsidP="00E92686">
      <w:pPr>
        <w:widowControl w:val="0"/>
        <w:tabs>
          <w:tab w:val="left" w:pos="867"/>
        </w:tabs>
        <w:autoSpaceDE w:val="0"/>
        <w:autoSpaceDN w:val="0"/>
        <w:ind w:left="567" w:right="115" w:hanging="567"/>
        <w:jc w:val="both"/>
      </w:pPr>
      <w:r w:rsidRPr="00472578">
        <w:t>(3)</w:t>
      </w:r>
      <w:r w:rsidRPr="00472578">
        <w:tab/>
      </w:r>
      <w:r w:rsidR="00D038D4" w:rsidRPr="00472578">
        <w:t>maintaining access to those measures, utilities or services for maintenance and operational purposes, and</w:t>
      </w:r>
    </w:p>
    <w:p w14:paraId="3675438C" w14:textId="7967A3CA" w:rsidR="00D038D4" w:rsidRPr="00472578" w:rsidRDefault="0057347B" w:rsidP="00E92686">
      <w:pPr>
        <w:widowControl w:val="0"/>
        <w:tabs>
          <w:tab w:val="left" w:pos="867"/>
        </w:tabs>
        <w:autoSpaceDE w:val="0"/>
        <w:autoSpaceDN w:val="0"/>
        <w:ind w:left="567" w:right="113" w:hanging="567"/>
        <w:jc w:val="both"/>
      </w:pPr>
      <w:r w:rsidRPr="00472578">
        <w:t>(4)</w:t>
      </w:r>
      <w:r w:rsidRPr="00472578">
        <w:tab/>
      </w:r>
      <w:r w:rsidR="00D038D4" w:rsidRPr="00472578">
        <w:t xml:space="preserve">restricting the establishment of other activities that may result in reverse sensitivity </w:t>
      </w:r>
      <w:r w:rsidR="00D038D4" w:rsidRPr="00472578">
        <w:rPr>
          <w:i/>
        </w:rPr>
        <w:t xml:space="preserve">effects </w:t>
      </w:r>
      <w:r w:rsidR="00D038D4" w:rsidRPr="00472578">
        <w:t xml:space="preserve">on those measures, </w:t>
      </w:r>
      <w:proofErr w:type="gramStart"/>
      <w:r w:rsidR="00D038D4" w:rsidRPr="00472578">
        <w:t>utilities</w:t>
      </w:r>
      <w:proofErr w:type="gramEnd"/>
      <w:r w:rsidR="00D038D4" w:rsidRPr="00472578">
        <w:t xml:space="preserve"> or services.</w:t>
      </w:r>
    </w:p>
    <w:p w14:paraId="4BF3F4E6" w14:textId="266D0043"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P10 – Coastal hazards</w:t>
      </w:r>
    </w:p>
    <w:p w14:paraId="6906FFF5" w14:textId="789F9BEE" w:rsidR="00D038D4" w:rsidRPr="00472578" w:rsidRDefault="00D038D4" w:rsidP="00E92686">
      <w:pPr>
        <w:pStyle w:val="BodyText"/>
      </w:pPr>
      <w:r w:rsidRPr="00472578">
        <w:t>In addition to HAZ</w:t>
      </w:r>
      <w:r w:rsidR="00893DC6" w:rsidRPr="00472578">
        <w:t>-</w:t>
      </w:r>
      <w:r w:rsidRPr="00472578">
        <w:t>NH</w:t>
      </w:r>
      <w:r w:rsidR="00893DC6" w:rsidRPr="00472578">
        <w:t>-</w:t>
      </w:r>
      <w:r w:rsidRPr="00472578">
        <w:t xml:space="preserve">P1 </w:t>
      </w:r>
      <w:bookmarkStart w:id="279" w:name="_Hlk95674088"/>
      <w:r w:rsidRPr="00472578">
        <w:rPr>
          <w:u w:val="single"/>
        </w:rPr>
        <w:t>and HAZ-NH-P5</w:t>
      </w:r>
      <w:bookmarkEnd w:id="279"/>
      <w:r w:rsidRPr="00472578">
        <w:rPr>
          <w:rStyle w:val="FootnoteReference"/>
        </w:rPr>
        <w:footnoteReference w:id="1220"/>
      </w:r>
      <w:r w:rsidRPr="00472578">
        <w:t xml:space="preserve"> to HAZ</w:t>
      </w:r>
      <w:r w:rsidR="00893DC6" w:rsidRPr="00472578">
        <w:t>-</w:t>
      </w:r>
      <w:r w:rsidRPr="00472578">
        <w:t>NH</w:t>
      </w:r>
      <w:r w:rsidR="00893DC6" w:rsidRPr="00472578">
        <w:t>-</w:t>
      </w:r>
      <w:r w:rsidRPr="00472578">
        <w:t xml:space="preserve">P9 above, on any </w:t>
      </w:r>
      <w:r w:rsidRPr="00472578">
        <w:rPr>
          <w:i/>
        </w:rPr>
        <w:t xml:space="preserve">land </w:t>
      </w:r>
      <w:r w:rsidRPr="00472578">
        <w:t xml:space="preserve">that is potentially affected by </w:t>
      </w:r>
      <w:r w:rsidR="00DE73D9" w:rsidRPr="00472578">
        <w:t>coastal hazards</w:t>
      </w:r>
      <w:r w:rsidRPr="00472578">
        <w:t xml:space="preserve"> over at least the next 100 years:</w:t>
      </w:r>
    </w:p>
    <w:p w14:paraId="4C964321" w14:textId="5C537971" w:rsidR="00D038D4" w:rsidRPr="00472578" w:rsidRDefault="00087509" w:rsidP="00E92686">
      <w:pPr>
        <w:widowControl w:val="0"/>
        <w:tabs>
          <w:tab w:val="left" w:pos="867"/>
        </w:tabs>
        <w:autoSpaceDE w:val="0"/>
        <w:autoSpaceDN w:val="0"/>
        <w:ind w:left="567" w:hanging="567"/>
        <w:jc w:val="both"/>
      </w:pPr>
      <w:r w:rsidRPr="00472578">
        <w:t>(1)</w:t>
      </w:r>
      <w:r w:rsidRPr="00472578">
        <w:tab/>
      </w:r>
      <w:r w:rsidR="00D038D4" w:rsidRPr="00472578">
        <w:t xml:space="preserve">avoid increasing the </w:t>
      </w:r>
      <w:r w:rsidR="00D038D4" w:rsidRPr="00472578">
        <w:rPr>
          <w:i/>
        </w:rPr>
        <w:t xml:space="preserve">risk </w:t>
      </w:r>
      <w:r w:rsidR="005274F2">
        <w:rPr>
          <w:i/>
          <w:u w:val="single"/>
        </w:rPr>
        <w:t>(in relation to natural hazards)</w:t>
      </w:r>
      <w:r w:rsidR="005274F2" w:rsidRPr="00181614">
        <w:rPr>
          <w:sz w:val="20"/>
          <w:szCs w:val="20"/>
          <w:vertAlign w:val="superscript"/>
        </w:rPr>
        <w:footnoteReference w:id="1221"/>
      </w:r>
      <w:r w:rsidR="005274F2" w:rsidRPr="00472578">
        <w:t xml:space="preserve"> </w:t>
      </w:r>
      <w:r w:rsidR="00D038D4" w:rsidRPr="00472578">
        <w:t xml:space="preserve">of social, </w:t>
      </w:r>
      <w:proofErr w:type="gramStart"/>
      <w:r w:rsidR="00D038D4" w:rsidRPr="00472578">
        <w:t>environmental</w:t>
      </w:r>
      <w:proofErr w:type="gramEnd"/>
      <w:r w:rsidR="00D038D4" w:rsidRPr="00472578">
        <w:t xml:space="preserve"> and economic harm from coastal hazards,</w:t>
      </w:r>
    </w:p>
    <w:p w14:paraId="3B9A1CC2" w14:textId="3B60BF58" w:rsidR="00D038D4" w:rsidRPr="00472578" w:rsidRDefault="00087509" w:rsidP="00E92686">
      <w:pPr>
        <w:widowControl w:val="0"/>
        <w:tabs>
          <w:tab w:val="left" w:pos="867"/>
        </w:tabs>
        <w:autoSpaceDE w:val="0"/>
        <w:autoSpaceDN w:val="0"/>
        <w:ind w:left="567" w:right="116" w:hanging="567"/>
        <w:jc w:val="both"/>
      </w:pPr>
      <w:r w:rsidRPr="00472578">
        <w:t>(2)</w:t>
      </w:r>
      <w:r w:rsidRPr="00472578">
        <w:tab/>
      </w:r>
      <w:r w:rsidR="00D038D4" w:rsidRPr="00472578">
        <w:t xml:space="preserve">ensure no </w:t>
      </w:r>
      <w:r w:rsidR="00D038D4" w:rsidRPr="00472578">
        <w:rPr>
          <w:i/>
        </w:rPr>
        <w:t xml:space="preserve">land </w:t>
      </w:r>
      <w:r w:rsidR="00D038D4" w:rsidRPr="00472578">
        <w:t xml:space="preserve">use change or redevelopment occurs that would increase the </w:t>
      </w:r>
      <w:r w:rsidR="00D038D4" w:rsidRPr="00472578">
        <w:rPr>
          <w:i/>
        </w:rPr>
        <w:t xml:space="preserve">risk </w:t>
      </w:r>
      <w:r w:rsidR="005274F2">
        <w:rPr>
          <w:i/>
          <w:u w:val="single"/>
        </w:rPr>
        <w:t>(in relation to natural hazards)</w:t>
      </w:r>
      <w:r w:rsidR="005274F2" w:rsidRPr="00181614">
        <w:rPr>
          <w:sz w:val="20"/>
          <w:szCs w:val="20"/>
          <w:vertAlign w:val="superscript"/>
        </w:rPr>
        <w:footnoteReference w:id="1222"/>
      </w:r>
      <w:r w:rsidR="005274F2" w:rsidRPr="00472578">
        <w:t xml:space="preserve"> </w:t>
      </w:r>
      <w:r w:rsidR="00D038D4" w:rsidRPr="00472578">
        <w:t>to people and communities from that coastal hazard,</w:t>
      </w:r>
    </w:p>
    <w:p w14:paraId="224E1B2A" w14:textId="3DD7B4CD" w:rsidR="00D038D4" w:rsidRPr="00472578" w:rsidRDefault="00087509" w:rsidP="00E92686">
      <w:pPr>
        <w:widowControl w:val="0"/>
        <w:tabs>
          <w:tab w:val="left" w:pos="867"/>
        </w:tabs>
        <w:autoSpaceDE w:val="0"/>
        <w:autoSpaceDN w:val="0"/>
        <w:ind w:left="567" w:hanging="567"/>
        <w:jc w:val="both"/>
      </w:pPr>
      <w:r w:rsidRPr="00472578">
        <w:t>(3)</w:t>
      </w:r>
      <w:r w:rsidRPr="00472578">
        <w:tab/>
      </w:r>
      <w:r w:rsidR="00D038D4" w:rsidRPr="00472578">
        <w:t xml:space="preserve">encourage </w:t>
      </w:r>
      <w:r w:rsidR="00D038D4" w:rsidRPr="00472578">
        <w:rPr>
          <w:i/>
        </w:rPr>
        <w:t xml:space="preserve">land </w:t>
      </w:r>
      <w:r w:rsidR="00D038D4" w:rsidRPr="00472578">
        <w:t xml:space="preserve">use change or redevelopment that reduces the </w:t>
      </w:r>
      <w:r w:rsidR="00D038D4" w:rsidRPr="00472578">
        <w:rPr>
          <w:i/>
        </w:rPr>
        <w:t xml:space="preserve">risk </w:t>
      </w:r>
      <w:r w:rsidR="005274F2">
        <w:rPr>
          <w:i/>
          <w:u w:val="single"/>
        </w:rPr>
        <w:t>(in relation to natural hazards)</w:t>
      </w:r>
      <w:r w:rsidR="005274F2" w:rsidRPr="00181614">
        <w:rPr>
          <w:sz w:val="20"/>
          <w:szCs w:val="20"/>
          <w:vertAlign w:val="superscript"/>
        </w:rPr>
        <w:footnoteReference w:id="1223"/>
      </w:r>
      <w:r w:rsidR="005274F2" w:rsidRPr="00472578">
        <w:t xml:space="preserve"> </w:t>
      </w:r>
      <w:r w:rsidR="00D038D4" w:rsidRPr="00472578">
        <w:t>from that coastal hazard, and</w:t>
      </w:r>
    </w:p>
    <w:p w14:paraId="2974E82F" w14:textId="3F078947" w:rsidR="00D038D4" w:rsidRPr="00472578" w:rsidRDefault="00087509" w:rsidP="00E92686">
      <w:pPr>
        <w:widowControl w:val="0"/>
        <w:tabs>
          <w:tab w:val="left" w:pos="867"/>
        </w:tabs>
        <w:autoSpaceDE w:val="0"/>
        <w:autoSpaceDN w:val="0"/>
        <w:ind w:left="567" w:right="114" w:hanging="567"/>
        <w:jc w:val="both"/>
      </w:pPr>
      <w:r w:rsidRPr="00472578">
        <w:t>(4)</w:t>
      </w:r>
      <w:r w:rsidRPr="00472578">
        <w:tab/>
      </w:r>
      <w:r w:rsidR="00D038D4" w:rsidRPr="00472578">
        <w:t xml:space="preserve">ensure decision making about the nature, scale and location of activities considers the ability of Otago’s people and communities to adapt to, or mitigate the </w:t>
      </w:r>
      <w:r w:rsidR="00D038D4" w:rsidRPr="00472578">
        <w:rPr>
          <w:i/>
        </w:rPr>
        <w:t xml:space="preserve">effects </w:t>
      </w:r>
      <w:r w:rsidR="00D038D4" w:rsidRPr="00472578">
        <w:t xml:space="preserve">of, sea level rise and </w:t>
      </w:r>
      <w:r w:rsidR="00D038D4" w:rsidRPr="00472578">
        <w:rPr>
          <w:i/>
        </w:rPr>
        <w:t>climate change</w:t>
      </w:r>
      <w:r w:rsidR="00D038D4" w:rsidRPr="00472578">
        <w:t>.</w:t>
      </w:r>
    </w:p>
    <w:p w14:paraId="58C9E4E3" w14:textId="26BAAD87" w:rsidR="00D038D4" w:rsidRPr="00472578" w:rsidRDefault="00D038D4" w:rsidP="00E92686">
      <w:pPr>
        <w:pStyle w:val="Heading5"/>
        <w:jc w:val="both"/>
        <w:rPr>
          <w:strike/>
        </w:rPr>
      </w:pPr>
      <w:r w:rsidRPr="00472578">
        <w:rPr>
          <w:strike/>
        </w:rPr>
        <w:t>HAZ</w:t>
      </w:r>
      <w:r w:rsidR="00893DC6" w:rsidRPr="00472578">
        <w:rPr>
          <w:strike/>
        </w:rPr>
        <w:t>-</w:t>
      </w:r>
      <w:r w:rsidRPr="00472578">
        <w:rPr>
          <w:strike/>
        </w:rPr>
        <w:t>NH</w:t>
      </w:r>
      <w:r w:rsidR="00893DC6" w:rsidRPr="00472578">
        <w:rPr>
          <w:strike/>
        </w:rPr>
        <w:t>-</w:t>
      </w:r>
      <w:r w:rsidRPr="00472578">
        <w:rPr>
          <w:strike/>
        </w:rPr>
        <w:t>P11 – Kaitiaki decision making</w:t>
      </w:r>
    </w:p>
    <w:p w14:paraId="545EB7D9" w14:textId="77777777" w:rsidR="00D038D4" w:rsidRPr="00472578" w:rsidRDefault="00D038D4" w:rsidP="00E92686">
      <w:pPr>
        <w:pStyle w:val="BodyText"/>
      </w:pPr>
      <w:r w:rsidRPr="00472578">
        <w:rPr>
          <w:strike/>
        </w:rPr>
        <w:t xml:space="preserve">Recognise and provide for the role of Kāi Tahu as kaitiaki over </w:t>
      </w:r>
      <w:r w:rsidRPr="00472578">
        <w:rPr>
          <w:i/>
          <w:strike/>
        </w:rPr>
        <w:t>wāhi tūpuna</w:t>
      </w:r>
      <w:r w:rsidRPr="00472578">
        <w:rPr>
          <w:strike/>
        </w:rPr>
        <w:t xml:space="preserve">, Māori reserves and freehold land that is susceptible to </w:t>
      </w:r>
      <w:r w:rsidRPr="00472578">
        <w:rPr>
          <w:i/>
          <w:strike/>
        </w:rPr>
        <w:t xml:space="preserve">natural hazards </w:t>
      </w:r>
      <w:r w:rsidRPr="00472578">
        <w:rPr>
          <w:strike/>
        </w:rPr>
        <w:t xml:space="preserve">by involving </w:t>
      </w:r>
      <w:r w:rsidRPr="00472578">
        <w:rPr>
          <w:i/>
          <w:strike/>
        </w:rPr>
        <w:t xml:space="preserve">mana whenua </w:t>
      </w:r>
      <w:r w:rsidRPr="00472578">
        <w:rPr>
          <w:strike/>
        </w:rPr>
        <w:t>in decision making and management processes.</w:t>
      </w:r>
      <w:r w:rsidRPr="00472578">
        <w:rPr>
          <w:rStyle w:val="FootnoteReference"/>
        </w:rPr>
        <w:footnoteReference w:id="1224"/>
      </w:r>
    </w:p>
    <w:p w14:paraId="6C5EBE06" w14:textId="77777777" w:rsidR="00D038D4" w:rsidRPr="00472578" w:rsidRDefault="00D038D4" w:rsidP="00E92686">
      <w:pPr>
        <w:pStyle w:val="Heading4"/>
        <w:jc w:val="both"/>
      </w:pPr>
      <w:r w:rsidRPr="00472578">
        <w:t>Methods</w:t>
      </w:r>
    </w:p>
    <w:p w14:paraId="469F83D5" w14:textId="28B2D419" w:rsidR="00D038D4" w:rsidRPr="00472578" w:rsidRDefault="00D038D4" w:rsidP="00E92686">
      <w:pPr>
        <w:pStyle w:val="Heading5"/>
        <w:jc w:val="both"/>
        <w:rPr>
          <w:b w:val="0"/>
        </w:rPr>
      </w:pPr>
      <w:r w:rsidRPr="00472578">
        <w:t>HAZ</w:t>
      </w:r>
      <w:r w:rsidR="00893DC6" w:rsidRPr="00472578">
        <w:t>-</w:t>
      </w:r>
      <w:r w:rsidRPr="00472578">
        <w:t>NH</w:t>
      </w:r>
      <w:r w:rsidR="00893DC6" w:rsidRPr="00472578">
        <w:t>-</w:t>
      </w:r>
      <w:r w:rsidRPr="00472578">
        <w:t>M1 – Statement of responsibilities</w:t>
      </w:r>
    </w:p>
    <w:p w14:paraId="70916608" w14:textId="6B848605" w:rsidR="00D038D4" w:rsidRPr="00472578" w:rsidRDefault="00D038D4" w:rsidP="00E92686">
      <w:pPr>
        <w:pStyle w:val="BodyText"/>
      </w:pPr>
      <w:r w:rsidRPr="00472578">
        <w:t>In accordance with section 62(1)(i)(i) of the RMA</w:t>
      </w:r>
      <w:r w:rsidRPr="009A4846">
        <w:rPr>
          <w:strike/>
        </w:rPr>
        <w:t xml:space="preserve"> 1991</w:t>
      </w:r>
      <w:r w:rsidRPr="00472578">
        <w:t>,</w:t>
      </w:r>
      <w:r w:rsidR="009A4846">
        <w:rPr>
          <w:rStyle w:val="FootnoteReference"/>
        </w:rPr>
        <w:footnoteReference w:id="1225"/>
      </w:r>
      <w:r w:rsidRPr="00472578">
        <w:t xml:space="preserve"> the responsibilities for the control of </w:t>
      </w:r>
      <w:r w:rsidRPr="00472578">
        <w:rPr>
          <w:i/>
        </w:rPr>
        <w:t xml:space="preserve">land </w:t>
      </w:r>
      <w:r w:rsidRPr="00472578">
        <w:t xml:space="preserve">use to avoid or mitigate </w:t>
      </w:r>
      <w:r w:rsidRPr="00472578">
        <w:rPr>
          <w:i/>
        </w:rPr>
        <w:t xml:space="preserve">natural hazards </w:t>
      </w:r>
      <w:r w:rsidRPr="00472578">
        <w:t>or any group of hazards are as follows:</w:t>
      </w:r>
    </w:p>
    <w:p w14:paraId="15043114" w14:textId="08DD9596" w:rsidR="00D038D4" w:rsidRPr="00472578" w:rsidRDefault="00F51432" w:rsidP="00E92686">
      <w:pPr>
        <w:widowControl w:val="0"/>
        <w:tabs>
          <w:tab w:val="left" w:pos="867"/>
        </w:tabs>
        <w:autoSpaceDE w:val="0"/>
        <w:autoSpaceDN w:val="0"/>
        <w:ind w:left="567" w:right="116" w:hanging="567"/>
        <w:jc w:val="both"/>
      </w:pPr>
      <w:r w:rsidRPr="00472578">
        <w:t>(1)</w:t>
      </w:r>
      <w:r w:rsidRPr="00472578">
        <w:tab/>
      </w:r>
      <w:r w:rsidR="00D038D4" w:rsidRPr="00472578">
        <w:t xml:space="preserve">the Regional Council and </w:t>
      </w:r>
      <w:r w:rsidR="00D038D4" w:rsidRPr="00472578">
        <w:rPr>
          <w:i/>
        </w:rPr>
        <w:t xml:space="preserve">territorial authorities </w:t>
      </w:r>
      <w:r w:rsidR="00D038D4" w:rsidRPr="00472578">
        <w:t xml:space="preserve">are both responsible for specifying objectives, </w:t>
      </w:r>
      <w:proofErr w:type="gramStart"/>
      <w:r w:rsidR="00D038D4" w:rsidRPr="00472578">
        <w:lastRenderedPageBreak/>
        <w:t>policies</w:t>
      </w:r>
      <w:proofErr w:type="gramEnd"/>
      <w:r w:rsidR="00D038D4" w:rsidRPr="00472578">
        <w:t xml:space="preserve"> and methods in </w:t>
      </w:r>
      <w:r w:rsidR="00D038D4" w:rsidRPr="00472578">
        <w:rPr>
          <w:i/>
        </w:rPr>
        <w:t xml:space="preserve">regional </w:t>
      </w:r>
      <w:r w:rsidR="00734D01" w:rsidRPr="00472578">
        <w:rPr>
          <w:i/>
          <w:u w:val="single"/>
        </w:rPr>
        <w:t>plans</w:t>
      </w:r>
      <w:r w:rsidR="00CA3457" w:rsidRPr="00472578">
        <w:rPr>
          <w:rStyle w:val="FootnoteReference"/>
          <w:iCs/>
        </w:rPr>
        <w:footnoteReference w:id="1226"/>
      </w:r>
      <w:r w:rsidR="00B23F1F">
        <w:t xml:space="preserve"> a</w:t>
      </w:r>
      <w:r w:rsidR="00D038D4" w:rsidRPr="00472578">
        <w:t xml:space="preserve">nd </w:t>
      </w:r>
      <w:r w:rsidR="00D038D4" w:rsidRPr="00472578">
        <w:rPr>
          <w:i/>
        </w:rPr>
        <w:t xml:space="preserve">district plans </w:t>
      </w:r>
      <w:r w:rsidR="00D038D4" w:rsidRPr="00472578">
        <w:t xml:space="preserve">for managing </w:t>
      </w:r>
      <w:r w:rsidR="00D038D4" w:rsidRPr="00472578">
        <w:rPr>
          <w:i/>
        </w:rPr>
        <w:t xml:space="preserve">land </w:t>
      </w:r>
      <w:r w:rsidR="00D038D4" w:rsidRPr="00472578">
        <w:t xml:space="preserve">subject to </w:t>
      </w:r>
      <w:r w:rsidR="00D038D4" w:rsidRPr="00472578">
        <w:rPr>
          <w:i/>
        </w:rPr>
        <w:t>natural hazard risk</w:t>
      </w:r>
      <w:r w:rsidR="00D038D4" w:rsidRPr="00472578">
        <w:t>,</w:t>
      </w:r>
    </w:p>
    <w:p w14:paraId="5CDB7C98" w14:textId="6FD43873" w:rsidR="00D038D4" w:rsidRPr="00472578" w:rsidRDefault="00F51432" w:rsidP="00E92686">
      <w:pPr>
        <w:widowControl w:val="0"/>
        <w:tabs>
          <w:tab w:val="left" w:pos="867"/>
        </w:tabs>
        <w:autoSpaceDE w:val="0"/>
        <w:autoSpaceDN w:val="0"/>
        <w:ind w:left="567" w:hanging="567"/>
        <w:jc w:val="both"/>
      </w:pPr>
      <w:r w:rsidRPr="00472578">
        <w:t>(2)</w:t>
      </w:r>
      <w:r w:rsidRPr="00472578">
        <w:tab/>
      </w:r>
      <w:r w:rsidR="00D038D4" w:rsidRPr="00472578">
        <w:t>the Regional Council is responsible for:</w:t>
      </w:r>
    </w:p>
    <w:p w14:paraId="6B47B320" w14:textId="5D330070" w:rsidR="00D038D4" w:rsidRPr="00472578" w:rsidRDefault="00F51432" w:rsidP="00E92686">
      <w:pPr>
        <w:widowControl w:val="0"/>
        <w:tabs>
          <w:tab w:val="left" w:pos="1433"/>
        </w:tabs>
        <w:autoSpaceDE w:val="0"/>
        <w:autoSpaceDN w:val="0"/>
        <w:ind w:left="1134" w:hanging="567"/>
        <w:jc w:val="both"/>
      </w:pPr>
      <w:r w:rsidRPr="00472578">
        <w:t>(a)</w:t>
      </w:r>
      <w:r w:rsidRPr="00472578">
        <w:tab/>
      </w:r>
      <w:r w:rsidR="00D038D4" w:rsidRPr="00472578">
        <w:t xml:space="preserve">specifying objectives, </w:t>
      </w:r>
      <w:proofErr w:type="gramStart"/>
      <w:r w:rsidR="00D038D4" w:rsidRPr="00472578">
        <w:t>policies</w:t>
      </w:r>
      <w:proofErr w:type="gramEnd"/>
      <w:r w:rsidR="00D038D4" w:rsidRPr="00472578">
        <w:t xml:space="preserve"> and methods in </w:t>
      </w:r>
      <w:r w:rsidR="00D038D4" w:rsidRPr="00472578">
        <w:rPr>
          <w:i/>
        </w:rPr>
        <w:t>regional plans</w:t>
      </w:r>
      <w:r w:rsidR="00D038D4" w:rsidRPr="00472578">
        <w:t>:</w:t>
      </w:r>
    </w:p>
    <w:p w14:paraId="38AFBFA5" w14:textId="3F7E97AD" w:rsidR="00D038D4" w:rsidRPr="00472578" w:rsidRDefault="00F51432" w:rsidP="00E92686">
      <w:pPr>
        <w:widowControl w:val="0"/>
        <w:tabs>
          <w:tab w:val="left" w:pos="2002"/>
        </w:tabs>
        <w:autoSpaceDE w:val="0"/>
        <w:autoSpaceDN w:val="0"/>
        <w:ind w:left="1701" w:hanging="567"/>
        <w:jc w:val="both"/>
      </w:pPr>
      <w:r w:rsidRPr="00472578">
        <w:t>(i)</w:t>
      </w:r>
      <w:r w:rsidRPr="00472578">
        <w:tab/>
      </w:r>
      <w:r w:rsidR="00D038D4" w:rsidRPr="00472578">
        <w:t xml:space="preserve">in the </w:t>
      </w:r>
      <w:r w:rsidR="00D038D4" w:rsidRPr="00472578">
        <w:rPr>
          <w:i/>
        </w:rPr>
        <w:t>coastal marine area</w:t>
      </w:r>
      <w:r w:rsidR="00D038D4" w:rsidRPr="00472578">
        <w:t>,</w:t>
      </w:r>
    </w:p>
    <w:p w14:paraId="495801DF" w14:textId="3EE442C0" w:rsidR="00D038D4" w:rsidRPr="00472578" w:rsidRDefault="00F51432" w:rsidP="00E92686">
      <w:pPr>
        <w:widowControl w:val="0"/>
        <w:tabs>
          <w:tab w:val="left" w:pos="2002"/>
        </w:tabs>
        <w:autoSpaceDE w:val="0"/>
        <w:autoSpaceDN w:val="0"/>
        <w:ind w:left="1701" w:hanging="567"/>
        <w:jc w:val="both"/>
      </w:pPr>
      <w:r w:rsidRPr="00472578">
        <w:t>(ii)</w:t>
      </w:r>
      <w:r w:rsidRPr="00472578">
        <w:tab/>
      </w:r>
      <w:r w:rsidR="00D038D4" w:rsidRPr="00472578">
        <w:t xml:space="preserve">in </w:t>
      </w:r>
      <w:r w:rsidR="00D038D4" w:rsidRPr="00472578">
        <w:rPr>
          <w:i/>
        </w:rPr>
        <w:t>wetlands</w:t>
      </w:r>
      <w:r w:rsidR="00D038D4" w:rsidRPr="00472578">
        <w:t xml:space="preserve">, </w:t>
      </w:r>
      <w:proofErr w:type="gramStart"/>
      <w:r w:rsidR="00D038D4" w:rsidRPr="00472578">
        <w:rPr>
          <w:i/>
        </w:rPr>
        <w:t>lakes</w:t>
      </w:r>
      <w:proofErr w:type="gramEnd"/>
      <w:r w:rsidR="00D038D4" w:rsidRPr="00472578">
        <w:rPr>
          <w:i/>
        </w:rPr>
        <w:t xml:space="preserve"> </w:t>
      </w:r>
      <w:r w:rsidR="00D038D4" w:rsidRPr="00472578">
        <w:t xml:space="preserve">and </w:t>
      </w:r>
      <w:r w:rsidR="00D038D4" w:rsidRPr="00472578">
        <w:rPr>
          <w:i/>
        </w:rPr>
        <w:t>rivers</w:t>
      </w:r>
      <w:r w:rsidR="00D038D4" w:rsidRPr="00472578">
        <w:t xml:space="preserve">, </w:t>
      </w:r>
      <w:r w:rsidR="00D038D4" w:rsidRPr="00472578">
        <w:rPr>
          <w:strike/>
        </w:rPr>
        <w:t>and</w:t>
      </w:r>
    </w:p>
    <w:p w14:paraId="504C9530" w14:textId="374BA43F" w:rsidR="00D038D4" w:rsidRPr="00472578" w:rsidRDefault="00F51432" w:rsidP="00E92686">
      <w:pPr>
        <w:widowControl w:val="0"/>
        <w:tabs>
          <w:tab w:val="left" w:pos="2002"/>
        </w:tabs>
        <w:autoSpaceDE w:val="0"/>
        <w:autoSpaceDN w:val="0"/>
        <w:ind w:left="1701" w:hanging="567"/>
        <w:jc w:val="both"/>
      </w:pPr>
      <w:r w:rsidRPr="00472578">
        <w:t>(iii)</w:t>
      </w:r>
      <w:r w:rsidRPr="00472578">
        <w:tab/>
      </w:r>
      <w:r w:rsidR="00D038D4" w:rsidRPr="00472578">
        <w:t xml:space="preserve">in, on or under the </w:t>
      </w:r>
      <w:r w:rsidR="00D038D4" w:rsidRPr="00472578">
        <w:rPr>
          <w:i/>
        </w:rPr>
        <w:t xml:space="preserve">beds </w:t>
      </w:r>
      <w:r w:rsidR="00D038D4" w:rsidRPr="00472578">
        <w:t xml:space="preserve">of </w:t>
      </w:r>
      <w:r w:rsidR="00D038D4" w:rsidRPr="00472578">
        <w:rPr>
          <w:i/>
        </w:rPr>
        <w:t xml:space="preserve">rivers </w:t>
      </w:r>
      <w:r w:rsidR="00D038D4" w:rsidRPr="00472578">
        <w:t xml:space="preserve">and </w:t>
      </w:r>
      <w:r w:rsidR="00D038D4" w:rsidRPr="00472578">
        <w:rPr>
          <w:i/>
        </w:rPr>
        <w:t>lakes</w:t>
      </w:r>
      <w:r w:rsidR="00D038D4" w:rsidRPr="00472578">
        <w:t xml:space="preserve">, </w:t>
      </w:r>
      <w:r w:rsidR="00D038D4" w:rsidRPr="00472578">
        <w:rPr>
          <w:u w:val="single"/>
        </w:rPr>
        <w:t>and</w:t>
      </w:r>
    </w:p>
    <w:p w14:paraId="25042FBA" w14:textId="5091B6F4" w:rsidR="00D038D4" w:rsidRPr="00472578" w:rsidRDefault="00D038D4" w:rsidP="00E92686">
      <w:pPr>
        <w:tabs>
          <w:tab w:val="left" w:pos="2002"/>
        </w:tabs>
        <w:ind w:left="1701" w:hanging="567"/>
        <w:jc w:val="both"/>
        <w:rPr>
          <w:u w:val="single"/>
        </w:rPr>
      </w:pPr>
      <w:r w:rsidRPr="00472578">
        <w:rPr>
          <w:u w:val="single"/>
        </w:rPr>
        <w:t>(iv)</w:t>
      </w:r>
      <w:r w:rsidRPr="00472578">
        <w:rPr>
          <w:u w:val="single"/>
        </w:rPr>
        <w:tab/>
        <w:t xml:space="preserve">on land in relation to </w:t>
      </w:r>
      <w:r w:rsidRPr="00403D92">
        <w:rPr>
          <w:i/>
          <w:iCs/>
          <w:u w:val="single"/>
        </w:rPr>
        <w:t>risk</w:t>
      </w:r>
      <w:r w:rsidRPr="00472578">
        <w:rPr>
          <w:u w:val="single"/>
        </w:rPr>
        <w:t xml:space="preserve"> </w:t>
      </w:r>
      <w:r w:rsidR="00403D92">
        <w:rPr>
          <w:i/>
          <w:u w:val="single"/>
        </w:rPr>
        <w:t>(in relation to natural hazards)</w:t>
      </w:r>
      <w:r w:rsidR="00403D92" w:rsidRPr="00181614">
        <w:rPr>
          <w:sz w:val="20"/>
          <w:szCs w:val="20"/>
          <w:vertAlign w:val="superscript"/>
        </w:rPr>
        <w:footnoteReference w:id="1227"/>
      </w:r>
      <w:r w:rsidR="00403D92" w:rsidRPr="00472578">
        <w:t xml:space="preserve"> </w:t>
      </w:r>
      <w:r w:rsidRPr="00472578">
        <w:rPr>
          <w:u w:val="single"/>
        </w:rPr>
        <w:t>reduction,</w:t>
      </w:r>
      <w:r w:rsidRPr="00472578">
        <w:rPr>
          <w:rStyle w:val="FootnoteReference"/>
        </w:rPr>
        <w:footnoteReference w:id="1228"/>
      </w:r>
    </w:p>
    <w:p w14:paraId="2CA7AB84" w14:textId="4E107F75" w:rsidR="00D038D4" w:rsidRPr="00472578" w:rsidRDefault="00F51432" w:rsidP="00E92686">
      <w:pPr>
        <w:widowControl w:val="0"/>
        <w:tabs>
          <w:tab w:val="left" w:pos="1433"/>
        </w:tabs>
        <w:autoSpaceDE w:val="0"/>
        <w:autoSpaceDN w:val="0"/>
        <w:ind w:left="1134" w:right="116" w:hanging="567"/>
        <w:jc w:val="both"/>
      </w:pPr>
      <w:bookmarkStart w:id="280" w:name="_Hlk94875956"/>
      <w:r w:rsidRPr="00472578">
        <w:t>(b)</w:t>
      </w:r>
      <w:r w:rsidRPr="00472578">
        <w:tab/>
      </w:r>
      <w:r w:rsidR="00D038D4" w:rsidRPr="00472578">
        <w:t xml:space="preserve">identifying areas in the region subject to </w:t>
      </w:r>
      <w:r w:rsidR="00D038D4" w:rsidRPr="00472578">
        <w:rPr>
          <w:i/>
        </w:rPr>
        <w:t xml:space="preserve">natural hazards </w:t>
      </w:r>
      <w:r w:rsidR="00D038D4" w:rsidRPr="00472578">
        <w:t>and describing their characteristics as required by Policy HAZ</w:t>
      </w:r>
      <w:r w:rsidR="00893DC6" w:rsidRPr="00472578">
        <w:t>-</w:t>
      </w:r>
      <w:r w:rsidR="00D038D4" w:rsidRPr="00472578">
        <w:t>NH</w:t>
      </w:r>
      <w:r w:rsidR="00893DC6" w:rsidRPr="00472578">
        <w:t>-</w:t>
      </w:r>
      <w:r w:rsidR="00D038D4" w:rsidRPr="00472578">
        <w:t xml:space="preserve">P1, mapping the extent of those areas in the relevant </w:t>
      </w:r>
      <w:r w:rsidR="00D038D4" w:rsidRPr="00472578">
        <w:rPr>
          <w:i/>
        </w:rPr>
        <w:t>regional plan(s</w:t>
      </w:r>
      <w:proofErr w:type="gramStart"/>
      <w:r w:rsidR="00D038D4" w:rsidRPr="00472578">
        <w:rPr>
          <w:i/>
        </w:rPr>
        <w:t>)</w:t>
      </w:r>
      <w:proofErr w:type="gramEnd"/>
      <w:r w:rsidR="00D038D4" w:rsidRPr="00472578">
        <w:rPr>
          <w:i/>
        </w:rPr>
        <w:t xml:space="preserve"> </w:t>
      </w:r>
      <w:r w:rsidR="00D038D4" w:rsidRPr="00472578">
        <w:t xml:space="preserve">and including those maps on a </w:t>
      </w:r>
      <w:r w:rsidR="00D038D4" w:rsidRPr="00472578">
        <w:rPr>
          <w:i/>
        </w:rPr>
        <w:t xml:space="preserve">natural hazard </w:t>
      </w:r>
      <w:r w:rsidR="00D038D4" w:rsidRPr="00472578">
        <w:t>register or database,</w:t>
      </w:r>
    </w:p>
    <w:bookmarkEnd w:id="280"/>
    <w:p w14:paraId="376BC297" w14:textId="751E1F9D" w:rsidR="00D038D4" w:rsidRPr="00472578" w:rsidRDefault="00F51432" w:rsidP="00E92686">
      <w:pPr>
        <w:widowControl w:val="0"/>
        <w:tabs>
          <w:tab w:val="left" w:pos="1433"/>
        </w:tabs>
        <w:autoSpaceDE w:val="0"/>
        <w:autoSpaceDN w:val="0"/>
        <w:ind w:left="1134" w:right="115" w:hanging="567"/>
        <w:jc w:val="both"/>
      </w:pPr>
      <w:r w:rsidRPr="00472578">
        <w:t>(c)</w:t>
      </w:r>
      <w:r w:rsidRPr="00472578">
        <w:tab/>
      </w:r>
      <w:r w:rsidR="00D038D4" w:rsidRPr="00472578">
        <w:t xml:space="preserve">in the coastal environment, identifying the coastal hazards as required by </w:t>
      </w:r>
      <w:bookmarkStart w:id="281" w:name="_Hlk95991355"/>
      <w:r w:rsidR="00D038D4" w:rsidRPr="00472578">
        <w:t>CE</w:t>
      </w:r>
      <w:r w:rsidR="00403D92">
        <w:t>-</w:t>
      </w:r>
      <w:r w:rsidR="00D038D4" w:rsidRPr="00472578">
        <w:t>P2</w:t>
      </w:r>
      <w:r w:rsidR="00D038D4" w:rsidRPr="00472578">
        <w:rPr>
          <w:strike/>
        </w:rPr>
        <w:t>(3)</w:t>
      </w:r>
      <w:r w:rsidR="00D038D4" w:rsidRPr="00472578">
        <w:rPr>
          <w:u w:val="single"/>
        </w:rPr>
        <w:t>(4)</w:t>
      </w:r>
      <w:bookmarkEnd w:id="281"/>
      <w:r w:rsidR="00D038D4" w:rsidRPr="00472578">
        <w:rPr>
          <w:rStyle w:val="FootnoteReference"/>
        </w:rPr>
        <w:footnoteReference w:id="1229"/>
      </w:r>
      <w:r w:rsidR="00D038D4" w:rsidRPr="00472578">
        <w:t xml:space="preserve"> in accordance with Policy 24 of the NZCPS, mapping the extent of those areas in the relevant </w:t>
      </w:r>
      <w:r w:rsidR="00D038D4" w:rsidRPr="00472578">
        <w:rPr>
          <w:i/>
        </w:rPr>
        <w:t xml:space="preserve">regional plan(s) </w:t>
      </w:r>
      <w:r w:rsidR="00D038D4" w:rsidRPr="00472578">
        <w:t xml:space="preserve">and including those maps on a </w:t>
      </w:r>
      <w:r w:rsidR="00D038D4" w:rsidRPr="00472578">
        <w:rPr>
          <w:i/>
        </w:rPr>
        <w:t xml:space="preserve">natural hazard </w:t>
      </w:r>
      <w:r w:rsidR="00D038D4" w:rsidRPr="00472578">
        <w:t>register or database, and</w:t>
      </w:r>
    </w:p>
    <w:p w14:paraId="3C14FA51" w14:textId="7F85F517" w:rsidR="00D038D4" w:rsidRPr="00472578" w:rsidRDefault="00FF70D2" w:rsidP="00E92686">
      <w:pPr>
        <w:widowControl w:val="0"/>
        <w:tabs>
          <w:tab w:val="left" w:pos="867"/>
        </w:tabs>
        <w:autoSpaceDE w:val="0"/>
        <w:autoSpaceDN w:val="0"/>
        <w:ind w:left="567" w:hanging="567"/>
        <w:jc w:val="both"/>
      </w:pPr>
      <w:r w:rsidRPr="00472578">
        <w:rPr>
          <w:iCs/>
        </w:rPr>
        <w:t>(3)</w:t>
      </w:r>
      <w:r w:rsidRPr="00472578">
        <w:rPr>
          <w:iCs/>
        </w:rPr>
        <w:tab/>
      </w:r>
      <w:r w:rsidR="00D038D4" w:rsidRPr="00472578">
        <w:rPr>
          <w:i/>
        </w:rPr>
        <w:t xml:space="preserve">territorial authorities </w:t>
      </w:r>
      <w:r w:rsidR="00D038D4" w:rsidRPr="00472578">
        <w:t>are responsible for</w:t>
      </w:r>
      <w:r w:rsidRPr="00472578">
        <w:rPr>
          <w:u w:val="single"/>
        </w:rPr>
        <w:t>:</w:t>
      </w:r>
      <w:r w:rsidRPr="00472578">
        <w:rPr>
          <w:rStyle w:val="FootnoteReference"/>
        </w:rPr>
        <w:footnoteReference w:id="1230"/>
      </w:r>
    </w:p>
    <w:p w14:paraId="0BD3B8A4" w14:textId="226BF936" w:rsidR="00D038D4" w:rsidRPr="00472578" w:rsidRDefault="00FF70D2" w:rsidP="00E92686">
      <w:pPr>
        <w:widowControl w:val="0"/>
        <w:tabs>
          <w:tab w:val="left" w:pos="1433"/>
        </w:tabs>
        <w:autoSpaceDE w:val="0"/>
        <w:autoSpaceDN w:val="0"/>
        <w:ind w:left="1134" w:right="120" w:hanging="567"/>
        <w:jc w:val="both"/>
      </w:pPr>
      <w:r w:rsidRPr="00472578">
        <w:t>(a)</w:t>
      </w:r>
      <w:r w:rsidRPr="00472578">
        <w:tab/>
      </w:r>
      <w:r w:rsidR="00D038D4" w:rsidRPr="00472578">
        <w:t xml:space="preserve">specifying objectives, policies and methods in </w:t>
      </w:r>
      <w:r w:rsidR="00D038D4" w:rsidRPr="00472578">
        <w:rPr>
          <w:i/>
        </w:rPr>
        <w:t xml:space="preserve">district plans </w:t>
      </w:r>
      <w:r w:rsidR="00D038D4" w:rsidRPr="00472578">
        <w:t xml:space="preserve">for </w:t>
      </w:r>
      <w:r w:rsidR="00D038D4" w:rsidRPr="00472578">
        <w:rPr>
          <w:i/>
        </w:rPr>
        <w:t xml:space="preserve">land </w:t>
      </w:r>
      <w:r w:rsidR="00D038D4" w:rsidRPr="00472578">
        <w:t>outside of the areas listed in (2)(a), and</w:t>
      </w:r>
    </w:p>
    <w:p w14:paraId="5FD29248" w14:textId="11E996E9" w:rsidR="00D038D4" w:rsidRPr="00472578" w:rsidRDefault="00FF70D2" w:rsidP="00E92686">
      <w:pPr>
        <w:widowControl w:val="0"/>
        <w:tabs>
          <w:tab w:val="left" w:pos="1433"/>
        </w:tabs>
        <w:autoSpaceDE w:val="0"/>
        <w:autoSpaceDN w:val="0"/>
        <w:ind w:left="1134" w:hanging="567"/>
        <w:jc w:val="both"/>
      </w:pPr>
      <w:r w:rsidRPr="00472578">
        <w:t>(b)</w:t>
      </w:r>
      <w:r w:rsidRPr="00472578">
        <w:tab/>
      </w:r>
      <w:r w:rsidR="00D038D4" w:rsidRPr="00472578">
        <w:t xml:space="preserve">mapping or identifying via the </w:t>
      </w:r>
      <w:r w:rsidR="00D038D4" w:rsidRPr="00472578">
        <w:rPr>
          <w:i/>
        </w:rPr>
        <w:t xml:space="preserve">natural hazard </w:t>
      </w:r>
      <w:r w:rsidR="00D038D4" w:rsidRPr="00472578">
        <w:t>register or database, areas identified in 2(a),</w:t>
      </w:r>
      <w:r w:rsidR="00F51432" w:rsidRPr="00472578">
        <w:t xml:space="preserve"> </w:t>
      </w:r>
      <w:r w:rsidR="00D038D4" w:rsidRPr="00472578">
        <w:t xml:space="preserve">(b) and (c) above subject to natural hazards and describing the characteristics and the extent of those areas in the relevant </w:t>
      </w:r>
      <w:r w:rsidR="00D038D4" w:rsidRPr="00472578">
        <w:rPr>
          <w:i/>
        </w:rPr>
        <w:t>district plan(s)</w:t>
      </w:r>
      <w:r w:rsidR="00D038D4" w:rsidRPr="00472578">
        <w:t>.</w:t>
      </w:r>
    </w:p>
    <w:p w14:paraId="1966CFC8" w14:textId="76A8BC8A"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M2 – Local authorities</w:t>
      </w:r>
    </w:p>
    <w:p w14:paraId="183DD937" w14:textId="7D40B633" w:rsidR="00D038D4" w:rsidRPr="00472578" w:rsidRDefault="00D038D4" w:rsidP="00E92686">
      <w:pPr>
        <w:jc w:val="both"/>
      </w:pPr>
      <w:r w:rsidRPr="00472578">
        <w:rPr>
          <w:i/>
        </w:rPr>
        <w:t xml:space="preserve">Local authorities </w:t>
      </w:r>
      <w:r w:rsidRPr="00472578">
        <w:t xml:space="preserve">must </w:t>
      </w:r>
      <w:r w:rsidRPr="00472578">
        <w:rPr>
          <w:u w:val="single"/>
        </w:rPr>
        <w:t>work collaboratively to</w:t>
      </w:r>
      <w:r w:rsidRPr="00472578">
        <w:t>:</w:t>
      </w:r>
      <w:r w:rsidRPr="00472578">
        <w:rPr>
          <w:rStyle w:val="FootnoteReference"/>
        </w:rPr>
        <w:footnoteReference w:id="1231"/>
      </w:r>
    </w:p>
    <w:p w14:paraId="17C2D73E" w14:textId="31EE1256" w:rsidR="00D038D4" w:rsidRPr="00472578" w:rsidRDefault="00D0219F" w:rsidP="00E92686">
      <w:pPr>
        <w:widowControl w:val="0"/>
        <w:tabs>
          <w:tab w:val="left" w:pos="867"/>
        </w:tabs>
        <w:autoSpaceDE w:val="0"/>
        <w:autoSpaceDN w:val="0"/>
        <w:ind w:left="567" w:right="113" w:hanging="567"/>
        <w:jc w:val="both"/>
      </w:pPr>
      <w:r w:rsidRPr="00472578">
        <w:t>(1)</w:t>
      </w:r>
      <w:r w:rsidRPr="00472578">
        <w:tab/>
      </w:r>
      <w:r w:rsidR="00D038D4" w:rsidRPr="00472578">
        <w:t xml:space="preserve">assess the level of </w:t>
      </w:r>
      <w:r w:rsidR="00D038D4" w:rsidRPr="00472578">
        <w:rPr>
          <w:i/>
        </w:rPr>
        <w:t xml:space="preserve">natural hazard risk </w:t>
      </w:r>
      <w:r w:rsidR="00D038D4" w:rsidRPr="00472578">
        <w:t>in their region or district in accordance with HAZ</w:t>
      </w:r>
      <w:r w:rsidR="00893DC6" w:rsidRPr="00472578">
        <w:t>-</w:t>
      </w:r>
      <w:r w:rsidR="00D038D4" w:rsidRPr="00472578">
        <w:t>NH</w:t>
      </w:r>
      <w:r w:rsidR="00893DC6" w:rsidRPr="00472578">
        <w:t>-</w:t>
      </w:r>
      <w:r w:rsidR="00D038D4" w:rsidRPr="00472578">
        <w:t xml:space="preserve">P2 </w:t>
      </w:r>
      <w:r w:rsidR="00DE73D9" w:rsidRPr="00472578">
        <w:t>and APP</w:t>
      </w:r>
      <w:r w:rsidR="00D038D4" w:rsidRPr="00472578">
        <w:t>6, including by:</w:t>
      </w:r>
    </w:p>
    <w:p w14:paraId="28C82B35" w14:textId="566D155B" w:rsidR="00D038D4" w:rsidRPr="00472578" w:rsidRDefault="00D0219F" w:rsidP="00E92686">
      <w:pPr>
        <w:widowControl w:val="0"/>
        <w:tabs>
          <w:tab w:val="left" w:pos="1433"/>
        </w:tabs>
        <w:autoSpaceDE w:val="0"/>
        <w:autoSpaceDN w:val="0"/>
        <w:ind w:left="1134" w:hanging="567"/>
        <w:jc w:val="both"/>
      </w:pPr>
      <w:r w:rsidRPr="00472578">
        <w:t>(a)</w:t>
      </w:r>
      <w:r w:rsidRPr="00472578">
        <w:tab/>
      </w:r>
      <w:r w:rsidR="00D038D4" w:rsidRPr="00472578">
        <w:t xml:space="preserve">consulting with communities, </w:t>
      </w:r>
      <w:proofErr w:type="gramStart"/>
      <w:r w:rsidR="00D038D4" w:rsidRPr="00472578">
        <w:t>stakeholders</w:t>
      </w:r>
      <w:proofErr w:type="gramEnd"/>
      <w:r w:rsidR="00D038D4" w:rsidRPr="00472578">
        <w:t xml:space="preserve"> and partners</w:t>
      </w:r>
      <w:r w:rsidR="00A45F34">
        <w:t xml:space="preserve"> </w:t>
      </w:r>
      <w:r w:rsidR="00A45F34" w:rsidRPr="00A45F34">
        <w:rPr>
          <w:u w:val="single"/>
        </w:rPr>
        <w:t>(Kāi Tahu)</w:t>
      </w:r>
      <w:r w:rsidR="0036541B">
        <w:rPr>
          <w:rStyle w:val="FootnoteReference"/>
          <w:u w:val="single"/>
        </w:rPr>
        <w:footnoteReference w:id="1232"/>
      </w:r>
      <w:r w:rsidR="00D038D4" w:rsidRPr="00472578">
        <w:rPr>
          <w:u w:val="single"/>
        </w:rPr>
        <w:t>, including with local authorities in neighbouring regions</w:t>
      </w:r>
      <w:r w:rsidR="00D038D4" w:rsidRPr="00472578">
        <w:rPr>
          <w:rStyle w:val="FootnoteReference"/>
        </w:rPr>
        <w:footnoteReference w:id="1233"/>
      </w:r>
      <w:r w:rsidR="00D038D4" w:rsidRPr="00472578">
        <w:t xml:space="preserve"> regarding </w:t>
      </w:r>
      <w:r w:rsidR="00D038D4" w:rsidRPr="00472578">
        <w:rPr>
          <w:i/>
        </w:rPr>
        <w:t xml:space="preserve">risk </w:t>
      </w:r>
      <w:r w:rsidR="00D038D4" w:rsidRPr="00472578">
        <w:t>levels thresholds, and</w:t>
      </w:r>
    </w:p>
    <w:p w14:paraId="222E673F" w14:textId="504CA2D4" w:rsidR="00D038D4" w:rsidRPr="00472578" w:rsidRDefault="00D0219F" w:rsidP="00E92686">
      <w:pPr>
        <w:widowControl w:val="0"/>
        <w:tabs>
          <w:tab w:val="left" w:pos="1433"/>
        </w:tabs>
        <w:autoSpaceDE w:val="0"/>
        <w:autoSpaceDN w:val="0"/>
        <w:ind w:left="1134" w:hanging="567"/>
        <w:jc w:val="both"/>
      </w:pPr>
      <w:r w:rsidRPr="00472578">
        <w:t>(b)</w:t>
      </w:r>
      <w:r w:rsidRPr="00472578">
        <w:tab/>
      </w:r>
      <w:r w:rsidR="00D038D4" w:rsidRPr="00472578">
        <w:t>developing a Risk Table in accordance with Step 3 of APP6 at a district or community scale,</w:t>
      </w:r>
    </w:p>
    <w:p w14:paraId="693BB14E" w14:textId="082749A3" w:rsidR="00D038D4" w:rsidRPr="00472578" w:rsidRDefault="00D0219F" w:rsidP="00E92686">
      <w:pPr>
        <w:widowControl w:val="0"/>
        <w:tabs>
          <w:tab w:val="left" w:pos="867"/>
        </w:tabs>
        <w:autoSpaceDE w:val="0"/>
        <w:autoSpaceDN w:val="0"/>
        <w:ind w:left="567" w:right="116" w:hanging="567"/>
        <w:jc w:val="both"/>
      </w:pPr>
      <w:r w:rsidRPr="00472578">
        <w:t>(2)</w:t>
      </w:r>
      <w:r w:rsidRPr="00472578">
        <w:tab/>
      </w:r>
      <w:r w:rsidR="00D038D4" w:rsidRPr="00472578">
        <w:t xml:space="preserve">continue to undertake research on the identification of </w:t>
      </w:r>
      <w:r w:rsidR="00D038D4" w:rsidRPr="00472578">
        <w:rPr>
          <w:i/>
        </w:rPr>
        <w:t xml:space="preserve">natural hazard risk </w:t>
      </w:r>
      <w:r w:rsidR="00D038D4" w:rsidRPr="00472578">
        <w:t xml:space="preserve">and amend </w:t>
      </w:r>
      <w:r w:rsidR="00D038D4" w:rsidRPr="00472578">
        <w:rPr>
          <w:i/>
        </w:rPr>
        <w:t xml:space="preserve">natural </w:t>
      </w:r>
      <w:r w:rsidR="00D038D4" w:rsidRPr="00472578">
        <w:rPr>
          <w:i/>
        </w:rPr>
        <w:lastRenderedPageBreak/>
        <w:t xml:space="preserve">hazard </w:t>
      </w:r>
      <w:r w:rsidR="00D038D4" w:rsidRPr="00472578">
        <w:t xml:space="preserve">registers, databases, </w:t>
      </w:r>
      <w:r w:rsidR="00D038D4" w:rsidRPr="00472578">
        <w:rPr>
          <w:i/>
        </w:rPr>
        <w:t>regional</w:t>
      </w:r>
      <w:r w:rsidR="00CA3457" w:rsidRPr="00472578">
        <w:rPr>
          <w:i/>
        </w:rPr>
        <w:t xml:space="preserve"> </w:t>
      </w:r>
      <w:r w:rsidR="00CA3457" w:rsidRPr="00472578">
        <w:rPr>
          <w:i/>
          <w:u w:val="single"/>
        </w:rPr>
        <w:t>plans</w:t>
      </w:r>
      <w:r w:rsidR="00CA3457" w:rsidRPr="00472578">
        <w:rPr>
          <w:rStyle w:val="FootnoteReference"/>
          <w:iCs/>
        </w:rPr>
        <w:footnoteReference w:id="1234"/>
      </w:r>
      <w:r w:rsidR="00B23F1F">
        <w:t xml:space="preserve"> a</w:t>
      </w:r>
      <w:r w:rsidR="00D038D4" w:rsidRPr="00472578">
        <w:t xml:space="preserve">nd/or </w:t>
      </w:r>
      <w:r w:rsidR="00D038D4" w:rsidRPr="00472578">
        <w:rPr>
          <w:i/>
        </w:rPr>
        <w:t xml:space="preserve">district plans </w:t>
      </w:r>
      <w:r w:rsidR="00D038D4" w:rsidRPr="00472578">
        <w:t>as required,</w:t>
      </w:r>
    </w:p>
    <w:p w14:paraId="320DD9E0" w14:textId="2421CC7E" w:rsidR="00D038D4" w:rsidRPr="00472578" w:rsidRDefault="00D0219F" w:rsidP="00E92686">
      <w:pPr>
        <w:widowControl w:val="0"/>
        <w:tabs>
          <w:tab w:val="left" w:pos="867"/>
        </w:tabs>
        <w:autoSpaceDE w:val="0"/>
        <w:autoSpaceDN w:val="0"/>
        <w:ind w:left="567" w:right="114" w:hanging="567"/>
        <w:jc w:val="both"/>
      </w:pPr>
      <w:r w:rsidRPr="00472578">
        <w:t>(3)</w:t>
      </w:r>
      <w:r w:rsidRPr="00472578">
        <w:tab/>
      </w:r>
      <w:r w:rsidR="00D038D4" w:rsidRPr="00472578">
        <w:t xml:space="preserve">investigate options for reducing the level of </w:t>
      </w:r>
      <w:r w:rsidR="00D038D4" w:rsidRPr="00472578">
        <w:rPr>
          <w:i/>
        </w:rPr>
        <w:t xml:space="preserve">natural hazard risk </w:t>
      </w:r>
      <w:r w:rsidR="00D038D4" w:rsidRPr="00472578">
        <w:t>within areas of existing development to a tolerable or lower level, including by managing existing use rights under Sections 10 and 20A of the RMA,</w:t>
      </w:r>
    </w:p>
    <w:p w14:paraId="48089C45" w14:textId="77D09EB3" w:rsidR="00D038D4" w:rsidRPr="00472578" w:rsidRDefault="00D0219F" w:rsidP="00E92686">
      <w:pPr>
        <w:widowControl w:val="0"/>
        <w:tabs>
          <w:tab w:val="left" w:pos="867"/>
        </w:tabs>
        <w:autoSpaceDE w:val="0"/>
        <w:autoSpaceDN w:val="0"/>
        <w:ind w:left="567" w:hanging="567"/>
        <w:jc w:val="both"/>
      </w:pPr>
      <w:r w:rsidRPr="00472578">
        <w:t>(4)</w:t>
      </w:r>
      <w:r w:rsidRPr="00472578">
        <w:tab/>
      </w:r>
      <w:r w:rsidR="00D038D4" w:rsidRPr="00472578">
        <w:t xml:space="preserve">prepare or amend and maintain their </w:t>
      </w:r>
      <w:r w:rsidR="00D038D4" w:rsidRPr="00472578">
        <w:rPr>
          <w:i/>
        </w:rPr>
        <w:t xml:space="preserve">regional </w:t>
      </w:r>
      <w:r w:rsidR="00D45515" w:rsidRPr="00472578">
        <w:rPr>
          <w:i/>
          <w:u w:val="single"/>
        </w:rPr>
        <w:t>plans</w:t>
      </w:r>
      <w:r w:rsidR="00D45515" w:rsidRPr="00472578">
        <w:rPr>
          <w:rStyle w:val="FootnoteReference"/>
          <w:iCs/>
        </w:rPr>
        <w:footnoteReference w:id="1235"/>
      </w:r>
      <w:r w:rsidR="00B23F1F">
        <w:t xml:space="preserve"> o</w:t>
      </w:r>
      <w:r w:rsidR="00D038D4" w:rsidRPr="00472578">
        <w:t xml:space="preserve">r </w:t>
      </w:r>
      <w:r w:rsidR="00D038D4" w:rsidRPr="00472578">
        <w:rPr>
          <w:i/>
        </w:rPr>
        <w:t xml:space="preserve">district plans </w:t>
      </w:r>
      <w:r w:rsidR="00D038D4" w:rsidRPr="00472578">
        <w:t xml:space="preserve">to </w:t>
      </w:r>
      <w:proofErr w:type="gramStart"/>
      <w:r w:rsidR="00D038D4" w:rsidRPr="00472578">
        <w:t>take into account</w:t>
      </w:r>
      <w:proofErr w:type="gramEnd"/>
      <w:r w:rsidR="00D038D4" w:rsidRPr="00472578">
        <w:t xml:space="preserve"> the </w:t>
      </w:r>
      <w:r w:rsidR="00D038D4" w:rsidRPr="00472578">
        <w:rPr>
          <w:i/>
        </w:rPr>
        <w:t xml:space="preserve">effects </w:t>
      </w:r>
      <w:r w:rsidR="00D038D4" w:rsidRPr="00472578">
        <w:t>of</w:t>
      </w:r>
      <w:r w:rsidRPr="00472578">
        <w:t xml:space="preserve"> </w:t>
      </w:r>
      <w:r w:rsidR="00D038D4" w:rsidRPr="00472578">
        <w:rPr>
          <w:i/>
        </w:rPr>
        <w:t xml:space="preserve">climate change </w:t>
      </w:r>
      <w:r w:rsidR="00D038D4" w:rsidRPr="00472578">
        <w:t>by:</w:t>
      </w:r>
    </w:p>
    <w:p w14:paraId="0D5FDEC8" w14:textId="13BD81A2" w:rsidR="00D038D4" w:rsidRPr="00472578" w:rsidRDefault="00D0219F" w:rsidP="00E92686">
      <w:pPr>
        <w:widowControl w:val="0"/>
        <w:tabs>
          <w:tab w:val="left" w:pos="1433"/>
        </w:tabs>
        <w:autoSpaceDE w:val="0"/>
        <w:autoSpaceDN w:val="0"/>
        <w:ind w:left="1134" w:hanging="567"/>
        <w:jc w:val="both"/>
      </w:pPr>
      <w:r w:rsidRPr="00472578">
        <w:t>(a)</w:t>
      </w:r>
      <w:r w:rsidRPr="00472578">
        <w:tab/>
      </w:r>
      <w:r w:rsidR="00D038D4" w:rsidRPr="00472578">
        <w:t xml:space="preserve">using the best relevant </w:t>
      </w:r>
      <w:r w:rsidR="00D038D4" w:rsidRPr="00472578">
        <w:rPr>
          <w:i/>
        </w:rPr>
        <w:t xml:space="preserve">climate change </w:t>
      </w:r>
      <w:r w:rsidR="00D038D4" w:rsidRPr="00472578">
        <w:t>data and projections to 2115,</w:t>
      </w:r>
    </w:p>
    <w:p w14:paraId="3A289E4C" w14:textId="3772C8D5" w:rsidR="00D038D4" w:rsidRPr="00472578" w:rsidRDefault="00D0219F" w:rsidP="00E92686">
      <w:pPr>
        <w:widowControl w:val="0"/>
        <w:tabs>
          <w:tab w:val="left" w:pos="1311"/>
          <w:tab w:val="left" w:pos="1433"/>
        </w:tabs>
        <w:autoSpaceDE w:val="0"/>
        <w:autoSpaceDN w:val="0"/>
        <w:ind w:left="1134" w:hanging="567"/>
        <w:jc w:val="both"/>
      </w:pPr>
      <w:r w:rsidRPr="00472578">
        <w:t>(b)</w:t>
      </w:r>
      <w:r w:rsidRPr="00472578">
        <w:tab/>
      </w:r>
      <w:r w:rsidR="00D038D4" w:rsidRPr="00472578">
        <w:t xml:space="preserve">taking a precautionary approach when assessing and managing the </w:t>
      </w:r>
      <w:r w:rsidR="00D038D4" w:rsidRPr="00472578">
        <w:rPr>
          <w:i/>
        </w:rPr>
        <w:t xml:space="preserve">effects </w:t>
      </w:r>
      <w:r w:rsidR="00D038D4" w:rsidRPr="00472578">
        <w:t xml:space="preserve">of </w:t>
      </w:r>
      <w:r w:rsidR="00D038D4" w:rsidRPr="00472578">
        <w:rPr>
          <w:i/>
        </w:rPr>
        <w:t>climate change</w:t>
      </w:r>
      <w:r w:rsidRPr="00472578">
        <w:rPr>
          <w:i/>
        </w:rPr>
        <w:t xml:space="preserve"> </w:t>
      </w:r>
      <w:r w:rsidR="00D038D4" w:rsidRPr="00472578">
        <w:t xml:space="preserve">where there is scientific uncertainty and potentially significant or irreversible </w:t>
      </w:r>
      <w:r w:rsidR="00D038D4" w:rsidRPr="00472578">
        <w:rPr>
          <w:i/>
        </w:rPr>
        <w:t>effects</w:t>
      </w:r>
      <w:r w:rsidR="00D038D4" w:rsidRPr="00472578">
        <w:t>,</w:t>
      </w:r>
    </w:p>
    <w:p w14:paraId="434DA133" w14:textId="59C95324" w:rsidR="00D038D4" w:rsidRPr="00472578" w:rsidRDefault="00D0219F" w:rsidP="00E92686">
      <w:pPr>
        <w:widowControl w:val="0"/>
        <w:tabs>
          <w:tab w:val="left" w:pos="1433"/>
        </w:tabs>
        <w:autoSpaceDE w:val="0"/>
        <w:autoSpaceDN w:val="0"/>
        <w:ind w:left="1134" w:hanging="567"/>
        <w:jc w:val="both"/>
      </w:pPr>
      <w:r w:rsidRPr="00472578">
        <w:t>(c)</w:t>
      </w:r>
      <w:r w:rsidRPr="00472578">
        <w:tab/>
      </w:r>
      <w:r w:rsidR="00D038D4" w:rsidRPr="00472578">
        <w:t xml:space="preserve">providing for activities that assist to reduce or mitigate the </w:t>
      </w:r>
      <w:r w:rsidR="00D038D4" w:rsidRPr="00472578">
        <w:rPr>
          <w:i/>
        </w:rPr>
        <w:t xml:space="preserve">effects </w:t>
      </w:r>
      <w:r w:rsidR="00D038D4" w:rsidRPr="00472578">
        <w:t xml:space="preserve">of </w:t>
      </w:r>
      <w:r w:rsidR="00D038D4" w:rsidRPr="00472578">
        <w:rPr>
          <w:i/>
        </w:rPr>
        <w:t>climate change</w:t>
      </w:r>
      <w:r w:rsidR="00D038D4" w:rsidRPr="00472578">
        <w:t>, and</w:t>
      </w:r>
    </w:p>
    <w:p w14:paraId="142E0855" w14:textId="4C2749FC" w:rsidR="00D038D4" w:rsidRPr="00472578" w:rsidRDefault="00D0219F" w:rsidP="00E92686">
      <w:pPr>
        <w:widowControl w:val="0"/>
        <w:tabs>
          <w:tab w:val="left" w:pos="1433"/>
        </w:tabs>
        <w:autoSpaceDE w:val="0"/>
        <w:autoSpaceDN w:val="0"/>
        <w:ind w:left="1134" w:hanging="567"/>
        <w:jc w:val="both"/>
      </w:pPr>
      <w:r w:rsidRPr="00472578">
        <w:t>(d)</w:t>
      </w:r>
      <w:r w:rsidRPr="00472578">
        <w:tab/>
      </w:r>
      <w:r w:rsidR="00D038D4" w:rsidRPr="00472578">
        <w:t xml:space="preserve">encouraging system </w:t>
      </w:r>
      <w:r w:rsidR="00D038D4" w:rsidRPr="00472578">
        <w:rPr>
          <w:i/>
        </w:rPr>
        <w:t>resilience</w:t>
      </w:r>
      <w:r w:rsidR="00D038D4" w:rsidRPr="00472578">
        <w:t>.</w:t>
      </w:r>
    </w:p>
    <w:p w14:paraId="073ADEC4" w14:textId="5A8CFD60"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 xml:space="preserve">M3 – </w:t>
      </w:r>
      <w:r w:rsidRPr="00903BB5">
        <w:rPr>
          <w:i/>
          <w:iCs/>
        </w:rPr>
        <w:t>Regional plans</w:t>
      </w:r>
    </w:p>
    <w:p w14:paraId="7880C783" w14:textId="77777777" w:rsidR="00D038D4" w:rsidRPr="00472578" w:rsidRDefault="00D038D4" w:rsidP="00E92686">
      <w:pPr>
        <w:pStyle w:val="BodyText"/>
        <w:ind w:right="-23"/>
      </w:pPr>
      <w:r w:rsidRPr="00472578">
        <w:t xml:space="preserve">Otago Regional Council must prepare or amend and maintain its </w:t>
      </w:r>
      <w:r w:rsidRPr="00472578">
        <w:rPr>
          <w:i/>
        </w:rPr>
        <w:t xml:space="preserve">regional plans </w:t>
      </w:r>
      <w:r w:rsidRPr="00472578">
        <w:t>to:</w:t>
      </w:r>
    </w:p>
    <w:p w14:paraId="7F72E346" w14:textId="5852473D" w:rsidR="00D038D4" w:rsidRPr="00472578" w:rsidRDefault="00D0219F" w:rsidP="00E92686">
      <w:pPr>
        <w:widowControl w:val="0"/>
        <w:tabs>
          <w:tab w:val="left" w:pos="867"/>
        </w:tabs>
        <w:autoSpaceDE w:val="0"/>
        <w:autoSpaceDN w:val="0"/>
        <w:ind w:left="567" w:right="117" w:hanging="567"/>
        <w:jc w:val="both"/>
        <w:rPr>
          <w:u w:val="single"/>
        </w:rPr>
      </w:pPr>
      <w:r w:rsidRPr="00472578">
        <w:t>(1)</w:t>
      </w:r>
      <w:r w:rsidRPr="00472578">
        <w:tab/>
      </w:r>
      <w:r w:rsidR="00D038D4" w:rsidRPr="00472578">
        <w:t xml:space="preserve">manage activities in the </w:t>
      </w:r>
      <w:r w:rsidR="00D038D4" w:rsidRPr="00472578">
        <w:rPr>
          <w:i/>
        </w:rPr>
        <w:t>coastal marine area</w:t>
      </w:r>
      <w:r w:rsidR="00D038D4" w:rsidRPr="00472578">
        <w:t xml:space="preserve">, </w:t>
      </w:r>
      <w:r w:rsidR="00D038D4" w:rsidRPr="00472578">
        <w:rPr>
          <w:i/>
        </w:rPr>
        <w:t xml:space="preserve">beds </w:t>
      </w:r>
      <w:r w:rsidR="00D038D4" w:rsidRPr="00472578">
        <w:t xml:space="preserve">of </w:t>
      </w:r>
      <w:r w:rsidR="00D038D4" w:rsidRPr="00472578">
        <w:rPr>
          <w:i/>
        </w:rPr>
        <w:t xml:space="preserve">lakes </w:t>
      </w:r>
      <w:r w:rsidR="00D038D4" w:rsidRPr="00472578">
        <w:t xml:space="preserve">and </w:t>
      </w:r>
      <w:r w:rsidR="00D038D4" w:rsidRPr="00472578">
        <w:rPr>
          <w:i/>
        </w:rPr>
        <w:t>rivers</w:t>
      </w:r>
      <w:r w:rsidR="00D038D4" w:rsidRPr="00472578">
        <w:t xml:space="preserve">, and </w:t>
      </w:r>
      <w:r w:rsidR="00D038D4" w:rsidRPr="00472578">
        <w:rPr>
          <w:i/>
        </w:rPr>
        <w:t xml:space="preserve">wetlands </w:t>
      </w:r>
      <w:r w:rsidR="00D038D4" w:rsidRPr="00472578">
        <w:t>to achieve policies HAZ</w:t>
      </w:r>
      <w:r w:rsidR="00893DC6" w:rsidRPr="00472578">
        <w:t>-</w:t>
      </w:r>
      <w:r w:rsidR="00D038D4" w:rsidRPr="00472578">
        <w:t>NH</w:t>
      </w:r>
      <w:r w:rsidR="00893DC6" w:rsidRPr="00472578">
        <w:t>-</w:t>
      </w:r>
      <w:r w:rsidR="00D038D4" w:rsidRPr="00472578">
        <w:t>P</w:t>
      </w:r>
      <w:r w:rsidR="00D038D4" w:rsidRPr="00472578">
        <w:rPr>
          <w:strike/>
        </w:rPr>
        <w:t>2</w:t>
      </w:r>
      <w:r w:rsidR="00D038D4" w:rsidRPr="00472578">
        <w:rPr>
          <w:u w:val="single"/>
        </w:rPr>
        <w:t>3</w:t>
      </w:r>
      <w:r w:rsidR="00D038D4" w:rsidRPr="00472578">
        <w:rPr>
          <w:rStyle w:val="FootnoteReference"/>
        </w:rPr>
        <w:footnoteReference w:id="1236"/>
      </w:r>
      <w:r w:rsidR="00D038D4" w:rsidRPr="00472578">
        <w:t xml:space="preserve"> to HAZ</w:t>
      </w:r>
      <w:r w:rsidR="00893DC6" w:rsidRPr="00472578">
        <w:t>-</w:t>
      </w:r>
      <w:r w:rsidR="00D038D4" w:rsidRPr="00472578">
        <w:t>NH</w:t>
      </w:r>
      <w:r w:rsidR="00893DC6" w:rsidRPr="00472578">
        <w:t>-</w:t>
      </w:r>
      <w:r w:rsidR="00D038D4" w:rsidRPr="00472578">
        <w:t xml:space="preserve">P6, </w:t>
      </w:r>
      <w:r w:rsidR="00D038D4" w:rsidRPr="00472578">
        <w:rPr>
          <w:strike/>
        </w:rPr>
        <w:t>and APP6</w:t>
      </w:r>
      <w:r w:rsidR="00D038D4" w:rsidRPr="00472578">
        <w:t xml:space="preserve"> </w:t>
      </w:r>
      <w:r w:rsidR="00D038D4" w:rsidRPr="00472578">
        <w:rPr>
          <w:u w:val="single"/>
        </w:rPr>
        <w:t xml:space="preserve">and the </w:t>
      </w:r>
      <w:r w:rsidR="00D038D4" w:rsidRPr="00472578">
        <w:rPr>
          <w:iCs/>
          <w:u w:val="single"/>
        </w:rPr>
        <w:t>outcomes of the Risk Table established within HAZ-NH-M2(1)</w:t>
      </w:r>
      <w:r w:rsidR="00D038D4" w:rsidRPr="00472578">
        <w:rPr>
          <w:rStyle w:val="FootnoteReference"/>
        </w:rPr>
        <w:t xml:space="preserve"> </w:t>
      </w:r>
      <w:r w:rsidR="00D038D4" w:rsidRPr="00472578">
        <w:rPr>
          <w:rStyle w:val="FootnoteReference"/>
        </w:rPr>
        <w:footnoteReference w:id="1237"/>
      </w:r>
      <w:r w:rsidR="00D038D4" w:rsidRPr="00472578">
        <w:t>,</w:t>
      </w:r>
    </w:p>
    <w:p w14:paraId="7585E9D7" w14:textId="36ED9533" w:rsidR="00D038D4" w:rsidRPr="00472578" w:rsidRDefault="00D92BC6" w:rsidP="00E92686">
      <w:pPr>
        <w:widowControl w:val="0"/>
        <w:tabs>
          <w:tab w:val="left" w:pos="867"/>
        </w:tabs>
        <w:autoSpaceDE w:val="0"/>
        <w:autoSpaceDN w:val="0"/>
        <w:ind w:left="567" w:right="116" w:hanging="567"/>
        <w:jc w:val="both"/>
      </w:pPr>
      <w:r w:rsidRPr="00472578">
        <w:t>(2)</w:t>
      </w:r>
      <w:r w:rsidRPr="00472578">
        <w:tab/>
      </w:r>
      <w:r w:rsidR="00D038D4" w:rsidRPr="00472578">
        <w:t xml:space="preserve">include </w:t>
      </w:r>
      <w:r w:rsidR="00D038D4" w:rsidRPr="00472578">
        <w:rPr>
          <w:i/>
        </w:rPr>
        <w:t xml:space="preserve">natural hazard </w:t>
      </w:r>
      <w:r w:rsidR="00D038D4" w:rsidRPr="00472578">
        <w:rPr>
          <w:i/>
          <w:u w:val="single"/>
        </w:rPr>
        <w:t>risk</w:t>
      </w:r>
      <w:r w:rsidR="00D038D4" w:rsidRPr="00C86767">
        <w:rPr>
          <w:rStyle w:val="FootnoteReference"/>
        </w:rPr>
        <w:footnoteReference w:id="1238"/>
      </w:r>
      <w:r w:rsidR="00D038D4" w:rsidRPr="00472578">
        <w:t xml:space="preserve"> reduction measures, such as removing or restricting existing </w:t>
      </w:r>
      <w:r w:rsidR="00D038D4" w:rsidRPr="00472578">
        <w:rPr>
          <w:i/>
        </w:rPr>
        <w:t xml:space="preserve">land </w:t>
      </w:r>
      <w:r w:rsidR="00D038D4" w:rsidRPr="00472578">
        <w:t xml:space="preserve">uses, where there is significant </w:t>
      </w:r>
      <w:r w:rsidR="00D038D4" w:rsidRPr="00472578">
        <w:rPr>
          <w:i/>
        </w:rPr>
        <w:t xml:space="preserve">risk </w:t>
      </w:r>
      <w:r w:rsidR="00424254">
        <w:rPr>
          <w:i/>
          <w:u w:val="single"/>
        </w:rPr>
        <w:t>(in relation to natural hazards)</w:t>
      </w:r>
      <w:r w:rsidR="00424254" w:rsidRPr="00181614">
        <w:rPr>
          <w:sz w:val="20"/>
          <w:szCs w:val="20"/>
          <w:vertAlign w:val="superscript"/>
        </w:rPr>
        <w:footnoteReference w:id="1239"/>
      </w:r>
      <w:r w:rsidR="00424254" w:rsidRPr="00472578">
        <w:t xml:space="preserve"> </w:t>
      </w:r>
      <w:r w:rsidR="00D038D4" w:rsidRPr="00472578">
        <w:t>to people or property,</w:t>
      </w:r>
    </w:p>
    <w:p w14:paraId="28E289C3" w14:textId="139EFFC1" w:rsidR="00D038D4" w:rsidRPr="00472578" w:rsidRDefault="00D92BC6" w:rsidP="00E92686">
      <w:pPr>
        <w:widowControl w:val="0"/>
        <w:tabs>
          <w:tab w:val="left" w:pos="867"/>
        </w:tabs>
        <w:autoSpaceDE w:val="0"/>
        <w:autoSpaceDN w:val="0"/>
        <w:ind w:left="567" w:hanging="567"/>
        <w:jc w:val="both"/>
      </w:pPr>
      <w:r w:rsidRPr="00472578">
        <w:t>(3)</w:t>
      </w:r>
      <w:r w:rsidRPr="00472578">
        <w:tab/>
      </w:r>
      <w:r w:rsidR="00D038D4" w:rsidRPr="00472578">
        <w:t xml:space="preserve">protect natural or modified features and systems that provide mitigation from the adverse </w:t>
      </w:r>
      <w:r w:rsidR="00D038D4" w:rsidRPr="00472578">
        <w:rPr>
          <w:i/>
        </w:rPr>
        <w:t>effects</w:t>
      </w:r>
      <w:r w:rsidRPr="00472578">
        <w:rPr>
          <w:i/>
        </w:rPr>
        <w:t xml:space="preserve"> </w:t>
      </w:r>
      <w:r w:rsidR="00D038D4" w:rsidRPr="00472578">
        <w:t xml:space="preserve">of </w:t>
      </w:r>
      <w:r w:rsidR="00D038D4" w:rsidRPr="00472578">
        <w:rPr>
          <w:i/>
        </w:rPr>
        <w:t xml:space="preserve">natural hazards </w:t>
      </w:r>
      <w:r w:rsidR="00D038D4" w:rsidRPr="00472578">
        <w:t>in accordance with HAZ</w:t>
      </w:r>
      <w:r w:rsidR="00893DC6" w:rsidRPr="00472578">
        <w:t>-</w:t>
      </w:r>
      <w:r w:rsidR="00D038D4" w:rsidRPr="00472578">
        <w:t>NH</w:t>
      </w:r>
      <w:r w:rsidR="00893DC6" w:rsidRPr="00472578">
        <w:t>-</w:t>
      </w:r>
      <w:r w:rsidR="00D038D4" w:rsidRPr="00472578">
        <w:t>P6,</w:t>
      </w:r>
    </w:p>
    <w:p w14:paraId="15CBBF54" w14:textId="749DB1F7" w:rsidR="00D038D4" w:rsidRPr="00472578" w:rsidRDefault="00D92BC6" w:rsidP="00E92686">
      <w:pPr>
        <w:widowControl w:val="0"/>
        <w:tabs>
          <w:tab w:val="left" w:pos="867"/>
        </w:tabs>
        <w:autoSpaceDE w:val="0"/>
        <w:autoSpaceDN w:val="0"/>
        <w:ind w:left="567" w:hanging="567"/>
        <w:jc w:val="both"/>
      </w:pPr>
      <w:r w:rsidRPr="00472578">
        <w:t>(4)</w:t>
      </w:r>
      <w:r w:rsidRPr="00472578">
        <w:tab/>
      </w:r>
      <w:r w:rsidR="00D038D4" w:rsidRPr="00472578">
        <w:t xml:space="preserve">provide for </w:t>
      </w:r>
      <w:r w:rsidR="00D038D4" w:rsidRPr="00472578">
        <w:rPr>
          <w:i/>
        </w:rPr>
        <w:t xml:space="preserve">hard protection structures </w:t>
      </w:r>
      <w:r w:rsidR="00D038D4" w:rsidRPr="00472578">
        <w:t>in accordance with HAZ</w:t>
      </w:r>
      <w:r w:rsidR="00893DC6" w:rsidRPr="00472578">
        <w:t>-</w:t>
      </w:r>
      <w:r w:rsidR="00D038D4" w:rsidRPr="00472578">
        <w:t>NH</w:t>
      </w:r>
      <w:r w:rsidR="00893DC6" w:rsidRPr="00472578">
        <w:t>-</w:t>
      </w:r>
      <w:r w:rsidR="00D038D4" w:rsidRPr="00472578">
        <w:t>P7,</w:t>
      </w:r>
    </w:p>
    <w:p w14:paraId="4477C9EA" w14:textId="763ACB2F" w:rsidR="00D038D4" w:rsidRPr="00472578" w:rsidRDefault="00D92BC6" w:rsidP="00E92686">
      <w:pPr>
        <w:widowControl w:val="0"/>
        <w:tabs>
          <w:tab w:val="left" w:pos="867"/>
        </w:tabs>
        <w:autoSpaceDE w:val="0"/>
        <w:autoSpaceDN w:val="0"/>
        <w:ind w:left="567" w:right="117" w:hanging="567"/>
        <w:jc w:val="both"/>
      </w:pPr>
      <w:r w:rsidRPr="00472578">
        <w:t>(5)</w:t>
      </w:r>
      <w:r w:rsidRPr="00472578">
        <w:tab/>
      </w:r>
      <w:r w:rsidR="00D038D4" w:rsidRPr="00472578">
        <w:t xml:space="preserve">provide for the </w:t>
      </w:r>
      <w:r w:rsidR="00D038D4" w:rsidRPr="00472578">
        <w:rPr>
          <w:i/>
        </w:rPr>
        <w:t xml:space="preserve">functional needs </w:t>
      </w:r>
      <w:r w:rsidR="00D038D4" w:rsidRPr="00472578">
        <w:t xml:space="preserve">of hazard mitigation measures, </w:t>
      </w:r>
      <w:r w:rsidR="00D038D4" w:rsidRPr="00472578">
        <w:rPr>
          <w:i/>
        </w:rPr>
        <w:t>lifeline utilities</w:t>
      </w:r>
      <w:r w:rsidR="00D038D4" w:rsidRPr="00472578">
        <w:t>, and essential or emergency services in accordance with HAZ</w:t>
      </w:r>
      <w:r w:rsidR="00893DC6" w:rsidRPr="00472578">
        <w:t>-</w:t>
      </w:r>
      <w:r w:rsidR="00D038D4" w:rsidRPr="00472578">
        <w:t>NH</w:t>
      </w:r>
      <w:r w:rsidR="00893DC6" w:rsidRPr="00472578">
        <w:t>-</w:t>
      </w:r>
      <w:r w:rsidR="00D038D4" w:rsidRPr="00472578">
        <w:t>P8 and HAZ</w:t>
      </w:r>
      <w:r w:rsidR="00893DC6" w:rsidRPr="00472578">
        <w:t>-</w:t>
      </w:r>
      <w:r w:rsidR="00D038D4" w:rsidRPr="00472578">
        <w:t>NH</w:t>
      </w:r>
      <w:r w:rsidR="00893DC6" w:rsidRPr="00472578">
        <w:t>-</w:t>
      </w:r>
      <w:r w:rsidR="00D038D4" w:rsidRPr="00472578">
        <w:t>P9,</w:t>
      </w:r>
    </w:p>
    <w:p w14:paraId="4289EC07" w14:textId="3A84AB55" w:rsidR="00D038D4" w:rsidRPr="00472578" w:rsidRDefault="00D92BC6" w:rsidP="00E92686">
      <w:pPr>
        <w:widowControl w:val="0"/>
        <w:tabs>
          <w:tab w:val="left" w:pos="867"/>
        </w:tabs>
        <w:autoSpaceDE w:val="0"/>
        <w:autoSpaceDN w:val="0"/>
        <w:ind w:left="567" w:right="116" w:hanging="567"/>
        <w:jc w:val="both"/>
      </w:pPr>
      <w:r w:rsidRPr="00472578">
        <w:t>(6)</w:t>
      </w:r>
      <w:r w:rsidRPr="00472578">
        <w:tab/>
      </w:r>
      <w:r w:rsidR="00D038D4" w:rsidRPr="00472578">
        <w:t>include provisions that require decision makers to apply the precautionary approach set out in HAZ</w:t>
      </w:r>
      <w:r w:rsidR="00893DC6" w:rsidRPr="00472578">
        <w:t>-</w:t>
      </w:r>
      <w:r w:rsidR="00D038D4" w:rsidRPr="00472578">
        <w:t>NH</w:t>
      </w:r>
      <w:r w:rsidR="00893DC6" w:rsidRPr="00472578">
        <w:t>-</w:t>
      </w:r>
      <w:r w:rsidR="00D038D4" w:rsidRPr="00472578">
        <w:t xml:space="preserve">P5 when considering applications for </w:t>
      </w:r>
      <w:r w:rsidR="00D038D4" w:rsidRPr="00472578">
        <w:rPr>
          <w:i/>
        </w:rPr>
        <w:t xml:space="preserve">resource consent </w:t>
      </w:r>
      <w:r w:rsidR="00D038D4" w:rsidRPr="00472578">
        <w:t xml:space="preserve">for activities that will change the use of </w:t>
      </w:r>
      <w:r w:rsidR="00D038D4" w:rsidRPr="00472578">
        <w:rPr>
          <w:i/>
        </w:rPr>
        <w:t xml:space="preserve">land </w:t>
      </w:r>
      <w:r w:rsidR="00D038D4" w:rsidRPr="00472578">
        <w:t xml:space="preserve">and thereby increase the </w:t>
      </w:r>
      <w:r w:rsidR="00D038D4" w:rsidRPr="00472578">
        <w:rPr>
          <w:i/>
        </w:rPr>
        <w:t xml:space="preserve">risk </w:t>
      </w:r>
      <w:r w:rsidR="00F6281E">
        <w:rPr>
          <w:i/>
          <w:u w:val="single"/>
        </w:rPr>
        <w:t>(in relation to natural hazards)</w:t>
      </w:r>
      <w:r w:rsidR="00F6281E" w:rsidRPr="00181614">
        <w:rPr>
          <w:sz w:val="20"/>
          <w:szCs w:val="20"/>
          <w:vertAlign w:val="superscript"/>
        </w:rPr>
        <w:footnoteReference w:id="1240"/>
      </w:r>
      <w:r w:rsidR="00F6281E" w:rsidRPr="00472578">
        <w:t xml:space="preserve"> </w:t>
      </w:r>
      <w:r w:rsidR="00D038D4" w:rsidRPr="00472578">
        <w:t xml:space="preserve">from </w:t>
      </w:r>
      <w:r w:rsidR="00D038D4" w:rsidRPr="00472578">
        <w:rPr>
          <w:i/>
        </w:rPr>
        <w:t xml:space="preserve">natural hazards </w:t>
      </w:r>
      <w:r w:rsidR="00D038D4" w:rsidRPr="00472578">
        <w:t xml:space="preserve">within areas subject to </w:t>
      </w:r>
      <w:r w:rsidR="00D038D4" w:rsidRPr="00472578">
        <w:rPr>
          <w:i/>
        </w:rPr>
        <w:t xml:space="preserve">natural hazard risk </w:t>
      </w:r>
      <w:r w:rsidR="00D038D4" w:rsidRPr="00472578">
        <w:t>that is uncertain or unknown, but potentially significant or irreversible, and</w:t>
      </w:r>
    </w:p>
    <w:p w14:paraId="4030901A" w14:textId="563B92F8" w:rsidR="00D038D4" w:rsidRPr="00472578" w:rsidRDefault="00D92BC6" w:rsidP="00E92686">
      <w:pPr>
        <w:widowControl w:val="0"/>
        <w:tabs>
          <w:tab w:val="left" w:pos="867"/>
        </w:tabs>
        <w:autoSpaceDE w:val="0"/>
        <w:autoSpaceDN w:val="0"/>
        <w:ind w:left="567" w:right="113" w:hanging="567"/>
        <w:jc w:val="both"/>
      </w:pPr>
      <w:r w:rsidRPr="00472578">
        <w:t>(7)</w:t>
      </w:r>
      <w:r w:rsidRPr="00472578">
        <w:tab/>
      </w:r>
      <w:r w:rsidR="00D038D4" w:rsidRPr="00472578">
        <w:t xml:space="preserve">require a </w:t>
      </w:r>
      <w:r w:rsidR="00D038D4" w:rsidRPr="00472578">
        <w:rPr>
          <w:i/>
        </w:rPr>
        <w:t xml:space="preserve">natural hazard risk </w:t>
      </w:r>
      <w:r w:rsidR="00D038D4" w:rsidRPr="00472578">
        <w:t xml:space="preserve">assessment </w:t>
      </w:r>
      <w:bookmarkStart w:id="283" w:name="_Hlk95997960"/>
      <w:r w:rsidR="00D038D4" w:rsidRPr="00472578">
        <w:rPr>
          <w:u w:val="single"/>
        </w:rPr>
        <w:t xml:space="preserve">commensurate with the level of </w:t>
      </w:r>
      <w:r w:rsidR="00D038D4" w:rsidRPr="00F6281E">
        <w:rPr>
          <w:i/>
          <w:iCs/>
          <w:u w:val="single"/>
        </w:rPr>
        <w:t>risk</w:t>
      </w:r>
      <w:r w:rsidR="00D038D4" w:rsidRPr="00472578">
        <w:rPr>
          <w:u w:val="single"/>
        </w:rPr>
        <w:t xml:space="preserve"> </w:t>
      </w:r>
      <w:r w:rsidR="00F6281E">
        <w:rPr>
          <w:i/>
          <w:u w:val="single"/>
        </w:rPr>
        <w:t xml:space="preserve">(in relation to </w:t>
      </w:r>
      <w:r w:rsidR="00F6281E">
        <w:rPr>
          <w:i/>
          <w:u w:val="single"/>
        </w:rPr>
        <w:lastRenderedPageBreak/>
        <w:t>natural hazards)</w:t>
      </w:r>
      <w:r w:rsidR="00F6281E" w:rsidRPr="00181614">
        <w:rPr>
          <w:sz w:val="20"/>
          <w:szCs w:val="20"/>
          <w:vertAlign w:val="superscript"/>
        </w:rPr>
        <w:footnoteReference w:id="1241"/>
      </w:r>
      <w:r w:rsidR="00F6281E" w:rsidRPr="00472578">
        <w:t xml:space="preserve"> </w:t>
      </w:r>
      <w:r w:rsidR="00D038D4" w:rsidRPr="00472578">
        <w:rPr>
          <w:u w:val="single"/>
        </w:rPr>
        <w:t>from the proposed activity</w:t>
      </w:r>
      <w:r w:rsidR="00D038D4" w:rsidRPr="00472578">
        <w:rPr>
          <w:rStyle w:val="FootnoteReference"/>
        </w:rPr>
        <w:footnoteReference w:id="1242"/>
      </w:r>
      <w:r w:rsidR="00D038D4" w:rsidRPr="00472578">
        <w:t xml:space="preserve"> </w:t>
      </w:r>
      <w:bookmarkEnd w:id="283"/>
      <w:r w:rsidR="00D038D4" w:rsidRPr="00472578">
        <w:t xml:space="preserve">be undertaken where an activity requires a </w:t>
      </w:r>
      <w:r w:rsidR="00D038D4" w:rsidRPr="00472578">
        <w:rPr>
          <w:i/>
        </w:rPr>
        <w:t xml:space="preserve">resource consent </w:t>
      </w:r>
      <w:r w:rsidR="00D038D4" w:rsidRPr="00472578">
        <w:t xml:space="preserve">to change the use of </w:t>
      </w:r>
      <w:r w:rsidR="00D038D4" w:rsidRPr="00472578">
        <w:rPr>
          <w:i/>
        </w:rPr>
        <w:t xml:space="preserve">land </w:t>
      </w:r>
      <w:r w:rsidR="00D038D4" w:rsidRPr="00472578">
        <w:rPr>
          <w:strike/>
        </w:rPr>
        <w:t xml:space="preserve">which will increase the </w:t>
      </w:r>
      <w:r w:rsidR="00D038D4" w:rsidRPr="00472578">
        <w:rPr>
          <w:i/>
          <w:strike/>
        </w:rPr>
        <w:t xml:space="preserve">risk </w:t>
      </w:r>
      <w:r w:rsidR="00D038D4" w:rsidRPr="00472578">
        <w:rPr>
          <w:strike/>
        </w:rPr>
        <w:t xml:space="preserve">from </w:t>
      </w:r>
      <w:r w:rsidR="00D038D4" w:rsidRPr="00472578">
        <w:rPr>
          <w:i/>
          <w:strike/>
        </w:rPr>
        <w:t xml:space="preserve">natural hazards </w:t>
      </w:r>
      <w:r w:rsidR="00D038D4" w:rsidRPr="00472578">
        <w:rPr>
          <w:strike/>
        </w:rPr>
        <w:t>with</w:t>
      </w:r>
      <w:r w:rsidR="00D038D4" w:rsidRPr="00472578">
        <w:rPr>
          <w:rStyle w:val="FootnoteReference"/>
        </w:rPr>
        <w:footnoteReference w:id="1243"/>
      </w:r>
      <w:r w:rsidR="00D038D4" w:rsidRPr="00472578">
        <w:t xml:space="preserve">in areas subject to </w:t>
      </w:r>
      <w:r w:rsidR="00D038D4" w:rsidRPr="00472578">
        <w:rPr>
          <w:i/>
        </w:rPr>
        <w:t xml:space="preserve">natural hazards, </w:t>
      </w:r>
      <w:r w:rsidR="00D038D4" w:rsidRPr="00472578">
        <w:t xml:space="preserve">and where the </w:t>
      </w:r>
      <w:r w:rsidR="00D038D4" w:rsidRPr="00472578">
        <w:rPr>
          <w:i/>
        </w:rPr>
        <w:t xml:space="preserve">resource consent </w:t>
      </w:r>
      <w:r w:rsidR="00D038D4" w:rsidRPr="00472578">
        <w:t xml:space="preserve">is lodged prior to the </w:t>
      </w:r>
      <w:r w:rsidR="00D038D4" w:rsidRPr="00472578">
        <w:rPr>
          <w:i/>
        </w:rPr>
        <w:t xml:space="preserve">natural hazard risk </w:t>
      </w:r>
      <w:r w:rsidR="00D038D4" w:rsidRPr="00472578">
        <w:t>assessment required by HAZ</w:t>
      </w:r>
      <w:r w:rsidR="00893DC6" w:rsidRPr="00472578">
        <w:t>-</w:t>
      </w:r>
      <w:r w:rsidR="00D038D4" w:rsidRPr="00472578">
        <w:t>NH</w:t>
      </w:r>
      <w:r w:rsidR="00893DC6" w:rsidRPr="00472578">
        <w:t>-</w:t>
      </w:r>
      <w:r w:rsidR="00D038D4" w:rsidRPr="00472578">
        <w:t>M2(1) being completed</w:t>
      </w:r>
      <w:r w:rsidR="00D038D4" w:rsidRPr="00472578">
        <w:rPr>
          <w:u w:val="single"/>
        </w:rPr>
        <w:t>, inc</w:t>
      </w:r>
      <w:r w:rsidR="00B829E0" w:rsidRPr="00472578">
        <w:rPr>
          <w:u w:val="single"/>
        </w:rPr>
        <w:t>luded</w:t>
      </w:r>
      <w:r w:rsidR="00D038D4" w:rsidRPr="00472578">
        <w:rPr>
          <w:u w:val="single"/>
        </w:rPr>
        <w:t xml:space="preserve"> in the </w:t>
      </w:r>
      <w:r w:rsidR="00D038D4" w:rsidRPr="00472578">
        <w:rPr>
          <w:i/>
          <w:iCs/>
          <w:u w:val="single"/>
        </w:rPr>
        <w:t>regional plan</w:t>
      </w:r>
      <w:r w:rsidR="00D038D4" w:rsidRPr="00472578">
        <w:rPr>
          <w:u w:val="single"/>
        </w:rPr>
        <w:t xml:space="preserve"> and made operative</w:t>
      </w:r>
      <w:r w:rsidR="00D038D4" w:rsidRPr="00472578">
        <w:t>,</w:t>
      </w:r>
      <w:r w:rsidR="00D038D4" w:rsidRPr="00472578">
        <w:rPr>
          <w:rStyle w:val="FootnoteReference"/>
        </w:rPr>
        <w:footnoteReference w:id="1244"/>
      </w:r>
      <w:r w:rsidR="00D038D4" w:rsidRPr="00472578">
        <w:t xml:space="preserve"> the </w:t>
      </w:r>
      <w:r w:rsidR="00D038D4" w:rsidRPr="00472578">
        <w:rPr>
          <w:i/>
        </w:rPr>
        <w:t xml:space="preserve">natural hazard risk </w:t>
      </w:r>
      <w:r w:rsidR="00D038D4" w:rsidRPr="00472578">
        <w:t>assessment must include:</w:t>
      </w:r>
    </w:p>
    <w:p w14:paraId="2214FAD5" w14:textId="1914D050" w:rsidR="00D038D4" w:rsidRPr="00472578" w:rsidRDefault="00D92BC6" w:rsidP="00E92686">
      <w:pPr>
        <w:widowControl w:val="0"/>
        <w:tabs>
          <w:tab w:val="left" w:pos="1433"/>
        </w:tabs>
        <w:autoSpaceDE w:val="0"/>
        <w:autoSpaceDN w:val="0"/>
        <w:ind w:left="1134" w:right="116" w:hanging="567"/>
        <w:jc w:val="both"/>
      </w:pPr>
      <w:r w:rsidRPr="00472578">
        <w:t>(a)</w:t>
      </w:r>
      <w:r w:rsidRPr="00472578">
        <w:tab/>
      </w:r>
      <w:r w:rsidR="00D038D4" w:rsidRPr="00472578">
        <w:t xml:space="preserve">an assessment of the level of </w:t>
      </w:r>
      <w:r w:rsidR="00D038D4" w:rsidRPr="00472578">
        <w:rPr>
          <w:i/>
        </w:rPr>
        <w:t xml:space="preserve">natural hazard risk </w:t>
      </w:r>
      <w:r w:rsidR="00D038D4" w:rsidRPr="00472578">
        <w:t>associated with the proposal in accordance with APP6, and</w:t>
      </w:r>
    </w:p>
    <w:p w14:paraId="19E77880" w14:textId="154249C8" w:rsidR="00D038D4" w:rsidRPr="00472578" w:rsidRDefault="00D92BC6" w:rsidP="00E92686">
      <w:pPr>
        <w:widowControl w:val="0"/>
        <w:tabs>
          <w:tab w:val="left" w:pos="1433"/>
        </w:tabs>
        <w:autoSpaceDE w:val="0"/>
        <w:autoSpaceDN w:val="0"/>
        <w:ind w:left="1134" w:right="114" w:hanging="567"/>
        <w:jc w:val="both"/>
      </w:pPr>
      <w:r w:rsidRPr="00472578">
        <w:t>(b)</w:t>
      </w:r>
      <w:r w:rsidRPr="00472578">
        <w:tab/>
      </w:r>
      <w:r w:rsidR="00D038D4" w:rsidRPr="00472578">
        <w:t>an assessment demonstrating how the proposal will achieve the outcomes set out in Policies HAZ</w:t>
      </w:r>
      <w:r w:rsidR="00893DC6" w:rsidRPr="00472578">
        <w:t>-</w:t>
      </w:r>
      <w:r w:rsidR="00D038D4" w:rsidRPr="00472578">
        <w:t>NH</w:t>
      </w:r>
      <w:r w:rsidR="00893DC6" w:rsidRPr="00472578">
        <w:t>-</w:t>
      </w:r>
      <w:r w:rsidR="00D038D4" w:rsidRPr="00472578">
        <w:t>P3 and HAZ</w:t>
      </w:r>
      <w:r w:rsidR="00893DC6" w:rsidRPr="00472578">
        <w:t>-</w:t>
      </w:r>
      <w:r w:rsidR="00D038D4" w:rsidRPr="00472578">
        <w:t>NH</w:t>
      </w:r>
      <w:r w:rsidR="00893DC6" w:rsidRPr="00472578">
        <w:t>-</w:t>
      </w:r>
      <w:r w:rsidR="00D038D4" w:rsidRPr="00472578">
        <w:t>P</w:t>
      </w:r>
      <w:proofErr w:type="gramStart"/>
      <w:r w:rsidR="00D038D4" w:rsidRPr="00472578">
        <w:t>4</w:t>
      </w:r>
      <w:r w:rsidR="000026E1" w:rsidRPr="00472578">
        <w:rPr>
          <w:u w:val="single"/>
        </w:rPr>
        <w:t>,</w:t>
      </w:r>
      <w:r w:rsidR="000026E1" w:rsidRPr="00472578">
        <w:rPr>
          <w:strike/>
        </w:rPr>
        <w:t>.</w:t>
      </w:r>
      <w:proofErr w:type="gramEnd"/>
      <w:r w:rsidR="000026E1" w:rsidRPr="00472578">
        <w:t xml:space="preserve"> </w:t>
      </w:r>
      <w:r w:rsidR="000026E1" w:rsidRPr="00472578">
        <w:rPr>
          <w:u w:val="single"/>
        </w:rPr>
        <w:t>and</w:t>
      </w:r>
    </w:p>
    <w:p w14:paraId="755108AB" w14:textId="3152AB8A" w:rsidR="00D038D4" w:rsidRPr="00472578" w:rsidRDefault="000B6FA2" w:rsidP="00E92686">
      <w:pPr>
        <w:tabs>
          <w:tab w:val="left" w:pos="1433"/>
        </w:tabs>
        <w:ind w:left="567" w:right="114" w:hanging="567"/>
        <w:jc w:val="both"/>
      </w:pPr>
      <w:r w:rsidRPr="00472578">
        <w:rPr>
          <w:u w:val="single"/>
        </w:rPr>
        <w:t xml:space="preserve">(8) </w:t>
      </w:r>
      <w:r w:rsidRPr="00472578">
        <w:rPr>
          <w:u w:val="single"/>
        </w:rPr>
        <w:tab/>
      </w:r>
      <w:r w:rsidR="000026E1" w:rsidRPr="639E38F9">
        <w:rPr>
          <w:u w:val="single"/>
        </w:rPr>
        <w:t xml:space="preserve">not require a </w:t>
      </w:r>
      <w:r w:rsidR="000026E1" w:rsidRPr="639E38F9">
        <w:rPr>
          <w:i/>
          <w:u w:val="single"/>
        </w:rPr>
        <w:t xml:space="preserve">natural hazard risk </w:t>
      </w:r>
      <w:r w:rsidR="000026E1" w:rsidRPr="639E38F9">
        <w:rPr>
          <w:u w:val="single"/>
        </w:rPr>
        <w:t xml:space="preserve">assessment in accordance with APP6 for resource consent applications, once the </w:t>
      </w:r>
      <w:r w:rsidR="000026E1" w:rsidRPr="639E38F9">
        <w:rPr>
          <w:i/>
          <w:u w:val="single"/>
        </w:rPr>
        <w:t xml:space="preserve">natural hazard risk </w:t>
      </w:r>
      <w:r w:rsidR="000026E1" w:rsidRPr="639E38F9">
        <w:rPr>
          <w:u w:val="single"/>
        </w:rPr>
        <w:t>assessment required by HAZ-NH-M2(1) has been</w:t>
      </w:r>
      <w:r w:rsidR="00EB038D" w:rsidRPr="639E38F9">
        <w:rPr>
          <w:u w:val="single"/>
        </w:rPr>
        <w:t xml:space="preserve"> </w:t>
      </w:r>
      <w:r w:rsidR="00EB038D" w:rsidRPr="00472578">
        <w:rPr>
          <w:u w:val="single"/>
        </w:rPr>
        <w:t>completed, inc</w:t>
      </w:r>
      <w:r w:rsidR="00B829E0" w:rsidRPr="00472578">
        <w:rPr>
          <w:u w:val="single"/>
        </w:rPr>
        <w:t>luded</w:t>
      </w:r>
      <w:r w:rsidR="00EB038D" w:rsidRPr="00472578">
        <w:rPr>
          <w:u w:val="single"/>
        </w:rPr>
        <w:t xml:space="preserve"> in the </w:t>
      </w:r>
      <w:r w:rsidR="0086279A" w:rsidRPr="00472578">
        <w:rPr>
          <w:u w:val="single"/>
        </w:rPr>
        <w:t xml:space="preserve">relevant </w:t>
      </w:r>
      <w:r w:rsidR="00EB038D" w:rsidRPr="00472578">
        <w:rPr>
          <w:i/>
          <w:iCs/>
          <w:u w:val="single"/>
        </w:rPr>
        <w:t xml:space="preserve">regional </w:t>
      </w:r>
      <w:proofErr w:type="gramStart"/>
      <w:r w:rsidR="00EB038D" w:rsidRPr="00472578">
        <w:rPr>
          <w:i/>
          <w:iCs/>
          <w:u w:val="single"/>
        </w:rPr>
        <w:t>plan</w:t>
      </w:r>
      <w:proofErr w:type="gramEnd"/>
      <w:r w:rsidR="00EB038D" w:rsidRPr="00472578">
        <w:rPr>
          <w:u w:val="single"/>
        </w:rPr>
        <w:t xml:space="preserve"> and made operative,</w:t>
      </w:r>
      <w:r w:rsidR="000026E1" w:rsidRPr="639E38F9">
        <w:rPr>
          <w:u w:val="single"/>
        </w:rPr>
        <w:t xml:space="preserve"> unless</w:t>
      </w:r>
      <w:r w:rsidR="008C65BC" w:rsidRPr="639E38F9">
        <w:rPr>
          <w:u w:val="single"/>
        </w:rPr>
        <w:t xml:space="preserve"> otherwise</w:t>
      </w:r>
      <w:r w:rsidR="000026E1" w:rsidRPr="639E38F9">
        <w:rPr>
          <w:u w:val="single"/>
        </w:rPr>
        <w:t xml:space="preserve"> expressly required by the relevant </w:t>
      </w:r>
      <w:r w:rsidR="000026E1" w:rsidRPr="639E38F9">
        <w:rPr>
          <w:i/>
          <w:u w:val="single"/>
        </w:rPr>
        <w:t>regional plan</w:t>
      </w:r>
      <w:r w:rsidR="0049686F" w:rsidRPr="00472578">
        <w:rPr>
          <w:u w:val="single"/>
        </w:rPr>
        <w:t>.</w:t>
      </w:r>
      <w:r w:rsidR="00D038D4" w:rsidRPr="00472578">
        <w:rPr>
          <w:rStyle w:val="FootnoteReference"/>
        </w:rPr>
        <w:footnoteReference w:id="1245"/>
      </w:r>
    </w:p>
    <w:p w14:paraId="19A55E48" w14:textId="2B382055"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M4 – District plans</w:t>
      </w:r>
    </w:p>
    <w:p w14:paraId="781EABF2" w14:textId="77777777" w:rsidR="00D038D4" w:rsidRPr="00472578" w:rsidRDefault="00D038D4" w:rsidP="00E92686">
      <w:pPr>
        <w:jc w:val="both"/>
      </w:pPr>
      <w:r w:rsidRPr="00472578">
        <w:rPr>
          <w:i/>
        </w:rPr>
        <w:t xml:space="preserve">Territorial authorities </w:t>
      </w:r>
      <w:r w:rsidRPr="00472578">
        <w:t xml:space="preserve">must prepare or amend and maintain their </w:t>
      </w:r>
      <w:r w:rsidRPr="00472578">
        <w:rPr>
          <w:i/>
        </w:rPr>
        <w:t xml:space="preserve">district plans </w:t>
      </w:r>
      <w:r w:rsidRPr="00472578">
        <w:t>to:</w:t>
      </w:r>
    </w:p>
    <w:p w14:paraId="4BB7612B" w14:textId="601200D9" w:rsidR="00D038D4" w:rsidRPr="00472578" w:rsidRDefault="0049686F" w:rsidP="00E92686">
      <w:pPr>
        <w:widowControl w:val="0"/>
        <w:tabs>
          <w:tab w:val="left" w:pos="867"/>
        </w:tabs>
        <w:autoSpaceDE w:val="0"/>
        <w:autoSpaceDN w:val="0"/>
        <w:ind w:left="567" w:right="117" w:hanging="567"/>
        <w:jc w:val="both"/>
        <w:rPr>
          <w:u w:val="single"/>
        </w:rPr>
      </w:pPr>
      <w:r w:rsidRPr="00472578">
        <w:t>(1)</w:t>
      </w:r>
      <w:r w:rsidRPr="00472578">
        <w:tab/>
      </w:r>
      <w:r w:rsidR="00D038D4" w:rsidRPr="00472578">
        <w:t>achieve policies HAZ</w:t>
      </w:r>
      <w:r w:rsidR="00893DC6" w:rsidRPr="00472578">
        <w:t>-</w:t>
      </w:r>
      <w:r w:rsidR="00D038D4" w:rsidRPr="00472578">
        <w:t>NH</w:t>
      </w:r>
      <w:r w:rsidR="00893DC6" w:rsidRPr="00472578">
        <w:t>-</w:t>
      </w:r>
      <w:r w:rsidR="00D038D4" w:rsidRPr="00472578">
        <w:t>P</w:t>
      </w:r>
      <w:r w:rsidR="00D038D4" w:rsidRPr="00472578">
        <w:rPr>
          <w:strike/>
        </w:rPr>
        <w:t>2</w:t>
      </w:r>
      <w:r w:rsidR="00D038D4" w:rsidRPr="00472578">
        <w:rPr>
          <w:u w:val="single"/>
        </w:rPr>
        <w:t>3</w:t>
      </w:r>
      <w:r w:rsidR="00D038D4" w:rsidRPr="00472578">
        <w:rPr>
          <w:rStyle w:val="FootnoteReference"/>
        </w:rPr>
        <w:footnoteReference w:id="1246"/>
      </w:r>
      <w:r w:rsidR="00D038D4" w:rsidRPr="00472578">
        <w:t xml:space="preserve"> to HAZ</w:t>
      </w:r>
      <w:r w:rsidR="00893DC6" w:rsidRPr="00472578">
        <w:t>-</w:t>
      </w:r>
      <w:r w:rsidR="00D038D4" w:rsidRPr="00472578">
        <w:t>NH</w:t>
      </w:r>
      <w:r w:rsidR="00893DC6" w:rsidRPr="00472578">
        <w:t>-</w:t>
      </w:r>
      <w:r w:rsidR="00D038D4" w:rsidRPr="00472578">
        <w:t>P6</w:t>
      </w:r>
      <w:r w:rsidR="000D6372" w:rsidRPr="00472578">
        <w:rPr>
          <w:u w:val="single"/>
        </w:rPr>
        <w:t>,</w:t>
      </w:r>
      <w:r w:rsidR="00D038D4" w:rsidRPr="00472578">
        <w:t xml:space="preserve"> </w:t>
      </w:r>
      <w:r w:rsidR="00D038D4" w:rsidRPr="00472578">
        <w:rPr>
          <w:strike/>
        </w:rPr>
        <w:t>and APP6</w:t>
      </w:r>
      <w:r w:rsidR="00D038D4" w:rsidRPr="00472578">
        <w:rPr>
          <w:u w:val="single"/>
        </w:rPr>
        <w:t xml:space="preserve"> </w:t>
      </w:r>
      <w:bookmarkStart w:id="284" w:name="_Hlk95381215"/>
      <w:r w:rsidR="00D038D4" w:rsidRPr="00472578">
        <w:rPr>
          <w:u w:val="single"/>
        </w:rPr>
        <w:t xml:space="preserve">and incorporate the </w:t>
      </w:r>
      <w:r w:rsidR="00D038D4" w:rsidRPr="00472578">
        <w:rPr>
          <w:iCs/>
          <w:u w:val="single"/>
        </w:rPr>
        <w:t>outcomes of the Risk Table established within HAZ-NH-M2(1)</w:t>
      </w:r>
      <w:r w:rsidR="002E1651" w:rsidRPr="00472578">
        <w:rPr>
          <w:iCs/>
          <w:u w:val="single"/>
        </w:rPr>
        <w:t>,</w:t>
      </w:r>
      <w:r w:rsidR="00D038D4" w:rsidRPr="00472578">
        <w:rPr>
          <w:rStyle w:val="FootnoteReference"/>
          <w:iCs/>
        </w:rPr>
        <w:footnoteReference w:id="1247"/>
      </w:r>
      <w:r w:rsidR="00D038D4" w:rsidRPr="00472578">
        <w:rPr>
          <w:iCs/>
        </w:rPr>
        <w:t xml:space="preserve"> </w:t>
      </w:r>
      <w:r w:rsidR="00D038D4" w:rsidRPr="00472578">
        <w:t xml:space="preserve">on </w:t>
      </w:r>
      <w:r w:rsidR="00D038D4" w:rsidRPr="00472578">
        <w:rPr>
          <w:i/>
        </w:rPr>
        <w:t xml:space="preserve">land </w:t>
      </w:r>
      <w:r w:rsidR="00D038D4" w:rsidRPr="00472578">
        <w:t xml:space="preserve">outside the </w:t>
      </w:r>
      <w:r w:rsidR="00D038D4" w:rsidRPr="00472578">
        <w:rPr>
          <w:i/>
        </w:rPr>
        <w:t>coastal marine area</w:t>
      </w:r>
      <w:r w:rsidR="00D038D4" w:rsidRPr="00472578">
        <w:t xml:space="preserve">, </w:t>
      </w:r>
      <w:r w:rsidR="00D038D4" w:rsidRPr="00472578">
        <w:rPr>
          <w:i/>
        </w:rPr>
        <w:t xml:space="preserve">beds </w:t>
      </w:r>
      <w:r w:rsidR="00D038D4" w:rsidRPr="00472578">
        <w:t xml:space="preserve">of </w:t>
      </w:r>
      <w:r w:rsidR="00D038D4" w:rsidRPr="00472578">
        <w:rPr>
          <w:i/>
        </w:rPr>
        <w:t xml:space="preserve">lakes </w:t>
      </w:r>
      <w:r w:rsidR="00D038D4" w:rsidRPr="00472578">
        <w:t xml:space="preserve">and </w:t>
      </w:r>
      <w:r w:rsidR="00D038D4" w:rsidRPr="00472578">
        <w:rPr>
          <w:i/>
        </w:rPr>
        <w:t>rivers</w:t>
      </w:r>
      <w:r w:rsidR="00D038D4" w:rsidRPr="00472578">
        <w:t xml:space="preserve">, and </w:t>
      </w:r>
      <w:r w:rsidR="00D038D4" w:rsidRPr="00472578">
        <w:rPr>
          <w:i/>
        </w:rPr>
        <w:t xml:space="preserve">wetlands </w:t>
      </w:r>
      <w:r w:rsidR="00D038D4" w:rsidRPr="00472578">
        <w:t xml:space="preserve">by managing the location, scale and density of activities that </w:t>
      </w:r>
      <w:r w:rsidR="00D038D4" w:rsidRPr="00472578">
        <w:rPr>
          <w:u w:val="single"/>
        </w:rPr>
        <w:t>are</w:t>
      </w:r>
      <w:r w:rsidR="00D038D4" w:rsidRPr="00472578">
        <w:t xml:space="preserve"> </w:t>
      </w:r>
      <w:r w:rsidR="00D038D4" w:rsidRPr="00472578">
        <w:rPr>
          <w:strike/>
        </w:rPr>
        <w:t>may be</w:t>
      </w:r>
      <w:r w:rsidR="00D038D4" w:rsidRPr="00472578">
        <w:rPr>
          <w:rStyle w:val="FootnoteReference"/>
        </w:rPr>
        <w:footnoteReference w:id="1248"/>
      </w:r>
      <w:r w:rsidR="00D038D4" w:rsidRPr="00472578">
        <w:t xml:space="preserve"> subject to </w:t>
      </w:r>
      <w:r w:rsidR="00D038D4" w:rsidRPr="00472578">
        <w:rPr>
          <w:i/>
        </w:rPr>
        <w:t>natural hazard risk,</w:t>
      </w:r>
      <w:bookmarkEnd w:id="284"/>
    </w:p>
    <w:p w14:paraId="55178B02" w14:textId="3A903D0A" w:rsidR="00D038D4" w:rsidRPr="00472578" w:rsidRDefault="0049686F" w:rsidP="00E92686">
      <w:pPr>
        <w:widowControl w:val="0"/>
        <w:tabs>
          <w:tab w:val="left" w:pos="867"/>
        </w:tabs>
        <w:autoSpaceDE w:val="0"/>
        <w:autoSpaceDN w:val="0"/>
        <w:ind w:left="567" w:right="117" w:hanging="567"/>
        <w:jc w:val="both"/>
      </w:pPr>
      <w:r w:rsidRPr="00472578">
        <w:t>(2)</w:t>
      </w:r>
      <w:r w:rsidRPr="00472578">
        <w:tab/>
      </w:r>
      <w:r w:rsidR="00D038D4" w:rsidRPr="00472578">
        <w:rPr>
          <w:strike/>
        </w:rPr>
        <w:t>require implementation of</w:t>
      </w:r>
      <w:r w:rsidR="00D038D4" w:rsidRPr="00472578">
        <w:t xml:space="preserve"> </w:t>
      </w:r>
      <w:r w:rsidR="00D038D4" w:rsidRPr="00472578">
        <w:rPr>
          <w:u w:val="single"/>
        </w:rPr>
        <w:t>implement</w:t>
      </w:r>
      <w:r w:rsidR="00D038D4" w:rsidRPr="00472578">
        <w:rPr>
          <w:rStyle w:val="FootnoteReference"/>
        </w:rPr>
        <w:footnoteReference w:id="1249"/>
      </w:r>
      <w:r w:rsidR="00D038D4" w:rsidRPr="00472578">
        <w:t xml:space="preserve"> </w:t>
      </w:r>
      <w:r w:rsidR="00D038D4" w:rsidRPr="00472578">
        <w:rPr>
          <w:i/>
        </w:rPr>
        <w:t xml:space="preserve">natural hazard risk </w:t>
      </w:r>
      <w:r w:rsidR="00D038D4" w:rsidRPr="00472578">
        <w:t>reduction measures, including to existing activities in accordance with HAZ</w:t>
      </w:r>
      <w:r w:rsidR="00893DC6" w:rsidRPr="00472578">
        <w:t>-</w:t>
      </w:r>
      <w:r w:rsidR="00D038D4" w:rsidRPr="00472578">
        <w:t>NH</w:t>
      </w:r>
      <w:r w:rsidR="00893DC6" w:rsidRPr="00472578">
        <w:t>-</w:t>
      </w:r>
      <w:r w:rsidR="00D038D4" w:rsidRPr="00472578">
        <w:t>P4,</w:t>
      </w:r>
    </w:p>
    <w:p w14:paraId="033CA425" w14:textId="64D087CC" w:rsidR="00D038D4" w:rsidRPr="00472578" w:rsidRDefault="0049686F" w:rsidP="00E92686">
      <w:pPr>
        <w:widowControl w:val="0"/>
        <w:tabs>
          <w:tab w:val="left" w:pos="867"/>
        </w:tabs>
        <w:autoSpaceDE w:val="0"/>
        <w:autoSpaceDN w:val="0"/>
        <w:ind w:left="567" w:right="118" w:hanging="567"/>
        <w:jc w:val="both"/>
      </w:pPr>
      <w:r w:rsidRPr="00472578">
        <w:t>(3)</w:t>
      </w:r>
      <w:r w:rsidRPr="00472578">
        <w:tab/>
      </w:r>
      <w:r w:rsidR="00D038D4" w:rsidRPr="00472578">
        <w:t xml:space="preserve">protect the role of natural or modified features and systems that provide mitigation from the adverse </w:t>
      </w:r>
      <w:r w:rsidR="00D038D4" w:rsidRPr="00472578">
        <w:rPr>
          <w:i/>
        </w:rPr>
        <w:t xml:space="preserve">effects </w:t>
      </w:r>
      <w:r w:rsidR="00D038D4" w:rsidRPr="00472578">
        <w:t xml:space="preserve">of </w:t>
      </w:r>
      <w:r w:rsidR="00D038D4" w:rsidRPr="00472578">
        <w:rPr>
          <w:i/>
        </w:rPr>
        <w:t xml:space="preserve">natural hazards </w:t>
      </w:r>
      <w:r w:rsidR="00D038D4" w:rsidRPr="00472578">
        <w:t>in accordance with HAZ</w:t>
      </w:r>
      <w:r w:rsidR="00893DC6" w:rsidRPr="00472578">
        <w:t>-</w:t>
      </w:r>
      <w:r w:rsidR="00D038D4" w:rsidRPr="00472578">
        <w:t>NH</w:t>
      </w:r>
      <w:r w:rsidR="00893DC6" w:rsidRPr="00472578">
        <w:t>-</w:t>
      </w:r>
      <w:r w:rsidR="00D038D4" w:rsidRPr="00472578">
        <w:t>P6,</w:t>
      </w:r>
    </w:p>
    <w:p w14:paraId="4871DFCE" w14:textId="22721CA2" w:rsidR="00D038D4" w:rsidRPr="00472578" w:rsidRDefault="0049686F" w:rsidP="00E92686">
      <w:pPr>
        <w:widowControl w:val="0"/>
        <w:tabs>
          <w:tab w:val="left" w:pos="867"/>
        </w:tabs>
        <w:autoSpaceDE w:val="0"/>
        <w:autoSpaceDN w:val="0"/>
        <w:ind w:left="567" w:hanging="567"/>
        <w:jc w:val="both"/>
      </w:pPr>
      <w:r w:rsidRPr="00472578">
        <w:t>(4)</w:t>
      </w:r>
      <w:r w:rsidRPr="00472578">
        <w:tab/>
      </w:r>
      <w:r w:rsidR="00D038D4" w:rsidRPr="00472578">
        <w:t xml:space="preserve">provide for </w:t>
      </w:r>
      <w:r w:rsidR="00D038D4" w:rsidRPr="00472578">
        <w:rPr>
          <w:i/>
        </w:rPr>
        <w:t xml:space="preserve">hard protection structures </w:t>
      </w:r>
      <w:r w:rsidR="00D038D4" w:rsidRPr="00472578">
        <w:t>in accordance with HAZ</w:t>
      </w:r>
      <w:r w:rsidR="00893DC6" w:rsidRPr="00472578">
        <w:t>-</w:t>
      </w:r>
      <w:r w:rsidR="00D038D4" w:rsidRPr="00472578">
        <w:t>NH</w:t>
      </w:r>
      <w:r w:rsidR="00893DC6" w:rsidRPr="00472578">
        <w:t>-</w:t>
      </w:r>
      <w:r w:rsidR="00D038D4" w:rsidRPr="00472578">
        <w:t>P7,</w:t>
      </w:r>
    </w:p>
    <w:p w14:paraId="53A3BCCD" w14:textId="3E42DCF5" w:rsidR="00D038D4" w:rsidRPr="00472578" w:rsidRDefault="0049686F" w:rsidP="00E92686">
      <w:pPr>
        <w:widowControl w:val="0"/>
        <w:tabs>
          <w:tab w:val="left" w:pos="867"/>
        </w:tabs>
        <w:autoSpaceDE w:val="0"/>
        <w:autoSpaceDN w:val="0"/>
        <w:ind w:left="567" w:right="117" w:hanging="567"/>
        <w:jc w:val="both"/>
      </w:pPr>
      <w:r w:rsidRPr="00472578">
        <w:t>(5)</w:t>
      </w:r>
      <w:r w:rsidRPr="00472578">
        <w:tab/>
      </w:r>
      <w:r w:rsidR="00D038D4" w:rsidRPr="00472578">
        <w:t xml:space="preserve">provide for the </w:t>
      </w:r>
      <w:r w:rsidR="00D038D4" w:rsidRPr="00472578">
        <w:rPr>
          <w:i/>
        </w:rPr>
        <w:t xml:space="preserve">functional needs </w:t>
      </w:r>
      <w:r w:rsidR="00D038D4" w:rsidRPr="00472578">
        <w:t xml:space="preserve">of hazard mitigation measures, </w:t>
      </w:r>
      <w:r w:rsidR="00D038D4" w:rsidRPr="00472578">
        <w:rPr>
          <w:i/>
        </w:rPr>
        <w:t>lifeline utilities</w:t>
      </w:r>
      <w:r w:rsidR="00D038D4" w:rsidRPr="00472578">
        <w:t>, and essential or emergency services in accordance with HAZ</w:t>
      </w:r>
      <w:r w:rsidR="00893DC6" w:rsidRPr="00472578">
        <w:t>-</w:t>
      </w:r>
      <w:r w:rsidR="00D038D4" w:rsidRPr="00472578">
        <w:t>NH</w:t>
      </w:r>
      <w:r w:rsidR="00893DC6" w:rsidRPr="00472578">
        <w:t>-</w:t>
      </w:r>
      <w:r w:rsidR="00D038D4" w:rsidRPr="00472578">
        <w:t>P8 and HAZ</w:t>
      </w:r>
      <w:r w:rsidR="00893DC6" w:rsidRPr="00472578">
        <w:t>-</w:t>
      </w:r>
      <w:r w:rsidR="00D038D4" w:rsidRPr="00472578">
        <w:t>NH</w:t>
      </w:r>
      <w:r w:rsidR="00893DC6" w:rsidRPr="00472578">
        <w:t>-</w:t>
      </w:r>
      <w:r w:rsidR="00D038D4" w:rsidRPr="00472578">
        <w:t>P9,</w:t>
      </w:r>
    </w:p>
    <w:p w14:paraId="4B8EE295" w14:textId="433AFDE7" w:rsidR="00D038D4" w:rsidRPr="00472578" w:rsidRDefault="0049686F" w:rsidP="00E92686">
      <w:pPr>
        <w:widowControl w:val="0"/>
        <w:tabs>
          <w:tab w:val="left" w:pos="867"/>
        </w:tabs>
        <w:autoSpaceDE w:val="0"/>
        <w:autoSpaceDN w:val="0"/>
        <w:ind w:left="567" w:right="116" w:hanging="567"/>
        <w:jc w:val="both"/>
      </w:pPr>
      <w:r w:rsidRPr="00472578">
        <w:t>(6)</w:t>
      </w:r>
      <w:r w:rsidRPr="00472578">
        <w:tab/>
      </w:r>
      <w:r w:rsidR="00D038D4" w:rsidRPr="00472578">
        <w:t>include provisions that require decision makers to apply the precautionary approach set out in HAZ</w:t>
      </w:r>
      <w:r w:rsidR="00893DC6" w:rsidRPr="00472578">
        <w:t>-</w:t>
      </w:r>
      <w:r w:rsidR="00D038D4" w:rsidRPr="00472578">
        <w:t>NH</w:t>
      </w:r>
      <w:r w:rsidR="00893DC6" w:rsidRPr="00472578">
        <w:t>-</w:t>
      </w:r>
      <w:r w:rsidR="00D038D4" w:rsidRPr="00472578">
        <w:t xml:space="preserve">P5 when considering applications for </w:t>
      </w:r>
      <w:r w:rsidR="00D038D4" w:rsidRPr="00472578">
        <w:rPr>
          <w:i/>
        </w:rPr>
        <w:t xml:space="preserve">resource consent </w:t>
      </w:r>
      <w:r w:rsidR="00D038D4" w:rsidRPr="00472578">
        <w:t xml:space="preserve">for activities that will change the use of </w:t>
      </w:r>
      <w:r w:rsidR="00D038D4" w:rsidRPr="00472578">
        <w:rPr>
          <w:i/>
        </w:rPr>
        <w:t xml:space="preserve">land </w:t>
      </w:r>
      <w:r w:rsidR="00D038D4" w:rsidRPr="00472578">
        <w:t xml:space="preserve">and which may increase the </w:t>
      </w:r>
      <w:r w:rsidR="00D038D4" w:rsidRPr="00472578">
        <w:rPr>
          <w:i/>
        </w:rPr>
        <w:t>risk</w:t>
      </w:r>
      <w:r w:rsidR="00F40515">
        <w:rPr>
          <w:i/>
        </w:rPr>
        <w:t xml:space="preserve"> </w:t>
      </w:r>
      <w:r w:rsidR="00F40515">
        <w:rPr>
          <w:i/>
          <w:u w:val="single"/>
        </w:rPr>
        <w:t>(in relation to natural hazards)</w:t>
      </w:r>
      <w:r w:rsidR="00F40515" w:rsidRPr="00181614">
        <w:rPr>
          <w:sz w:val="20"/>
          <w:szCs w:val="20"/>
          <w:vertAlign w:val="superscript"/>
        </w:rPr>
        <w:footnoteReference w:id="1250"/>
      </w:r>
      <w:r w:rsidR="00D038D4" w:rsidRPr="00472578">
        <w:rPr>
          <w:i/>
        </w:rPr>
        <w:t xml:space="preserve"> </w:t>
      </w:r>
      <w:r w:rsidR="00D038D4" w:rsidRPr="00472578">
        <w:t xml:space="preserve">from </w:t>
      </w:r>
      <w:r w:rsidR="00D038D4" w:rsidRPr="00472578">
        <w:rPr>
          <w:i/>
        </w:rPr>
        <w:t xml:space="preserve">natural hazards </w:t>
      </w:r>
      <w:r w:rsidR="00D038D4" w:rsidRPr="00472578">
        <w:t xml:space="preserve">within areas subject to </w:t>
      </w:r>
      <w:r w:rsidR="00D038D4" w:rsidRPr="00472578">
        <w:rPr>
          <w:i/>
        </w:rPr>
        <w:t xml:space="preserve">natural hazard risk </w:t>
      </w:r>
      <w:r w:rsidR="00D038D4" w:rsidRPr="00472578">
        <w:t>that is uncertain or unknown, but potentially significant or irreversible, and</w:t>
      </w:r>
    </w:p>
    <w:p w14:paraId="43974D5D" w14:textId="490E58CB" w:rsidR="00D038D4" w:rsidRPr="00472578" w:rsidRDefault="0049686F" w:rsidP="00E92686">
      <w:pPr>
        <w:widowControl w:val="0"/>
        <w:tabs>
          <w:tab w:val="left" w:pos="867"/>
        </w:tabs>
        <w:autoSpaceDE w:val="0"/>
        <w:autoSpaceDN w:val="0"/>
        <w:ind w:left="567" w:right="116" w:hanging="567"/>
        <w:jc w:val="both"/>
      </w:pPr>
      <w:r w:rsidRPr="00472578">
        <w:t>(7)</w:t>
      </w:r>
      <w:r w:rsidRPr="00472578">
        <w:tab/>
      </w:r>
      <w:r w:rsidR="00D038D4" w:rsidRPr="00472578">
        <w:t xml:space="preserve">require a </w:t>
      </w:r>
      <w:r w:rsidR="00D038D4" w:rsidRPr="00472578">
        <w:rPr>
          <w:i/>
        </w:rPr>
        <w:t xml:space="preserve">natural hazard risk </w:t>
      </w:r>
      <w:r w:rsidR="00D038D4" w:rsidRPr="00472578">
        <w:t xml:space="preserve">assessment </w:t>
      </w:r>
      <w:r w:rsidR="00D038D4" w:rsidRPr="00472578">
        <w:rPr>
          <w:u w:val="single"/>
        </w:rPr>
        <w:t xml:space="preserve">commensurate with the level of risk from the </w:t>
      </w:r>
      <w:r w:rsidR="00D038D4" w:rsidRPr="00472578">
        <w:rPr>
          <w:u w:val="single"/>
        </w:rPr>
        <w:lastRenderedPageBreak/>
        <w:t>proposed activity</w:t>
      </w:r>
      <w:r w:rsidR="00D038D4" w:rsidRPr="00472578">
        <w:rPr>
          <w:rStyle w:val="FootnoteReference"/>
        </w:rPr>
        <w:footnoteReference w:id="1251"/>
      </w:r>
      <w:r w:rsidR="00D038D4" w:rsidRPr="00472578">
        <w:t xml:space="preserve"> be undertaken where an activity requires a plan change or </w:t>
      </w:r>
      <w:r w:rsidR="00D038D4" w:rsidRPr="00472578">
        <w:rPr>
          <w:i/>
        </w:rPr>
        <w:t xml:space="preserve">resource consent </w:t>
      </w:r>
      <w:r w:rsidR="00D038D4" w:rsidRPr="00472578">
        <w:t xml:space="preserve">to change the use of </w:t>
      </w:r>
      <w:r w:rsidR="00D038D4" w:rsidRPr="00472578">
        <w:rPr>
          <w:i/>
        </w:rPr>
        <w:t xml:space="preserve">land </w:t>
      </w:r>
      <w:r w:rsidR="00D038D4" w:rsidRPr="00472578">
        <w:rPr>
          <w:strike/>
        </w:rPr>
        <w:t xml:space="preserve">which will increase the </w:t>
      </w:r>
      <w:r w:rsidR="00D038D4" w:rsidRPr="00472578">
        <w:rPr>
          <w:i/>
          <w:strike/>
        </w:rPr>
        <w:t xml:space="preserve">risk </w:t>
      </w:r>
      <w:r w:rsidR="00D038D4" w:rsidRPr="00472578">
        <w:rPr>
          <w:strike/>
        </w:rPr>
        <w:t xml:space="preserve">from </w:t>
      </w:r>
      <w:r w:rsidR="00D038D4" w:rsidRPr="00472578">
        <w:rPr>
          <w:i/>
          <w:strike/>
        </w:rPr>
        <w:t xml:space="preserve">natural hazards </w:t>
      </w:r>
      <w:r w:rsidR="00D038D4" w:rsidRPr="00472578">
        <w:rPr>
          <w:strike/>
        </w:rPr>
        <w:t>with</w:t>
      </w:r>
      <w:r w:rsidR="00D038D4" w:rsidRPr="00472578">
        <w:rPr>
          <w:rStyle w:val="FootnoteReference"/>
        </w:rPr>
        <w:footnoteReference w:id="1252"/>
      </w:r>
      <w:r w:rsidR="00C706BA" w:rsidRPr="00C706BA">
        <w:t xml:space="preserve"> </w:t>
      </w:r>
      <w:r w:rsidR="00D038D4" w:rsidRPr="00472578">
        <w:t xml:space="preserve">in areas subject to </w:t>
      </w:r>
      <w:r w:rsidR="00D038D4" w:rsidRPr="00472578">
        <w:rPr>
          <w:i/>
        </w:rPr>
        <w:t>natural hazards</w:t>
      </w:r>
      <w:r w:rsidR="00D038D4" w:rsidRPr="00472578">
        <w:t xml:space="preserve">, and where the application is lodged prior to the </w:t>
      </w:r>
      <w:r w:rsidR="00D038D4" w:rsidRPr="00472578">
        <w:rPr>
          <w:i/>
        </w:rPr>
        <w:t xml:space="preserve">natural hazard risk </w:t>
      </w:r>
      <w:r w:rsidR="00D038D4" w:rsidRPr="00472578">
        <w:t>assessment required by HAZ</w:t>
      </w:r>
      <w:r w:rsidR="00893DC6" w:rsidRPr="00472578">
        <w:t>-</w:t>
      </w:r>
      <w:r w:rsidR="00D038D4" w:rsidRPr="00472578">
        <w:t>NH</w:t>
      </w:r>
      <w:r w:rsidR="00893DC6" w:rsidRPr="00472578">
        <w:t>-</w:t>
      </w:r>
      <w:r w:rsidR="00D038D4" w:rsidRPr="00472578">
        <w:t>M2(1) being completed</w:t>
      </w:r>
      <w:r w:rsidR="00D038D4" w:rsidRPr="00472578">
        <w:rPr>
          <w:u w:val="single"/>
        </w:rPr>
        <w:t>, inc</w:t>
      </w:r>
      <w:r w:rsidR="004C5D9F" w:rsidRPr="00472578">
        <w:rPr>
          <w:u w:val="single"/>
        </w:rPr>
        <w:t>luded</w:t>
      </w:r>
      <w:r w:rsidR="00D038D4" w:rsidRPr="00472578">
        <w:rPr>
          <w:u w:val="single"/>
        </w:rPr>
        <w:t xml:space="preserve"> in the </w:t>
      </w:r>
      <w:r w:rsidR="00D038D4" w:rsidRPr="00472578">
        <w:rPr>
          <w:i/>
          <w:u w:val="single"/>
        </w:rPr>
        <w:t>district</w:t>
      </w:r>
      <w:r w:rsidR="00D038D4" w:rsidRPr="00472578">
        <w:rPr>
          <w:u w:val="single"/>
        </w:rPr>
        <w:t xml:space="preserve"> </w:t>
      </w:r>
      <w:r w:rsidR="00D038D4" w:rsidRPr="00472578">
        <w:rPr>
          <w:i/>
          <w:u w:val="single"/>
        </w:rPr>
        <w:t>plan</w:t>
      </w:r>
      <w:r w:rsidR="00D038D4" w:rsidRPr="00472578">
        <w:rPr>
          <w:u w:val="single"/>
        </w:rPr>
        <w:t xml:space="preserve"> and made operative</w:t>
      </w:r>
      <w:r w:rsidR="00D038D4" w:rsidRPr="00472578">
        <w:rPr>
          <w:rStyle w:val="FootnoteReference"/>
        </w:rPr>
        <w:footnoteReference w:id="1253"/>
      </w:r>
      <w:r w:rsidR="00D038D4" w:rsidRPr="00472578">
        <w:t xml:space="preserve">, the </w:t>
      </w:r>
      <w:r w:rsidR="00D038D4" w:rsidRPr="00472578">
        <w:rPr>
          <w:i/>
        </w:rPr>
        <w:t xml:space="preserve">natural hazard risk </w:t>
      </w:r>
      <w:r w:rsidR="00D038D4" w:rsidRPr="00472578">
        <w:t>assessment must include:</w:t>
      </w:r>
    </w:p>
    <w:p w14:paraId="1E7FBD75" w14:textId="0B929815" w:rsidR="00D038D4" w:rsidRPr="00472578" w:rsidRDefault="0049686F" w:rsidP="00E92686">
      <w:pPr>
        <w:widowControl w:val="0"/>
        <w:tabs>
          <w:tab w:val="left" w:pos="1433"/>
        </w:tabs>
        <w:autoSpaceDE w:val="0"/>
        <w:autoSpaceDN w:val="0"/>
        <w:ind w:left="1134" w:right="116" w:hanging="567"/>
        <w:jc w:val="both"/>
      </w:pPr>
      <w:r w:rsidRPr="00472578">
        <w:t>(a)</w:t>
      </w:r>
      <w:r w:rsidRPr="00472578">
        <w:tab/>
      </w:r>
      <w:r w:rsidR="00D038D4" w:rsidRPr="00472578">
        <w:t xml:space="preserve">an assessment of the level of </w:t>
      </w:r>
      <w:r w:rsidR="00D038D4" w:rsidRPr="00472578">
        <w:rPr>
          <w:i/>
        </w:rPr>
        <w:t xml:space="preserve">natural hazard risk </w:t>
      </w:r>
      <w:r w:rsidR="00D038D4" w:rsidRPr="00472578">
        <w:t xml:space="preserve">associated with the proposal in </w:t>
      </w:r>
      <w:r w:rsidR="00DE73D9" w:rsidRPr="00472578">
        <w:t>accordance with</w:t>
      </w:r>
      <w:r w:rsidR="00D038D4" w:rsidRPr="00472578">
        <w:t xml:space="preserve"> APP6, and</w:t>
      </w:r>
    </w:p>
    <w:p w14:paraId="2593EEB9" w14:textId="41051EE7" w:rsidR="00D038D4" w:rsidRPr="00472578" w:rsidRDefault="0049686F" w:rsidP="00E92686">
      <w:pPr>
        <w:widowControl w:val="0"/>
        <w:tabs>
          <w:tab w:val="left" w:pos="1433"/>
        </w:tabs>
        <w:autoSpaceDE w:val="0"/>
        <w:autoSpaceDN w:val="0"/>
        <w:ind w:left="1134" w:right="117" w:hanging="567"/>
        <w:jc w:val="both"/>
      </w:pPr>
      <w:r w:rsidRPr="00472578">
        <w:t>(b)</w:t>
      </w:r>
      <w:r w:rsidRPr="00472578">
        <w:tab/>
      </w:r>
      <w:r w:rsidR="00D038D4" w:rsidRPr="00472578">
        <w:t>an assessment demonstrating how the proposal will achieve the outcomes set out in Policies HAZ</w:t>
      </w:r>
      <w:r w:rsidR="00893DC6" w:rsidRPr="00472578">
        <w:t>-</w:t>
      </w:r>
      <w:r w:rsidR="00D038D4" w:rsidRPr="00472578">
        <w:t>NH</w:t>
      </w:r>
      <w:r w:rsidR="00893DC6" w:rsidRPr="00472578">
        <w:t>-</w:t>
      </w:r>
      <w:r w:rsidR="00D038D4" w:rsidRPr="00472578">
        <w:t>P3 and HAZ</w:t>
      </w:r>
      <w:r w:rsidR="00893DC6" w:rsidRPr="00472578">
        <w:t>-</w:t>
      </w:r>
      <w:r w:rsidR="00D038D4" w:rsidRPr="00472578">
        <w:t>NH</w:t>
      </w:r>
      <w:r w:rsidR="00893DC6" w:rsidRPr="00472578">
        <w:t>-</w:t>
      </w:r>
      <w:r w:rsidR="00D038D4" w:rsidRPr="00472578">
        <w:t>P4</w:t>
      </w:r>
      <w:r w:rsidR="00D038D4" w:rsidRPr="00BF13A3">
        <w:rPr>
          <w:strike/>
        </w:rPr>
        <w:t>.</w:t>
      </w:r>
      <w:r w:rsidR="00E21027" w:rsidRPr="00013A06">
        <w:rPr>
          <w:u w:val="single"/>
        </w:rPr>
        <w:t>,</w:t>
      </w:r>
      <w:r w:rsidR="00013A06">
        <w:rPr>
          <w:u w:val="single"/>
        </w:rPr>
        <w:t xml:space="preserve"> </w:t>
      </w:r>
      <w:r w:rsidR="00E21027" w:rsidRPr="00013A06">
        <w:rPr>
          <w:u w:val="single"/>
        </w:rPr>
        <w:t>and</w:t>
      </w:r>
    </w:p>
    <w:p w14:paraId="45076ABC" w14:textId="47CF138A" w:rsidR="00D038D4" w:rsidRPr="00472578" w:rsidRDefault="00EE4B2A" w:rsidP="00E92686">
      <w:pPr>
        <w:pStyle w:val="ListParagraph"/>
        <w:tabs>
          <w:tab w:val="left" w:pos="1433"/>
        </w:tabs>
        <w:spacing w:after="120" w:line="259" w:lineRule="auto"/>
        <w:ind w:right="114" w:hanging="720"/>
        <w:jc w:val="both"/>
      </w:pPr>
      <w:bookmarkStart w:id="285" w:name="_Hlk98322973"/>
      <w:bookmarkStart w:id="286" w:name="_Hlk96007197"/>
      <w:r w:rsidRPr="00472578">
        <w:rPr>
          <w:u w:val="single"/>
        </w:rPr>
        <w:t>(8)</w:t>
      </w:r>
      <w:r w:rsidRPr="00472578">
        <w:tab/>
      </w:r>
      <w:bookmarkEnd w:id="285"/>
      <w:r w:rsidRPr="639E38F9">
        <w:rPr>
          <w:rFonts w:asciiTheme="minorHAnsi" w:hAnsiTheme="minorHAnsi" w:cstheme="minorBidi"/>
          <w:u w:val="single"/>
        </w:rPr>
        <w:t xml:space="preserve">not require a </w:t>
      </w:r>
      <w:r w:rsidRPr="639E38F9">
        <w:rPr>
          <w:rFonts w:asciiTheme="minorHAnsi" w:hAnsiTheme="minorHAnsi" w:cstheme="minorBidi"/>
          <w:i/>
          <w:u w:val="single"/>
        </w:rPr>
        <w:t xml:space="preserve">natural hazard risk </w:t>
      </w:r>
      <w:r w:rsidRPr="639E38F9">
        <w:rPr>
          <w:rFonts w:asciiTheme="minorHAnsi" w:hAnsiTheme="minorHAnsi" w:cstheme="minorBidi"/>
          <w:u w:val="single"/>
        </w:rPr>
        <w:t xml:space="preserve">assessment in accordance with APP6 for resource consent applications, once the </w:t>
      </w:r>
      <w:r w:rsidRPr="639E38F9">
        <w:rPr>
          <w:rFonts w:asciiTheme="minorHAnsi" w:hAnsiTheme="minorHAnsi" w:cstheme="minorBidi"/>
          <w:i/>
          <w:u w:val="single"/>
        </w:rPr>
        <w:t xml:space="preserve">natural hazard risk </w:t>
      </w:r>
      <w:r w:rsidRPr="639E38F9">
        <w:rPr>
          <w:rFonts w:asciiTheme="minorHAnsi" w:hAnsiTheme="minorHAnsi" w:cstheme="minorBidi"/>
          <w:u w:val="single"/>
        </w:rPr>
        <w:t>assessment required by HAZ-NH-M2(1) has been</w:t>
      </w:r>
      <w:r w:rsidRPr="639E38F9">
        <w:rPr>
          <w:rFonts w:cstheme="minorBidi"/>
          <w:u w:val="single"/>
        </w:rPr>
        <w:t xml:space="preserve"> </w:t>
      </w:r>
      <w:r w:rsidRPr="00472578">
        <w:rPr>
          <w:u w:val="single"/>
        </w:rPr>
        <w:t xml:space="preserve">completed, included in the relevant </w:t>
      </w:r>
      <w:r w:rsidRPr="00472578">
        <w:rPr>
          <w:i/>
          <w:u w:val="single"/>
        </w:rPr>
        <w:t xml:space="preserve">district </w:t>
      </w:r>
      <w:proofErr w:type="gramStart"/>
      <w:r w:rsidRPr="00472578">
        <w:rPr>
          <w:i/>
          <w:u w:val="single"/>
        </w:rPr>
        <w:t>plan</w:t>
      </w:r>
      <w:proofErr w:type="gramEnd"/>
      <w:r w:rsidRPr="00472578">
        <w:rPr>
          <w:u w:val="single"/>
        </w:rPr>
        <w:t xml:space="preserve"> and made operative,</w:t>
      </w:r>
      <w:r w:rsidRPr="639E38F9">
        <w:rPr>
          <w:rFonts w:asciiTheme="minorHAnsi" w:hAnsiTheme="minorHAnsi" w:cstheme="minorBidi"/>
          <w:u w:val="single"/>
        </w:rPr>
        <w:t xml:space="preserve"> unless</w:t>
      </w:r>
      <w:r w:rsidRPr="639E38F9">
        <w:rPr>
          <w:rFonts w:cstheme="minorBidi"/>
          <w:u w:val="single"/>
        </w:rPr>
        <w:t xml:space="preserve"> otherwise</w:t>
      </w:r>
      <w:r w:rsidRPr="639E38F9">
        <w:rPr>
          <w:rFonts w:asciiTheme="minorHAnsi" w:hAnsiTheme="minorHAnsi" w:cstheme="minorBidi"/>
          <w:u w:val="single"/>
        </w:rPr>
        <w:t xml:space="preserve"> expressly required by the relevant </w:t>
      </w:r>
      <w:r w:rsidRPr="639E38F9">
        <w:rPr>
          <w:rFonts w:asciiTheme="minorHAnsi" w:hAnsiTheme="minorHAnsi" w:cstheme="minorBidi"/>
          <w:i/>
          <w:u w:val="single"/>
        </w:rPr>
        <w:t>district plan</w:t>
      </w:r>
      <w:r w:rsidR="0049686F" w:rsidRPr="00472578">
        <w:rPr>
          <w:u w:val="single"/>
        </w:rPr>
        <w:t>.</w:t>
      </w:r>
      <w:r w:rsidR="00D038D4" w:rsidRPr="00472578">
        <w:rPr>
          <w:rStyle w:val="FootnoteReference"/>
        </w:rPr>
        <w:footnoteReference w:id="1254"/>
      </w:r>
      <w:bookmarkEnd w:id="286"/>
    </w:p>
    <w:p w14:paraId="51C09A96" w14:textId="787486CB"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M5 – Other incentives and mechanisms</w:t>
      </w:r>
    </w:p>
    <w:p w14:paraId="64F73F36" w14:textId="5D50CD84" w:rsidR="00D038D4" w:rsidRPr="00472578" w:rsidRDefault="00D038D4" w:rsidP="00E92686">
      <w:pPr>
        <w:pStyle w:val="BodyText"/>
        <w:ind w:right="-23"/>
      </w:pPr>
      <w:r w:rsidRPr="00472578">
        <w:rPr>
          <w:i/>
        </w:rPr>
        <w:t xml:space="preserve">Local authorities </w:t>
      </w:r>
      <w:r w:rsidRPr="00472578">
        <w:t xml:space="preserve">are encouraged to consider the use of other mechanisms or incentives to assist </w:t>
      </w:r>
      <w:r w:rsidR="00DE73D9" w:rsidRPr="00472578">
        <w:t>in achieving</w:t>
      </w:r>
      <w:r w:rsidRPr="00472578">
        <w:t xml:space="preserve"> Policies HAZ</w:t>
      </w:r>
      <w:r w:rsidR="00893DC6" w:rsidRPr="00472578">
        <w:t>-</w:t>
      </w:r>
      <w:r w:rsidRPr="00472578">
        <w:t>NH</w:t>
      </w:r>
      <w:r w:rsidR="00893DC6" w:rsidRPr="00472578">
        <w:t>-</w:t>
      </w:r>
      <w:r w:rsidRPr="00472578">
        <w:t>P1 to HAZ</w:t>
      </w:r>
      <w:r w:rsidR="00893DC6" w:rsidRPr="00472578">
        <w:t>-</w:t>
      </w:r>
      <w:r w:rsidRPr="00472578">
        <w:t>NH</w:t>
      </w:r>
      <w:r w:rsidR="00893DC6" w:rsidRPr="00472578">
        <w:t>-</w:t>
      </w:r>
      <w:r w:rsidRPr="00472578">
        <w:t xml:space="preserve">P11, including </w:t>
      </w:r>
      <w:r w:rsidRPr="00472578">
        <w:rPr>
          <w:u w:val="single"/>
        </w:rPr>
        <w:t>but not limited to</w:t>
      </w:r>
      <w:r w:rsidRPr="00472578">
        <w:t>:</w:t>
      </w:r>
      <w:r w:rsidR="001328AD" w:rsidRPr="00472578">
        <w:rPr>
          <w:rStyle w:val="FootnoteReference"/>
        </w:rPr>
        <w:t xml:space="preserve"> </w:t>
      </w:r>
      <w:r w:rsidRPr="00472578">
        <w:rPr>
          <w:rStyle w:val="FootnoteReference"/>
        </w:rPr>
        <w:footnoteReference w:id="1255"/>
      </w:r>
    </w:p>
    <w:p w14:paraId="7C40E8D5" w14:textId="221F5ADD" w:rsidR="00D038D4" w:rsidRPr="00472578" w:rsidRDefault="001328AD" w:rsidP="00E92686">
      <w:pPr>
        <w:widowControl w:val="0"/>
        <w:tabs>
          <w:tab w:val="left" w:pos="867"/>
        </w:tabs>
        <w:autoSpaceDE w:val="0"/>
        <w:autoSpaceDN w:val="0"/>
        <w:spacing w:before="159"/>
        <w:ind w:left="567" w:right="117" w:hanging="567"/>
        <w:jc w:val="both"/>
      </w:pPr>
      <w:r w:rsidRPr="00472578">
        <w:t>(1)</w:t>
      </w:r>
      <w:r w:rsidRPr="00472578">
        <w:tab/>
      </w:r>
      <w:r w:rsidR="00D038D4" w:rsidRPr="00472578">
        <w:t xml:space="preserve">preparing </w:t>
      </w:r>
      <w:r w:rsidR="00D038D4" w:rsidRPr="00472578">
        <w:rPr>
          <w:i/>
        </w:rPr>
        <w:t xml:space="preserve">natural hazard </w:t>
      </w:r>
      <w:r w:rsidR="00D038D4" w:rsidRPr="00472578">
        <w:t xml:space="preserve">strategies or other similar documents to assist in the management and reduction of </w:t>
      </w:r>
      <w:r w:rsidR="00D038D4" w:rsidRPr="00472578">
        <w:rPr>
          <w:i/>
        </w:rPr>
        <w:t xml:space="preserve">natural hazard risk </w:t>
      </w:r>
      <w:r w:rsidR="00D038D4" w:rsidRPr="00472578">
        <w:t xml:space="preserve">and adaptation to, and mitigation of, the </w:t>
      </w:r>
      <w:r w:rsidR="00D038D4" w:rsidRPr="00472578">
        <w:rPr>
          <w:i/>
        </w:rPr>
        <w:t xml:space="preserve">effects </w:t>
      </w:r>
      <w:r w:rsidR="00D038D4" w:rsidRPr="00472578">
        <w:t xml:space="preserve">of </w:t>
      </w:r>
      <w:r w:rsidR="00D038D4" w:rsidRPr="00472578">
        <w:rPr>
          <w:i/>
        </w:rPr>
        <w:t>climate change</w:t>
      </w:r>
      <w:r w:rsidR="00D038D4" w:rsidRPr="00472578">
        <w:t>,</w:t>
      </w:r>
    </w:p>
    <w:p w14:paraId="61313AFF" w14:textId="64FB2E05" w:rsidR="00D038D4" w:rsidRPr="00472578" w:rsidRDefault="001328AD" w:rsidP="00E92686">
      <w:pPr>
        <w:widowControl w:val="0"/>
        <w:tabs>
          <w:tab w:val="left" w:pos="867"/>
        </w:tabs>
        <w:autoSpaceDE w:val="0"/>
        <w:autoSpaceDN w:val="0"/>
        <w:spacing w:before="162"/>
        <w:ind w:left="567" w:right="116" w:hanging="567"/>
        <w:jc w:val="both"/>
      </w:pPr>
      <w:r w:rsidRPr="00472578">
        <w:t>(2)</w:t>
      </w:r>
      <w:r w:rsidRPr="00472578">
        <w:tab/>
      </w:r>
      <w:r w:rsidR="00D038D4" w:rsidRPr="00472578">
        <w:t xml:space="preserve">developing community relevant responses to the impacts of </w:t>
      </w:r>
      <w:r w:rsidR="00D038D4" w:rsidRPr="00472578">
        <w:rPr>
          <w:i/>
        </w:rPr>
        <w:t xml:space="preserve">natural hazards </w:t>
      </w:r>
      <w:r w:rsidR="00D038D4" w:rsidRPr="00472578">
        <w:t xml:space="preserve">and </w:t>
      </w:r>
      <w:r w:rsidR="00D038D4" w:rsidRPr="00472578">
        <w:rPr>
          <w:i/>
        </w:rPr>
        <w:t>climate change</w:t>
      </w:r>
      <w:r w:rsidR="00D038D4" w:rsidRPr="00472578">
        <w:t>,</w:t>
      </w:r>
      <w:r w:rsidR="009309BB" w:rsidRPr="00472578">
        <w:t xml:space="preserve"> </w:t>
      </w:r>
      <w:r w:rsidR="00D038D4" w:rsidRPr="00472578">
        <w:t>in collaboration with key stakeholders and affected community,</w:t>
      </w:r>
    </w:p>
    <w:p w14:paraId="38B14026" w14:textId="052F75B3" w:rsidR="00D038D4" w:rsidRPr="00472578" w:rsidRDefault="001328AD" w:rsidP="00E92686">
      <w:pPr>
        <w:widowControl w:val="0"/>
        <w:tabs>
          <w:tab w:val="left" w:pos="867"/>
        </w:tabs>
        <w:autoSpaceDE w:val="0"/>
        <w:autoSpaceDN w:val="0"/>
        <w:spacing w:before="159"/>
        <w:ind w:left="567" w:right="115" w:hanging="567"/>
        <w:jc w:val="both"/>
      </w:pPr>
      <w:r w:rsidRPr="00472578">
        <w:t>(3)</w:t>
      </w:r>
      <w:r w:rsidRPr="00472578">
        <w:tab/>
      </w:r>
      <w:r w:rsidR="00D038D4" w:rsidRPr="00472578">
        <w:t xml:space="preserve">undertaking research in collaboration with other </w:t>
      </w:r>
      <w:r w:rsidR="00D038D4" w:rsidRPr="00472578">
        <w:rPr>
          <w:i/>
        </w:rPr>
        <w:t xml:space="preserve">local authorities </w:t>
      </w:r>
      <w:r w:rsidR="00D038D4" w:rsidRPr="00472578">
        <w:t xml:space="preserve">and </w:t>
      </w:r>
      <w:r w:rsidR="00DE73D9" w:rsidRPr="00472578">
        <w:t>other stakeholders</w:t>
      </w:r>
      <w:r w:rsidR="00D038D4" w:rsidRPr="00472578">
        <w:t xml:space="preserve"> as appropriate, into </w:t>
      </w:r>
      <w:r w:rsidR="00D038D4" w:rsidRPr="00472578">
        <w:rPr>
          <w:i/>
        </w:rPr>
        <w:t xml:space="preserve">natural hazards </w:t>
      </w:r>
      <w:r w:rsidR="00D038D4" w:rsidRPr="00472578">
        <w:t xml:space="preserve">and </w:t>
      </w:r>
      <w:r w:rsidR="00D038D4" w:rsidRPr="00472578">
        <w:rPr>
          <w:i/>
        </w:rPr>
        <w:t xml:space="preserve">climate change </w:t>
      </w:r>
      <w:r w:rsidR="00D038D4" w:rsidRPr="00472578">
        <w:t>in Otago, and</w:t>
      </w:r>
    </w:p>
    <w:p w14:paraId="02F6C0C8" w14:textId="642F01AA" w:rsidR="00D038D4" w:rsidRPr="00472578" w:rsidRDefault="001328AD" w:rsidP="00E92686">
      <w:pPr>
        <w:widowControl w:val="0"/>
        <w:tabs>
          <w:tab w:val="left" w:pos="867"/>
        </w:tabs>
        <w:autoSpaceDE w:val="0"/>
        <w:autoSpaceDN w:val="0"/>
        <w:spacing w:before="161"/>
        <w:ind w:left="567" w:hanging="567"/>
        <w:jc w:val="both"/>
      </w:pPr>
      <w:r w:rsidRPr="00472578">
        <w:t>(4)</w:t>
      </w:r>
      <w:r w:rsidRPr="00472578">
        <w:tab/>
      </w:r>
      <w:r w:rsidR="00D038D4" w:rsidRPr="00472578">
        <w:t>providing information and guidance on:</w:t>
      </w:r>
    </w:p>
    <w:p w14:paraId="4F4E7D5D" w14:textId="240CA44E" w:rsidR="00D038D4" w:rsidRPr="00472578" w:rsidRDefault="001328AD" w:rsidP="00E92686">
      <w:pPr>
        <w:widowControl w:val="0"/>
        <w:tabs>
          <w:tab w:val="left" w:pos="1433"/>
        </w:tabs>
        <w:autoSpaceDE w:val="0"/>
        <w:autoSpaceDN w:val="0"/>
        <w:spacing w:before="159"/>
        <w:ind w:left="1134" w:hanging="567"/>
        <w:jc w:val="both"/>
      </w:pPr>
      <w:r w:rsidRPr="00472578">
        <w:t>(a)</w:t>
      </w:r>
      <w:r w:rsidRPr="00472578">
        <w:tab/>
      </w:r>
      <w:r w:rsidR="00D038D4" w:rsidRPr="00472578">
        <w:t xml:space="preserve">management approaches to the avoidance or mitigation of </w:t>
      </w:r>
      <w:r w:rsidR="00D038D4" w:rsidRPr="00472578">
        <w:rPr>
          <w:i/>
        </w:rPr>
        <w:t>natural hazards</w:t>
      </w:r>
      <w:r w:rsidR="00D038D4" w:rsidRPr="00472578">
        <w:t>,</w:t>
      </w:r>
    </w:p>
    <w:p w14:paraId="112C4849" w14:textId="6EDC2968" w:rsidR="00D038D4" w:rsidRPr="00472578" w:rsidRDefault="001328AD" w:rsidP="00E92686">
      <w:pPr>
        <w:widowControl w:val="0"/>
        <w:tabs>
          <w:tab w:val="left" w:pos="1433"/>
        </w:tabs>
        <w:autoSpaceDE w:val="0"/>
        <w:autoSpaceDN w:val="0"/>
        <w:spacing w:before="161"/>
        <w:ind w:left="1134" w:hanging="567"/>
        <w:jc w:val="both"/>
      </w:pPr>
      <w:r w:rsidRPr="00472578">
        <w:t>(b)</w:t>
      </w:r>
      <w:r w:rsidRPr="00472578">
        <w:tab/>
      </w:r>
      <w:r w:rsidR="00D038D4" w:rsidRPr="00472578">
        <w:t xml:space="preserve">ways to adapt to and mitigate the </w:t>
      </w:r>
      <w:r w:rsidR="00D038D4" w:rsidRPr="00472578">
        <w:rPr>
          <w:i/>
        </w:rPr>
        <w:t xml:space="preserve">effects </w:t>
      </w:r>
      <w:r w:rsidR="00D038D4" w:rsidRPr="00472578">
        <w:t xml:space="preserve">of </w:t>
      </w:r>
      <w:r w:rsidR="00D038D4" w:rsidRPr="00472578">
        <w:rPr>
          <w:i/>
        </w:rPr>
        <w:t>climate change</w:t>
      </w:r>
      <w:r w:rsidR="00D038D4" w:rsidRPr="00472578">
        <w:t>, and</w:t>
      </w:r>
    </w:p>
    <w:p w14:paraId="6ADDC76C" w14:textId="6ADB4B62" w:rsidR="00D038D4" w:rsidRPr="00472578" w:rsidRDefault="001328AD" w:rsidP="00E92686">
      <w:pPr>
        <w:widowControl w:val="0"/>
        <w:tabs>
          <w:tab w:val="left" w:pos="1433"/>
        </w:tabs>
        <w:autoSpaceDE w:val="0"/>
        <w:autoSpaceDN w:val="0"/>
        <w:spacing w:before="159"/>
        <w:ind w:left="1134" w:hanging="567"/>
        <w:jc w:val="both"/>
      </w:pPr>
      <w:r w:rsidRPr="00472578">
        <w:t>(c)</w:t>
      </w:r>
      <w:r w:rsidRPr="00472578">
        <w:tab/>
      </w:r>
      <w:r w:rsidR="00D038D4" w:rsidRPr="00472578">
        <w:t xml:space="preserve">the benefits of natural features and systems in mitigating </w:t>
      </w:r>
      <w:r w:rsidR="00D038D4" w:rsidRPr="00472578">
        <w:rPr>
          <w:i/>
        </w:rPr>
        <w:t>natural hazards</w:t>
      </w:r>
      <w:r w:rsidR="00D038D4" w:rsidRPr="00472578">
        <w:t>.</w:t>
      </w:r>
    </w:p>
    <w:p w14:paraId="650EBFD5" w14:textId="77777777" w:rsidR="00D038D4" w:rsidRPr="00472578" w:rsidRDefault="00D038D4" w:rsidP="00E92686">
      <w:pPr>
        <w:pStyle w:val="Heading4"/>
        <w:jc w:val="both"/>
      </w:pPr>
      <w:r w:rsidRPr="00472578">
        <w:t>Explanation</w:t>
      </w:r>
    </w:p>
    <w:p w14:paraId="5DCE8B43" w14:textId="755211B4" w:rsidR="00D038D4" w:rsidRPr="00472578" w:rsidRDefault="00D038D4" w:rsidP="00E92686">
      <w:pPr>
        <w:pStyle w:val="Heading5"/>
        <w:jc w:val="both"/>
        <w:rPr>
          <w:b w:val="0"/>
        </w:rPr>
      </w:pPr>
      <w:r w:rsidRPr="00472578">
        <w:t>HAZ</w:t>
      </w:r>
      <w:r w:rsidR="00893DC6" w:rsidRPr="00472578">
        <w:t>-</w:t>
      </w:r>
      <w:r w:rsidRPr="00472578">
        <w:t>NH</w:t>
      </w:r>
      <w:r w:rsidR="00893DC6" w:rsidRPr="00472578">
        <w:t>-</w:t>
      </w:r>
      <w:r w:rsidRPr="00472578">
        <w:t>E1 – Explanation</w:t>
      </w:r>
    </w:p>
    <w:p w14:paraId="57C172FD" w14:textId="69C2E6C7" w:rsidR="00D038D4" w:rsidRPr="00472578" w:rsidRDefault="00D038D4" w:rsidP="00E92686">
      <w:pPr>
        <w:pStyle w:val="BodyText"/>
        <w:ind w:right="-23"/>
      </w:pPr>
      <w:r w:rsidRPr="00472578">
        <w:t xml:space="preserve">The policies in this chapter are designed to reduce the level of </w:t>
      </w:r>
      <w:r w:rsidRPr="00472578">
        <w:rPr>
          <w:i/>
        </w:rPr>
        <w:t xml:space="preserve">natural hazard risk </w:t>
      </w:r>
      <w:r w:rsidRPr="00472578">
        <w:t xml:space="preserve">within the region through sound preparation, </w:t>
      </w:r>
      <w:proofErr w:type="gramStart"/>
      <w:r w:rsidRPr="00472578">
        <w:t>investigation</w:t>
      </w:r>
      <w:proofErr w:type="gramEnd"/>
      <w:r w:rsidRPr="00472578">
        <w:t xml:space="preserve"> and planning. These provisions take a risk-based approach, taking into consideration the likelihood of the hazard and the vulnerability of people, communities, </w:t>
      </w:r>
      <w:r w:rsidRPr="00472578">
        <w:lastRenderedPageBreak/>
        <w:t xml:space="preserve">and the </w:t>
      </w:r>
      <w:r w:rsidRPr="00472578">
        <w:rPr>
          <w:i/>
        </w:rPr>
        <w:t>environment</w:t>
      </w:r>
      <w:r w:rsidRPr="00472578">
        <w:t xml:space="preserve">. The approach ensures consistent planning by applying the same framework irrespective of the type of </w:t>
      </w:r>
      <w:r w:rsidRPr="00472578">
        <w:rPr>
          <w:i/>
        </w:rPr>
        <w:t xml:space="preserve">natural hazard </w:t>
      </w:r>
      <w:r w:rsidRPr="00472578">
        <w:t xml:space="preserve">that may exist. It allows for the full range of </w:t>
      </w:r>
      <w:r w:rsidRPr="00472578">
        <w:rPr>
          <w:i/>
        </w:rPr>
        <w:t xml:space="preserve">risk </w:t>
      </w:r>
      <w:r w:rsidR="00D868B3">
        <w:rPr>
          <w:i/>
          <w:u w:val="single"/>
        </w:rPr>
        <w:t>(in relation to natural hazards)</w:t>
      </w:r>
      <w:r w:rsidR="00D868B3" w:rsidRPr="00181614">
        <w:rPr>
          <w:sz w:val="20"/>
          <w:szCs w:val="20"/>
          <w:vertAlign w:val="superscript"/>
        </w:rPr>
        <w:footnoteReference w:id="1256"/>
      </w:r>
      <w:r w:rsidR="00D868B3" w:rsidRPr="00472578">
        <w:t xml:space="preserve"> </w:t>
      </w:r>
      <w:r w:rsidRPr="00472578">
        <w:t xml:space="preserve">mitigation measures (regulatory and non-regulatory) to be </w:t>
      </w:r>
      <w:proofErr w:type="gramStart"/>
      <w:r w:rsidRPr="00472578">
        <w:t>taken into account</w:t>
      </w:r>
      <w:proofErr w:type="gramEnd"/>
      <w:r w:rsidRPr="00472578">
        <w:t xml:space="preserve"> in determining the level of </w:t>
      </w:r>
      <w:r w:rsidRPr="00472578">
        <w:rPr>
          <w:i/>
        </w:rPr>
        <w:t xml:space="preserve">risk </w:t>
      </w:r>
      <w:r w:rsidRPr="00472578">
        <w:t>that exists at a particular locality.</w:t>
      </w:r>
    </w:p>
    <w:p w14:paraId="4FB22138" w14:textId="108FFEE5" w:rsidR="00D038D4" w:rsidRPr="00472578" w:rsidRDefault="00D038D4" w:rsidP="00E92686">
      <w:pPr>
        <w:pStyle w:val="BodyText"/>
        <w:ind w:right="-23"/>
      </w:pPr>
      <w:r w:rsidRPr="00472578">
        <w:t xml:space="preserve">Once the level of </w:t>
      </w:r>
      <w:r w:rsidRPr="00472578">
        <w:rPr>
          <w:i/>
        </w:rPr>
        <w:t xml:space="preserve">risk </w:t>
      </w:r>
      <w:r w:rsidR="00D868B3">
        <w:rPr>
          <w:i/>
          <w:u w:val="single"/>
        </w:rPr>
        <w:t>(in relation to natural hazards)</w:t>
      </w:r>
      <w:r w:rsidR="00D868B3" w:rsidRPr="00181614">
        <w:rPr>
          <w:sz w:val="20"/>
          <w:szCs w:val="20"/>
          <w:vertAlign w:val="superscript"/>
        </w:rPr>
        <w:footnoteReference w:id="1257"/>
      </w:r>
      <w:r w:rsidR="00D868B3" w:rsidRPr="00472578">
        <w:t xml:space="preserve"> </w:t>
      </w:r>
      <w:r w:rsidRPr="00472578">
        <w:t xml:space="preserve">has been established, </w:t>
      </w:r>
      <w:bookmarkStart w:id="287" w:name="_Hlk96425266"/>
      <w:r w:rsidRPr="00472578">
        <w:rPr>
          <w:u w:val="single"/>
        </w:rPr>
        <w:t xml:space="preserve">following consultation with communities, </w:t>
      </w:r>
      <w:proofErr w:type="gramStart"/>
      <w:r w:rsidRPr="00472578">
        <w:rPr>
          <w:u w:val="single"/>
        </w:rPr>
        <w:t>stakeholders</w:t>
      </w:r>
      <w:proofErr w:type="gramEnd"/>
      <w:r w:rsidRPr="00472578">
        <w:rPr>
          <w:u w:val="single"/>
        </w:rPr>
        <w:t xml:space="preserve"> and partners</w:t>
      </w:r>
      <w:r w:rsidR="00C26D79" w:rsidRPr="00472578">
        <w:rPr>
          <w:u w:val="single"/>
        </w:rPr>
        <w:t>,</w:t>
      </w:r>
      <w:r w:rsidRPr="00472578">
        <w:rPr>
          <w:rStyle w:val="FootnoteReference"/>
        </w:rPr>
        <w:footnoteReference w:id="1258"/>
      </w:r>
      <w:r w:rsidRPr="00472578">
        <w:t xml:space="preserve"> </w:t>
      </w:r>
      <w:bookmarkEnd w:id="287"/>
      <w:r w:rsidRPr="00472578">
        <w:t xml:space="preserve">the provisions direct that </w:t>
      </w:r>
      <w:r w:rsidRPr="00472578">
        <w:rPr>
          <w:i/>
        </w:rPr>
        <w:t>distric</w:t>
      </w:r>
      <w:r w:rsidRPr="00472578">
        <w:rPr>
          <w:i/>
          <w:u w:val="single"/>
        </w:rPr>
        <w:t xml:space="preserve">t </w:t>
      </w:r>
      <w:r w:rsidR="003117AC" w:rsidRPr="00472578">
        <w:rPr>
          <w:i/>
          <w:u w:val="single"/>
        </w:rPr>
        <w:t>plans</w:t>
      </w:r>
      <w:r w:rsidR="003117AC" w:rsidRPr="00472578">
        <w:rPr>
          <w:rStyle w:val="FootnoteReference"/>
          <w:iCs/>
        </w:rPr>
        <w:footnoteReference w:id="1259"/>
      </w:r>
      <w:r w:rsidRPr="00472578">
        <w:rPr>
          <w:i/>
        </w:rPr>
        <w:t xml:space="preserve"> </w:t>
      </w:r>
      <w:r w:rsidRPr="00472578">
        <w:t xml:space="preserve">and </w:t>
      </w:r>
      <w:r w:rsidRPr="00472578">
        <w:rPr>
          <w:i/>
        </w:rPr>
        <w:t xml:space="preserve">regional plans </w:t>
      </w:r>
      <w:r w:rsidRPr="00472578">
        <w:t xml:space="preserve">require activities to be undertaken in a manner that results in the </w:t>
      </w:r>
      <w:r w:rsidRPr="00472578">
        <w:rPr>
          <w:i/>
        </w:rPr>
        <w:t xml:space="preserve">natural hazard risk </w:t>
      </w:r>
      <w:r w:rsidRPr="00472578">
        <w:t xml:space="preserve">to people, the community and property being tolerable or lower. Where a </w:t>
      </w:r>
      <w:r w:rsidRPr="00472578">
        <w:rPr>
          <w:i/>
        </w:rPr>
        <w:t xml:space="preserve">natural hazard risk </w:t>
      </w:r>
      <w:r w:rsidRPr="00472578">
        <w:t xml:space="preserve">to people, the community and property cannot be reduced to a tolerable level, the activity must be avoided. The provisions require that the same risk-based approach is taken when considering the management of existing development, by ensuring that the </w:t>
      </w:r>
      <w:r w:rsidRPr="00472578">
        <w:rPr>
          <w:i/>
        </w:rPr>
        <w:t xml:space="preserve">risk </w:t>
      </w:r>
      <w:r w:rsidR="006F19BA">
        <w:rPr>
          <w:i/>
          <w:u w:val="single"/>
        </w:rPr>
        <w:t>(in relation to natural hazards)</w:t>
      </w:r>
      <w:r w:rsidR="006F19BA" w:rsidRPr="00181614">
        <w:rPr>
          <w:sz w:val="20"/>
          <w:szCs w:val="20"/>
          <w:vertAlign w:val="superscript"/>
        </w:rPr>
        <w:footnoteReference w:id="1260"/>
      </w:r>
      <w:r w:rsidR="006F19BA" w:rsidRPr="00472578">
        <w:t xml:space="preserve"> </w:t>
      </w:r>
      <w:r w:rsidRPr="00472578">
        <w:t>associated with existing development is tolerable or lower.</w:t>
      </w:r>
    </w:p>
    <w:p w14:paraId="4BF37A5C" w14:textId="77777777" w:rsidR="00D038D4" w:rsidRPr="00472578" w:rsidRDefault="00D038D4" w:rsidP="00E92686">
      <w:pPr>
        <w:pStyle w:val="BodyText"/>
        <w:ind w:right="-23"/>
      </w:pPr>
      <w:r w:rsidRPr="00472578">
        <w:t xml:space="preserve">The provisions also set direction on </w:t>
      </w:r>
      <w:r w:rsidRPr="00472578">
        <w:rPr>
          <w:i/>
        </w:rPr>
        <w:t xml:space="preserve">natural hazard </w:t>
      </w:r>
      <w:r w:rsidRPr="00472578">
        <w:t xml:space="preserve">management methods such as use of the precautionary approach, protecting natural features and systems that provide hazard mitigation, the use of </w:t>
      </w:r>
      <w:r w:rsidRPr="00472578">
        <w:rPr>
          <w:i/>
        </w:rPr>
        <w:t>hard protection structures</w:t>
      </w:r>
      <w:r w:rsidRPr="00472578">
        <w:t xml:space="preserve">, and the location and design of </w:t>
      </w:r>
      <w:r w:rsidRPr="00472578">
        <w:rPr>
          <w:i/>
        </w:rPr>
        <w:t xml:space="preserve">lifeline utilities </w:t>
      </w:r>
      <w:r w:rsidRPr="00472578">
        <w:t xml:space="preserve">and facilities for essential or emergency services. These provisions are designed to reduce the level of </w:t>
      </w:r>
      <w:r w:rsidRPr="00472578">
        <w:rPr>
          <w:i/>
        </w:rPr>
        <w:t xml:space="preserve">natural hazard risk </w:t>
      </w:r>
      <w:r w:rsidRPr="00472578">
        <w:t>within the region.</w:t>
      </w:r>
    </w:p>
    <w:p w14:paraId="51F0947A" w14:textId="77777777" w:rsidR="00D038D4" w:rsidRPr="00472578" w:rsidRDefault="00D038D4" w:rsidP="00E92686">
      <w:pPr>
        <w:pStyle w:val="Heading4"/>
        <w:jc w:val="both"/>
        <w:rPr>
          <w:b w:val="0"/>
          <w:sz w:val="19"/>
        </w:rPr>
      </w:pPr>
      <w:r w:rsidRPr="00472578">
        <w:rPr>
          <w:u w:val="single"/>
        </w:rPr>
        <w:t>Principal reasons</w:t>
      </w:r>
      <w:r w:rsidRPr="00472578">
        <w:rPr>
          <w:rStyle w:val="FootnoteReference"/>
          <w:b w:val="0"/>
          <w:color w:val="auto"/>
        </w:rPr>
        <w:footnoteReference w:id="1261"/>
      </w:r>
      <w:r w:rsidRPr="639E38F9">
        <w:rPr>
          <w:b w:val="0"/>
          <w:sz w:val="19"/>
          <w:szCs w:val="19"/>
        </w:rPr>
        <w:t xml:space="preserve"> </w:t>
      </w:r>
    </w:p>
    <w:p w14:paraId="73010B4A" w14:textId="46965544" w:rsidR="00D038D4" w:rsidRPr="00472578" w:rsidRDefault="00D038D4" w:rsidP="00E92686">
      <w:pPr>
        <w:pStyle w:val="Heading5"/>
        <w:jc w:val="both"/>
      </w:pPr>
      <w:r w:rsidRPr="00472578">
        <w:t>HAZ</w:t>
      </w:r>
      <w:r w:rsidR="00893DC6" w:rsidRPr="00472578">
        <w:t>-</w:t>
      </w:r>
      <w:r w:rsidRPr="00472578">
        <w:t>NH</w:t>
      </w:r>
      <w:r w:rsidR="00893DC6" w:rsidRPr="00472578">
        <w:t>-</w:t>
      </w:r>
      <w:r w:rsidRPr="00472578">
        <w:t>PR1 – Principal reasons</w:t>
      </w:r>
    </w:p>
    <w:p w14:paraId="49B877EF" w14:textId="4A1E617E" w:rsidR="00D038D4" w:rsidRPr="00472578" w:rsidRDefault="00D038D4" w:rsidP="00E92686">
      <w:pPr>
        <w:pStyle w:val="BodyText"/>
      </w:pPr>
      <w:r w:rsidRPr="00472578">
        <w:t xml:space="preserve">The Otago region is exposed to a wide variety of </w:t>
      </w:r>
      <w:r w:rsidRPr="00472578">
        <w:rPr>
          <w:i/>
        </w:rPr>
        <w:t xml:space="preserve">natural hazards </w:t>
      </w:r>
      <w:r w:rsidRPr="00472578">
        <w:t>that impact on people, property,</w:t>
      </w:r>
      <w:r w:rsidR="00BD7820" w:rsidRPr="00472578">
        <w:t xml:space="preserve"> </w:t>
      </w:r>
      <w:proofErr w:type="gramStart"/>
      <w:r w:rsidRPr="00472578">
        <w:rPr>
          <w:i/>
        </w:rPr>
        <w:t>infrastructure</w:t>
      </w:r>
      <w:proofErr w:type="gramEnd"/>
      <w:r w:rsidRPr="00472578">
        <w:rPr>
          <w:i/>
        </w:rPr>
        <w:t xml:space="preserve"> </w:t>
      </w:r>
      <w:r w:rsidRPr="00472578">
        <w:t xml:space="preserve">and the wider </w:t>
      </w:r>
      <w:r w:rsidRPr="00472578">
        <w:rPr>
          <w:i/>
        </w:rPr>
        <w:t>environment</w:t>
      </w:r>
      <w:r w:rsidRPr="00472578">
        <w:t xml:space="preserve">. Given the wide variety of landscapes that make up the Otago region, the </w:t>
      </w:r>
      <w:r w:rsidRPr="00472578">
        <w:rPr>
          <w:i/>
        </w:rPr>
        <w:t xml:space="preserve">natural hazards </w:t>
      </w:r>
      <w:r w:rsidRPr="00472578">
        <w:t xml:space="preserve">threats range from coastal erosion and flooding in the lowland coastal areas of the region to alluvial fan deposition, landslip, fire, earthquakes, rock fall, and </w:t>
      </w:r>
      <w:r w:rsidRPr="00472578">
        <w:rPr>
          <w:i/>
        </w:rPr>
        <w:t xml:space="preserve">river </w:t>
      </w:r>
      <w:r w:rsidRPr="00472578">
        <w:t xml:space="preserve">breaches in the alpine areas of the region. The </w:t>
      </w:r>
      <w:r w:rsidRPr="00472578">
        <w:rPr>
          <w:i/>
        </w:rPr>
        <w:t xml:space="preserve">effects </w:t>
      </w:r>
      <w:r w:rsidRPr="00472578">
        <w:t xml:space="preserve">of </w:t>
      </w:r>
      <w:r w:rsidRPr="00472578">
        <w:rPr>
          <w:i/>
        </w:rPr>
        <w:t xml:space="preserve">natural hazards </w:t>
      </w:r>
      <w:r w:rsidRPr="00472578">
        <w:t xml:space="preserve">vary in terms of both their likelihood and consequence. Some </w:t>
      </w:r>
      <w:r w:rsidRPr="00472578">
        <w:rPr>
          <w:i/>
        </w:rPr>
        <w:t xml:space="preserve">natural hazards, </w:t>
      </w:r>
      <w:r w:rsidRPr="00472578">
        <w:t xml:space="preserve">such as flooding, may occur relatively frequently and may damage property and disrupt people’s lives and economic, </w:t>
      </w:r>
      <w:proofErr w:type="gramStart"/>
      <w:r w:rsidRPr="00472578">
        <w:t>social</w:t>
      </w:r>
      <w:proofErr w:type="gramEnd"/>
      <w:r w:rsidRPr="00472578">
        <w:t xml:space="preserve"> and cultural activities, whereas </w:t>
      </w:r>
      <w:r w:rsidRPr="00472578">
        <w:rPr>
          <w:i/>
        </w:rPr>
        <w:t xml:space="preserve">natural hazards </w:t>
      </w:r>
      <w:r w:rsidRPr="00472578">
        <w:t xml:space="preserve">such as tsunami occur infrequently, but when they do occur, they pose serious </w:t>
      </w:r>
      <w:r w:rsidRPr="005B549E">
        <w:rPr>
          <w:iCs/>
        </w:rPr>
        <w:t>risk</w:t>
      </w:r>
      <w:r w:rsidRPr="00472578">
        <w:rPr>
          <w:i/>
        </w:rPr>
        <w:t xml:space="preserve"> </w:t>
      </w:r>
      <w:r w:rsidRPr="00472578">
        <w:t>to life.</w:t>
      </w:r>
    </w:p>
    <w:p w14:paraId="44DDD5DA" w14:textId="04B8AEFF" w:rsidR="00D038D4" w:rsidRPr="00472578" w:rsidRDefault="00D038D4" w:rsidP="00E92686">
      <w:pPr>
        <w:ind w:right="114"/>
        <w:jc w:val="both"/>
      </w:pPr>
      <w:r w:rsidRPr="00472578">
        <w:rPr>
          <w:strike/>
        </w:rPr>
        <w:t xml:space="preserve">The negative </w:t>
      </w:r>
      <w:r w:rsidRPr="00472578">
        <w:rPr>
          <w:i/>
          <w:strike/>
        </w:rPr>
        <w:t xml:space="preserve">effects </w:t>
      </w:r>
      <w:r w:rsidRPr="00472578">
        <w:rPr>
          <w:strike/>
        </w:rPr>
        <w:t xml:space="preserve">of </w:t>
      </w:r>
      <w:r w:rsidRPr="00472578">
        <w:rPr>
          <w:i/>
          <w:strike/>
        </w:rPr>
        <w:t xml:space="preserve">natural hazards </w:t>
      </w:r>
      <w:r w:rsidRPr="00472578">
        <w:rPr>
          <w:strike/>
        </w:rPr>
        <w:t xml:space="preserve">are generally best managed by avoiding development in areas that are known to be subject to </w:t>
      </w:r>
      <w:r w:rsidRPr="00472578">
        <w:rPr>
          <w:i/>
          <w:strike/>
        </w:rPr>
        <w:t>natural hazards</w:t>
      </w:r>
      <w:r w:rsidRPr="00472578">
        <w:rPr>
          <w:strike/>
        </w:rPr>
        <w:t>. However,</w:t>
      </w:r>
      <w:r w:rsidRPr="00472578">
        <w:rPr>
          <w:rStyle w:val="FootnoteReference"/>
        </w:rPr>
        <w:footnoteReference w:id="1262"/>
      </w:r>
      <w:r w:rsidRPr="00472578">
        <w:t xml:space="preserve"> </w:t>
      </w:r>
      <w:r w:rsidRPr="00472578">
        <w:rPr>
          <w:strike/>
        </w:rPr>
        <w:t>t</w:t>
      </w:r>
      <w:r w:rsidRPr="00472578">
        <w:rPr>
          <w:u w:val="single"/>
        </w:rPr>
        <w:t>T</w:t>
      </w:r>
      <w:r w:rsidRPr="00472578">
        <w:t xml:space="preserve">he majority of the region is subject to some form of hazards </w:t>
      </w:r>
      <w:r w:rsidRPr="00472578">
        <w:rPr>
          <w:i/>
        </w:rPr>
        <w:t>risk</w:t>
      </w:r>
      <w:r w:rsidRPr="00472578">
        <w:t xml:space="preserve">, to a greater or lesser extent. While avoidance </w:t>
      </w:r>
      <w:r w:rsidRPr="00472578">
        <w:rPr>
          <w:u w:val="single"/>
        </w:rPr>
        <w:t xml:space="preserve">of </w:t>
      </w:r>
      <w:r w:rsidRPr="005B549E">
        <w:rPr>
          <w:i/>
          <w:iCs/>
          <w:u w:val="single"/>
        </w:rPr>
        <w:t>natural hazard risk</w:t>
      </w:r>
      <w:r w:rsidRPr="00472578">
        <w:rPr>
          <w:rStyle w:val="FootnoteReference"/>
        </w:rPr>
        <w:footnoteReference w:id="1263"/>
      </w:r>
      <w:r w:rsidRPr="00472578">
        <w:t xml:space="preserve"> may be the preferred option in many cases, in other situations mitigating the </w:t>
      </w:r>
      <w:r w:rsidRPr="00472578">
        <w:rPr>
          <w:i/>
        </w:rPr>
        <w:t xml:space="preserve">effects </w:t>
      </w:r>
      <w:r w:rsidRPr="00472578">
        <w:t xml:space="preserve">of </w:t>
      </w:r>
      <w:r w:rsidRPr="00472578">
        <w:rPr>
          <w:i/>
        </w:rPr>
        <w:t xml:space="preserve">natural hazards </w:t>
      </w:r>
      <w:r w:rsidRPr="00472578">
        <w:t xml:space="preserve">to tolerable levels will be a feasible option to ensure the health, safety and well-being of the </w:t>
      </w:r>
      <w:r w:rsidRPr="00472578">
        <w:lastRenderedPageBreak/>
        <w:t xml:space="preserve">community. The changing nature of </w:t>
      </w:r>
      <w:r w:rsidRPr="00472578">
        <w:rPr>
          <w:i/>
        </w:rPr>
        <w:t xml:space="preserve">natural hazards risk </w:t>
      </w:r>
      <w:r w:rsidRPr="00472578">
        <w:t xml:space="preserve">due to </w:t>
      </w:r>
      <w:r w:rsidRPr="00472578">
        <w:rPr>
          <w:i/>
        </w:rPr>
        <w:t xml:space="preserve">climate change </w:t>
      </w:r>
      <w:r w:rsidRPr="00472578">
        <w:t xml:space="preserve">means that planning provisions need to be able to adapt to a future </w:t>
      </w:r>
      <w:r w:rsidRPr="00472578">
        <w:rPr>
          <w:i/>
        </w:rPr>
        <w:t xml:space="preserve">natural </w:t>
      </w:r>
      <w:proofErr w:type="gramStart"/>
      <w:r w:rsidRPr="00472578">
        <w:rPr>
          <w:i/>
        </w:rPr>
        <w:t>hazard</w:t>
      </w:r>
      <w:r w:rsidR="005B3AC8" w:rsidRPr="00472578">
        <w:rPr>
          <w:i/>
        </w:rPr>
        <w:t>s</w:t>
      </w:r>
      <w:proofErr w:type="gramEnd"/>
      <w:r w:rsidR="005B3AC8" w:rsidRPr="00472578">
        <w:rPr>
          <w:i/>
        </w:rPr>
        <w:t xml:space="preserve"> </w:t>
      </w:r>
      <w:r w:rsidRPr="00472578">
        <w:rPr>
          <w:i/>
        </w:rPr>
        <w:t>environment</w:t>
      </w:r>
      <w:r w:rsidRPr="00472578">
        <w:t>.</w:t>
      </w:r>
    </w:p>
    <w:p w14:paraId="0D61F7B9" w14:textId="77777777" w:rsidR="00D038D4" w:rsidRPr="00472578" w:rsidRDefault="00D038D4" w:rsidP="00E92686">
      <w:pPr>
        <w:pStyle w:val="BodyText"/>
      </w:pPr>
      <w:bookmarkStart w:id="288" w:name="_Hlk96093656"/>
      <w:r w:rsidRPr="00472578">
        <w:t xml:space="preserve">Consultation with communities, stakeholders and partners is essential to an understanding of risk tolerance. </w:t>
      </w:r>
      <w:r w:rsidRPr="00380C4E">
        <w:rPr>
          <w:u w:val="single"/>
        </w:rPr>
        <w:t>Preparing natural hazard risk assessments requires consultation with these groups</w:t>
      </w:r>
      <w:r w:rsidRPr="00A86549">
        <w:rPr>
          <w:u w:val="single"/>
        </w:rPr>
        <w:t>.</w:t>
      </w:r>
      <w:bookmarkEnd w:id="288"/>
      <w:r w:rsidRPr="00A86549">
        <w:rPr>
          <w:rStyle w:val="FootnoteReference"/>
        </w:rPr>
        <w:footnoteReference w:id="1264"/>
      </w:r>
      <w:r w:rsidRPr="00472578">
        <w:t xml:space="preserve"> Communities need consistent guidance on sea level rise, extreme weather events, and all other adverse </w:t>
      </w:r>
      <w:r w:rsidRPr="00472578">
        <w:rPr>
          <w:i/>
        </w:rPr>
        <w:t xml:space="preserve">effects </w:t>
      </w:r>
      <w:r w:rsidRPr="00472578">
        <w:t xml:space="preserve">of </w:t>
      </w:r>
      <w:r w:rsidRPr="00472578">
        <w:rPr>
          <w:i/>
        </w:rPr>
        <w:t xml:space="preserve">climate change </w:t>
      </w:r>
      <w:r w:rsidRPr="00472578">
        <w:t xml:space="preserve">if they are to appropriately manage those </w:t>
      </w:r>
      <w:r w:rsidRPr="00472578">
        <w:rPr>
          <w:i/>
        </w:rPr>
        <w:t>effects</w:t>
      </w:r>
      <w:r w:rsidRPr="00472578">
        <w:t xml:space="preserve">. </w:t>
      </w:r>
      <w:r w:rsidRPr="00472578">
        <w:rPr>
          <w:i/>
        </w:rPr>
        <w:t xml:space="preserve">Climate change </w:t>
      </w:r>
      <w:r w:rsidRPr="00472578">
        <w:t xml:space="preserve">is resulting in rising sea levels and is increasing the frequency and severity of climate related </w:t>
      </w:r>
      <w:r w:rsidRPr="00472578">
        <w:rPr>
          <w:i/>
        </w:rPr>
        <w:t xml:space="preserve">natural hazards </w:t>
      </w:r>
      <w:r w:rsidRPr="00472578">
        <w:t xml:space="preserve">including flooding, wind events, fires, landslips, </w:t>
      </w:r>
      <w:proofErr w:type="gramStart"/>
      <w:r w:rsidRPr="00472578">
        <w:t>erosion</w:t>
      </w:r>
      <w:proofErr w:type="gramEnd"/>
      <w:r w:rsidRPr="00472578">
        <w:t xml:space="preserve"> and drought. </w:t>
      </w:r>
      <w:r w:rsidRPr="00472578">
        <w:rPr>
          <w:i/>
        </w:rPr>
        <w:t xml:space="preserve">Stormwater </w:t>
      </w:r>
      <w:r w:rsidRPr="00472578">
        <w:t xml:space="preserve">systems may not be able to cope with heavier rainfall. Other </w:t>
      </w:r>
      <w:r w:rsidRPr="00472578">
        <w:rPr>
          <w:i/>
        </w:rPr>
        <w:t xml:space="preserve">effects </w:t>
      </w:r>
      <w:r w:rsidRPr="00472578">
        <w:t xml:space="preserve">of </w:t>
      </w:r>
      <w:r w:rsidRPr="00472578">
        <w:rPr>
          <w:i/>
        </w:rPr>
        <w:t xml:space="preserve">climate change </w:t>
      </w:r>
      <w:r w:rsidRPr="00472578">
        <w:t xml:space="preserve">include changing distributions of plants and animals, and consequential </w:t>
      </w:r>
      <w:r w:rsidRPr="00472578">
        <w:rPr>
          <w:i/>
        </w:rPr>
        <w:t>effects</w:t>
      </w:r>
      <w:r w:rsidRPr="00472578">
        <w:t xml:space="preserve">, such as the </w:t>
      </w:r>
      <w:r w:rsidRPr="00A86549">
        <w:rPr>
          <w:iCs/>
        </w:rPr>
        <w:t>risk</w:t>
      </w:r>
      <w:r w:rsidRPr="00472578">
        <w:rPr>
          <w:i/>
        </w:rPr>
        <w:t xml:space="preserve"> </w:t>
      </w:r>
      <w:r w:rsidRPr="00472578">
        <w:t xml:space="preserve">of saltwater intrusion into </w:t>
      </w:r>
      <w:r w:rsidRPr="00472578">
        <w:rPr>
          <w:i/>
        </w:rPr>
        <w:t xml:space="preserve">groundwater </w:t>
      </w:r>
      <w:proofErr w:type="gramStart"/>
      <w:r w:rsidRPr="00472578">
        <w:t>as a result of</w:t>
      </w:r>
      <w:proofErr w:type="gramEnd"/>
      <w:r w:rsidRPr="00472578">
        <w:t xml:space="preserve"> sea level rise in combination with increased </w:t>
      </w:r>
      <w:r w:rsidRPr="00472578">
        <w:rPr>
          <w:i/>
        </w:rPr>
        <w:t xml:space="preserve">groundwater </w:t>
      </w:r>
      <w:r w:rsidRPr="00472578">
        <w:t xml:space="preserve">abstraction, and </w:t>
      </w:r>
      <w:r w:rsidRPr="00472578">
        <w:rPr>
          <w:i/>
        </w:rPr>
        <w:t xml:space="preserve">groundwater </w:t>
      </w:r>
      <w:r w:rsidRPr="00472578">
        <w:t xml:space="preserve">ponding. There may be other adverse </w:t>
      </w:r>
      <w:r w:rsidRPr="00472578">
        <w:rPr>
          <w:i/>
        </w:rPr>
        <w:t xml:space="preserve">effects </w:t>
      </w:r>
      <w:r w:rsidRPr="00472578">
        <w:t xml:space="preserve">from </w:t>
      </w:r>
      <w:r w:rsidRPr="00472578">
        <w:rPr>
          <w:i/>
        </w:rPr>
        <w:t xml:space="preserve">climate change </w:t>
      </w:r>
      <w:r w:rsidRPr="00472578">
        <w:t xml:space="preserve">that are not yet known. A precautionary approach is required where there is scientific uncertainty. The </w:t>
      </w:r>
      <w:r w:rsidRPr="00472578">
        <w:rPr>
          <w:i/>
        </w:rPr>
        <w:t xml:space="preserve">effects </w:t>
      </w:r>
      <w:r w:rsidRPr="00472578">
        <w:t xml:space="preserve">of </w:t>
      </w:r>
      <w:r w:rsidRPr="00472578">
        <w:rPr>
          <w:i/>
        </w:rPr>
        <w:t xml:space="preserve">climate change </w:t>
      </w:r>
      <w:r w:rsidRPr="00472578">
        <w:t xml:space="preserve">will result in social, </w:t>
      </w:r>
      <w:proofErr w:type="gramStart"/>
      <w:r w:rsidRPr="00472578">
        <w:t>environmental</w:t>
      </w:r>
      <w:proofErr w:type="gramEnd"/>
      <w:r w:rsidRPr="00472578">
        <w:t xml:space="preserve"> and economic costs. It is prudent that these changes are planned for now, so that the impacts can be reduced.</w:t>
      </w:r>
    </w:p>
    <w:p w14:paraId="02691A6D" w14:textId="77777777" w:rsidR="00D038D4" w:rsidRPr="00472578" w:rsidRDefault="00D038D4" w:rsidP="00E92686">
      <w:pPr>
        <w:pStyle w:val="BodyText"/>
      </w:pPr>
      <w:r w:rsidRPr="00472578">
        <w:t xml:space="preserve">In addition to the objectives and policies in this chapter, the management of </w:t>
      </w:r>
      <w:r w:rsidRPr="00472578">
        <w:rPr>
          <w:i/>
        </w:rPr>
        <w:t xml:space="preserve">natural hazards </w:t>
      </w:r>
      <w:r w:rsidRPr="00472578">
        <w:t>are also recognised and provided for in the following chapters of this RPS:</w:t>
      </w:r>
    </w:p>
    <w:p w14:paraId="15276D24" w14:textId="77777777" w:rsidR="00D038D4" w:rsidRPr="00472578" w:rsidRDefault="00D038D4" w:rsidP="00E92686">
      <w:pPr>
        <w:pStyle w:val="ListParagraph"/>
        <w:widowControl w:val="0"/>
        <w:numPr>
          <w:ilvl w:val="0"/>
          <w:numId w:val="38"/>
        </w:numPr>
        <w:autoSpaceDE w:val="0"/>
        <w:autoSpaceDN w:val="0"/>
        <w:spacing w:before="159"/>
        <w:ind w:left="567" w:hanging="568"/>
        <w:contextualSpacing w:val="0"/>
        <w:jc w:val="both"/>
      </w:pPr>
      <w:r w:rsidRPr="00472578">
        <w:t>IM – Integrated management</w:t>
      </w:r>
    </w:p>
    <w:p w14:paraId="2492B1A2" w14:textId="77777777" w:rsidR="00D038D4" w:rsidRPr="00472578" w:rsidRDefault="00D038D4" w:rsidP="00E92686">
      <w:pPr>
        <w:pStyle w:val="ListParagraph"/>
        <w:widowControl w:val="0"/>
        <w:numPr>
          <w:ilvl w:val="0"/>
          <w:numId w:val="38"/>
        </w:numPr>
        <w:autoSpaceDE w:val="0"/>
        <w:autoSpaceDN w:val="0"/>
        <w:spacing w:before="1"/>
        <w:ind w:left="567" w:hanging="568"/>
        <w:contextualSpacing w:val="0"/>
        <w:jc w:val="both"/>
      </w:pPr>
      <w:r w:rsidRPr="00472578">
        <w:t>CE – Coastal environment</w:t>
      </w:r>
    </w:p>
    <w:p w14:paraId="2AB55D22" w14:textId="77777777" w:rsidR="00D038D4" w:rsidRPr="00472578" w:rsidRDefault="00D038D4" w:rsidP="00E92686">
      <w:pPr>
        <w:pStyle w:val="ListParagraph"/>
        <w:widowControl w:val="0"/>
        <w:numPr>
          <w:ilvl w:val="0"/>
          <w:numId w:val="38"/>
        </w:numPr>
        <w:autoSpaceDE w:val="0"/>
        <w:autoSpaceDN w:val="0"/>
        <w:spacing w:line="279" w:lineRule="exact"/>
        <w:ind w:left="567" w:hanging="568"/>
        <w:contextualSpacing w:val="0"/>
        <w:jc w:val="both"/>
      </w:pPr>
      <w:r w:rsidRPr="00472578">
        <w:t xml:space="preserve">EIT – Energy, </w:t>
      </w:r>
      <w:proofErr w:type="gramStart"/>
      <w:r w:rsidRPr="00472578">
        <w:t>infrastructure</w:t>
      </w:r>
      <w:proofErr w:type="gramEnd"/>
      <w:r w:rsidRPr="00472578">
        <w:t xml:space="preserve"> and transport</w:t>
      </w:r>
    </w:p>
    <w:p w14:paraId="0AC2AD8F" w14:textId="77777777" w:rsidR="00D038D4" w:rsidRPr="00472578" w:rsidRDefault="00D038D4" w:rsidP="00E92686">
      <w:pPr>
        <w:pStyle w:val="ListParagraph"/>
        <w:widowControl w:val="0"/>
        <w:numPr>
          <w:ilvl w:val="0"/>
          <w:numId w:val="38"/>
        </w:numPr>
        <w:autoSpaceDE w:val="0"/>
        <w:autoSpaceDN w:val="0"/>
        <w:spacing w:line="279" w:lineRule="exact"/>
        <w:ind w:left="567" w:hanging="568"/>
        <w:contextualSpacing w:val="0"/>
        <w:jc w:val="both"/>
      </w:pPr>
      <w:r w:rsidRPr="00472578">
        <w:t>UFD – Urban form and development</w:t>
      </w:r>
    </w:p>
    <w:p w14:paraId="6988F002" w14:textId="77777777" w:rsidR="00D038D4" w:rsidRPr="00472578" w:rsidRDefault="00D038D4" w:rsidP="00E92686">
      <w:pPr>
        <w:pStyle w:val="BodyText"/>
      </w:pPr>
    </w:p>
    <w:p w14:paraId="456C6B3F" w14:textId="77777777" w:rsidR="00D038D4" w:rsidRPr="00472578" w:rsidRDefault="00D038D4" w:rsidP="00E92686">
      <w:pPr>
        <w:pStyle w:val="Heading4"/>
        <w:jc w:val="both"/>
      </w:pPr>
      <w:r w:rsidRPr="00472578">
        <w:t>Anticipated environmental results</w:t>
      </w:r>
    </w:p>
    <w:p w14:paraId="6B5B26A7" w14:textId="2FA0FDDF" w:rsidR="00D038D4" w:rsidRPr="00472578" w:rsidRDefault="00D038D4" w:rsidP="00E92686">
      <w:pPr>
        <w:spacing w:before="161" w:line="254" w:lineRule="auto"/>
        <w:ind w:left="2268" w:right="114" w:hanging="2268"/>
        <w:jc w:val="both"/>
      </w:pPr>
      <w:r w:rsidRPr="00472578">
        <w:rPr>
          <w:b/>
          <w:color w:val="1F3863"/>
        </w:rPr>
        <w:t>HAZ</w:t>
      </w:r>
      <w:r w:rsidR="00893DC6" w:rsidRPr="00472578">
        <w:rPr>
          <w:b/>
          <w:color w:val="1F3863"/>
        </w:rPr>
        <w:t>-</w:t>
      </w:r>
      <w:r w:rsidRPr="00472578">
        <w:rPr>
          <w:b/>
          <w:color w:val="1F3863"/>
        </w:rPr>
        <w:t>NH</w:t>
      </w:r>
      <w:r w:rsidR="00893DC6" w:rsidRPr="00472578">
        <w:rPr>
          <w:b/>
          <w:color w:val="1F3863"/>
        </w:rPr>
        <w:t>-</w:t>
      </w:r>
      <w:r w:rsidRPr="00472578">
        <w:rPr>
          <w:b/>
          <w:color w:val="1F3863"/>
        </w:rPr>
        <w:t>AER1</w:t>
      </w:r>
      <w:r w:rsidRPr="00472578">
        <w:rPr>
          <w:b/>
          <w:color w:val="1F3863"/>
        </w:rPr>
        <w:tab/>
      </w:r>
      <w:r w:rsidRPr="00472578">
        <w:t xml:space="preserve">The location and design of new developments and natural resource use reduces community exposure to the adverse </w:t>
      </w:r>
      <w:r w:rsidRPr="00472578">
        <w:rPr>
          <w:i/>
        </w:rPr>
        <w:t xml:space="preserve">effects </w:t>
      </w:r>
      <w:r w:rsidRPr="00472578">
        <w:t xml:space="preserve">of </w:t>
      </w:r>
      <w:r w:rsidRPr="00472578">
        <w:rPr>
          <w:i/>
        </w:rPr>
        <w:t xml:space="preserve">natural hazards </w:t>
      </w:r>
      <w:r w:rsidRPr="00472578">
        <w:t>events and processes.</w:t>
      </w:r>
    </w:p>
    <w:p w14:paraId="22E6BB8C" w14:textId="596C9696" w:rsidR="00D038D4" w:rsidRPr="00472578" w:rsidRDefault="00D038D4" w:rsidP="00E92686">
      <w:pPr>
        <w:tabs>
          <w:tab w:val="left" w:pos="2459"/>
        </w:tabs>
        <w:spacing w:before="158"/>
        <w:ind w:left="2268" w:hanging="2268"/>
        <w:jc w:val="both"/>
      </w:pPr>
      <w:r w:rsidRPr="00472578">
        <w:rPr>
          <w:b/>
          <w:color w:val="1F3863"/>
        </w:rPr>
        <w:t>HAZ</w:t>
      </w:r>
      <w:r w:rsidR="00893DC6" w:rsidRPr="00472578">
        <w:rPr>
          <w:b/>
          <w:color w:val="1F3863"/>
        </w:rPr>
        <w:t>-</w:t>
      </w:r>
      <w:r w:rsidRPr="00472578">
        <w:rPr>
          <w:b/>
          <w:color w:val="1F3863"/>
        </w:rPr>
        <w:t>NH</w:t>
      </w:r>
      <w:r w:rsidR="00893DC6" w:rsidRPr="00472578">
        <w:rPr>
          <w:b/>
          <w:color w:val="1F3863"/>
        </w:rPr>
        <w:t>-</w:t>
      </w:r>
      <w:r w:rsidRPr="00472578">
        <w:rPr>
          <w:b/>
          <w:color w:val="1F3863"/>
        </w:rPr>
        <w:t>AER2</w:t>
      </w:r>
      <w:r w:rsidRPr="00472578">
        <w:rPr>
          <w:b/>
          <w:color w:val="1F3863"/>
        </w:rPr>
        <w:tab/>
      </w:r>
      <w:r w:rsidRPr="00472578">
        <w:t xml:space="preserve">No developments proceed that have a significant level of </w:t>
      </w:r>
      <w:r w:rsidRPr="00472578">
        <w:rPr>
          <w:i/>
        </w:rPr>
        <w:t>risk</w:t>
      </w:r>
      <w:r w:rsidRPr="00472578">
        <w:t>.</w:t>
      </w:r>
    </w:p>
    <w:p w14:paraId="08B5AC79" w14:textId="015B2D90" w:rsidR="00D038D4" w:rsidRPr="00472578" w:rsidRDefault="00D038D4" w:rsidP="00E92686">
      <w:pPr>
        <w:pStyle w:val="BodyText"/>
        <w:ind w:left="2268" w:hanging="2268"/>
      </w:pPr>
      <w:r w:rsidRPr="00472578">
        <w:rPr>
          <w:b/>
          <w:color w:val="1F3863"/>
        </w:rPr>
        <w:t>HAZ</w:t>
      </w:r>
      <w:r w:rsidR="00893DC6" w:rsidRPr="00472578">
        <w:rPr>
          <w:b/>
          <w:color w:val="1F3863"/>
        </w:rPr>
        <w:t>-</w:t>
      </w:r>
      <w:r w:rsidRPr="00472578">
        <w:rPr>
          <w:b/>
          <w:color w:val="1F3863"/>
        </w:rPr>
        <w:t>NH</w:t>
      </w:r>
      <w:r w:rsidR="00893DC6" w:rsidRPr="00472578">
        <w:rPr>
          <w:b/>
          <w:color w:val="1F3863"/>
        </w:rPr>
        <w:t>-</w:t>
      </w:r>
      <w:r w:rsidRPr="00472578">
        <w:rPr>
          <w:b/>
          <w:color w:val="1F3863"/>
        </w:rPr>
        <w:t>AER3</w:t>
      </w:r>
      <w:r w:rsidRPr="00472578">
        <w:rPr>
          <w:b/>
          <w:color w:val="1F3863"/>
        </w:rPr>
        <w:tab/>
      </w:r>
      <w:r w:rsidRPr="00472578">
        <w:t xml:space="preserve">The level of </w:t>
      </w:r>
      <w:r w:rsidRPr="00472578">
        <w:rPr>
          <w:i/>
        </w:rPr>
        <w:t xml:space="preserve">risk </w:t>
      </w:r>
      <w:r w:rsidRPr="00472578">
        <w:t>associated with new development does not exceed a tolerable level.</w:t>
      </w:r>
    </w:p>
    <w:p w14:paraId="564F214F" w14:textId="62F729BF" w:rsidR="00D038D4" w:rsidRPr="00472578" w:rsidRDefault="00D038D4" w:rsidP="00E92686">
      <w:pPr>
        <w:tabs>
          <w:tab w:val="left" w:pos="2459"/>
        </w:tabs>
        <w:spacing w:before="163"/>
        <w:ind w:left="2268" w:hanging="2268"/>
        <w:jc w:val="both"/>
      </w:pPr>
      <w:r w:rsidRPr="00472578">
        <w:rPr>
          <w:b/>
          <w:color w:val="1F3863"/>
        </w:rPr>
        <w:t>HAZ</w:t>
      </w:r>
      <w:r w:rsidR="00893DC6" w:rsidRPr="00472578">
        <w:rPr>
          <w:b/>
          <w:color w:val="1F3863"/>
        </w:rPr>
        <w:t>-</w:t>
      </w:r>
      <w:r w:rsidRPr="00472578">
        <w:rPr>
          <w:b/>
          <w:color w:val="1F3863"/>
        </w:rPr>
        <w:t>NH</w:t>
      </w:r>
      <w:r w:rsidR="00893DC6" w:rsidRPr="00472578">
        <w:rPr>
          <w:b/>
          <w:color w:val="1F3863"/>
        </w:rPr>
        <w:t>-</w:t>
      </w:r>
      <w:r w:rsidRPr="00472578">
        <w:rPr>
          <w:b/>
          <w:color w:val="1F3863"/>
        </w:rPr>
        <w:t>AER4</w:t>
      </w:r>
      <w:r w:rsidRPr="00472578">
        <w:rPr>
          <w:b/>
          <w:color w:val="1F3863"/>
        </w:rPr>
        <w:tab/>
      </w:r>
      <w:r w:rsidRPr="00472578">
        <w:t xml:space="preserve">Where existing development is subject to </w:t>
      </w:r>
      <w:r w:rsidRPr="00472578">
        <w:rPr>
          <w:i/>
        </w:rPr>
        <w:t xml:space="preserve">risks </w:t>
      </w:r>
      <w:r w:rsidRPr="00472578">
        <w:t xml:space="preserve">from </w:t>
      </w:r>
      <w:r w:rsidRPr="00472578">
        <w:rPr>
          <w:i/>
        </w:rPr>
        <w:t>natural hazards</w:t>
      </w:r>
      <w:r w:rsidRPr="00472578">
        <w:t>, the level of</w:t>
      </w:r>
      <w:r w:rsidR="00BD7820" w:rsidRPr="00472578">
        <w:t xml:space="preserve"> </w:t>
      </w:r>
      <w:r w:rsidRPr="00472578">
        <w:rPr>
          <w:i/>
        </w:rPr>
        <w:t xml:space="preserve">risk </w:t>
      </w:r>
      <w:r w:rsidRPr="00472578">
        <w:t>is reduced to a tolerable level.</w:t>
      </w:r>
    </w:p>
    <w:p w14:paraId="34BDC73D" w14:textId="21CE2125" w:rsidR="00D038D4" w:rsidRPr="00472578" w:rsidRDefault="00D038D4" w:rsidP="00E92686">
      <w:pPr>
        <w:spacing w:before="178" w:line="252" w:lineRule="auto"/>
        <w:ind w:left="2268" w:right="116" w:hanging="2268"/>
        <w:jc w:val="both"/>
      </w:pPr>
      <w:r w:rsidRPr="00472578">
        <w:rPr>
          <w:b/>
          <w:color w:val="1F3863"/>
        </w:rPr>
        <w:t>HAZ</w:t>
      </w:r>
      <w:r w:rsidR="00893DC6" w:rsidRPr="00472578">
        <w:rPr>
          <w:b/>
          <w:color w:val="1F3863"/>
        </w:rPr>
        <w:t>-</w:t>
      </w:r>
      <w:r w:rsidRPr="00472578">
        <w:rPr>
          <w:b/>
          <w:color w:val="1F3863"/>
        </w:rPr>
        <w:t>NH</w:t>
      </w:r>
      <w:r w:rsidR="00893DC6" w:rsidRPr="00472578">
        <w:rPr>
          <w:b/>
          <w:color w:val="1F3863"/>
        </w:rPr>
        <w:t>-</w:t>
      </w:r>
      <w:r w:rsidRPr="00472578">
        <w:rPr>
          <w:b/>
          <w:color w:val="1F3863"/>
        </w:rPr>
        <w:t>AER5</w:t>
      </w:r>
      <w:r w:rsidRPr="00472578">
        <w:rPr>
          <w:b/>
          <w:color w:val="1F3863"/>
        </w:rPr>
        <w:tab/>
      </w:r>
      <w:r w:rsidRPr="00472578">
        <w:t xml:space="preserve">The impact on </w:t>
      </w:r>
      <w:r w:rsidRPr="00472578">
        <w:rPr>
          <w:strike/>
        </w:rPr>
        <w:t>life,</w:t>
      </w:r>
      <w:r w:rsidRPr="00472578">
        <w:t xml:space="preserve"> </w:t>
      </w:r>
      <w:r w:rsidRPr="00472578">
        <w:rPr>
          <w:u w:val="single"/>
        </w:rPr>
        <w:t>people, communities and</w:t>
      </w:r>
      <w:r w:rsidRPr="00472578">
        <w:rPr>
          <w:rStyle w:val="FootnoteReference"/>
        </w:rPr>
        <w:footnoteReference w:id="1265"/>
      </w:r>
      <w:r w:rsidRPr="00472578">
        <w:t xml:space="preserve"> property, </w:t>
      </w:r>
      <w:r w:rsidRPr="00472578">
        <w:rPr>
          <w:i/>
        </w:rPr>
        <w:t>lifeline utilities</w:t>
      </w:r>
      <w:r w:rsidRPr="00472578">
        <w:t xml:space="preserve">, and essential services from </w:t>
      </w:r>
      <w:r w:rsidRPr="00472578">
        <w:rPr>
          <w:i/>
        </w:rPr>
        <w:t xml:space="preserve">natural hazards </w:t>
      </w:r>
      <w:r w:rsidRPr="00472578">
        <w:t xml:space="preserve">and </w:t>
      </w:r>
      <w:r w:rsidRPr="00472578">
        <w:rPr>
          <w:i/>
        </w:rPr>
        <w:t xml:space="preserve">climate change </w:t>
      </w:r>
      <w:r w:rsidRPr="00472578">
        <w:t xml:space="preserve">is managed </w:t>
      </w:r>
      <w:r w:rsidRPr="00472578">
        <w:rPr>
          <w:u w:val="single"/>
        </w:rPr>
        <w:t>to a tolerable or acceptable level</w:t>
      </w:r>
      <w:r w:rsidRPr="00472578">
        <w:t>.</w:t>
      </w:r>
      <w:r w:rsidR="00BD7820" w:rsidRPr="00472578">
        <w:rPr>
          <w:rStyle w:val="FootnoteReference"/>
        </w:rPr>
        <w:t xml:space="preserve"> </w:t>
      </w:r>
      <w:r w:rsidRPr="00472578">
        <w:rPr>
          <w:rStyle w:val="FootnoteReference"/>
        </w:rPr>
        <w:footnoteReference w:id="1266"/>
      </w:r>
    </w:p>
    <w:p w14:paraId="342E90B9" w14:textId="64CE8D3B" w:rsidR="00D038D4" w:rsidRPr="00472578" w:rsidRDefault="00D038D4" w:rsidP="00E92686">
      <w:pPr>
        <w:keepNext/>
        <w:keepLines/>
        <w:spacing w:before="480"/>
        <w:jc w:val="both"/>
        <w:outlineLvl w:val="2"/>
        <w:rPr>
          <w:rFonts w:eastAsiaTheme="majorEastAsia" w:cstheme="majorBidi"/>
          <w:b/>
          <w:color w:val="1F3864" w:themeColor="accent1" w:themeShade="80"/>
          <w:sz w:val="28"/>
          <w:szCs w:val="24"/>
        </w:rPr>
      </w:pPr>
      <w:bookmarkStart w:id="289" w:name="_Toc49763553"/>
      <w:bookmarkStart w:id="290" w:name="_Toc462231172"/>
      <w:r w:rsidRPr="00472578">
        <w:rPr>
          <w:rFonts w:eastAsiaTheme="majorEastAsia" w:cstheme="majorBidi"/>
          <w:b/>
          <w:color w:val="1F3864" w:themeColor="accent1" w:themeShade="80"/>
          <w:sz w:val="28"/>
          <w:szCs w:val="24"/>
        </w:rPr>
        <w:lastRenderedPageBreak/>
        <w:t>HAZ</w:t>
      </w:r>
      <w:r w:rsidR="00BD7820" w:rsidRPr="00472578">
        <w:rPr>
          <w:rFonts w:eastAsiaTheme="majorEastAsia" w:cstheme="majorBidi"/>
          <w:b/>
          <w:color w:val="1F3864" w:themeColor="accent1" w:themeShade="80"/>
          <w:sz w:val="28"/>
          <w:szCs w:val="24"/>
        </w:rPr>
        <w:t>-</w:t>
      </w:r>
      <w:r w:rsidRPr="00472578">
        <w:rPr>
          <w:rFonts w:eastAsiaTheme="majorEastAsia" w:cstheme="majorBidi"/>
          <w:b/>
          <w:color w:val="1F3864" w:themeColor="accent1" w:themeShade="80"/>
          <w:sz w:val="28"/>
          <w:szCs w:val="24"/>
        </w:rPr>
        <w:t xml:space="preserve">CL – </w:t>
      </w:r>
      <w:r w:rsidRPr="00472578">
        <w:rPr>
          <w:rFonts w:eastAsiaTheme="majorEastAsia" w:cstheme="majorBidi"/>
          <w:b/>
          <w:i/>
          <w:iCs/>
          <w:color w:val="1F3864" w:themeColor="accent1" w:themeShade="80"/>
          <w:sz w:val="28"/>
          <w:szCs w:val="24"/>
        </w:rPr>
        <w:t>Contaminated land</w:t>
      </w:r>
      <w:bookmarkEnd w:id="289"/>
    </w:p>
    <w:p w14:paraId="7972E4D7" w14:textId="77777777" w:rsidR="00D038D4" w:rsidRPr="00472578" w:rsidRDefault="00D038D4" w:rsidP="00E92686">
      <w:pPr>
        <w:pStyle w:val="Heading4"/>
        <w:jc w:val="both"/>
        <w:rPr>
          <w:b w:val="0"/>
          <w:iCs w:val="0"/>
        </w:rPr>
      </w:pPr>
      <w:bookmarkStart w:id="291" w:name="_Toc49763554"/>
      <w:r w:rsidRPr="00472578">
        <w:t>O</w:t>
      </w:r>
      <w:r w:rsidRPr="00472578">
        <w:rPr>
          <w:bCs/>
          <w:iCs w:val="0"/>
        </w:rPr>
        <w:t>bjectives</w:t>
      </w:r>
      <w:bookmarkEnd w:id="291"/>
    </w:p>
    <w:p w14:paraId="47C211ED" w14:textId="3E5B7AF6" w:rsidR="00D038D4" w:rsidRPr="00472578" w:rsidRDefault="00D038D4" w:rsidP="00E92686">
      <w:pPr>
        <w:pStyle w:val="Heading5"/>
        <w:jc w:val="both"/>
        <w:rPr>
          <w:b w:val="0"/>
          <w:bCs w:val="0"/>
        </w:rPr>
      </w:pPr>
      <w:r w:rsidRPr="00472578">
        <w:t>HAZ</w:t>
      </w:r>
      <w:r w:rsidR="00BD7820" w:rsidRPr="00472578">
        <w:t>-</w:t>
      </w:r>
      <w:r w:rsidRPr="00472578">
        <w:t>CL</w:t>
      </w:r>
      <w:r w:rsidR="00BD7820" w:rsidRPr="00472578">
        <w:t>-</w:t>
      </w:r>
      <w:r w:rsidRPr="00472578">
        <w:t>O3 – Contaminated land</w:t>
      </w:r>
    </w:p>
    <w:p w14:paraId="7B369AD1" w14:textId="77777777" w:rsidR="00D038D4" w:rsidRPr="00472578" w:rsidRDefault="00D038D4" w:rsidP="00E92686">
      <w:pPr>
        <w:jc w:val="both"/>
        <w:rPr>
          <w:rFonts w:cs="Calibri"/>
          <w:lang w:eastAsia="en-NZ"/>
        </w:rPr>
      </w:pPr>
      <w:bookmarkStart w:id="292" w:name="_Hlk69134145"/>
      <w:r w:rsidRPr="00472578">
        <w:rPr>
          <w:i/>
          <w:iCs/>
          <w:lang w:eastAsia="en-NZ"/>
        </w:rPr>
        <w:t>Contaminated</w:t>
      </w:r>
      <w:r w:rsidRPr="00472578">
        <w:rPr>
          <w:lang w:eastAsia="en-NZ"/>
        </w:rPr>
        <w:t xml:space="preserve"> </w:t>
      </w:r>
      <w:r w:rsidRPr="00472578">
        <w:rPr>
          <w:i/>
          <w:iCs/>
          <w:lang w:eastAsia="en-NZ"/>
        </w:rPr>
        <w:t>land</w:t>
      </w:r>
      <w:r w:rsidRPr="00472578">
        <w:rPr>
          <w:lang w:eastAsia="en-NZ"/>
        </w:rPr>
        <w:t xml:space="preserve"> and </w:t>
      </w:r>
      <w:r w:rsidRPr="00472578">
        <w:rPr>
          <w:i/>
          <w:lang w:eastAsia="en-NZ"/>
        </w:rPr>
        <w:t>waste</w:t>
      </w:r>
      <w:r w:rsidRPr="00472578">
        <w:rPr>
          <w:lang w:eastAsia="en-NZ"/>
        </w:rPr>
        <w:t xml:space="preserve"> materials are managed to protect human health, </w:t>
      </w:r>
      <w:r w:rsidRPr="00472578">
        <w:rPr>
          <w:u w:val="single"/>
          <w:lang w:eastAsia="en-NZ"/>
        </w:rPr>
        <w:t>Kāi Tahu</w:t>
      </w:r>
      <w:r w:rsidRPr="00472578">
        <w:rPr>
          <w:lang w:eastAsia="en-NZ"/>
        </w:rPr>
        <w:t xml:space="preserve"> </w:t>
      </w:r>
      <w:r w:rsidRPr="00472578">
        <w:rPr>
          <w:i/>
          <w:strike/>
          <w:lang w:eastAsia="en-NZ"/>
        </w:rPr>
        <w:t>mana whenua</w:t>
      </w:r>
      <w:r w:rsidRPr="00472578">
        <w:rPr>
          <w:rStyle w:val="FootnoteReference"/>
          <w:iCs/>
          <w:lang w:eastAsia="en-NZ"/>
        </w:rPr>
        <w:footnoteReference w:id="1267"/>
      </w:r>
      <w:r w:rsidRPr="00472578">
        <w:rPr>
          <w:iCs/>
          <w:lang w:eastAsia="en-NZ"/>
        </w:rPr>
        <w:t xml:space="preserve"> </w:t>
      </w:r>
      <w:r w:rsidRPr="00472578">
        <w:rPr>
          <w:lang w:eastAsia="en-NZ"/>
        </w:rPr>
        <w:t xml:space="preserve">values and the </w:t>
      </w:r>
      <w:r w:rsidRPr="00472578">
        <w:rPr>
          <w:i/>
          <w:iCs/>
          <w:lang w:eastAsia="en-NZ"/>
        </w:rPr>
        <w:t>environment</w:t>
      </w:r>
      <w:r w:rsidRPr="00472578">
        <w:rPr>
          <w:lang w:eastAsia="en-NZ"/>
        </w:rPr>
        <w:t xml:space="preserve"> in Otago</w:t>
      </w:r>
      <w:bookmarkEnd w:id="292"/>
      <w:r w:rsidRPr="00472578">
        <w:rPr>
          <w:lang w:eastAsia="en-NZ"/>
        </w:rPr>
        <w:t>.</w:t>
      </w:r>
    </w:p>
    <w:p w14:paraId="78DE4F70" w14:textId="77777777" w:rsidR="00D038D4" w:rsidRPr="00472578" w:rsidRDefault="00D038D4" w:rsidP="00E92686">
      <w:pPr>
        <w:pStyle w:val="Heading4"/>
        <w:jc w:val="both"/>
        <w:rPr>
          <w:rFonts w:eastAsia="National-Book"/>
          <w:b w:val="0"/>
          <w:sz w:val="28"/>
          <w:szCs w:val="24"/>
        </w:rPr>
      </w:pPr>
      <w:bookmarkStart w:id="293" w:name="_Toc49763555"/>
      <w:bookmarkStart w:id="294" w:name="_Toc462231173"/>
      <w:bookmarkEnd w:id="290"/>
      <w:r w:rsidRPr="00472578">
        <w:t>Policies</w:t>
      </w:r>
      <w:bookmarkEnd w:id="293"/>
    </w:p>
    <w:p w14:paraId="039A8449" w14:textId="4E4BA791" w:rsidR="00D038D4" w:rsidRPr="00472578" w:rsidRDefault="00D038D4" w:rsidP="00E92686">
      <w:pPr>
        <w:pStyle w:val="Heading5"/>
        <w:jc w:val="both"/>
        <w:rPr>
          <w:lang w:eastAsia="en-NZ"/>
        </w:rPr>
      </w:pPr>
      <w:r w:rsidRPr="00472578">
        <w:rPr>
          <w:lang w:eastAsia="en-NZ"/>
        </w:rPr>
        <w:t>HAZ</w:t>
      </w:r>
      <w:r w:rsidR="00BD7820" w:rsidRPr="00472578">
        <w:rPr>
          <w:lang w:eastAsia="en-NZ"/>
        </w:rPr>
        <w:t>-</w:t>
      </w:r>
      <w:r w:rsidRPr="00472578">
        <w:rPr>
          <w:lang w:eastAsia="en-NZ"/>
        </w:rPr>
        <w:t>CL</w:t>
      </w:r>
      <w:r w:rsidR="00BD7820" w:rsidRPr="00472578">
        <w:rPr>
          <w:lang w:eastAsia="en-NZ"/>
        </w:rPr>
        <w:t>-</w:t>
      </w:r>
      <w:r w:rsidRPr="00472578">
        <w:rPr>
          <w:lang w:eastAsia="en-NZ"/>
        </w:rPr>
        <w:t>P13</w:t>
      </w:r>
      <w:r w:rsidRPr="00472578">
        <w:t xml:space="preserve"> – </w:t>
      </w:r>
      <w:r w:rsidRPr="00472578">
        <w:rPr>
          <w:lang w:eastAsia="en-NZ"/>
        </w:rPr>
        <w:t xml:space="preserve">Identifying </w:t>
      </w:r>
      <w:r w:rsidRPr="00472578">
        <w:rPr>
          <w:i/>
          <w:lang w:eastAsia="en-NZ"/>
        </w:rPr>
        <w:t>contaminated land</w:t>
      </w:r>
      <w:bookmarkEnd w:id="294"/>
    </w:p>
    <w:p w14:paraId="59D19D17" w14:textId="77777777" w:rsidR="00D038D4" w:rsidRPr="00472578" w:rsidRDefault="00D038D4" w:rsidP="00E92686">
      <w:pPr>
        <w:jc w:val="both"/>
        <w:rPr>
          <w:rFonts w:cs="Calibri"/>
          <w:strike/>
        </w:rPr>
      </w:pPr>
      <w:bookmarkStart w:id="295" w:name="_Toc462231174"/>
      <w:r w:rsidRPr="00472578">
        <w:t xml:space="preserve">Identify sites of known or potentially </w:t>
      </w:r>
      <w:r w:rsidRPr="00472578">
        <w:rPr>
          <w:i/>
        </w:rPr>
        <w:t xml:space="preserve">contaminated land </w:t>
      </w:r>
      <w:r w:rsidRPr="00472578">
        <w:t xml:space="preserve">in Otago </w:t>
      </w:r>
      <w:r w:rsidRPr="00472578">
        <w:rPr>
          <w:strike/>
        </w:rPr>
        <w:t xml:space="preserve">using the Ministry for the Environment’s </w:t>
      </w:r>
      <w:r w:rsidRPr="00472578">
        <w:rPr>
          <w:i/>
          <w:strike/>
        </w:rPr>
        <w:t>Hazardous Activities and Industries List</w:t>
      </w:r>
      <w:r w:rsidRPr="00472578">
        <w:t>.</w:t>
      </w:r>
      <w:r w:rsidRPr="00472578">
        <w:rPr>
          <w:vertAlign w:val="superscript"/>
        </w:rPr>
        <w:footnoteReference w:id="1268"/>
      </w:r>
    </w:p>
    <w:p w14:paraId="59845A83" w14:textId="04B2C421" w:rsidR="00D038D4" w:rsidRPr="00472578" w:rsidRDefault="00D038D4" w:rsidP="00E92686">
      <w:pPr>
        <w:pStyle w:val="Heading5"/>
        <w:jc w:val="both"/>
        <w:rPr>
          <w:lang w:eastAsia="en-NZ"/>
        </w:rPr>
      </w:pPr>
      <w:r w:rsidRPr="00472578">
        <w:rPr>
          <w:lang w:eastAsia="en-NZ"/>
        </w:rPr>
        <w:t>HAZ</w:t>
      </w:r>
      <w:r w:rsidR="00BD7820" w:rsidRPr="00472578">
        <w:rPr>
          <w:lang w:eastAsia="en-NZ"/>
        </w:rPr>
        <w:t>-</w:t>
      </w:r>
      <w:r w:rsidRPr="00472578">
        <w:rPr>
          <w:lang w:eastAsia="en-NZ"/>
        </w:rPr>
        <w:t>CL</w:t>
      </w:r>
      <w:r w:rsidR="00BD7820" w:rsidRPr="00472578">
        <w:rPr>
          <w:lang w:eastAsia="en-NZ"/>
        </w:rPr>
        <w:t>-</w:t>
      </w:r>
      <w:r w:rsidRPr="00472578">
        <w:rPr>
          <w:lang w:eastAsia="en-NZ"/>
        </w:rPr>
        <w:t>P14</w:t>
      </w:r>
      <w:r w:rsidRPr="00472578">
        <w:t xml:space="preserve"> – </w:t>
      </w:r>
      <w:r w:rsidRPr="00472578">
        <w:rPr>
          <w:lang w:eastAsia="en-NZ"/>
        </w:rPr>
        <w:t xml:space="preserve">Managing </w:t>
      </w:r>
      <w:r w:rsidRPr="00472578">
        <w:rPr>
          <w:i/>
          <w:lang w:eastAsia="en-NZ"/>
        </w:rPr>
        <w:t>contaminated land</w:t>
      </w:r>
      <w:bookmarkEnd w:id="295"/>
    </w:p>
    <w:p w14:paraId="459147A7" w14:textId="77777777" w:rsidR="00D038D4" w:rsidRPr="00472578" w:rsidRDefault="00D038D4" w:rsidP="00E92686">
      <w:pPr>
        <w:jc w:val="both"/>
        <w:rPr>
          <w:rFonts w:eastAsia="Times New Roman" w:cs="Times New Roman"/>
          <w:lang w:eastAsia="en-NZ"/>
        </w:rPr>
      </w:pPr>
      <w:r w:rsidRPr="00472578">
        <w:rPr>
          <w:rFonts w:cs="Times New Roman"/>
          <w:strike/>
        </w:rPr>
        <w:t>Actively</w:t>
      </w:r>
      <w:r w:rsidRPr="00472578">
        <w:rPr>
          <w:rFonts w:cs="Times New Roman"/>
        </w:rPr>
        <w:t xml:space="preserve"> </w:t>
      </w:r>
      <w:r w:rsidRPr="00472578">
        <w:rPr>
          <w:rFonts w:cs="Times New Roman"/>
          <w:strike/>
        </w:rPr>
        <w:t>m</w:t>
      </w:r>
      <w:r w:rsidRPr="00472578">
        <w:rPr>
          <w:rFonts w:cs="Times New Roman"/>
          <w:u w:val="single"/>
        </w:rPr>
        <w:t>M</w:t>
      </w:r>
      <w:r w:rsidRPr="00472578">
        <w:rPr>
          <w:rFonts w:cs="Times New Roman"/>
        </w:rPr>
        <w:t>anage</w:t>
      </w:r>
      <w:r w:rsidRPr="00472578">
        <w:rPr>
          <w:rFonts w:cs="Times New Roman"/>
          <w:vertAlign w:val="superscript"/>
        </w:rPr>
        <w:footnoteReference w:id="1269"/>
      </w:r>
      <w:r w:rsidRPr="00472578">
        <w:rPr>
          <w:rFonts w:cs="Times New Roman"/>
        </w:rPr>
        <w:t xml:space="preserve"> contaminated or potentially </w:t>
      </w:r>
      <w:r w:rsidRPr="00472578">
        <w:rPr>
          <w:rFonts w:cs="Times New Roman"/>
          <w:i/>
          <w:iCs/>
        </w:rPr>
        <w:t>contaminated</w:t>
      </w:r>
      <w:r w:rsidRPr="00472578">
        <w:rPr>
          <w:rFonts w:cs="Times New Roman"/>
        </w:rPr>
        <w:t xml:space="preserve"> </w:t>
      </w:r>
      <w:r w:rsidRPr="00472578">
        <w:rPr>
          <w:rFonts w:cs="Times New Roman"/>
          <w:i/>
          <w:iCs/>
        </w:rPr>
        <w:t>land</w:t>
      </w:r>
      <w:r w:rsidRPr="00472578">
        <w:rPr>
          <w:rFonts w:cs="Times New Roman"/>
        </w:rPr>
        <w:t xml:space="preserve"> so that it does not pose an unacceptable </w:t>
      </w:r>
      <w:r w:rsidRPr="00472578">
        <w:rPr>
          <w:rFonts w:cs="Times New Roman"/>
          <w:i/>
          <w:iCs/>
        </w:rPr>
        <w:t>risk</w:t>
      </w:r>
      <w:r w:rsidRPr="00472578">
        <w:rPr>
          <w:rFonts w:cs="Times New Roman"/>
        </w:rPr>
        <w:t xml:space="preserve"> to people and the </w:t>
      </w:r>
      <w:r w:rsidRPr="00472578">
        <w:rPr>
          <w:rFonts w:cs="Times New Roman"/>
          <w:i/>
          <w:iCs/>
        </w:rPr>
        <w:t>environment</w:t>
      </w:r>
      <w:r w:rsidRPr="00472578">
        <w:rPr>
          <w:rFonts w:cs="Times New Roman"/>
        </w:rPr>
        <w:t>, by:</w:t>
      </w:r>
    </w:p>
    <w:p w14:paraId="7176B95E" w14:textId="394815DE" w:rsidR="00D038D4" w:rsidRPr="00472578" w:rsidRDefault="00D038D4" w:rsidP="00E92686">
      <w:pPr>
        <w:ind w:left="567" w:hanging="567"/>
        <w:jc w:val="both"/>
        <w:rPr>
          <w:rFonts w:cs="Calibri"/>
          <w:lang w:eastAsia="en-NZ"/>
        </w:rPr>
      </w:pPr>
      <w:r w:rsidRPr="00472578">
        <w:rPr>
          <w:lang w:eastAsia="en-NZ"/>
        </w:rPr>
        <w:t>(1)</w:t>
      </w:r>
      <w:r w:rsidRPr="00472578">
        <w:rPr>
          <w:lang w:eastAsia="en-NZ"/>
        </w:rPr>
        <w:tab/>
        <w:t xml:space="preserve">assessing </w:t>
      </w:r>
      <w:r w:rsidRPr="00472578">
        <w:t xml:space="preserve">and, </w:t>
      </w:r>
      <w:r w:rsidRPr="00472578">
        <w:rPr>
          <w:u w:val="single"/>
        </w:rPr>
        <w:t>if required</w:t>
      </w:r>
      <w:r w:rsidR="00115215" w:rsidRPr="00472578">
        <w:rPr>
          <w:u w:val="single"/>
        </w:rPr>
        <w:t>,</w:t>
      </w:r>
      <w:r w:rsidRPr="00472578">
        <w:rPr>
          <w:vertAlign w:val="superscript"/>
        </w:rPr>
        <w:footnoteReference w:id="1270"/>
      </w:r>
      <w:r w:rsidRPr="00472578">
        <w:t xml:space="preserve"> monitoring </w:t>
      </w:r>
      <w:r w:rsidRPr="00472578">
        <w:rPr>
          <w:i/>
          <w:iCs/>
          <w:lang w:eastAsia="en-NZ"/>
        </w:rPr>
        <w:t>contaminant</w:t>
      </w:r>
      <w:r w:rsidRPr="00472578">
        <w:rPr>
          <w:lang w:eastAsia="en-NZ"/>
        </w:rPr>
        <w:t xml:space="preserve"> levels and environmental </w:t>
      </w:r>
      <w:r w:rsidRPr="00472578">
        <w:rPr>
          <w:i/>
          <w:iCs/>
          <w:lang w:eastAsia="en-NZ"/>
        </w:rPr>
        <w:t>risks</w:t>
      </w:r>
      <w:r w:rsidRPr="00472578">
        <w:rPr>
          <w:lang w:eastAsia="en-NZ"/>
        </w:rPr>
        <w:t>,</w:t>
      </w:r>
    </w:p>
    <w:p w14:paraId="72B233F8" w14:textId="77777777" w:rsidR="00D038D4" w:rsidRPr="00472578" w:rsidRDefault="00D038D4" w:rsidP="00E92686">
      <w:pPr>
        <w:ind w:left="567" w:hanging="567"/>
        <w:jc w:val="both"/>
        <w:rPr>
          <w:lang w:eastAsia="en-NZ"/>
        </w:rPr>
      </w:pPr>
      <w:r w:rsidRPr="00472578">
        <w:rPr>
          <w:lang w:eastAsia="en-NZ"/>
        </w:rPr>
        <w:t>(2)</w:t>
      </w:r>
      <w:r w:rsidRPr="00472578">
        <w:rPr>
          <w:lang w:eastAsia="en-NZ"/>
        </w:rPr>
        <w:tab/>
        <w:t xml:space="preserve">protecting human health in accordance with regulatory requirements, </w:t>
      </w:r>
    </w:p>
    <w:p w14:paraId="3980B5CB" w14:textId="77777777" w:rsidR="00D038D4" w:rsidRPr="00472578" w:rsidRDefault="00D038D4" w:rsidP="00E92686">
      <w:pPr>
        <w:ind w:left="567" w:hanging="567"/>
        <w:jc w:val="both"/>
        <w:rPr>
          <w:lang w:eastAsia="en-NZ"/>
        </w:rPr>
      </w:pPr>
      <w:r w:rsidRPr="00472578">
        <w:rPr>
          <w:lang w:eastAsia="en-NZ"/>
        </w:rPr>
        <w:t>(3)</w:t>
      </w:r>
      <w:r w:rsidRPr="00472578">
        <w:rPr>
          <w:lang w:eastAsia="en-NZ"/>
        </w:rPr>
        <w:tab/>
      </w:r>
      <w:r w:rsidRPr="00472578">
        <w:t xml:space="preserve">avoiding, as the </w:t>
      </w:r>
      <w:proofErr w:type="gramStart"/>
      <w:r w:rsidRPr="00472578">
        <w:t>first priority</w:t>
      </w:r>
      <w:proofErr w:type="gramEnd"/>
      <w:r w:rsidRPr="00472578">
        <w:t>, and only where avoidance is not practicable,</w:t>
      </w:r>
      <w:r w:rsidRPr="00472578">
        <w:rPr>
          <w:vertAlign w:val="superscript"/>
        </w:rPr>
        <w:t xml:space="preserve"> </w:t>
      </w:r>
      <w:r w:rsidRPr="00472578">
        <w:t xml:space="preserve">mitigating </w:t>
      </w:r>
      <w:r w:rsidRPr="00472578">
        <w:rPr>
          <w:lang w:eastAsia="en-NZ"/>
        </w:rPr>
        <w:t xml:space="preserve">or remediating, adverse </w:t>
      </w:r>
      <w:r w:rsidRPr="00472578">
        <w:rPr>
          <w:i/>
          <w:iCs/>
          <w:lang w:eastAsia="en-NZ"/>
        </w:rPr>
        <w:t>effects</w:t>
      </w:r>
      <w:r w:rsidRPr="00472578">
        <w:rPr>
          <w:lang w:eastAsia="en-NZ"/>
        </w:rPr>
        <w:t xml:space="preserve"> of the </w:t>
      </w:r>
      <w:r w:rsidRPr="00472578">
        <w:rPr>
          <w:i/>
          <w:iCs/>
          <w:lang w:eastAsia="en-NZ"/>
        </w:rPr>
        <w:t>contaminants</w:t>
      </w:r>
      <w:r w:rsidRPr="00472578">
        <w:rPr>
          <w:lang w:eastAsia="en-NZ"/>
        </w:rPr>
        <w:t xml:space="preserve"> on the </w:t>
      </w:r>
      <w:r w:rsidRPr="00472578">
        <w:rPr>
          <w:i/>
          <w:iCs/>
          <w:lang w:eastAsia="en-NZ"/>
        </w:rPr>
        <w:t xml:space="preserve">environment, </w:t>
      </w:r>
      <w:r w:rsidRPr="00472578">
        <w:rPr>
          <w:lang w:eastAsia="en-NZ"/>
        </w:rPr>
        <w:t>and</w:t>
      </w:r>
    </w:p>
    <w:p w14:paraId="19CAFA99" w14:textId="77777777" w:rsidR="00D038D4" w:rsidRPr="00472578" w:rsidRDefault="00D038D4" w:rsidP="00E92686">
      <w:pPr>
        <w:ind w:left="567" w:hanging="567"/>
        <w:jc w:val="both"/>
        <w:rPr>
          <w:lang w:eastAsia="en-NZ"/>
        </w:rPr>
      </w:pPr>
      <w:r w:rsidRPr="00472578">
        <w:rPr>
          <w:lang w:eastAsia="en-NZ"/>
        </w:rPr>
        <w:t>(4)</w:t>
      </w:r>
      <w:r w:rsidRPr="00472578">
        <w:rPr>
          <w:lang w:eastAsia="en-NZ"/>
        </w:rPr>
        <w:tab/>
        <w:t xml:space="preserve">requiring closed </w:t>
      </w:r>
      <w:r w:rsidRPr="00472578">
        <w:rPr>
          <w:i/>
          <w:iCs/>
          <w:lang w:eastAsia="en-NZ"/>
        </w:rPr>
        <w:t>landfills</w:t>
      </w:r>
      <w:r w:rsidRPr="00472578">
        <w:rPr>
          <w:lang w:eastAsia="en-NZ"/>
        </w:rPr>
        <w:t xml:space="preserve"> to be managed in accordance with a closure plan that sets out monitoring requirements and, where necessary, any remedial actions required to address ongoing </w:t>
      </w:r>
      <w:r w:rsidRPr="00472578">
        <w:rPr>
          <w:i/>
          <w:iCs/>
          <w:lang w:eastAsia="en-NZ"/>
        </w:rPr>
        <w:t>risks</w:t>
      </w:r>
      <w:r w:rsidRPr="00472578">
        <w:rPr>
          <w:lang w:eastAsia="en-NZ"/>
        </w:rPr>
        <w:t>.</w:t>
      </w:r>
    </w:p>
    <w:p w14:paraId="1AFC8EDC" w14:textId="5F895820" w:rsidR="00D038D4" w:rsidRPr="00472578" w:rsidRDefault="00D038D4" w:rsidP="00E92686">
      <w:pPr>
        <w:pStyle w:val="Heading5"/>
        <w:jc w:val="both"/>
        <w:rPr>
          <w:lang w:eastAsia="en-NZ"/>
        </w:rPr>
      </w:pPr>
      <w:bookmarkStart w:id="297" w:name="_Toc462231181"/>
      <w:bookmarkStart w:id="298" w:name="_Toc462231175"/>
      <w:r w:rsidRPr="00472578">
        <w:rPr>
          <w:lang w:eastAsia="en-NZ"/>
        </w:rPr>
        <w:t>HAZ</w:t>
      </w:r>
      <w:r w:rsidR="00BD7820" w:rsidRPr="00472578">
        <w:rPr>
          <w:lang w:eastAsia="en-NZ"/>
        </w:rPr>
        <w:t>-</w:t>
      </w:r>
      <w:r w:rsidRPr="00472578">
        <w:rPr>
          <w:lang w:eastAsia="en-NZ"/>
        </w:rPr>
        <w:t>CL</w:t>
      </w:r>
      <w:r w:rsidR="00BD7820" w:rsidRPr="00472578">
        <w:rPr>
          <w:lang w:eastAsia="en-NZ"/>
        </w:rPr>
        <w:t>-</w:t>
      </w:r>
      <w:r w:rsidRPr="00472578">
        <w:rPr>
          <w:lang w:eastAsia="en-NZ"/>
        </w:rPr>
        <w:t>P15</w:t>
      </w:r>
      <w:r w:rsidRPr="00472578">
        <w:t xml:space="preserve"> – </w:t>
      </w:r>
      <w:r w:rsidRPr="00472578">
        <w:rPr>
          <w:lang w:eastAsia="en-NZ"/>
        </w:rPr>
        <w:t xml:space="preserve">New </w:t>
      </w:r>
      <w:r w:rsidRPr="00472578">
        <w:rPr>
          <w:i/>
          <w:lang w:eastAsia="en-NZ"/>
        </w:rPr>
        <w:t>contaminated land</w:t>
      </w:r>
      <w:r w:rsidRPr="00472578">
        <w:rPr>
          <w:lang w:eastAsia="en-NZ"/>
        </w:rPr>
        <w:t xml:space="preserve"> </w:t>
      </w:r>
      <w:bookmarkEnd w:id="297"/>
    </w:p>
    <w:p w14:paraId="66014824" w14:textId="5B61C77A" w:rsidR="00D038D4" w:rsidRPr="00472578" w:rsidRDefault="00D038D4" w:rsidP="00E92686">
      <w:pPr>
        <w:jc w:val="both"/>
        <w:rPr>
          <w:rFonts w:cs="Calibri"/>
          <w:lang w:eastAsia="en-NZ"/>
        </w:rPr>
      </w:pPr>
      <w:r w:rsidRPr="00472578">
        <w:rPr>
          <w:lang w:eastAsia="en-NZ"/>
        </w:rPr>
        <w:t xml:space="preserve">Avoid the creation of new </w:t>
      </w:r>
      <w:r w:rsidRPr="00472578">
        <w:rPr>
          <w:i/>
          <w:iCs/>
          <w:lang w:eastAsia="en-NZ"/>
        </w:rPr>
        <w:t>contaminated</w:t>
      </w:r>
      <w:r w:rsidRPr="00472578">
        <w:rPr>
          <w:lang w:eastAsia="en-NZ"/>
        </w:rPr>
        <w:t xml:space="preserve"> </w:t>
      </w:r>
      <w:r w:rsidRPr="00472578">
        <w:rPr>
          <w:i/>
          <w:iCs/>
          <w:lang w:eastAsia="en-NZ"/>
        </w:rPr>
        <w:t>land</w:t>
      </w:r>
      <w:r w:rsidRPr="00472578">
        <w:rPr>
          <w:lang w:eastAsia="en-NZ"/>
        </w:rPr>
        <w:t xml:space="preserve"> or, where this is not practicable, </w:t>
      </w:r>
      <w:r w:rsidRPr="00472578">
        <w:rPr>
          <w:iCs/>
        </w:rPr>
        <w:t>minimise</w:t>
      </w:r>
      <w:r w:rsidRPr="00472578">
        <w:t xml:space="preserve"> </w:t>
      </w:r>
      <w:r w:rsidRPr="00472578">
        <w:rPr>
          <w:iCs/>
          <w:u w:val="single"/>
        </w:rPr>
        <w:t xml:space="preserve">to the </w:t>
      </w:r>
      <w:r w:rsidR="008C477D" w:rsidRPr="00472578">
        <w:rPr>
          <w:iCs/>
          <w:u w:val="single"/>
        </w:rPr>
        <w:t>small</w:t>
      </w:r>
      <w:r w:rsidRPr="00472578">
        <w:rPr>
          <w:iCs/>
          <w:u w:val="single"/>
        </w:rPr>
        <w:t>est extent practicable</w:t>
      </w:r>
      <w:r w:rsidRPr="00472578">
        <w:rPr>
          <w:iCs/>
          <w:vertAlign w:val="superscript"/>
        </w:rPr>
        <w:footnoteReference w:id="1271"/>
      </w:r>
      <w:r w:rsidRPr="00472578">
        <w:rPr>
          <w:lang w:eastAsia="en-NZ"/>
        </w:rPr>
        <w:t xml:space="preserve"> adverse </w:t>
      </w:r>
      <w:r w:rsidRPr="00472578">
        <w:rPr>
          <w:i/>
          <w:iCs/>
          <w:lang w:eastAsia="en-NZ"/>
        </w:rPr>
        <w:t>effects</w:t>
      </w:r>
      <w:r w:rsidRPr="00472578">
        <w:rPr>
          <w:lang w:eastAsia="en-NZ"/>
        </w:rPr>
        <w:t xml:space="preserve"> on the </w:t>
      </w:r>
      <w:r w:rsidRPr="00472578">
        <w:rPr>
          <w:i/>
          <w:iCs/>
          <w:lang w:eastAsia="en-NZ"/>
        </w:rPr>
        <w:t xml:space="preserve">environment </w:t>
      </w:r>
      <w:r w:rsidRPr="00472578">
        <w:rPr>
          <w:lang w:eastAsia="en-NZ"/>
        </w:rPr>
        <w:t xml:space="preserve">and </w:t>
      </w:r>
      <w:r w:rsidRPr="00472578">
        <w:rPr>
          <w:i/>
          <w:lang w:eastAsia="en-NZ"/>
        </w:rPr>
        <w:t>mana whenua</w:t>
      </w:r>
      <w:r w:rsidRPr="00472578">
        <w:rPr>
          <w:lang w:eastAsia="en-NZ"/>
        </w:rPr>
        <w:t xml:space="preserve"> values.</w:t>
      </w:r>
    </w:p>
    <w:p w14:paraId="5A396C16" w14:textId="20B6D413" w:rsidR="00D038D4" w:rsidRPr="00472578" w:rsidRDefault="00D038D4" w:rsidP="00E92686">
      <w:pPr>
        <w:pStyle w:val="Heading5"/>
        <w:jc w:val="both"/>
        <w:rPr>
          <w:lang w:eastAsia="en-NZ"/>
        </w:rPr>
      </w:pPr>
      <w:bookmarkStart w:id="299" w:name="_Toc462231177"/>
      <w:bookmarkEnd w:id="298"/>
      <w:r w:rsidRPr="00472578">
        <w:rPr>
          <w:lang w:eastAsia="en-NZ"/>
        </w:rPr>
        <w:t>HAZ</w:t>
      </w:r>
      <w:r w:rsidR="00BD7820" w:rsidRPr="00472578">
        <w:rPr>
          <w:lang w:eastAsia="en-NZ"/>
        </w:rPr>
        <w:t>-</w:t>
      </w:r>
      <w:r w:rsidRPr="00472578">
        <w:rPr>
          <w:lang w:eastAsia="en-NZ"/>
        </w:rPr>
        <w:t>CL</w:t>
      </w:r>
      <w:r w:rsidR="00BD7820" w:rsidRPr="00472578">
        <w:rPr>
          <w:lang w:eastAsia="en-NZ"/>
        </w:rPr>
        <w:t>-</w:t>
      </w:r>
      <w:r w:rsidRPr="00472578">
        <w:rPr>
          <w:lang w:eastAsia="en-NZ"/>
        </w:rPr>
        <w:t>P16</w:t>
      </w:r>
      <w:r w:rsidRPr="00472578">
        <w:t xml:space="preserve"> – </w:t>
      </w:r>
      <w:r w:rsidRPr="00472578">
        <w:rPr>
          <w:i/>
          <w:lang w:eastAsia="en-NZ"/>
        </w:rPr>
        <w:t>Waste</w:t>
      </w:r>
      <w:r w:rsidRPr="00472578">
        <w:rPr>
          <w:lang w:eastAsia="en-NZ"/>
        </w:rPr>
        <w:t xml:space="preserve"> minimisation responses</w:t>
      </w:r>
      <w:bookmarkEnd w:id="299"/>
    </w:p>
    <w:p w14:paraId="67F46E1E" w14:textId="77777777" w:rsidR="00D038D4" w:rsidRPr="00472578" w:rsidRDefault="00D038D4" w:rsidP="00E92686">
      <w:pPr>
        <w:jc w:val="both"/>
        <w:rPr>
          <w:rFonts w:eastAsia="National-Book" w:cs="Times New Roman"/>
        </w:rPr>
      </w:pPr>
      <w:r w:rsidRPr="00472578">
        <w:t xml:space="preserve">Apply the principles of the </w:t>
      </w:r>
      <w:r w:rsidRPr="00472578">
        <w:rPr>
          <w:i/>
        </w:rPr>
        <w:t>waste</w:t>
      </w:r>
      <w:r w:rsidRPr="00472578">
        <w:t xml:space="preserve"> management hierarchy (reduce, reuse, recycle, recover, residual </w:t>
      </w:r>
      <w:r w:rsidRPr="00472578">
        <w:rPr>
          <w:i/>
        </w:rPr>
        <w:t>waste</w:t>
      </w:r>
      <w:r w:rsidRPr="00472578">
        <w:t xml:space="preserve"> management) to the management of all </w:t>
      </w:r>
      <w:r w:rsidRPr="00472578">
        <w:rPr>
          <w:i/>
        </w:rPr>
        <w:t>waste</w:t>
      </w:r>
      <w:r w:rsidRPr="00472578">
        <w:t xml:space="preserve"> streams.</w:t>
      </w:r>
    </w:p>
    <w:p w14:paraId="273164D8" w14:textId="2C063BC7" w:rsidR="00D038D4" w:rsidRPr="00472578" w:rsidRDefault="00D038D4" w:rsidP="00E92686">
      <w:pPr>
        <w:pStyle w:val="Heading5"/>
        <w:jc w:val="both"/>
        <w:rPr>
          <w:lang w:eastAsia="en-NZ"/>
        </w:rPr>
      </w:pPr>
      <w:bookmarkStart w:id="300" w:name="_Toc462231178"/>
      <w:r w:rsidRPr="00472578">
        <w:rPr>
          <w:lang w:eastAsia="en-NZ"/>
        </w:rPr>
        <w:t>HAZ</w:t>
      </w:r>
      <w:r w:rsidR="00BD7820" w:rsidRPr="00472578">
        <w:rPr>
          <w:lang w:eastAsia="en-NZ"/>
        </w:rPr>
        <w:t>-</w:t>
      </w:r>
      <w:r w:rsidRPr="00472578">
        <w:rPr>
          <w:lang w:eastAsia="en-NZ"/>
        </w:rPr>
        <w:t>CL</w:t>
      </w:r>
      <w:r w:rsidR="00BD7820" w:rsidRPr="00472578">
        <w:rPr>
          <w:lang w:eastAsia="en-NZ"/>
        </w:rPr>
        <w:t>-</w:t>
      </w:r>
      <w:r w:rsidRPr="00472578">
        <w:rPr>
          <w:lang w:eastAsia="en-NZ"/>
        </w:rPr>
        <w:t>P17</w:t>
      </w:r>
      <w:r w:rsidRPr="00472578">
        <w:t xml:space="preserve"> – </w:t>
      </w:r>
      <w:bookmarkEnd w:id="300"/>
      <w:r w:rsidRPr="00472578">
        <w:rPr>
          <w:lang w:eastAsia="en-NZ"/>
        </w:rPr>
        <w:t xml:space="preserve">Disposal of </w:t>
      </w:r>
      <w:r w:rsidRPr="00472578">
        <w:rPr>
          <w:i/>
          <w:lang w:eastAsia="en-NZ"/>
        </w:rPr>
        <w:t>waste</w:t>
      </w:r>
      <w:r w:rsidRPr="00472578">
        <w:rPr>
          <w:lang w:eastAsia="en-NZ"/>
        </w:rPr>
        <w:t xml:space="preserve"> materials</w:t>
      </w:r>
    </w:p>
    <w:p w14:paraId="2CF6742F" w14:textId="77777777" w:rsidR="00D038D4" w:rsidRPr="00472578" w:rsidRDefault="00D038D4" w:rsidP="00E92686">
      <w:pPr>
        <w:jc w:val="both"/>
        <w:rPr>
          <w:rFonts w:cs="Calibri"/>
        </w:rPr>
      </w:pPr>
      <w:r w:rsidRPr="00472578">
        <w:lastRenderedPageBreak/>
        <w:t xml:space="preserve">Provide for the development and operation of facilities and services for the storage, recycling, </w:t>
      </w:r>
      <w:proofErr w:type="gramStart"/>
      <w:r w:rsidRPr="00472578">
        <w:t>recovery</w:t>
      </w:r>
      <w:proofErr w:type="gramEnd"/>
      <w:r w:rsidRPr="00472578">
        <w:t xml:space="preserve"> and treatment of </w:t>
      </w:r>
      <w:r w:rsidRPr="00472578">
        <w:rPr>
          <w:i/>
        </w:rPr>
        <w:t>waste</w:t>
      </w:r>
      <w:r w:rsidRPr="00472578">
        <w:t xml:space="preserve"> materials but only for the </w:t>
      </w:r>
      <w:r w:rsidRPr="00472578">
        <w:rPr>
          <w:rFonts w:eastAsia="National-Book" w:cs="Times New Roman"/>
        </w:rPr>
        <w:t xml:space="preserve">disposal </w:t>
      </w:r>
      <w:r w:rsidRPr="00472578">
        <w:t xml:space="preserve">of </w:t>
      </w:r>
      <w:r w:rsidRPr="00472578">
        <w:rPr>
          <w:i/>
        </w:rPr>
        <w:t>waste</w:t>
      </w:r>
      <w:r w:rsidRPr="00472578">
        <w:t xml:space="preserve"> materials if those materials cannot be recycled, recovered or treated for re-use.</w:t>
      </w:r>
    </w:p>
    <w:p w14:paraId="05D3EE05" w14:textId="18CEDA03" w:rsidR="00D038D4" w:rsidRPr="00472578" w:rsidRDefault="00D038D4" w:rsidP="00E92686">
      <w:pPr>
        <w:pStyle w:val="Heading5"/>
        <w:jc w:val="both"/>
      </w:pPr>
      <w:r w:rsidRPr="00472578">
        <w:t>HAZ</w:t>
      </w:r>
      <w:r w:rsidR="00BD7820" w:rsidRPr="00472578">
        <w:t>-</w:t>
      </w:r>
      <w:r w:rsidRPr="00472578">
        <w:t>CL</w:t>
      </w:r>
      <w:r w:rsidR="00BD7820" w:rsidRPr="00472578">
        <w:t>-</w:t>
      </w:r>
      <w:r w:rsidRPr="00472578">
        <w:t xml:space="preserve">P18 – </w:t>
      </w:r>
      <w:r w:rsidRPr="00472578">
        <w:rPr>
          <w:i/>
        </w:rPr>
        <w:t>Waste</w:t>
      </w:r>
      <w:r w:rsidRPr="00472578">
        <w:t xml:space="preserve"> facilities and services</w:t>
      </w:r>
    </w:p>
    <w:p w14:paraId="2E5ED91C" w14:textId="77777777" w:rsidR="00D038D4" w:rsidRPr="00472578" w:rsidRDefault="00D038D4" w:rsidP="00E92686">
      <w:pPr>
        <w:jc w:val="both"/>
        <w:rPr>
          <w:rFonts w:cs="Calibri"/>
        </w:rPr>
      </w:pPr>
      <w:r w:rsidRPr="00472578">
        <w:t xml:space="preserve">When providing for the development of facilities and services for the storage, recycling, recovery, </w:t>
      </w:r>
      <w:proofErr w:type="gramStart"/>
      <w:r w:rsidRPr="00472578">
        <w:t>treatment</w:t>
      </w:r>
      <w:proofErr w:type="gramEnd"/>
      <w:r w:rsidRPr="00472578">
        <w:t xml:space="preserve"> and </w:t>
      </w:r>
      <w:r w:rsidRPr="00472578">
        <w:rPr>
          <w:rFonts w:eastAsia="National-Book" w:cs="Times New Roman"/>
        </w:rPr>
        <w:t xml:space="preserve">disposal </w:t>
      </w:r>
      <w:r w:rsidRPr="00472578">
        <w:t xml:space="preserve">of </w:t>
      </w:r>
      <w:r w:rsidRPr="00472578">
        <w:rPr>
          <w:i/>
        </w:rPr>
        <w:t>waste</w:t>
      </w:r>
      <w:r w:rsidRPr="00472578">
        <w:t xml:space="preserve"> materials:</w:t>
      </w:r>
    </w:p>
    <w:p w14:paraId="07BBCFDB" w14:textId="77777777" w:rsidR="00D038D4" w:rsidRPr="00472578" w:rsidRDefault="00D038D4" w:rsidP="00E92686">
      <w:pPr>
        <w:ind w:left="567" w:hanging="567"/>
        <w:jc w:val="both"/>
      </w:pPr>
      <w:r w:rsidRPr="00472578">
        <w:t>(1)</w:t>
      </w:r>
      <w:r w:rsidRPr="00472578">
        <w:tab/>
        <w:t xml:space="preserve">avoid adverse </w:t>
      </w:r>
      <w:r w:rsidRPr="00472578">
        <w:rPr>
          <w:i/>
          <w:iCs/>
        </w:rPr>
        <w:t>effects</w:t>
      </w:r>
      <w:r w:rsidRPr="00472578">
        <w:t xml:space="preserve"> on the health and safety of people,</w:t>
      </w:r>
    </w:p>
    <w:p w14:paraId="4B21BF60" w14:textId="5135BF8C" w:rsidR="00D038D4" w:rsidRPr="00472578" w:rsidRDefault="00D038D4" w:rsidP="00E92686">
      <w:pPr>
        <w:ind w:left="567" w:hanging="567"/>
        <w:jc w:val="both"/>
      </w:pPr>
      <w:r w:rsidRPr="00472578">
        <w:t>(2)</w:t>
      </w:r>
      <w:r w:rsidRPr="00472578">
        <w:tab/>
        <w:t xml:space="preserve">minimise </w:t>
      </w:r>
      <w:r w:rsidRPr="00472578">
        <w:rPr>
          <w:u w:val="single"/>
        </w:rPr>
        <w:t xml:space="preserve">to the </w:t>
      </w:r>
      <w:r w:rsidR="008C477D" w:rsidRPr="00472578">
        <w:rPr>
          <w:u w:val="single"/>
        </w:rPr>
        <w:t>small</w:t>
      </w:r>
      <w:r w:rsidRPr="00472578">
        <w:rPr>
          <w:u w:val="single"/>
        </w:rPr>
        <w:t>est extent practicable</w:t>
      </w:r>
      <w:r w:rsidRPr="00472578">
        <w:rPr>
          <w:vertAlign w:val="superscript"/>
        </w:rPr>
        <w:footnoteReference w:id="1272"/>
      </w:r>
      <w:r w:rsidRPr="00472578">
        <w:t xml:space="preserve"> the potential for adverse </w:t>
      </w:r>
      <w:r w:rsidRPr="00472578">
        <w:rPr>
          <w:i/>
          <w:iCs/>
        </w:rPr>
        <w:t>effects</w:t>
      </w:r>
      <w:r w:rsidRPr="00472578">
        <w:t xml:space="preserve"> on the </w:t>
      </w:r>
      <w:r w:rsidRPr="00472578">
        <w:rPr>
          <w:i/>
          <w:iCs/>
        </w:rPr>
        <w:t xml:space="preserve">environment </w:t>
      </w:r>
      <w:r w:rsidRPr="00472578">
        <w:t>to occur,</w:t>
      </w:r>
    </w:p>
    <w:p w14:paraId="68B7B644" w14:textId="77777777" w:rsidR="00D038D4" w:rsidRPr="00472578" w:rsidRDefault="00D038D4" w:rsidP="00E92686">
      <w:pPr>
        <w:ind w:left="567" w:hanging="567"/>
        <w:jc w:val="both"/>
      </w:pPr>
      <w:r w:rsidRPr="00472578">
        <w:t>(3)</w:t>
      </w:r>
      <w:r w:rsidRPr="00472578">
        <w:tab/>
        <w:t xml:space="preserve">minimise </w:t>
      </w:r>
      <w:r w:rsidRPr="00472578">
        <w:rPr>
          <w:i/>
          <w:iCs/>
        </w:rPr>
        <w:t>risk</w:t>
      </w:r>
      <w:r w:rsidRPr="00472578">
        <w:t xml:space="preserve"> associated with </w:t>
      </w:r>
      <w:r w:rsidRPr="00472578">
        <w:rPr>
          <w:i/>
          <w:iCs/>
        </w:rPr>
        <w:t>natural hazard</w:t>
      </w:r>
      <w:r w:rsidRPr="00472578">
        <w:t xml:space="preserve"> events, and</w:t>
      </w:r>
    </w:p>
    <w:p w14:paraId="6AD83A39" w14:textId="77777777" w:rsidR="00D038D4" w:rsidRPr="00472578" w:rsidRDefault="00D038D4" w:rsidP="00E92686">
      <w:pPr>
        <w:ind w:left="567" w:hanging="567"/>
        <w:jc w:val="both"/>
      </w:pPr>
      <w:r w:rsidRPr="00472578">
        <w:t>(4)</w:t>
      </w:r>
      <w:r w:rsidRPr="00472578">
        <w:tab/>
        <w:t xml:space="preserve">restrict the establishment of activities that may result in reverse sensitivity </w:t>
      </w:r>
      <w:r w:rsidRPr="00472578">
        <w:rPr>
          <w:i/>
          <w:iCs/>
        </w:rPr>
        <w:t>effects</w:t>
      </w:r>
      <w:r w:rsidRPr="00472578">
        <w:t xml:space="preserve"> near </w:t>
      </w:r>
      <w:r w:rsidRPr="00472578">
        <w:rPr>
          <w:i/>
        </w:rPr>
        <w:t>waste</w:t>
      </w:r>
      <w:r w:rsidRPr="00472578">
        <w:t xml:space="preserve"> management facilities and services.</w:t>
      </w:r>
    </w:p>
    <w:p w14:paraId="043E8FA7" w14:textId="77777777" w:rsidR="00D038D4" w:rsidRPr="00472578" w:rsidRDefault="00D038D4" w:rsidP="00E92686">
      <w:pPr>
        <w:keepNext/>
        <w:keepLines/>
        <w:spacing w:before="360"/>
        <w:jc w:val="both"/>
        <w:outlineLvl w:val="3"/>
        <w:rPr>
          <w:rFonts w:eastAsiaTheme="majorEastAsia" w:cstheme="majorBidi"/>
          <w:b/>
          <w:iCs/>
          <w:color w:val="1F3864" w:themeColor="accent1" w:themeShade="80"/>
          <w:sz w:val="24"/>
        </w:rPr>
      </w:pPr>
      <w:bookmarkStart w:id="301" w:name="_Toc49763557"/>
      <w:r w:rsidRPr="00472578">
        <w:rPr>
          <w:rFonts w:eastAsiaTheme="majorEastAsia" w:cstheme="majorBidi"/>
          <w:b/>
          <w:iCs/>
          <w:color w:val="1F3864" w:themeColor="accent1" w:themeShade="80"/>
          <w:sz w:val="24"/>
        </w:rPr>
        <w:t>Methods</w:t>
      </w:r>
      <w:bookmarkEnd w:id="301"/>
    </w:p>
    <w:p w14:paraId="6F199F5B" w14:textId="3D60BC63" w:rsidR="00D038D4" w:rsidRPr="00472578" w:rsidRDefault="00D038D4" w:rsidP="00E92686">
      <w:pPr>
        <w:pStyle w:val="Heading5"/>
        <w:jc w:val="both"/>
      </w:pPr>
      <w:r w:rsidRPr="00472578">
        <w:t>HAZ</w:t>
      </w:r>
      <w:r w:rsidR="00BD7820" w:rsidRPr="00472578">
        <w:t>-</w:t>
      </w:r>
      <w:r w:rsidRPr="00472578">
        <w:t>CL</w:t>
      </w:r>
      <w:r w:rsidR="00BD7820" w:rsidRPr="00472578">
        <w:t>-</w:t>
      </w:r>
      <w:r w:rsidRPr="00472578">
        <w:t xml:space="preserve">M6 – </w:t>
      </w:r>
      <w:r w:rsidRPr="00472578">
        <w:rPr>
          <w:i/>
          <w:iCs/>
        </w:rPr>
        <w:t>Regional plans</w:t>
      </w:r>
    </w:p>
    <w:p w14:paraId="45034DE9" w14:textId="77777777" w:rsidR="00D038D4" w:rsidRPr="00472578" w:rsidRDefault="00D038D4" w:rsidP="00E92686">
      <w:pPr>
        <w:jc w:val="both"/>
        <w:rPr>
          <w:rFonts w:cs="Times New Roman"/>
        </w:rPr>
      </w:pPr>
      <w:r w:rsidRPr="00472578">
        <w:rPr>
          <w:rFonts w:cs="Times New Roman"/>
        </w:rPr>
        <w:t xml:space="preserve">Otago Regional Council </w:t>
      </w:r>
      <w:r w:rsidRPr="00472578">
        <w:t>must</w:t>
      </w:r>
      <w:r w:rsidRPr="00472578">
        <w:rPr>
          <w:rFonts w:cs="Times New Roman"/>
        </w:rPr>
        <w:t>:</w:t>
      </w:r>
    </w:p>
    <w:p w14:paraId="2AD0B432" w14:textId="6EC60D16" w:rsidR="00D038D4" w:rsidRPr="00472578" w:rsidRDefault="00D038D4" w:rsidP="00E92686">
      <w:pPr>
        <w:ind w:left="567" w:hanging="567"/>
        <w:jc w:val="both"/>
        <w:rPr>
          <w:rFonts w:cs="Calibri"/>
        </w:rPr>
      </w:pPr>
      <w:r w:rsidRPr="00472578">
        <w:t>(1)</w:t>
      </w:r>
      <w:r w:rsidRPr="00472578">
        <w:tab/>
      </w:r>
      <w:r w:rsidRPr="00472578">
        <w:rPr>
          <w:u w:val="single"/>
        </w:rPr>
        <w:t>in accordance with HAZ</w:t>
      </w:r>
      <w:r w:rsidR="00BD7820" w:rsidRPr="00472578">
        <w:rPr>
          <w:u w:val="single"/>
        </w:rPr>
        <w:t>-</w:t>
      </w:r>
      <w:r w:rsidRPr="00472578">
        <w:rPr>
          <w:u w:val="single"/>
        </w:rPr>
        <w:t>CL</w:t>
      </w:r>
      <w:r w:rsidR="00BD7820" w:rsidRPr="00472578">
        <w:rPr>
          <w:u w:val="single"/>
        </w:rPr>
        <w:t>-</w:t>
      </w:r>
      <w:r w:rsidRPr="00472578">
        <w:rPr>
          <w:u w:val="single"/>
        </w:rPr>
        <w:t>P13,</w:t>
      </w:r>
      <w:r w:rsidRPr="00472578">
        <w:t xml:space="preserve"> maintain a register or database of sites </w:t>
      </w:r>
      <w:r w:rsidRPr="00472578">
        <w:rPr>
          <w:u w:val="single"/>
        </w:rPr>
        <w:t>of known or potentially contaminated land in Otago</w:t>
      </w:r>
      <w:r w:rsidRPr="00472578">
        <w:t xml:space="preserve"> </w:t>
      </w:r>
      <w:r w:rsidRPr="00472578">
        <w:rPr>
          <w:strike/>
        </w:rPr>
        <w:t>sites where hazardous activities and industries are or have been located in Otago</w:t>
      </w:r>
      <w:r w:rsidRPr="00472578">
        <w:t>,</w:t>
      </w:r>
      <w:r w:rsidRPr="00472578">
        <w:rPr>
          <w:vertAlign w:val="superscript"/>
        </w:rPr>
        <w:footnoteReference w:id="1273"/>
      </w:r>
    </w:p>
    <w:p w14:paraId="239D9FC2" w14:textId="77777777" w:rsidR="00D038D4" w:rsidRPr="00472578" w:rsidRDefault="00D038D4" w:rsidP="00E92686">
      <w:pPr>
        <w:ind w:left="567" w:hanging="567"/>
        <w:jc w:val="both"/>
        <w:rPr>
          <w:rFonts w:eastAsia="Times New Roman"/>
          <w:lang w:eastAsia="en-NZ"/>
        </w:rPr>
      </w:pPr>
      <w:r w:rsidRPr="00472578">
        <w:t>(2)</w:t>
      </w:r>
      <w:r w:rsidRPr="00472578">
        <w:tab/>
        <w:t xml:space="preserve">prepare or amend and maintain </w:t>
      </w:r>
      <w:r w:rsidRPr="00472578">
        <w:rPr>
          <w:rFonts w:eastAsia="Times New Roman"/>
          <w:lang w:eastAsia="en-NZ"/>
        </w:rPr>
        <w:t xml:space="preserve">its </w:t>
      </w:r>
      <w:r w:rsidRPr="00472578">
        <w:rPr>
          <w:rFonts w:eastAsia="Times New Roman"/>
          <w:i/>
          <w:iCs/>
          <w:lang w:eastAsia="en-NZ"/>
        </w:rPr>
        <w:t>regional plans</w:t>
      </w:r>
      <w:r w:rsidRPr="00472578">
        <w:rPr>
          <w:rFonts w:eastAsia="Times New Roman"/>
          <w:lang w:eastAsia="en-NZ"/>
        </w:rPr>
        <w:t xml:space="preserve"> to:</w:t>
      </w:r>
    </w:p>
    <w:p w14:paraId="710694CA" w14:textId="285DE98B" w:rsidR="00D038D4" w:rsidRPr="00472578" w:rsidRDefault="00D038D4" w:rsidP="00E92686">
      <w:pPr>
        <w:ind w:left="1134" w:hanging="567"/>
        <w:jc w:val="both"/>
        <w:rPr>
          <w:rFonts w:eastAsia="Times New Roman"/>
          <w:lang w:eastAsia="en-NZ"/>
        </w:rPr>
      </w:pPr>
      <w:r w:rsidRPr="00472578">
        <w:rPr>
          <w:rFonts w:eastAsia="Times New Roman"/>
          <w:lang w:eastAsia="en-NZ"/>
        </w:rPr>
        <w:t>(a)</w:t>
      </w:r>
      <w:r w:rsidRPr="00472578">
        <w:rPr>
          <w:rFonts w:eastAsia="Times New Roman"/>
          <w:lang w:eastAsia="en-NZ"/>
        </w:rPr>
        <w:tab/>
        <w:t>in accordance with HAZ</w:t>
      </w:r>
      <w:r w:rsidR="00BD7820" w:rsidRPr="00472578">
        <w:rPr>
          <w:rFonts w:eastAsia="Times New Roman"/>
          <w:lang w:eastAsia="en-NZ"/>
        </w:rPr>
        <w:t>-</w:t>
      </w:r>
      <w:r w:rsidRPr="00472578">
        <w:rPr>
          <w:rFonts w:eastAsia="Times New Roman"/>
          <w:lang w:eastAsia="en-NZ"/>
        </w:rPr>
        <w:t>CL</w:t>
      </w:r>
      <w:r w:rsidR="00BD7820" w:rsidRPr="00472578">
        <w:rPr>
          <w:rFonts w:eastAsia="Times New Roman"/>
          <w:lang w:eastAsia="en-NZ"/>
        </w:rPr>
        <w:t>-</w:t>
      </w:r>
      <w:r w:rsidRPr="00472578">
        <w:rPr>
          <w:rFonts w:eastAsia="Times New Roman"/>
          <w:lang w:eastAsia="en-NZ"/>
        </w:rPr>
        <w:t>P14 and HAZ</w:t>
      </w:r>
      <w:r w:rsidR="00BD7820" w:rsidRPr="00472578">
        <w:rPr>
          <w:rFonts w:eastAsia="Times New Roman"/>
          <w:lang w:eastAsia="en-NZ"/>
        </w:rPr>
        <w:t>-</w:t>
      </w:r>
      <w:r w:rsidRPr="00472578">
        <w:rPr>
          <w:rFonts w:eastAsia="Times New Roman"/>
          <w:lang w:eastAsia="en-NZ"/>
        </w:rPr>
        <w:t>CL</w:t>
      </w:r>
      <w:r w:rsidR="00BD7820" w:rsidRPr="00472578">
        <w:rPr>
          <w:rFonts w:eastAsia="Times New Roman"/>
          <w:lang w:eastAsia="en-NZ"/>
        </w:rPr>
        <w:t>-</w:t>
      </w:r>
      <w:r w:rsidRPr="00472578">
        <w:rPr>
          <w:rFonts w:eastAsia="Times New Roman"/>
          <w:lang w:eastAsia="en-NZ"/>
        </w:rPr>
        <w:t xml:space="preserve">P15 manage the </w:t>
      </w:r>
      <w:r w:rsidRPr="00472578">
        <w:rPr>
          <w:rFonts w:eastAsia="Times New Roman"/>
          <w:i/>
          <w:iCs/>
          <w:lang w:eastAsia="en-NZ"/>
        </w:rPr>
        <w:t>effects</w:t>
      </w:r>
      <w:r w:rsidRPr="00472578">
        <w:rPr>
          <w:rFonts w:eastAsia="Times New Roman"/>
          <w:lang w:eastAsia="en-NZ"/>
        </w:rPr>
        <w:t xml:space="preserve"> of the use of </w:t>
      </w:r>
      <w:r w:rsidRPr="00472578">
        <w:rPr>
          <w:rFonts w:eastAsia="Times New Roman"/>
          <w:i/>
          <w:iCs/>
          <w:lang w:eastAsia="en-NZ"/>
        </w:rPr>
        <w:t>contaminated</w:t>
      </w:r>
      <w:r w:rsidRPr="00472578">
        <w:rPr>
          <w:rFonts w:eastAsia="Times New Roman"/>
          <w:lang w:eastAsia="en-NZ"/>
        </w:rPr>
        <w:t xml:space="preserve"> </w:t>
      </w:r>
      <w:r w:rsidRPr="00472578">
        <w:rPr>
          <w:rFonts w:eastAsia="Times New Roman"/>
          <w:i/>
          <w:iCs/>
          <w:lang w:eastAsia="en-NZ"/>
        </w:rPr>
        <w:t>land</w:t>
      </w:r>
      <w:r w:rsidRPr="00472578">
        <w:rPr>
          <w:rFonts w:eastAsia="Times New Roman"/>
          <w:lang w:eastAsia="en-NZ"/>
        </w:rPr>
        <w:t xml:space="preserve"> on:</w:t>
      </w:r>
    </w:p>
    <w:p w14:paraId="2486F5E2" w14:textId="77777777" w:rsidR="00D038D4" w:rsidRPr="00472578" w:rsidRDefault="00D038D4" w:rsidP="00E92686">
      <w:pPr>
        <w:ind w:left="1701" w:hanging="567"/>
        <w:jc w:val="both"/>
      </w:pPr>
      <w:r w:rsidRPr="00472578">
        <w:t>(i)</w:t>
      </w:r>
      <w:r w:rsidRPr="00472578">
        <w:tab/>
        <w:t xml:space="preserve">the quality of air, </w:t>
      </w:r>
      <w:r w:rsidRPr="00472578">
        <w:rPr>
          <w:i/>
          <w:iCs/>
        </w:rPr>
        <w:t>water</w:t>
      </w:r>
      <w:r w:rsidRPr="00472578">
        <w:t xml:space="preserve"> and </w:t>
      </w:r>
      <w:r w:rsidRPr="00472578">
        <w:rPr>
          <w:i/>
          <w:iCs/>
        </w:rPr>
        <w:t>land</w:t>
      </w:r>
      <w:r w:rsidRPr="00472578">
        <w:t>; and</w:t>
      </w:r>
    </w:p>
    <w:p w14:paraId="6893932D" w14:textId="77777777" w:rsidR="00D038D4" w:rsidRPr="00472578" w:rsidRDefault="00D038D4" w:rsidP="00E92686">
      <w:pPr>
        <w:ind w:left="1701" w:hanging="567"/>
        <w:jc w:val="both"/>
      </w:pPr>
      <w:r w:rsidRPr="00472578">
        <w:t>(ii)</w:t>
      </w:r>
      <w:r w:rsidRPr="00472578">
        <w:tab/>
        <w:t xml:space="preserve">the </w:t>
      </w:r>
      <w:r w:rsidRPr="00472578">
        <w:rPr>
          <w:i/>
          <w:iCs/>
        </w:rPr>
        <w:t>coastal marine area</w:t>
      </w:r>
      <w:r w:rsidRPr="00472578">
        <w:t xml:space="preserve">, and the </w:t>
      </w:r>
      <w:r w:rsidRPr="00472578">
        <w:rPr>
          <w:i/>
          <w:iCs/>
        </w:rPr>
        <w:t>beds</w:t>
      </w:r>
      <w:r w:rsidRPr="00472578">
        <w:t xml:space="preserve"> of </w:t>
      </w:r>
      <w:r w:rsidRPr="00472578">
        <w:rPr>
          <w:i/>
          <w:iCs/>
        </w:rPr>
        <w:t>rivers</w:t>
      </w:r>
      <w:r w:rsidRPr="00472578">
        <w:t xml:space="preserve">, </w:t>
      </w:r>
      <w:r w:rsidRPr="00472578">
        <w:rPr>
          <w:i/>
          <w:iCs/>
        </w:rPr>
        <w:t>lakes</w:t>
      </w:r>
      <w:r w:rsidRPr="00472578">
        <w:t xml:space="preserve"> and other </w:t>
      </w:r>
      <w:r w:rsidRPr="00472578">
        <w:rPr>
          <w:i/>
          <w:iCs/>
        </w:rPr>
        <w:t>water bodies</w:t>
      </w:r>
      <w:r w:rsidRPr="00472578">
        <w:t>,</w:t>
      </w:r>
    </w:p>
    <w:p w14:paraId="00820868" w14:textId="77777777" w:rsidR="00D038D4" w:rsidRPr="00472578" w:rsidRDefault="00D038D4" w:rsidP="00E92686">
      <w:pPr>
        <w:ind w:left="1134" w:hanging="567"/>
        <w:jc w:val="both"/>
      </w:pPr>
      <w:r w:rsidRPr="00472578">
        <w:t>(b)</w:t>
      </w:r>
      <w:r w:rsidRPr="00472578">
        <w:tab/>
        <w:t xml:space="preserve">require </w:t>
      </w:r>
      <w:r w:rsidRPr="00472578">
        <w:rPr>
          <w:i/>
        </w:rPr>
        <w:t>waste</w:t>
      </w:r>
      <w:r w:rsidRPr="00472578">
        <w:t xml:space="preserve"> disposal facilities to be designed, constructed and operated in accordance with best industry practice, and</w:t>
      </w:r>
    </w:p>
    <w:p w14:paraId="17893634" w14:textId="77777777" w:rsidR="00D038D4" w:rsidRPr="00472578" w:rsidRDefault="00D038D4" w:rsidP="00E92686">
      <w:pPr>
        <w:ind w:left="1134" w:hanging="567"/>
        <w:jc w:val="both"/>
      </w:pPr>
      <w:r w:rsidRPr="00472578">
        <w:t>(c)</w:t>
      </w:r>
      <w:r w:rsidRPr="00472578">
        <w:tab/>
        <w:t xml:space="preserve">require </w:t>
      </w:r>
      <w:r w:rsidRPr="00472578">
        <w:rPr>
          <w:i/>
        </w:rPr>
        <w:t>waste</w:t>
      </w:r>
      <w:r w:rsidRPr="00472578">
        <w:t xml:space="preserve"> disposal facilities to monitor, record and report on the quantity and composition of </w:t>
      </w:r>
      <w:r w:rsidRPr="00472578">
        <w:rPr>
          <w:i/>
        </w:rPr>
        <w:t>waste</w:t>
      </w:r>
      <w:r w:rsidRPr="00472578">
        <w:t xml:space="preserve"> being deposited to </w:t>
      </w:r>
      <w:r w:rsidRPr="00472578">
        <w:rPr>
          <w:i/>
          <w:iCs/>
        </w:rPr>
        <w:t>landfill</w:t>
      </w:r>
      <w:r w:rsidRPr="00472578">
        <w:t>.</w:t>
      </w:r>
    </w:p>
    <w:p w14:paraId="05F13A1E" w14:textId="4E7E9161" w:rsidR="00D038D4" w:rsidRPr="00472578" w:rsidRDefault="00D038D4" w:rsidP="00E92686">
      <w:pPr>
        <w:pStyle w:val="Heading5"/>
        <w:jc w:val="both"/>
      </w:pPr>
      <w:r w:rsidRPr="00472578">
        <w:t>HAZ</w:t>
      </w:r>
      <w:r w:rsidR="00BD7820" w:rsidRPr="00472578">
        <w:t>-</w:t>
      </w:r>
      <w:r w:rsidRPr="00472578">
        <w:t>CL</w:t>
      </w:r>
      <w:r w:rsidR="00BD7820" w:rsidRPr="00472578">
        <w:t>-</w:t>
      </w:r>
      <w:r w:rsidRPr="00472578">
        <w:t xml:space="preserve">M7 – </w:t>
      </w:r>
      <w:r w:rsidRPr="00472578">
        <w:rPr>
          <w:i/>
          <w:iCs/>
        </w:rPr>
        <w:t>District plans</w:t>
      </w:r>
      <w:r w:rsidRPr="00472578">
        <w:t xml:space="preserve"> </w:t>
      </w:r>
    </w:p>
    <w:p w14:paraId="124F4BFC" w14:textId="31734E18" w:rsidR="00D038D4" w:rsidRPr="00472578" w:rsidRDefault="00D038D4" w:rsidP="00E92686">
      <w:pPr>
        <w:jc w:val="both"/>
        <w:rPr>
          <w:rFonts w:cs="Calibri"/>
        </w:rPr>
      </w:pPr>
      <w:r w:rsidRPr="00472578">
        <w:rPr>
          <w:i/>
          <w:iCs/>
        </w:rPr>
        <w:t>Territorial authorities</w:t>
      </w:r>
      <w:r w:rsidRPr="00472578">
        <w:t xml:space="preserve"> must prepare or amend and maintain their </w:t>
      </w:r>
      <w:r w:rsidRPr="00472578">
        <w:rPr>
          <w:i/>
          <w:iCs/>
        </w:rPr>
        <w:t>district plans</w:t>
      </w:r>
      <w:r w:rsidRPr="00472578">
        <w:t xml:space="preserve"> to provide for the development of facilities and services for the storage, recycling, recovery, treatment and disposal of </w:t>
      </w:r>
      <w:r w:rsidRPr="00472578">
        <w:rPr>
          <w:i/>
        </w:rPr>
        <w:t>waste</w:t>
      </w:r>
      <w:r w:rsidRPr="00472578">
        <w:t xml:space="preserve"> while achieving the outcomes listed in HAZ</w:t>
      </w:r>
      <w:r w:rsidR="00BD7820" w:rsidRPr="00472578">
        <w:t>-</w:t>
      </w:r>
      <w:r w:rsidRPr="00472578">
        <w:t>CL</w:t>
      </w:r>
      <w:r w:rsidR="00BD7820" w:rsidRPr="00472578">
        <w:t>-</w:t>
      </w:r>
      <w:r w:rsidRPr="00472578">
        <w:t>P14 to HAZ</w:t>
      </w:r>
      <w:r w:rsidR="00BD7820" w:rsidRPr="00472578">
        <w:t>-</w:t>
      </w:r>
      <w:r w:rsidRPr="00472578">
        <w:t>CL</w:t>
      </w:r>
      <w:r w:rsidR="00BD7820" w:rsidRPr="00472578">
        <w:t>-</w:t>
      </w:r>
      <w:r w:rsidRPr="00472578">
        <w:t>P16.</w:t>
      </w:r>
    </w:p>
    <w:p w14:paraId="0722AB6D" w14:textId="0576C686" w:rsidR="00D038D4" w:rsidRPr="00472578" w:rsidRDefault="00D038D4" w:rsidP="00E92686">
      <w:pPr>
        <w:pStyle w:val="Heading5"/>
        <w:jc w:val="both"/>
      </w:pPr>
      <w:r w:rsidRPr="00472578">
        <w:t>HAZ</w:t>
      </w:r>
      <w:r w:rsidR="00BD7820" w:rsidRPr="00472578">
        <w:t>-</w:t>
      </w:r>
      <w:r w:rsidRPr="00472578">
        <w:t>CL</w:t>
      </w:r>
      <w:r w:rsidR="00BD7820" w:rsidRPr="00472578">
        <w:t>-</w:t>
      </w:r>
      <w:r w:rsidRPr="00472578">
        <w:t xml:space="preserve">M8 – </w:t>
      </w:r>
      <w:r w:rsidRPr="00472578">
        <w:rPr>
          <w:i/>
        </w:rPr>
        <w:t>Waste</w:t>
      </w:r>
      <w:r w:rsidRPr="00472578">
        <w:t xml:space="preserve"> management and minimisation plans </w:t>
      </w:r>
    </w:p>
    <w:p w14:paraId="58171826" w14:textId="77777777" w:rsidR="00D038D4" w:rsidRPr="00472578" w:rsidRDefault="00D038D4" w:rsidP="00E92686">
      <w:pPr>
        <w:spacing w:line="252" w:lineRule="auto"/>
        <w:jc w:val="both"/>
      </w:pPr>
      <w:r w:rsidRPr="00472578">
        <w:rPr>
          <w:rFonts w:cs="Times New Roman"/>
          <w:i/>
          <w:iCs/>
        </w:rPr>
        <w:lastRenderedPageBreak/>
        <w:t>Local authorities</w:t>
      </w:r>
      <w:r w:rsidRPr="00472578">
        <w:rPr>
          <w:rFonts w:cs="Times New Roman"/>
        </w:rPr>
        <w:t xml:space="preserve"> </w:t>
      </w:r>
      <w:r w:rsidRPr="00472578">
        <w:t xml:space="preserve">must develop </w:t>
      </w:r>
      <w:r w:rsidRPr="00472578">
        <w:rPr>
          <w:i/>
        </w:rPr>
        <w:t>waste</w:t>
      </w:r>
      <w:r w:rsidRPr="00472578">
        <w:t xml:space="preserve"> management and minimisation plans in accordance with the Waste Minimisation Act 2008.</w:t>
      </w:r>
    </w:p>
    <w:p w14:paraId="09065E0F" w14:textId="0AE25E33" w:rsidR="00D038D4" w:rsidRPr="00472578" w:rsidRDefault="00D038D4" w:rsidP="00E92686">
      <w:pPr>
        <w:pStyle w:val="Heading5"/>
        <w:jc w:val="both"/>
        <w:rPr>
          <w:b w:val="0"/>
          <w:bCs w:val="0"/>
        </w:rPr>
      </w:pPr>
      <w:r w:rsidRPr="00472578">
        <w:t>HAZ</w:t>
      </w:r>
      <w:r w:rsidR="00BD7820" w:rsidRPr="00472578">
        <w:t>-</w:t>
      </w:r>
      <w:r w:rsidRPr="00472578">
        <w:t>CL</w:t>
      </w:r>
      <w:r w:rsidR="00BD7820" w:rsidRPr="00472578">
        <w:t>-</w:t>
      </w:r>
      <w:r w:rsidRPr="00472578">
        <w:t>M9 – Other incentives and mechanisms</w:t>
      </w:r>
    </w:p>
    <w:p w14:paraId="545324FD" w14:textId="77777777" w:rsidR="00D038D4" w:rsidRPr="00472578" w:rsidRDefault="00D038D4" w:rsidP="00E92686">
      <w:pPr>
        <w:jc w:val="both"/>
      </w:pPr>
      <w:r w:rsidRPr="00472578">
        <w:rPr>
          <w:rFonts w:cs="Times New Roman"/>
          <w:i/>
          <w:iCs/>
        </w:rPr>
        <w:t>Local authorities</w:t>
      </w:r>
      <w:r w:rsidRPr="00472578">
        <w:t xml:space="preserve"> may:</w:t>
      </w:r>
    </w:p>
    <w:p w14:paraId="14BED8F3" w14:textId="77777777" w:rsidR="00D038D4" w:rsidRPr="00472578" w:rsidRDefault="00D038D4" w:rsidP="00E92686">
      <w:pPr>
        <w:ind w:left="567" w:hanging="567"/>
        <w:jc w:val="both"/>
        <w:rPr>
          <w:rFonts w:ascii="Calibri" w:hAnsi="Calibri" w:cs="Calibri"/>
        </w:rPr>
      </w:pPr>
      <w:r w:rsidRPr="00472578">
        <w:t>(1)</w:t>
      </w:r>
      <w:r w:rsidRPr="00472578">
        <w:tab/>
        <w:t xml:space="preserve">encourage the application of the </w:t>
      </w:r>
      <w:r w:rsidRPr="00472578">
        <w:rPr>
          <w:i/>
        </w:rPr>
        <w:t>waste</w:t>
      </w:r>
      <w:r w:rsidRPr="00472578">
        <w:t xml:space="preserve"> management hierarchy by:</w:t>
      </w:r>
    </w:p>
    <w:p w14:paraId="7895B059" w14:textId="77777777" w:rsidR="00D038D4" w:rsidRPr="00472578" w:rsidRDefault="00D038D4" w:rsidP="00E92686">
      <w:pPr>
        <w:ind w:left="1134" w:hanging="567"/>
        <w:jc w:val="both"/>
      </w:pPr>
      <w:r w:rsidRPr="00472578">
        <w:t>(a)</w:t>
      </w:r>
      <w:r w:rsidRPr="00472578">
        <w:tab/>
        <w:t xml:space="preserve">giving preference to reducing waste generated, </w:t>
      </w:r>
    </w:p>
    <w:p w14:paraId="219B50E0" w14:textId="77777777" w:rsidR="00D038D4" w:rsidRPr="00472578" w:rsidRDefault="00D038D4" w:rsidP="00E92686">
      <w:pPr>
        <w:ind w:left="1134" w:hanging="567"/>
        <w:jc w:val="both"/>
      </w:pPr>
      <w:r w:rsidRPr="00472578">
        <w:t>(b)</w:t>
      </w:r>
      <w:r w:rsidRPr="00472578">
        <w:tab/>
        <w:t xml:space="preserve">reusing </w:t>
      </w:r>
      <w:r w:rsidRPr="00472578">
        <w:rPr>
          <w:i/>
        </w:rPr>
        <w:t>waste</w:t>
      </w:r>
      <w:r w:rsidRPr="00472578">
        <w:t xml:space="preserve">, </w:t>
      </w:r>
    </w:p>
    <w:p w14:paraId="5E7A75AB" w14:textId="77777777" w:rsidR="00D038D4" w:rsidRPr="00472578" w:rsidRDefault="00D038D4" w:rsidP="00E92686">
      <w:pPr>
        <w:ind w:left="1134" w:hanging="567"/>
        <w:jc w:val="both"/>
      </w:pPr>
      <w:r w:rsidRPr="00472578">
        <w:t>(c)</w:t>
      </w:r>
      <w:r w:rsidRPr="00472578">
        <w:tab/>
        <w:t xml:space="preserve">recycling </w:t>
      </w:r>
      <w:r w:rsidRPr="00472578">
        <w:rPr>
          <w:i/>
        </w:rPr>
        <w:t>waste</w:t>
      </w:r>
      <w:r w:rsidRPr="00472578">
        <w:t xml:space="preserve">, </w:t>
      </w:r>
    </w:p>
    <w:p w14:paraId="1B01083A" w14:textId="77777777" w:rsidR="00D038D4" w:rsidRPr="00472578" w:rsidRDefault="00D038D4" w:rsidP="00E92686">
      <w:pPr>
        <w:ind w:left="1134" w:hanging="567"/>
        <w:jc w:val="both"/>
      </w:pPr>
      <w:r w:rsidRPr="00472578">
        <w:t>(d)</w:t>
      </w:r>
      <w:r w:rsidRPr="00472578">
        <w:tab/>
        <w:t xml:space="preserve">recovering resources from </w:t>
      </w:r>
      <w:r w:rsidRPr="00472578">
        <w:rPr>
          <w:i/>
        </w:rPr>
        <w:t>waste</w:t>
      </w:r>
      <w:r w:rsidRPr="00472578">
        <w:t>, and</w:t>
      </w:r>
    </w:p>
    <w:p w14:paraId="11A54A27" w14:textId="77777777" w:rsidR="00D038D4" w:rsidRPr="00472578" w:rsidRDefault="00D038D4" w:rsidP="00E92686">
      <w:pPr>
        <w:ind w:left="1134" w:hanging="567"/>
        <w:jc w:val="both"/>
      </w:pPr>
      <w:r w:rsidRPr="00472578">
        <w:t>(e)</w:t>
      </w:r>
      <w:r w:rsidRPr="00472578">
        <w:tab/>
        <w:t xml:space="preserve">only disposing residual </w:t>
      </w:r>
      <w:r w:rsidRPr="00472578">
        <w:rPr>
          <w:i/>
        </w:rPr>
        <w:t>waste</w:t>
      </w:r>
      <w:r w:rsidRPr="00472578">
        <w:t xml:space="preserve"> to a disposal facility,</w:t>
      </w:r>
    </w:p>
    <w:p w14:paraId="0D1A6CAC" w14:textId="77777777" w:rsidR="00D038D4" w:rsidRPr="00472578" w:rsidRDefault="00D038D4" w:rsidP="00E92686">
      <w:pPr>
        <w:ind w:left="567" w:hanging="567"/>
        <w:jc w:val="both"/>
      </w:pPr>
      <w:r w:rsidRPr="00472578">
        <w:t>(2)</w:t>
      </w:r>
      <w:r w:rsidRPr="00472578">
        <w:tab/>
        <w:t xml:space="preserve">provide information and guidance on </w:t>
      </w:r>
      <w:r w:rsidRPr="00472578">
        <w:rPr>
          <w:i/>
        </w:rPr>
        <w:t>waste</w:t>
      </w:r>
      <w:r w:rsidRPr="00472578">
        <w:t xml:space="preserve"> minimisation and management, and </w:t>
      </w:r>
    </w:p>
    <w:p w14:paraId="49C7C64B" w14:textId="77777777" w:rsidR="00D038D4" w:rsidRPr="00472578" w:rsidRDefault="00D038D4" w:rsidP="00E92686">
      <w:pPr>
        <w:ind w:left="567" w:hanging="567"/>
        <w:jc w:val="both"/>
      </w:pPr>
      <w:r w:rsidRPr="00472578">
        <w:t>(3)</w:t>
      </w:r>
      <w:r w:rsidRPr="00472578">
        <w:tab/>
        <w:t xml:space="preserve">advocate for: </w:t>
      </w:r>
    </w:p>
    <w:p w14:paraId="100F13D9" w14:textId="77777777" w:rsidR="00D038D4" w:rsidRPr="00472578" w:rsidRDefault="00D038D4" w:rsidP="00E92686">
      <w:pPr>
        <w:ind w:left="1134" w:hanging="567"/>
        <w:jc w:val="both"/>
      </w:pPr>
      <w:r w:rsidRPr="00472578">
        <w:t>(a)</w:t>
      </w:r>
      <w:r w:rsidRPr="00472578">
        <w:tab/>
        <w:t xml:space="preserve">the implementation of the </w:t>
      </w:r>
      <w:r w:rsidRPr="00472578">
        <w:rPr>
          <w:i/>
        </w:rPr>
        <w:t>waste</w:t>
      </w:r>
      <w:r w:rsidRPr="00472578">
        <w:t xml:space="preserve"> hierarchy throughout the region, and</w:t>
      </w:r>
    </w:p>
    <w:p w14:paraId="2D793530" w14:textId="77777777" w:rsidR="00D038D4" w:rsidRPr="00472578" w:rsidRDefault="00D038D4" w:rsidP="00E92686">
      <w:pPr>
        <w:ind w:left="1134" w:hanging="567"/>
        <w:jc w:val="both"/>
      </w:pPr>
      <w:r w:rsidRPr="00472578">
        <w:t>(b)</w:t>
      </w:r>
      <w:r w:rsidRPr="00472578">
        <w:tab/>
        <w:t xml:space="preserve">the development of </w:t>
      </w:r>
      <w:r w:rsidRPr="00472578">
        <w:rPr>
          <w:i/>
          <w:iCs/>
        </w:rPr>
        <w:t>infrastructure</w:t>
      </w:r>
      <w:r w:rsidRPr="00472578">
        <w:t xml:space="preserve"> and services to provide for recycling and disposal services across the region.</w:t>
      </w:r>
    </w:p>
    <w:p w14:paraId="1DFA459C" w14:textId="77777777" w:rsidR="00D038D4" w:rsidRPr="00472578" w:rsidRDefault="00D038D4" w:rsidP="00E92686">
      <w:pPr>
        <w:pStyle w:val="Heading4"/>
        <w:jc w:val="both"/>
        <w:rPr>
          <w:rFonts w:eastAsia="National-Book"/>
          <w:b w:val="0"/>
          <w:iCs w:val="0"/>
        </w:rPr>
      </w:pPr>
      <w:bookmarkStart w:id="302" w:name="_Toc49763556"/>
      <w:r w:rsidRPr="00472578">
        <w:t>Expla</w:t>
      </w:r>
      <w:r w:rsidRPr="00472578">
        <w:rPr>
          <w:rFonts w:eastAsia="National-Book"/>
          <w:bCs/>
          <w:iCs w:val="0"/>
        </w:rPr>
        <w:t>nation</w:t>
      </w:r>
      <w:bookmarkEnd w:id="302"/>
    </w:p>
    <w:p w14:paraId="254D3CFA" w14:textId="431024A2" w:rsidR="00D038D4" w:rsidRPr="00472578" w:rsidRDefault="00D038D4" w:rsidP="00E92686">
      <w:pPr>
        <w:pStyle w:val="Heading5"/>
        <w:jc w:val="both"/>
        <w:rPr>
          <w:b w:val="0"/>
          <w:bCs w:val="0"/>
        </w:rPr>
      </w:pPr>
      <w:r w:rsidRPr="00472578">
        <w:t>HAZ</w:t>
      </w:r>
      <w:r w:rsidR="00BD7820" w:rsidRPr="00472578">
        <w:t>-</w:t>
      </w:r>
      <w:r w:rsidRPr="00472578">
        <w:t>CL</w:t>
      </w:r>
      <w:r w:rsidR="00BD7820" w:rsidRPr="00472578">
        <w:t>-</w:t>
      </w:r>
      <w:r w:rsidRPr="00472578">
        <w:t>E2 – Explanation</w:t>
      </w:r>
    </w:p>
    <w:p w14:paraId="1F290B5A" w14:textId="393EDFB9" w:rsidR="00D038D4" w:rsidRPr="00472578" w:rsidRDefault="00D038D4" w:rsidP="00E92686">
      <w:pPr>
        <w:jc w:val="both"/>
        <w:rPr>
          <w:rFonts w:eastAsia="Times New Roman"/>
          <w:lang w:eastAsia="en-NZ"/>
        </w:rPr>
      </w:pPr>
      <w:r w:rsidRPr="00472578">
        <w:t xml:space="preserve">The policies in this chapter are designed to ensure that </w:t>
      </w:r>
      <w:r w:rsidRPr="00472578">
        <w:rPr>
          <w:i/>
          <w:iCs/>
        </w:rPr>
        <w:t>contaminated land</w:t>
      </w:r>
      <w:r w:rsidRPr="00472578">
        <w:t xml:space="preserve"> and </w:t>
      </w:r>
      <w:r w:rsidRPr="00472578">
        <w:rPr>
          <w:i/>
        </w:rPr>
        <w:t>waste</w:t>
      </w:r>
      <w:r w:rsidRPr="00472578">
        <w:t xml:space="preserve"> materials do not harm human health or the </w:t>
      </w:r>
      <w:r w:rsidRPr="00472578">
        <w:rPr>
          <w:i/>
          <w:iCs/>
        </w:rPr>
        <w:t>environment</w:t>
      </w:r>
      <w:r w:rsidRPr="00472578">
        <w:t xml:space="preserve">. To achieve this, areas of </w:t>
      </w:r>
      <w:r w:rsidRPr="00472578">
        <w:rPr>
          <w:rFonts w:eastAsia="Times New Roman"/>
          <w:lang w:eastAsia="en-NZ"/>
        </w:rPr>
        <w:t xml:space="preserve">known or potentially </w:t>
      </w:r>
      <w:r w:rsidRPr="00472578">
        <w:rPr>
          <w:rFonts w:eastAsia="Times New Roman"/>
          <w:i/>
          <w:iCs/>
          <w:lang w:eastAsia="en-NZ"/>
        </w:rPr>
        <w:t>contaminated land</w:t>
      </w:r>
      <w:r w:rsidRPr="00472578">
        <w:rPr>
          <w:rFonts w:eastAsia="Times New Roman"/>
          <w:lang w:eastAsia="en-NZ"/>
        </w:rPr>
        <w:t xml:space="preserve"> are to be identified. Once sites are identified, the protection of human health is managed by the</w:t>
      </w:r>
      <w:r w:rsidRPr="00472578">
        <w:t xml:space="preserve"> </w:t>
      </w:r>
      <w:r w:rsidRPr="001D2CEA">
        <w:rPr>
          <w:rFonts w:eastAsia="Times New Roman"/>
          <w:strike/>
          <w:lang w:eastAsia="en-NZ"/>
        </w:rPr>
        <w:t>National Environmental Standard for Assessing and Managing Contaminants in Soil to Protect Human Health 2012 (NESCS)</w:t>
      </w:r>
      <w:r w:rsidR="00917DFB">
        <w:t xml:space="preserve"> NESCS</w:t>
      </w:r>
      <w:r w:rsidRPr="00472578">
        <w:t>.</w:t>
      </w:r>
      <w:r w:rsidR="00917DFB">
        <w:rPr>
          <w:rStyle w:val="FootnoteReference"/>
        </w:rPr>
        <w:footnoteReference w:id="1274"/>
      </w:r>
      <w:r w:rsidRPr="00472578">
        <w:t xml:space="preserve"> It is the role of </w:t>
      </w:r>
      <w:r w:rsidRPr="00472578">
        <w:rPr>
          <w:i/>
          <w:iCs/>
        </w:rPr>
        <w:t>regional plans</w:t>
      </w:r>
      <w:r w:rsidRPr="00472578">
        <w:t xml:space="preserve"> to </w:t>
      </w:r>
      <w:r w:rsidRPr="00472578">
        <w:rPr>
          <w:rFonts w:eastAsia="Times New Roman"/>
          <w:lang w:eastAsia="en-NZ"/>
        </w:rPr>
        <w:t xml:space="preserve">minimise the adverse </w:t>
      </w:r>
      <w:r w:rsidRPr="00472578">
        <w:rPr>
          <w:rFonts w:eastAsia="Times New Roman"/>
          <w:i/>
          <w:iCs/>
          <w:lang w:eastAsia="en-NZ"/>
        </w:rPr>
        <w:t>effects</w:t>
      </w:r>
      <w:r w:rsidRPr="00472578">
        <w:rPr>
          <w:rFonts w:eastAsia="Times New Roman"/>
          <w:lang w:eastAsia="en-NZ"/>
        </w:rPr>
        <w:t xml:space="preserve"> of the </w:t>
      </w:r>
      <w:r w:rsidRPr="00472578">
        <w:rPr>
          <w:rFonts w:eastAsia="Times New Roman"/>
          <w:i/>
          <w:iCs/>
          <w:lang w:eastAsia="en-NZ"/>
        </w:rPr>
        <w:t>contaminants</w:t>
      </w:r>
      <w:r w:rsidRPr="00472578">
        <w:rPr>
          <w:rFonts w:eastAsia="Times New Roman"/>
          <w:lang w:eastAsia="en-NZ"/>
        </w:rPr>
        <w:t xml:space="preserve"> on the </w:t>
      </w:r>
      <w:r w:rsidRPr="00472578">
        <w:rPr>
          <w:rFonts w:eastAsia="Times New Roman"/>
          <w:i/>
          <w:iCs/>
          <w:lang w:eastAsia="en-NZ"/>
        </w:rPr>
        <w:t>environment</w:t>
      </w:r>
      <w:r w:rsidRPr="00472578">
        <w:rPr>
          <w:rFonts w:eastAsia="Times New Roman"/>
          <w:lang w:eastAsia="en-NZ"/>
        </w:rPr>
        <w:t xml:space="preserve"> by avoiding the creation of new </w:t>
      </w:r>
      <w:r w:rsidRPr="00472578">
        <w:rPr>
          <w:rFonts w:eastAsia="Times New Roman"/>
          <w:i/>
          <w:iCs/>
          <w:lang w:eastAsia="en-NZ"/>
        </w:rPr>
        <w:t>contaminated land</w:t>
      </w:r>
      <w:r w:rsidRPr="00472578">
        <w:rPr>
          <w:rFonts w:eastAsia="Times New Roman"/>
          <w:lang w:eastAsia="en-NZ"/>
        </w:rPr>
        <w:t xml:space="preserve"> and minimising the adverse </w:t>
      </w:r>
      <w:r w:rsidRPr="00472578">
        <w:rPr>
          <w:rFonts w:eastAsia="Times New Roman"/>
          <w:i/>
          <w:iCs/>
          <w:lang w:eastAsia="en-NZ"/>
        </w:rPr>
        <w:t>effects</w:t>
      </w:r>
      <w:r w:rsidRPr="00472578">
        <w:rPr>
          <w:rFonts w:eastAsia="Times New Roman"/>
          <w:lang w:eastAsia="en-NZ"/>
        </w:rPr>
        <w:t xml:space="preserve"> of </w:t>
      </w:r>
      <w:r w:rsidRPr="00472578">
        <w:rPr>
          <w:rFonts w:eastAsia="Times New Roman"/>
          <w:i/>
          <w:lang w:eastAsia="en-NZ"/>
        </w:rPr>
        <w:t>waste</w:t>
      </w:r>
      <w:r w:rsidRPr="00472578">
        <w:rPr>
          <w:rFonts w:eastAsia="Times New Roman"/>
          <w:lang w:eastAsia="en-NZ"/>
        </w:rPr>
        <w:t xml:space="preserve"> material on the </w:t>
      </w:r>
      <w:r w:rsidRPr="00472578">
        <w:rPr>
          <w:rFonts w:eastAsia="Times New Roman"/>
          <w:i/>
          <w:iCs/>
          <w:lang w:eastAsia="en-NZ"/>
        </w:rPr>
        <w:t>environment</w:t>
      </w:r>
      <w:r w:rsidRPr="00472578">
        <w:rPr>
          <w:rFonts w:eastAsia="Times New Roman"/>
          <w:lang w:eastAsia="en-NZ"/>
        </w:rPr>
        <w:t xml:space="preserve">. The provisions within this chapter also encourage the application of the </w:t>
      </w:r>
      <w:r w:rsidRPr="00472578">
        <w:rPr>
          <w:i/>
        </w:rPr>
        <w:t>waste</w:t>
      </w:r>
      <w:r w:rsidRPr="00472578">
        <w:t xml:space="preserve"> management hierarchy.</w:t>
      </w:r>
    </w:p>
    <w:p w14:paraId="04A54EF2" w14:textId="77777777" w:rsidR="00D038D4" w:rsidRPr="00472578" w:rsidRDefault="00D038D4" w:rsidP="00E92686">
      <w:pPr>
        <w:pStyle w:val="Heading4"/>
        <w:jc w:val="both"/>
        <w:rPr>
          <w:rFonts w:eastAsia="National-Book"/>
          <w:b w:val="0"/>
          <w:iCs w:val="0"/>
        </w:rPr>
      </w:pPr>
      <w:bookmarkStart w:id="303" w:name="_Toc49763558"/>
      <w:r w:rsidRPr="00472578">
        <w:t>Principal reasons</w:t>
      </w:r>
      <w:bookmarkEnd w:id="303"/>
    </w:p>
    <w:p w14:paraId="54D245D2" w14:textId="65937F47" w:rsidR="00D038D4" w:rsidRPr="00472578" w:rsidRDefault="00D038D4" w:rsidP="00E92686">
      <w:pPr>
        <w:pStyle w:val="Heading5"/>
        <w:jc w:val="both"/>
      </w:pPr>
      <w:r w:rsidRPr="00472578">
        <w:t>HAZ</w:t>
      </w:r>
      <w:r w:rsidR="00BD7820" w:rsidRPr="00472578">
        <w:t>-</w:t>
      </w:r>
      <w:r w:rsidRPr="00472578">
        <w:t>CL</w:t>
      </w:r>
      <w:r w:rsidR="00BD7820" w:rsidRPr="00472578">
        <w:t>-</w:t>
      </w:r>
      <w:r w:rsidRPr="00472578">
        <w:t>PR2 – Principal reasons</w:t>
      </w:r>
    </w:p>
    <w:p w14:paraId="21CD7410" w14:textId="77777777" w:rsidR="00D038D4" w:rsidRPr="00472578" w:rsidRDefault="00D038D4" w:rsidP="00E92686">
      <w:pPr>
        <w:jc w:val="both"/>
        <w:rPr>
          <w:rFonts w:cs="Calibri"/>
        </w:rPr>
      </w:pPr>
      <w:r w:rsidRPr="00472578">
        <w:t xml:space="preserve">Resources need to be carefully used to minimise the material disposed of as </w:t>
      </w:r>
      <w:r w:rsidRPr="00472578">
        <w:rPr>
          <w:i/>
        </w:rPr>
        <w:t>waste</w:t>
      </w:r>
      <w:r w:rsidRPr="00472578">
        <w:t>. Waste materials and hazardous substances need to be carefully managed to avoid creating environmental problems or adversely affecting human health.</w:t>
      </w:r>
    </w:p>
    <w:p w14:paraId="61EA5D6E" w14:textId="77777777" w:rsidR="00D038D4" w:rsidRPr="00472578" w:rsidRDefault="00D038D4" w:rsidP="00E92686">
      <w:pPr>
        <w:jc w:val="both"/>
      </w:pPr>
      <w:r w:rsidRPr="00472578">
        <w:t xml:space="preserve">In order to protect people and the </w:t>
      </w:r>
      <w:r w:rsidRPr="00472578">
        <w:rPr>
          <w:i/>
          <w:iCs/>
        </w:rPr>
        <w:t>environment</w:t>
      </w:r>
      <w:r w:rsidRPr="00472578">
        <w:t xml:space="preserve"> from the adverse </w:t>
      </w:r>
      <w:r w:rsidRPr="00472578">
        <w:rPr>
          <w:i/>
          <w:iCs/>
        </w:rPr>
        <w:t>effects</w:t>
      </w:r>
      <w:r w:rsidRPr="00472578">
        <w:t xml:space="preserve"> of </w:t>
      </w:r>
      <w:r w:rsidRPr="00472578">
        <w:rPr>
          <w:i/>
          <w:iCs/>
        </w:rPr>
        <w:t>contaminated land</w:t>
      </w:r>
      <w:r w:rsidRPr="00472578">
        <w:t xml:space="preserve">, the first task is to identify </w:t>
      </w:r>
      <w:r w:rsidRPr="00472578">
        <w:rPr>
          <w:i/>
          <w:iCs/>
        </w:rPr>
        <w:t>land</w:t>
      </w:r>
      <w:r w:rsidRPr="00472578">
        <w:t xml:space="preserve"> that could be contaminated. The Ministry for the Environment’s Hazardous Activities and Industries List (HAIL) is a list of activities and industries that may have involved the use </w:t>
      </w:r>
      <w:r w:rsidRPr="00472578">
        <w:lastRenderedPageBreak/>
        <w:t xml:space="preserve">of hazardous substances. Such use of hazardous substances may have resulted in </w:t>
      </w:r>
      <w:r w:rsidRPr="00472578">
        <w:rPr>
          <w:i/>
          <w:iCs/>
        </w:rPr>
        <w:t>land</w:t>
      </w:r>
      <w:r w:rsidRPr="00472578">
        <w:t xml:space="preserve"> becoming contaminated. Once known or potentially </w:t>
      </w:r>
      <w:r w:rsidRPr="00472578">
        <w:rPr>
          <w:i/>
          <w:iCs/>
        </w:rPr>
        <w:t>contaminated land</w:t>
      </w:r>
      <w:r w:rsidRPr="00472578">
        <w:t xml:space="preserve"> has been identified, assessments can be made to determine the nature or existence of contamination.</w:t>
      </w:r>
    </w:p>
    <w:p w14:paraId="770F3A12" w14:textId="18B17580" w:rsidR="00D038D4" w:rsidRPr="00472578" w:rsidRDefault="00D038D4" w:rsidP="00E92686">
      <w:pPr>
        <w:jc w:val="both"/>
      </w:pPr>
      <w:r w:rsidRPr="00472578">
        <w:t xml:space="preserve">The </w:t>
      </w:r>
      <w:r w:rsidRPr="004059F8">
        <w:rPr>
          <w:strike/>
        </w:rPr>
        <w:t xml:space="preserve">National Environmental Standard for Assessing and Managing Contaminants in Soil to Protect Human Health </w:t>
      </w:r>
      <w:r w:rsidRPr="001D2CEA">
        <w:rPr>
          <w:strike/>
        </w:rPr>
        <w:t>2012 (NESCS)</w:t>
      </w:r>
      <w:r w:rsidRPr="00472578">
        <w:t xml:space="preserve"> </w:t>
      </w:r>
      <w:r w:rsidR="001D2CEA" w:rsidRPr="001D2CEA">
        <w:rPr>
          <w:u w:val="single"/>
        </w:rPr>
        <w:t>NESCS</w:t>
      </w:r>
      <w:r w:rsidR="001D2CEA">
        <w:rPr>
          <w:rStyle w:val="FootnoteReference"/>
        </w:rPr>
        <w:footnoteReference w:id="1275"/>
      </w:r>
      <w:r w:rsidR="001D2CEA">
        <w:t xml:space="preserve"> </w:t>
      </w:r>
      <w:r w:rsidRPr="00472578">
        <w:t xml:space="preserve">sets out a nationally consistent set of planning controls and soil </w:t>
      </w:r>
      <w:r w:rsidRPr="00472578">
        <w:rPr>
          <w:i/>
          <w:iCs/>
        </w:rPr>
        <w:t>contaminant</w:t>
      </w:r>
      <w:r w:rsidRPr="00472578">
        <w:t xml:space="preserve"> values. It applies to assessing and managing the actual or potential adverse </w:t>
      </w:r>
      <w:r w:rsidRPr="00472578">
        <w:rPr>
          <w:i/>
          <w:iCs/>
        </w:rPr>
        <w:t>effects</w:t>
      </w:r>
      <w:r w:rsidRPr="00472578">
        <w:t xml:space="preserve"> of </w:t>
      </w:r>
      <w:r w:rsidRPr="00472578">
        <w:rPr>
          <w:i/>
          <w:iCs/>
        </w:rPr>
        <w:t>contaminants</w:t>
      </w:r>
      <w:r w:rsidRPr="00472578">
        <w:t xml:space="preserve"> in soil on human health when undertaking </w:t>
      </w:r>
      <w:r w:rsidRPr="00472578">
        <w:rPr>
          <w:i/>
          <w:iCs/>
        </w:rPr>
        <w:t xml:space="preserve">subdivision, land </w:t>
      </w:r>
      <w:r w:rsidRPr="00472578">
        <w:t xml:space="preserve">use change, </w:t>
      </w:r>
      <w:r w:rsidRPr="00472578">
        <w:rPr>
          <w:i/>
          <w:iCs/>
        </w:rPr>
        <w:t>earthworks</w:t>
      </w:r>
      <w:r w:rsidRPr="00472578">
        <w:t xml:space="preserve">, soil sampling or removing the underground portions of any fuel storage or dispensing systems. The NESCS does not apply to assessing and managing the actual or potential adverse </w:t>
      </w:r>
      <w:r w:rsidRPr="00472578">
        <w:rPr>
          <w:i/>
          <w:iCs/>
        </w:rPr>
        <w:t>effects</w:t>
      </w:r>
      <w:r w:rsidRPr="00472578">
        <w:t xml:space="preserve"> of </w:t>
      </w:r>
      <w:r w:rsidRPr="00472578">
        <w:rPr>
          <w:i/>
          <w:iCs/>
        </w:rPr>
        <w:t>contaminants</w:t>
      </w:r>
      <w:r w:rsidRPr="00472578">
        <w:t xml:space="preserve"> on other receptors, including ecology, </w:t>
      </w:r>
      <w:r w:rsidRPr="00472578">
        <w:rPr>
          <w:i/>
          <w:iCs/>
        </w:rPr>
        <w:t>water</w:t>
      </w:r>
      <w:r w:rsidRPr="00472578">
        <w:t xml:space="preserve"> quality or </w:t>
      </w:r>
      <w:r w:rsidRPr="00472578">
        <w:rPr>
          <w:i/>
          <w:iCs/>
        </w:rPr>
        <w:t>amenity values</w:t>
      </w:r>
      <w:r w:rsidRPr="00472578">
        <w:t xml:space="preserve">. Therefore, it is the role of the </w:t>
      </w:r>
      <w:r w:rsidRPr="00472578">
        <w:rPr>
          <w:i/>
          <w:iCs/>
        </w:rPr>
        <w:t>regional plans</w:t>
      </w:r>
      <w:r w:rsidRPr="00472578">
        <w:t xml:space="preserve"> to manage these adverse </w:t>
      </w:r>
      <w:r w:rsidRPr="00472578">
        <w:rPr>
          <w:i/>
          <w:iCs/>
        </w:rPr>
        <w:t>effects</w:t>
      </w:r>
      <w:r w:rsidRPr="00472578">
        <w:t>.</w:t>
      </w:r>
    </w:p>
    <w:p w14:paraId="1E33C113" w14:textId="77777777" w:rsidR="00D038D4" w:rsidRPr="00472578" w:rsidRDefault="00D038D4" w:rsidP="00E92686">
      <w:pPr>
        <w:jc w:val="both"/>
      </w:pPr>
      <w:r w:rsidRPr="00472578">
        <w:t xml:space="preserve">The </w:t>
      </w:r>
      <w:r w:rsidRPr="00472578">
        <w:rPr>
          <w:i/>
        </w:rPr>
        <w:t>waste</w:t>
      </w:r>
      <w:r w:rsidRPr="00472578">
        <w:t xml:space="preserve"> management hierarchy is an internationally recognised management model for the reduction of residual </w:t>
      </w:r>
      <w:r w:rsidRPr="00472578">
        <w:rPr>
          <w:i/>
        </w:rPr>
        <w:t>waste</w:t>
      </w:r>
      <w:r w:rsidRPr="00472578">
        <w:t xml:space="preserve">. The </w:t>
      </w:r>
      <w:r w:rsidRPr="00472578">
        <w:rPr>
          <w:i/>
        </w:rPr>
        <w:t>waste</w:t>
      </w:r>
      <w:r w:rsidRPr="00472578">
        <w:t xml:space="preserve"> management hierarchy can be applied to all </w:t>
      </w:r>
      <w:r w:rsidRPr="00472578">
        <w:rPr>
          <w:i/>
        </w:rPr>
        <w:t>waste</w:t>
      </w:r>
      <w:r w:rsidRPr="00472578">
        <w:t xml:space="preserve"> streams. When making decisions about a </w:t>
      </w:r>
      <w:r w:rsidRPr="00472578">
        <w:rPr>
          <w:i/>
          <w:iCs/>
        </w:rPr>
        <w:t>land</w:t>
      </w:r>
      <w:r w:rsidRPr="00472578">
        <w:t xml:space="preserve"> use or activity, it is possible to include methods that will reduce </w:t>
      </w:r>
      <w:r w:rsidRPr="00472578">
        <w:rPr>
          <w:i/>
        </w:rPr>
        <w:t>waste</w:t>
      </w:r>
      <w:r w:rsidRPr="00472578">
        <w:t xml:space="preserve"> over the lifetime of that </w:t>
      </w:r>
      <w:r w:rsidRPr="00472578">
        <w:rPr>
          <w:i/>
          <w:iCs/>
        </w:rPr>
        <w:t>land</w:t>
      </w:r>
      <w:r w:rsidRPr="00472578">
        <w:t xml:space="preserve"> use or activity. </w:t>
      </w:r>
    </w:p>
    <w:p w14:paraId="4282A52F" w14:textId="77777777" w:rsidR="00D038D4" w:rsidRPr="00472578" w:rsidRDefault="00D038D4" w:rsidP="00E92686">
      <w:pPr>
        <w:pStyle w:val="Heading4"/>
        <w:jc w:val="both"/>
      </w:pPr>
      <w:r w:rsidRPr="00472578">
        <w:t>Anticipated environmental results</w:t>
      </w:r>
    </w:p>
    <w:p w14:paraId="2907C727" w14:textId="498B179E" w:rsidR="00D038D4" w:rsidRPr="00472578" w:rsidRDefault="00D038D4" w:rsidP="00E92686">
      <w:pPr>
        <w:spacing w:line="252" w:lineRule="auto"/>
        <w:ind w:left="2268" w:hanging="2268"/>
        <w:jc w:val="both"/>
        <w:rPr>
          <w:rFonts w:ascii="Calibri" w:eastAsia="Calibri" w:hAnsi="Calibri" w:cs="Times New Roman"/>
          <w:b/>
          <w:bCs/>
        </w:rPr>
      </w:pPr>
      <w:r w:rsidRPr="00472578">
        <w:rPr>
          <w:rFonts w:cs="Times New Roman"/>
          <w:b/>
          <w:color w:val="1F3864" w:themeColor="accent1" w:themeShade="80"/>
        </w:rPr>
        <w:t>HAZ</w:t>
      </w:r>
      <w:r w:rsidR="00893DC6" w:rsidRPr="00472578">
        <w:rPr>
          <w:b/>
          <w:color w:val="1F3864" w:themeColor="accent1" w:themeShade="80"/>
        </w:rPr>
        <w:t>-</w:t>
      </w:r>
      <w:r w:rsidRPr="00472578">
        <w:rPr>
          <w:b/>
          <w:color w:val="1F3864" w:themeColor="accent1" w:themeShade="80"/>
        </w:rPr>
        <w:t>CL</w:t>
      </w:r>
      <w:r w:rsidR="00893DC6" w:rsidRPr="00472578">
        <w:rPr>
          <w:b/>
          <w:color w:val="1F3864" w:themeColor="accent1" w:themeShade="80"/>
        </w:rPr>
        <w:t>-</w:t>
      </w:r>
      <w:r w:rsidRPr="00472578">
        <w:rPr>
          <w:rFonts w:cs="Times New Roman"/>
          <w:b/>
          <w:bCs/>
          <w:color w:val="1F3864" w:themeColor="accent1" w:themeShade="80"/>
        </w:rPr>
        <w:t>AER6</w:t>
      </w:r>
      <w:r w:rsidRPr="00472578">
        <w:rPr>
          <w:rFonts w:cs="Times New Roman"/>
          <w:b/>
          <w:color w:val="1F3864" w:themeColor="accent1" w:themeShade="80"/>
        </w:rPr>
        <w:t xml:space="preserve"> </w:t>
      </w:r>
      <w:r w:rsidRPr="00472578">
        <w:rPr>
          <w:rFonts w:cs="Times New Roman"/>
          <w:b/>
          <w:bCs/>
        </w:rPr>
        <w:tab/>
      </w:r>
      <w:r w:rsidRPr="00472578">
        <w:rPr>
          <w:rFonts w:cs="Times New Roman"/>
        </w:rPr>
        <w:t>The environment, people and communities</w:t>
      </w:r>
      <w:r w:rsidRPr="00472578">
        <w:rPr>
          <w:rFonts w:cs="Times New Roman"/>
          <w:i/>
        </w:rPr>
        <w:t xml:space="preserve"> </w:t>
      </w:r>
      <w:r w:rsidRPr="00472578">
        <w:rPr>
          <w:rFonts w:cs="Times New Roman"/>
        </w:rPr>
        <w:t>are not harmed by</w:t>
      </w:r>
      <w:r w:rsidRPr="00472578">
        <w:rPr>
          <w:rFonts w:cs="Times New Roman"/>
          <w:i/>
        </w:rPr>
        <w:t xml:space="preserve"> waste</w:t>
      </w:r>
      <w:r w:rsidRPr="00472578">
        <w:rPr>
          <w:rFonts w:cs="Times New Roman"/>
        </w:rPr>
        <w:t xml:space="preserve"> materials. </w:t>
      </w:r>
    </w:p>
    <w:p w14:paraId="0F73827B" w14:textId="3B5068FC" w:rsidR="00570759" w:rsidRPr="00472578" w:rsidRDefault="00D038D4" w:rsidP="00C67C84">
      <w:pPr>
        <w:spacing w:line="254" w:lineRule="auto"/>
        <w:ind w:left="2268" w:hanging="2268"/>
        <w:jc w:val="both"/>
      </w:pPr>
      <w:r w:rsidRPr="00472578">
        <w:rPr>
          <w:rFonts w:cs="Times New Roman"/>
          <w:b/>
          <w:color w:val="1F3864" w:themeColor="accent1" w:themeShade="80"/>
        </w:rPr>
        <w:t>HAZ</w:t>
      </w:r>
      <w:r w:rsidR="00893DC6" w:rsidRPr="00472578">
        <w:rPr>
          <w:b/>
          <w:color w:val="1F3864" w:themeColor="accent1" w:themeShade="80"/>
        </w:rPr>
        <w:t>-</w:t>
      </w:r>
      <w:r w:rsidRPr="00472578">
        <w:rPr>
          <w:b/>
          <w:color w:val="1F3864" w:themeColor="accent1" w:themeShade="80"/>
        </w:rPr>
        <w:t>CL</w:t>
      </w:r>
      <w:r w:rsidR="00893DC6" w:rsidRPr="00472578">
        <w:rPr>
          <w:b/>
          <w:color w:val="1F3864" w:themeColor="accent1" w:themeShade="80"/>
        </w:rPr>
        <w:t>-</w:t>
      </w:r>
      <w:r w:rsidRPr="00472578">
        <w:rPr>
          <w:rFonts w:cs="Times New Roman"/>
          <w:b/>
          <w:bCs/>
          <w:color w:val="1F3864" w:themeColor="accent1" w:themeShade="80"/>
        </w:rPr>
        <w:t>AER7</w:t>
      </w:r>
      <w:r w:rsidRPr="00472578">
        <w:rPr>
          <w:rFonts w:cs="Times New Roman"/>
          <w:b/>
          <w:color w:val="1F3864" w:themeColor="accent1" w:themeShade="80"/>
        </w:rPr>
        <w:t xml:space="preserve"> </w:t>
      </w:r>
      <w:r w:rsidRPr="00472578">
        <w:rPr>
          <w:rFonts w:cs="Times New Roman"/>
          <w:b/>
          <w:bCs/>
        </w:rPr>
        <w:tab/>
      </w:r>
      <w:r w:rsidRPr="00472578">
        <w:rPr>
          <w:rFonts w:cs="Times New Roman"/>
        </w:rPr>
        <w:t xml:space="preserve">The waste hierarchy is implemented, resulting in less </w:t>
      </w:r>
      <w:r w:rsidRPr="00472578">
        <w:rPr>
          <w:rFonts w:cs="Times New Roman"/>
          <w:i/>
        </w:rPr>
        <w:t>waste</w:t>
      </w:r>
      <w:r w:rsidRPr="00472578">
        <w:rPr>
          <w:rFonts w:cs="Times New Roman"/>
        </w:rPr>
        <w:t xml:space="preserve"> requiring disposal and a reduction of the environmental </w:t>
      </w:r>
      <w:r w:rsidRPr="00472578">
        <w:rPr>
          <w:rFonts w:cs="Times New Roman"/>
          <w:i/>
          <w:iCs/>
        </w:rPr>
        <w:t>effects</w:t>
      </w:r>
      <w:r w:rsidRPr="00472578">
        <w:rPr>
          <w:rFonts w:cs="Times New Roman"/>
        </w:rPr>
        <w:t xml:space="preserve"> generated from </w:t>
      </w:r>
      <w:r w:rsidRPr="00472578">
        <w:rPr>
          <w:rFonts w:cs="Times New Roman"/>
          <w:i/>
        </w:rPr>
        <w:t>waste</w:t>
      </w:r>
      <w:r w:rsidRPr="00472578">
        <w:rPr>
          <w:rFonts w:cs="Times New Roman"/>
        </w:rPr>
        <w:t>.</w:t>
      </w:r>
      <w:bookmarkStart w:id="304" w:name="_bookmark30"/>
      <w:bookmarkEnd w:id="304"/>
    </w:p>
    <w:p w14:paraId="57C3BBEE" w14:textId="05A4DFF8" w:rsidR="00DC6C9B" w:rsidRPr="00472578" w:rsidRDefault="00570759" w:rsidP="00E92686">
      <w:pPr>
        <w:pStyle w:val="Heading2"/>
        <w:jc w:val="both"/>
      </w:pPr>
      <w:r w:rsidRPr="00472578">
        <w:br w:type="page"/>
      </w:r>
      <w:bookmarkStart w:id="305" w:name="_Toc102551286"/>
      <w:r w:rsidR="00DC6C9B" w:rsidRPr="00472578">
        <w:lastRenderedPageBreak/>
        <w:t>HCV – Historical and cultural values</w:t>
      </w:r>
      <w:bookmarkEnd w:id="305"/>
    </w:p>
    <w:p w14:paraId="3F6AEBF1" w14:textId="12155753" w:rsidR="00DC6C9B" w:rsidRPr="00472578" w:rsidRDefault="00DC6C9B" w:rsidP="00E92686">
      <w:pPr>
        <w:pStyle w:val="Heading3"/>
        <w:jc w:val="both"/>
      </w:pPr>
      <w:r w:rsidRPr="00472578">
        <w:t xml:space="preserve">HCV-WT – </w:t>
      </w:r>
      <w:r w:rsidRPr="00472578">
        <w:rPr>
          <w:i/>
          <w:iCs/>
        </w:rPr>
        <w:t>Wāhi tūpuna</w:t>
      </w:r>
      <w:r w:rsidRPr="00472578">
        <w:t xml:space="preserve"> </w:t>
      </w:r>
    </w:p>
    <w:p w14:paraId="03EA55CB" w14:textId="77777777" w:rsidR="00DC6C9B" w:rsidRPr="00472578" w:rsidRDefault="00DC6C9B" w:rsidP="00E92686">
      <w:pPr>
        <w:pStyle w:val="Heading4"/>
        <w:jc w:val="both"/>
      </w:pPr>
      <w:bookmarkStart w:id="306" w:name="_Toc49763560"/>
      <w:r w:rsidRPr="00472578">
        <w:t>Objectives</w:t>
      </w:r>
      <w:bookmarkEnd w:id="306"/>
    </w:p>
    <w:p w14:paraId="4FEA0D09" w14:textId="77777777" w:rsidR="00DC6C9B" w:rsidRPr="00472578" w:rsidRDefault="00DC6C9B" w:rsidP="00E92686">
      <w:pPr>
        <w:pStyle w:val="Heading5"/>
        <w:jc w:val="both"/>
      </w:pPr>
      <w:bookmarkStart w:id="307" w:name="_Hlk68006683"/>
      <w:r w:rsidRPr="00472578">
        <w:t>HCV</w:t>
      </w:r>
      <w:bookmarkEnd w:id="307"/>
      <w:r w:rsidRPr="00472578">
        <w:t>-WT-O1</w:t>
      </w:r>
      <w:bookmarkStart w:id="308" w:name="_Hlk48908302"/>
      <w:r w:rsidRPr="00472578">
        <w:t xml:space="preserve"> – Kāi Tahu </w:t>
      </w:r>
      <w:r w:rsidRPr="00472578">
        <w:rPr>
          <w:strike/>
        </w:rPr>
        <w:t>cultural landscapes</w:t>
      </w:r>
      <w:r w:rsidRPr="00472578">
        <w:t xml:space="preserve"> </w:t>
      </w:r>
      <w:bookmarkEnd w:id="308"/>
      <w:r w:rsidRPr="00472578">
        <w:rPr>
          <w:i/>
          <w:u w:val="single"/>
        </w:rPr>
        <w:t>wāhi tūpuna</w:t>
      </w:r>
      <w:r w:rsidRPr="00472578">
        <w:rPr>
          <w:rStyle w:val="FootnoteReference"/>
          <w:b w:val="0"/>
          <w:bCs w:val="0"/>
          <w:iCs/>
        </w:rPr>
        <w:footnoteReference w:id="1276"/>
      </w:r>
    </w:p>
    <w:p w14:paraId="6102E643" w14:textId="77777777" w:rsidR="00DC6C9B" w:rsidRPr="00472578" w:rsidRDefault="00DC6C9B" w:rsidP="00E92686">
      <w:pPr>
        <w:spacing w:line="256" w:lineRule="auto"/>
        <w:jc w:val="both"/>
        <w:rPr>
          <w:rFonts w:ascii="Calibri" w:eastAsia="Calibri" w:hAnsi="Calibri" w:cs="Times New Roman"/>
        </w:rPr>
      </w:pPr>
      <w:r w:rsidRPr="00472578">
        <w:rPr>
          <w:rFonts w:ascii="Calibri" w:eastAsia="Calibri" w:hAnsi="Calibri" w:cs="Times New Roman"/>
          <w:i/>
        </w:rPr>
        <w:t>Wāhi tūpuna</w:t>
      </w:r>
      <w:r w:rsidRPr="00472578">
        <w:rPr>
          <w:rFonts w:ascii="Calibri" w:eastAsia="Calibri" w:hAnsi="Calibri" w:cs="Times New Roman"/>
        </w:rPr>
        <w:t xml:space="preserve"> and their associated cultural values are identified and protected.</w:t>
      </w:r>
    </w:p>
    <w:p w14:paraId="474889EE" w14:textId="77777777" w:rsidR="00DC6C9B" w:rsidRPr="00472578" w:rsidRDefault="00DC6C9B" w:rsidP="00E92686">
      <w:pPr>
        <w:pStyle w:val="Heading5"/>
        <w:jc w:val="both"/>
      </w:pPr>
      <w:r w:rsidRPr="00472578">
        <w:t>HCV-WT-O2 – Rakatirataka</w:t>
      </w:r>
    </w:p>
    <w:p w14:paraId="44E05763" w14:textId="77777777" w:rsidR="00DC6C9B" w:rsidRPr="00472578" w:rsidRDefault="00DC6C9B" w:rsidP="00E92686">
      <w:pPr>
        <w:spacing w:line="257" w:lineRule="auto"/>
        <w:jc w:val="both"/>
        <w:rPr>
          <w:rFonts w:ascii="Calibri" w:eastAsia="Calibri" w:hAnsi="Calibri" w:cs="Times New Roman"/>
        </w:rPr>
      </w:pPr>
      <w:r w:rsidRPr="00472578">
        <w:rPr>
          <w:rFonts w:ascii="Calibri" w:eastAsia="Calibri" w:hAnsi="Calibri" w:cs="Times New Roman"/>
        </w:rPr>
        <w:t xml:space="preserve">The rakatirataka of </w:t>
      </w:r>
      <w:r w:rsidRPr="00472578">
        <w:rPr>
          <w:rFonts w:ascii="Calibri" w:eastAsia="Calibri" w:hAnsi="Calibri" w:cs="Times New Roman"/>
          <w:i/>
        </w:rPr>
        <w:t>mana whenua</w:t>
      </w:r>
      <w:r w:rsidRPr="00472578">
        <w:rPr>
          <w:rFonts w:ascii="Calibri" w:eastAsia="Calibri" w:hAnsi="Calibri" w:cs="Times New Roman"/>
        </w:rPr>
        <w:t xml:space="preserve"> over </w:t>
      </w:r>
      <w:r w:rsidRPr="00472578">
        <w:rPr>
          <w:rFonts w:ascii="Calibri" w:eastAsia="Calibri" w:hAnsi="Calibri" w:cs="Times New Roman"/>
          <w:i/>
        </w:rPr>
        <w:t>wāhi tūpuna</w:t>
      </w:r>
      <w:r w:rsidRPr="00472578">
        <w:rPr>
          <w:rFonts w:ascii="Calibri" w:eastAsia="Calibri" w:hAnsi="Calibri" w:cs="Times New Roman"/>
        </w:rPr>
        <w:t xml:space="preserve"> is recognised, and </w:t>
      </w:r>
      <w:r w:rsidRPr="00472578">
        <w:rPr>
          <w:rFonts w:ascii="Calibri" w:eastAsia="Calibri" w:hAnsi="Calibri" w:cs="Times New Roman"/>
          <w:i/>
        </w:rPr>
        <w:t>mana whenua</w:t>
      </w:r>
      <w:r w:rsidRPr="00472578">
        <w:rPr>
          <w:rFonts w:ascii="Calibri" w:eastAsia="Calibri" w:hAnsi="Calibri" w:cs="Times New Roman"/>
        </w:rPr>
        <w:t xml:space="preserve"> are able to exercise </w:t>
      </w:r>
      <w:r w:rsidRPr="00472578">
        <w:rPr>
          <w:rFonts w:ascii="Calibri" w:eastAsia="Calibri" w:hAnsi="Calibri" w:cs="Times New Roman"/>
          <w:i/>
          <w:iCs/>
          <w:strike/>
        </w:rPr>
        <w:t>kaitiakitaka</w:t>
      </w:r>
      <w:r w:rsidRPr="00472578">
        <w:rPr>
          <w:rFonts w:ascii="Calibri" w:eastAsia="Calibri" w:hAnsi="Calibri" w:cs="Times New Roman"/>
        </w:rPr>
        <w:t xml:space="preserve"> </w:t>
      </w:r>
      <w:r w:rsidRPr="639E38F9">
        <w:rPr>
          <w:u w:val="single"/>
        </w:rPr>
        <w:t>their role as kaitiaki</w:t>
      </w:r>
      <w:r w:rsidRPr="00472578">
        <w:rPr>
          <w:rStyle w:val="FootnoteReference"/>
          <w:rFonts w:ascii="Calibri" w:eastAsia="Calibri" w:hAnsi="Calibri" w:cs="Times New Roman"/>
        </w:rPr>
        <w:footnoteReference w:id="1277"/>
      </w:r>
      <w:r w:rsidRPr="00472578">
        <w:rPr>
          <w:rFonts w:ascii="Calibri" w:eastAsia="Calibri" w:hAnsi="Calibri" w:cs="Times New Roman"/>
        </w:rPr>
        <w:t xml:space="preserve"> within these areas.</w:t>
      </w:r>
    </w:p>
    <w:p w14:paraId="6D854854" w14:textId="77777777" w:rsidR="00DC6C9B" w:rsidRPr="00472578" w:rsidRDefault="00DC6C9B" w:rsidP="00E92686">
      <w:pPr>
        <w:pStyle w:val="Heading4"/>
        <w:jc w:val="both"/>
      </w:pPr>
      <w:bookmarkStart w:id="309" w:name="_Toc49763561"/>
      <w:r w:rsidRPr="00472578">
        <w:t>Policies</w:t>
      </w:r>
      <w:bookmarkEnd w:id="309"/>
    </w:p>
    <w:p w14:paraId="2D34B6C7" w14:textId="77777777" w:rsidR="00DC6C9B" w:rsidRPr="00472578" w:rsidRDefault="00DC6C9B" w:rsidP="00E92686">
      <w:pPr>
        <w:pStyle w:val="Heading5"/>
        <w:jc w:val="both"/>
      </w:pPr>
      <w:r w:rsidRPr="00472578">
        <w:t>HCV-WT-P1</w:t>
      </w:r>
      <w:bookmarkStart w:id="310" w:name="_Hlk48908308"/>
      <w:r w:rsidRPr="00472578">
        <w:t xml:space="preserve"> – Recognise and identify </w:t>
      </w:r>
      <w:r w:rsidRPr="00472578">
        <w:rPr>
          <w:i/>
        </w:rPr>
        <w:t>wāhi tūpuna</w:t>
      </w:r>
    </w:p>
    <w:bookmarkEnd w:id="310"/>
    <w:p w14:paraId="5A54B84C" w14:textId="22DB6355" w:rsidR="00DC6C9B" w:rsidRPr="00472578" w:rsidRDefault="00DC6C9B" w:rsidP="00E92686">
      <w:pPr>
        <w:jc w:val="both"/>
        <w:rPr>
          <w:rFonts w:ascii="Times New Roman" w:hAnsi="Times New Roman" w:cs="Times New Roman"/>
          <w:sz w:val="24"/>
          <w:szCs w:val="24"/>
          <w:lang w:eastAsia="en-NZ"/>
        </w:rPr>
      </w:pPr>
      <w:r w:rsidRPr="639E38F9">
        <w:rPr>
          <w:u w:val="single"/>
        </w:rPr>
        <w:t>Sustain the enduring</w:t>
      </w:r>
      <w:r w:rsidRPr="639E38F9">
        <w:t xml:space="preserve"> </w:t>
      </w:r>
      <w:r w:rsidRPr="00472578">
        <w:t xml:space="preserve">Kāi Tahu </w:t>
      </w:r>
      <w:r w:rsidRPr="00472578">
        <w:rPr>
          <w:strike/>
        </w:rPr>
        <w:t>relationships</w:t>
      </w:r>
      <w:r w:rsidRPr="00472578">
        <w:t xml:space="preserve"> </w:t>
      </w:r>
      <w:r w:rsidRPr="00472578">
        <w:rPr>
          <w:u w:val="single"/>
        </w:rPr>
        <w:t>relationship</w:t>
      </w:r>
      <w:r w:rsidRPr="00472578">
        <w:t xml:space="preserve"> with </w:t>
      </w:r>
      <w:r w:rsidRPr="00472578">
        <w:rPr>
          <w:i/>
        </w:rPr>
        <w:t>wāhi tūpuna</w:t>
      </w:r>
      <w:r w:rsidRPr="00472578">
        <w:t xml:space="preserve"> </w:t>
      </w:r>
      <w:r w:rsidRPr="00472578">
        <w:rPr>
          <w:strike/>
        </w:rPr>
        <w:t>are sustained</w:t>
      </w:r>
      <w:r w:rsidR="00E402A8" w:rsidRPr="639E38F9">
        <w:rPr>
          <w:rStyle w:val="FootnoteReference"/>
        </w:rPr>
        <w:footnoteReference w:id="1278"/>
      </w:r>
      <w:r w:rsidRPr="00472578">
        <w:t xml:space="preserve">, including by: </w:t>
      </w:r>
    </w:p>
    <w:p w14:paraId="7F2F2ACD" w14:textId="371DB830" w:rsidR="00DC6C9B" w:rsidRPr="00472578" w:rsidRDefault="00DC6C9B" w:rsidP="00E92686">
      <w:pPr>
        <w:ind w:left="567" w:hanging="567"/>
        <w:jc w:val="both"/>
      </w:pPr>
      <w:r w:rsidRPr="00472578">
        <w:t>(1)</w:t>
      </w:r>
      <w:r w:rsidRPr="00472578">
        <w:tab/>
      </w:r>
      <w:r w:rsidRPr="639E38F9">
        <w:rPr>
          <w:u w:val="single"/>
        </w:rPr>
        <w:t xml:space="preserve">enabling Kāi Tahu to identify </w:t>
      </w:r>
      <w:r w:rsidRPr="00472578">
        <w:rPr>
          <w:strike/>
        </w:rPr>
        <w:t>identifying</w:t>
      </w:r>
      <w:r w:rsidRPr="639E38F9">
        <w:rPr>
          <w:rStyle w:val="FootnoteReference"/>
        </w:rPr>
        <w:footnoteReference w:id="1279"/>
      </w:r>
      <w:r w:rsidRPr="00472578">
        <w:t xml:space="preserve"> as </w:t>
      </w:r>
      <w:r w:rsidRPr="00472578">
        <w:rPr>
          <w:i/>
        </w:rPr>
        <w:t>wāhi tūpuna</w:t>
      </w:r>
      <w:r w:rsidRPr="00472578">
        <w:t xml:space="preserve"> any sites and areas of significance to </w:t>
      </w:r>
      <w:r w:rsidRPr="00472578">
        <w:rPr>
          <w:i/>
        </w:rPr>
        <w:t>mana whenua</w:t>
      </w:r>
      <w:r w:rsidRPr="00472578">
        <w:t xml:space="preserve">, along with the cultural values that contribute to each </w:t>
      </w:r>
      <w:r w:rsidRPr="00472578">
        <w:rPr>
          <w:i/>
        </w:rPr>
        <w:t>wāhi tūpuna</w:t>
      </w:r>
      <w:r w:rsidRPr="00472578">
        <w:t xml:space="preserve"> being significant, </w:t>
      </w:r>
    </w:p>
    <w:p w14:paraId="4F89E997" w14:textId="77777777" w:rsidR="00DC6C9B" w:rsidRPr="00472578" w:rsidRDefault="00DC6C9B" w:rsidP="00E92686">
      <w:pPr>
        <w:ind w:left="567" w:hanging="567"/>
        <w:jc w:val="both"/>
      </w:pPr>
      <w:r w:rsidRPr="00472578">
        <w:t>(2)</w:t>
      </w:r>
      <w:r w:rsidRPr="00472578">
        <w:tab/>
        <w:t xml:space="preserve">recognising the rakatirataka of </w:t>
      </w:r>
      <w:r w:rsidRPr="00472578">
        <w:rPr>
          <w:i/>
        </w:rPr>
        <w:t>mana whenua</w:t>
      </w:r>
      <w:r w:rsidRPr="00472578">
        <w:t xml:space="preserve"> over </w:t>
      </w:r>
      <w:r w:rsidRPr="00472578">
        <w:rPr>
          <w:i/>
        </w:rPr>
        <w:t>wāhi tūpuna</w:t>
      </w:r>
      <w:r w:rsidRPr="00472578">
        <w:t xml:space="preserve"> and providing for their ability to exercise </w:t>
      </w:r>
      <w:r w:rsidRPr="639E38F9">
        <w:rPr>
          <w:i/>
          <w:strike/>
        </w:rPr>
        <w:t>kaitiakitaka</w:t>
      </w:r>
      <w:r w:rsidRPr="639E38F9">
        <w:t> </w:t>
      </w:r>
      <w:r w:rsidRPr="639E38F9">
        <w:rPr>
          <w:u w:val="single"/>
        </w:rPr>
        <w:t>their role as kaitiaki</w:t>
      </w:r>
      <w:r w:rsidRPr="639E38F9">
        <w:rPr>
          <w:rStyle w:val="FootnoteReference"/>
        </w:rPr>
        <w:footnoteReference w:id="1280"/>
      </w:r>
      <w:r w:rsidRPr="00472578">
        <w:rPr>
          <w:rFonts w:ascii="Times New Roman" w:hAnsi="Times New Roman" w:cs="Times New Roman"/>
          <w:sz w:val="24"/>
          <w:szCs w:val="24"/>
          <w:lang w:eastAsia="en-NZ"/>
        </w:rPr>
        <w:t xml:space="preserve"> </w:t>
      </w:r>
      <w:r w:rsidRPr="00472578">
        <w:t>within these areas,</w:t>
      </w:r>
    </w:p>
    <w:p w14:paraId="78D32E14" w14:textId="77777777" w:rsidR="00DC6C9B" w:rsidRPr="00472578" w:rsidRDefault="00DC6C9B" w:rsidP="00E92686">
      <w:pPr>
        <w:pStyle w:val="JustifiedSpacing"/>
        <w:spacing w:after="120"/>
        <w:ind w:left="567" w:hanging="567"/>
      </w:pPr>
      <w:r w:rsidRPr="00472578">
        <w:t>(3)</w:t>
      </w:r>
      <w:r w:rsidRPr="00472578">
        <w:tab/>
        <w:t xml:space="preserve">recognising and providing for connections and associations between different </w:t>
      </w:r>
      <w:r w:rsidRPr="00472578">
        <w:rPr>
          <w:i/>
        </w:rPr>
        <w:t>wāhi tūpuna</w:t>
      </w:r>
      <w:r w:rsidRPr="00472578">
        <w:t xml:space="preserve">, and </w:t>
      </w:r>
    </w:p>
    <w:p w14:paraId="589BA881" w14:textId="77777777" w:rsidR="00DC6C9B" w:rsidRPr="00472578" w:rsidRDefault="00DC6C9B" w:rsidP="00E92686">
      <w:pPr>
        <w:pStyle w:val="JustifiedSpacing"/>
        <w:spacing w:after="120"/>
        <w:ind w:left="567" w:hanging="567"/>
      </w:pPr>
      <w:r w:rsidRPr="00472578">
        <w:t>(4)</w:t>
      </w:r>
      <w:r w:rsidRPr="00472578">
        <w:tab/>
        <w:t>recognising and using traditional place names.</w:t>
      </w:r>
    </w:p>
    <w:p w14:paraId="669C44C9" w14:textId="77777777" w:rsidR="00DC6C9B" w:rsidRPr="00472578" w:rsidRDefault="00DC6C9B" w:rsidP="00E92686">
      <w:pPr>
        <w:pStyle w:val="Heading5"/>
        <w:jc w:val="both"/>
      </w:pPr>
      <w:bookmarkStart w:id="311" w:name="_Hlk48908320"/>
      <w:r w:rsidRPr="00472578">
        <w:t xml:space="preserve">HCV-WT-P2 – Management of </w:t>
      </w:r>
      <w:r w:rsidRPr="00472578">
        <w:rPr>
          <w:i/>
          <w:iCs/>
        </w:rPr>
        <w:t xml:space="preserve">wāhi </w:t>
      </w:r>
      <w:bookmarkEnd w:id="311"/>
      <w:r w:rsidRPr="00472578">
        <w:rPr>
          <w:i/>
          <w:iCs/>
        </w:rPr>
        <w:t>tūpuna</w:t>
      </w:r>
    </w:p>
    <w:p w14:paraId="1407D0C1" w14:textId="77777777" w:rsidR="00DC6C9B" w:rsidRPr="00472578" w:rsidRDefault="00DC6C9B" w:rsidP="00E92686">
      <w:pPr>
        <w:jc w:val="both"/>
        <w:rPr>
          <w:rFonts w:ascii="Calibri" w:eastAsia="Calibri" w:hAnsi="Calibri" w:cs="Times New Roman"/>
        </w:rPr>
      </w:pPr>
      <w:r w:rsidRPr="00472578">
        <w:rPr>
          <w:rFonts w:ascii="Calibri" w:eastAsia="Calibri" w:hAnsi="Calibri" w:cs="Times New Roman"/>
          <w:i/>
        </w:rPr>
        <w:t>Wāhi tūpuna</w:t>
      </w:r>
      <w:r w:rsidRPr="00472578">
        <w:rPr>
          <w:rFonts w:ascii="Calibri" w:eastAsia="Calibri" w:hAnsi="Calibri" w:cs="Times New Roman"/>
        </w:rPr>
        <w:t xml:space="preserve"> are protected by:</w:t>
      </w:r>
    </w:p>
    <w:p w14:paraId="0AE027A6" w14:textId="77777777" w:rsidR="00DC6C9B" w:rsidRPr="00472578" w:rsidRDefault="00DC6C9B" w:rsidP="00E92686">
      <w:pPr>
        <w:pStyle w:val="JustifiedSpacing"/>
        <w:ind w:left="567" w:hanging="567"/>
      </w:pPr>
      <w:r w:rsidRPr="00472578">
        <w:t>(1)</w:t>
      </w:r>
      <w:r w:rsidRPr="00472578">
        <w:tab/>
        <w:t xml:space="preserve">avoiding significant adverse </w:t>
      </w:r>
      <w:r w:rsidRPr="00472578">
        <w:rPr>
          <w:i/>
          <w:iCs/>
        </w:rPr>
        <w:t>effects</w:t>
      </w:r>
      <w:r w:rsidRPr="00472578">
        <w:t xml:space="preserve"> on the cultural values </w:t>
      </w:r>
      <w:r w:rsidRPr="639E38F9">
        <w:rPr>
          <w:rFonts w:cstheme="minorBidi"/>
          <w:strike/>
        </w:rPr>
        <w:t xml:space="preserve">associated with </w:t>
      </w:r>
      <w:r w:rsidRPr="639E38F9">
        <w:rPr>
          <w:rFonts w:cstheme="minorBidi"/>
          <w:u w:val="single"/>
        </w:rPr>
        <w:t>of</w:t>
      </w:r>
      <w:r w:rsidRPr="639E38F9">
        <w:rPr>
          <w:rStyle w:val="FootnoteReference"/>
          <w:rFonts w:cstheme="minorBidi"/>
        </w:rPr>
        <w:footnoteReference w:id="1281"/>
      </w:r>
      <w:r w:rsidRPr="00472578">
        <w:t xml:space="preserve"> identified </w:t>
      </w:r>
      <w:r w:rsidRPr="00472578">
        <w:rPr>
          <w:i/>
        </w:rPr>
        <w:t>wāhi tūpuna</w:t>
      </w:r>
      <w:r w:rsidRPr="00472578">
        <w:t>,</w:t>
      </w:r>
    </w:p>
    <w:p w14:paraId="545DD33C" w14:textId="3A09FDD0" w:rsidR="00DC6C9B" w:rsidRPr="00472578" w:rsidRDefault="00DC6C9B" w:rsidP="00E92686">
      <w:pPr>
        <w:pStyle w:val="JustifiedSpacing"/>
        <w:ind w:left="567" w:hanging="567"/>
      </w:pPr>
      <w:r w:rsidRPr="00472578">
        <w:rPr>
          <w:u w:val="single"/>
        </w:rPr>
        <w:t>(1</w:t>
      </w:r>
      <w:r w:rsidR="001F456C" w:rsidRPr="00472578">
        <w:rPr>
          <w:u w:val="single"/>
        </w:rPr>
        <w:t>A</w:t>
      </w:r>
      <w:r w:rsidRPr="00472578">
        <w:rPr>
          <w:u w:val="single"/>
        </w:rPr>
        <w:t>)</w:t>
      </w:r>
      <w:r w:rsidRPr="00472578">
        <w:rPr>
          <w:u w:val="single"/>
        </w:rPr>
        <w:tab/>
      </w:r>
      <w:r w:rsidRPr="639E38F9">
        <w:rPr>
          <w:rFonts w:cstheme="minorBidi"/>
          <w:u w:val="single"/>
        </w:rPr>
        <w:t xml:space="preserve">avoiding, as the first priority, other adverse effects on the cultural values </w:t>
      </w:r>
      <w:r w:rsidR="00536D26" w:rsidRPr="639E38F9">
        <w:rPr>
          <w:rFonts w:cstheme="minorBidi"/>
          <w:u w:val="single"/>
        </w:rPr>
        <w:t>of</w:t>
      </w:r>
      <w:r w:rsidRPr="639E38F9">
        <w:rPr>
          <w:rFonts w:cstheme="minorBidi"/>
          <w:u w:val="single"/>
        </w:rPr>
        <w:t xml:space="preserve"> identified wāhi tupuna,</w:t>
      </w:r>
      <w:r w:rsidRPr="639E38F9">
        <w:rPr>
          <w:rStyle w:val="FootnoteReference"/>
          <w:rFonts w:cstheme="minorBidi"/>
        </w:rPr>
        <w:footnoteReference w:id="1282"/>
      </w:r>
    </w:p>
    <w:p w14:paraId="2E7D8D06" w14:textId="77777777" w:rsidR="00DC6C9B" w:rsidRPr="00472578" w:rsidRDefault="00DC6C9B" w:rsidP="00E92686">
      <w:pPr>
        <w:pStyle w:val="JustifiedSpacing"/>
        <w:ind w:left="567" w:hanging="567"/>
      </w:pPr>
      <w:r w:rsidRPr="00472578">
        <w:lastRenderedPageBreak/>
        <w:t>(2)</w:t>
      </w:r>
      <w:r w:rsidRPr="00472578">
        <w:tab/>
        <w:t xml:space="preserve">where </w:t>
      </w:r>
      <w:r w:rsidRPr="00472578">
        <w:rPr>
          <w:u w:val="single"/>
        </w:rPr>
        <w:t>other</w:t>
      </w:r>
      <w:r w:rsidRPr="639E38F9">
        <w:rPr>
          <w:rStyle w:val="FootnoteReference"/>
          <w:rFonts w:cstheme="minorBidi"/>
        </w:rPr>
        <w:footnoteReference w:id="1283"/>
      </w:r>
      <w:r w:rsidRPr="00472578">
        <w:t xml:space="preserve"> adverse </w:t>
      </w:r>
      <w:r w:rsidRPr="00472578">
        <w:rPr>
          <w:i/>
          <w:iCs/>
        </w:rPr>
        <w:t>effects</w:t>
      </w:r>
      <w:r w:rsidRPr="00472578">
        <w:t xml:space="preserve"> demonstrably cannot be completely avoided, </w:t>
      </w:r>
      <w:r w:rsidRPr="00472578">
        <w:rPr>
          <w:u w:val="single"/>
        </w:rPr>
        <w:t>then either</w:t>
      </w:r>
      <w:r w:rsidRPr="639E38F9">
        <w:rPr>
          <w:rStyle w:val="FootnoteReference"/>
          <w:rFonts w:cstheme="minorBidi"/>
        </w:rPr>
        <w:footnoteReference w:id="1284"/>
      </w:r>
      <w:r w:rsidRPr="00472578">
        <w:t xml:space="preserve"> remedying or mitigating adverse </w:t>
      </w:r>
      <w:r w:rsidRPr="00472578">
        <w:rPr>
          <w:i/>
          <w:iCs/>
        </w:rPr>
        <w:t>effects</w:t>
      </w:r>
      <w:r w:rsidRPr="00472578">
        <w:t xml:space="preserve"> in a manner that maintains the values of the </w:t>
      </w:r>
      <w:r w:rsidRPr="00472578">
        <w:rPr>
          <w:i/>
        </w:rPr>
        <w:t>wāhi tūpuna</w:t>
      </w:r>
      <w:r w:rsidRPr="00472578">
        <w:t>,</w:t>
      </w:r>
    </w:p>
    <w:p w14:paraId="2197EC0F" w14:textId="77777777" w:rsidR="00DC6C9B" w:rsidRPr="00472578" w:rsidRDefault="00DC6C9B" w:rsidP="00E92686">
      <w:pPr>
        <w:pStyle w:val="JustifiedSpacing"/>
        <w:ind w:left="567" w:hanging="567"/>
      </w:pPr>
      <w:r w:rsidRPr="00472578">
        <w:t>(3)</w:t>
      </w:r>
      <w:r w:rsidRPr="00472578">
        <w:tab/>
        <w:t xml:space="preserve">managing identified </w:t>
      </w:r>
      <w:r w:rsidRPr="00472578">
        <w:rPr>
          <w:i/>
        </w:rPr>
        <w:t>wāhi tūpuna</w:t>
      </w:r>
      <w:r w:rsidRPr="00472578">
        <w:t xml:space="preserve"> in accordance with tikaka Māori, </w:t>
      </w:r>
      <w:r w:rsidRPr="00472578">
        <w:rPr>
          <w:u w:val="single"/>
        </w:rPr>
        <w:t>and</w:t>
      </w:r>
      <w:r w:rsidRPr="639E38F9">
        <w:rPr>
          <w:rStyle w:val="FootnoteReference"/>
          <w:rFonts w:eastAsia="Calibri" w:cstheme="minorBidi"/>
        </w:rPr>
        <w:footnoteReference w:id="1285"/>
      </w:r>
    </w:p>
    <w:p w14:paraId="5C47BCDC" w14:textId="77777777" w:rsidR="00DC6C9B" w:rsidRPr="00472578" w:rsidRDefault="00DC6C9B" w:rsidP="00E92686">
      <w:pPr>
        <w:pStyle w:val="JustifiedSpacing"/>
        <w:ind w:left="567" w:hanging="567"/>
        <w:rPr>
          <w:strike/>
        </w:rPr>
      </w:pPr>
      <w:r w:rsidRPr="00472578">
        <w:rPr>
          <w:strike/>
        </w:rPr>
        <w:t>(4)</w:t>
      </w:r>
      <w:r w:rsidRPr="00472578">
        <w:rPr>
          <w:strike/>
        </w:rPr>
        <w:tab/>
      </w:r>
      <w:bookmarkStart w:id="312" w:name="_Hlk96090739"/>
      <w:r w:rsidRPr="00472578">
        <w:rPr>
          <w:strike/>
        </w:rPr>
        <w:t xml:space="preserve">avoiding any activities that may be considered inappropriate in </w:t>
      </w:r>
      <w:r w:rsidRPr="00472578">
        <w:rPr>
          <w:i/>
          <w:strike/>
        </w:rPr>
        <w:t>wāhi tūpuna</w:t>
      </w:r>
      <w:r w:rsidRPr="00472578">
        <w:rPr>
          <w:strike/>
        </w:rPr>
        <w:t xml:space="preserve"> as identified by Kāi Tahu, and</w:t>
      </w:r>
      <w:bookmarkEnd w:id="312"/>
      <w:r w:rsidRPr="639E38F9">
        <w:rPr>
          <w:rStyle w:val="FootnoteReference"/>
          <w:rFonts w:eastAsia="Calibri" w:cstheme="minorBidi"/>
        </w:rPr>
        <w:footnoteReference w:id="1286"/>
      </w:r>
    </w:p>
    <w:p w14:paraId="472533B7" w14:textId="77777777" w:rsidR="00DC6C9B" w:rsidRPr="00472578" w:rsidRDefault="00DC6C9B" w:rsidP="00E92686">
      <w:pPr>
        <w:pStyle w:val="JustifiedSpacing"/>
        <w:ind w:left="567" w:hanging="567"/>
      </w:pPr>
      <w:r w:rsidRPr="00472578">
        <w:t>(5)</w:t>
      </w:r>
      <w:r w:rsidRPr="00472578">
        <w:tab/>
        <w:t xml:space="preserve">encouraging the enhancement of access to </w:t>
      </w:r>
      <w:r w:rsidRPr="00472578">
        <w:rPr>
          <w:i/>
        </w:rPr>
        <w:t>wāhi tūpuna</w:t>
      </w:r>
      <w:r w:rsidRPr="00472578">
        <w:rPr>
          <w:i/>
          <w:iCs/>
        </w:rPr>
        <w:t xml:space="preserve"> </w:t>
      </w:r>
      <w:r w:rsidRPr="00472578">
        <w:t>to the extent compatible with</w:t>
      </w:r>
      <w:r w:rsidRPr="00472578">
        <w:rPr>
          <w:i/>
          <w:iCs/>
        </w:rPr>
        <w:t xml:space="preserve"> </w:t>
      </w:r>
      <w:r w:rsidRPr="00472578">
        <w:t xml:space="preserve">the particular </w:t>
      </w:r>
      <w:r w:rsidRPr="00472578">
        <w:rPr>
          <w:i/>
          <w:iCs/>
        </w:rPr>
        <w:t>wāhi tūpuna</w:t>
      </w:r>
      <w:r w:rsidRPr="00472578">
        <w:t>.</w:t>
      </w:r>
    </w:p>
    <w:p w14:paraId="793DCD9E" w14:textId="77777777" w:rsidR="00DC6C9B" w:rsidRPr="00472578" w:rsidRDefault="00DC6C9B" w:rsidP="00E92686">
      <w:pPr>
        <w:pStyle w:val="Heading4"/>
        <w:jc w:val="both"/>
      </w:pPr>
      <w:bookmarkStart w:id="313" w:name="_Toc49763563"/>
      <w:r w:rsidRPr="00472578">
        <w:t>Method</w:t>
      </w:r>
      <w:bookmarkEnd w:id="313"/>
      <w:r w:rsidRPr="00472578">
        <w:t>s</w:t>
      </w:r>
    </w:p>
    <w:p w14:paraId="530613F1" w14:textId="450CC934" w:rsidR="00DC6C9B" w:rsidRPr="00472578" w:rsidRDefault="00DC6C9B" w:rsidP="00E92686">
      <w:pPr>
        <w:pStyle w:val="Heading5"/>
        <w:jc w:val="both"/>
      </w:pPr>
      <w:bookmarkStart w:id="314" w:name="_Hlk48908330"/>
      <w:r w:rsidRPr="00472578">
        <w:t xml:space="preserve">HCV-WT-M3 – </w:t>
      </w:r>
      <w:bookmarkStart w:id="315" w:name="_Hlk48908361"/>
      <w:r w:rsidRPr="00472578">
        <w:rPr>
          <w:strike/>
        </w:rPr>
        <w:t>Collaboration</w:t>
      </w:r>
      <w:r w:rsidRPr="00472578">
        <w:t xml:space="preserve"> </w:t>
      </w:r>
      <w:r w:rsidRPr="00472578">
        <w:rPr>
          <w:u w:val="single"/>
        </w:rPr>
        <w:t>Treaty partnership</w:t>
      </w:r>
      <w:r w:rsidRPr="639E38F9">
        <w:rPr>
          <w:rStyle w:val="FootnoteReference"/>
          <w:rFonts w:cstheme="minorBidi"/>
          <w:b w:val="0"/>
          <w:color w:val="auto"/>
        </w:rPr>
        <w:footnoteReference w:id="1287"/>
      </w:r>
      <w:r w:rsidRPr="00472578">
        <w:t xml:space="preserve"> with Kāi Tahu</w:t>
      </w:r>
    </w:p>
    <w:bookmarkEnd w:id="315"/>
    <w:p w14:paraId="2B37F3F9" w14:textId="77777777" w:rsidR="00DC6C9B" w:rsidRPr="00472578" w:rsidRDefault="00DC6C9B" w:rsidP="00E92686">
      <w:pPr>
        <w:jc w:val="both"/>
        <w:rPr>
          <w:rFonts w:ascii="Calibri" w:eastAsia="Calibri" w:hAnsi="Calibri" w:cs="Times New Roman"/>
        </w:rPr>
      </w:pPr>
      <w:r w:rsidRPr="00472578">
        <w:rPr>
          <w:rFonts w:ascii="Calibri" w:eastAsia="Calibri" w:hAnsi="Calibri" w:cs="Times New Roman"/>
          <w:i/>
          <w:iCs/>
        </w:rPr>
        <w:t>Local authorities</w:t>
      </w:r>
      <w:r w:rsidRPr="00472578">
        <w:rPr>
          <w:rFonts w:ascii="Calibri" w:eastAsia="Calibri" w:hAnsi="Calibri" w:cs="Times New Roman"/>
        </w:rPr>
        <w:t xml:space="preserve"> </w:t>
      </w:r>
      <w:r w:rsidRPr="00472578">
        <w:t>must</w:t>
      </w:r>
      <w:r w:rsidRPr="00472578">
        <w:rPr>
          <w:rFonts w:ascii="Calibri" w:eastAsia="Calibri" w:hAnsi="Calibri" w:cs="Times New Roman"/>
        </w:rPr>
        <w:t xml:space="preserve"> </w:t>
      </w:r>
      <w:r w:rsidRPr="00472578">
        <w:rPr>
          <w:strike/>
        </w:rPr>
        <w:t xml:space="preserve">include </w:t>
      </w:r>
      <w:r w:rsidRPr="00472578">
        <w:rPr>
          <w:rFonts w:ascii="Calibri" w:eastAsia="Calibri" w:hAnsi="Calibri" w:cs="Times New Roman"/>
          <w:strike/>
        </w:rPr>
        <w:t>Kāi Tahu in a</w:t>
      </w:r>
      <w:r w:rsidRPr="00472578">
        <w:rPr>
          <w:rFonts w:eastAsia="Calibri" w:cs="Times New Roman"/>
          <w:strike/>
        </w:rPr>
        <w:t>ll</w:t>
      </w:r>
      <w:r w:rsidRPr="00472578">
        <w:rPr>
          <w:rFonts w:ascii="Calibri" w:eastAsia="Calibri" w:hAnsi="Calibri" w:cs="Times New Roman"/>
          <w:strike/>
        </w:rPr>
        <w:t xml:space="preserve"> decision making </w:t>
      </w:r>
      <w:r w:rsidRPr="00472578">
        <w:rPr>
          <w:rFonts w:eastAsia="Calibri" w:cs="Times New Roman"/>
          <w:strike/>
        </w:rPr>
        <w:t xml:space="preserve">concerning protection of the </w:t>
      </w:r>
      <w:r w:rsidRPr="00472578">
        <w:rPr>
          <w:strike/>
        </w:rPr>
        <w:t xml:space="preserve">values of </w:t>
      </w:r>
      <w:r w:rsidRPr="00472578">
        <w:rPr>
          <w:i/>
          <w:strike/>
        </w:rPr>
        <w:t>wāhi tūpuna</w:t>
      </w:r>
      <w:r w:rsidRPr="00472578">
        <w:rPr>
          <w:strike/>
        </w:rPr>
        <w:t xml:space="preserve"> sites and areas</w:t>
      </w:r>
      <w:r w:rsidRPr="00472578">
        <w:rPr>
          <w:rFonts w:ascii="Calibri" w:eastAsia="Calibri" w:hAnsi="Calibri" w:cs="Times New Roman"/>
          <w:strike/>
        </w:rPr>
        <w:t xml:space="preserve"> and collaborate with </w:t>
      </w:r>
      <w:bookmarkStart w:id="316" w:name="_Hlk72326209"/>
      <w:r w:rsidRPr="00472578">
        <w:rPr>
          <w:rFonts w:ascii="Calibri" w:eastAsia="Calibri" w:hAnsi="Calibri" w:cs="Times New Roman"/>
          <w:strike/>
        </w:rPr>
        <w:t xml:space="preserve">Kāi Tahu </w:t>
      </w:r>
      <w:bookmarkEnd w:id="316"/>
      <w:r w:rsidRPr="00472578">
        <w:rPr>
          <w:rFonts w:ascii="Calibri" w:eastAsia="Calibri" w:hAnsi="Calibri" w:cs="Times New Roman"/>
          <w:strike/>
        </w:rPr>
        <w:t>to</w:t>
      </w:r>
      <w:r w:rsidRPr="00472578">
        <w:rPr>
          <w:rFonts w:ascii="Calibri" w:eastAsia="Calibri" w:hAnsi="Calibri" w:cs="Times New Roman"/>
        </w:rPr>
        <w:t>:</w:t>
      </w:r>
    </w:p>
    <w:p w14:paraId="1C974EC2" w14:textId="77777777" w:rsidR="00DC6C9B" w:rsidRPr="00472578" w:rsidRDefault="00DC6C9B" w:rsidP="00E92686">
      <w:pPr>
        <w:pStyle w:val="JustifiedSpacing"/>
        <w:ind w:left="567" w:hanging="567"/>
      </w:pPr>
      <w:r w:rsidRPr="00472578">
        <w:t>(1)</w:t>
      </w:r>
      <w:r w:rsidRPr="00472578">
        <w:tab/>
      </w:r>
      <w:r w:rsidRPr="00472578">
        <w:rPr>
          <w:u w:val="single"/>
        </w:rPr>
        <w:t xml:space="preserve">include </w:t>
      </w:r>
      <w:r w:rsidRPr="00472578">
        <w:rPr>
          <w:rFonts w:eastAsia="Calibri" w:cs="Times New Roman"/>
          <w:u w:val="single"/>
        </w:rPr>
        <w:t>Kāi Tahu in all decision-making concerning</w:t>
      </w:r>
      <w:r w:rsidRPr="00472578">
        <w:rPr>
          <w:rFonts w:cstheme="minorHAnsi"/>
          <w:iCs/>
          <w:u w:val="single"/>
        </w:rPr>
        <w:t xml:space="preserve"> identification and protection</w:t>
      </w:r>
      <w:r w:rsidRPr="00472578">
        <w:rPr>
          <w:u w:val="single"/>
        </w:rPr>
        <w:t xml:space="preserve"> of </w:t>
      </w:r>
      <w:r w:rsidRPr="00472578">
        <w:rPr>
          <w:i/>
          <w:u w:val="single"/>
        </w:rPr>
        <w:t>wāhi tūpuna</w:t>
      </w:r>
      <w:r w:rsidRPr="00472578">
        <w:rPr>
          <w:u w:val="single"/>
        </w:rPr>
        <w:t xml:space="preserve"> sites and areas</w:t>
      </w:r>
      <w:r w:rsidRPr="00472578">
        <w:rPr>
          <w:rFonts w:eastAsia="Calibri" w:cs="Times New Roman"/>
          <w:u w:val="single"/>
        </w:rPr>
        <w:t xml:space="preserve"> and the values that contribute to their significance, and</w:t>
      </w:r>
      <w:r w:rsidRPr="00472578">
        <w:rPr>
          <w:rFonts w:eastAsia="Calibri" w:cs="Times New Roman"/>
        </w:rPr>
        <w:t xml:space="preserve"> </w:t>
      </w:r>
      <w:r w:rsidRPr="00472578">
        <w:rPr>
          <w:strike/>
        </w:rPr>
        <w:t>identify and protect places, areas or landscapes of cultural, spiritual or traditional significance to them,</w:t>
      </w:r>
    </w:p>
    <w:p w14:paraId="73B51DE6" w14:textId="77777777" w:rsidR="00DC6C9B" w:rsidRPr="00472578" w:rsidRDefault="00DC6C9B" w:rsidP="00E92686">
      <w:pPr>
        <w:pStyle w:val="JustifiedSpacing"/>
        <w:ind w:left="567" w:hanging="567"/>
        <w:rPr>
          <w:strike/>
        </w:rPr>
      </w:pPr>
      <w:r w:rsidRPr="00472578">
        <w:rPr>
          <w:strike/>
        </w:rPr>
        <w:t>(2)</w:t>
      </w:r>
      <w:r w:rsidRPr="00472578">
        <w:rPr>
          <w:strike/>
        </w:rPr>
        <w:tab/>
        <w:t>identify and protect the values that contribute to their significance, and</w:t>
      </w:r>
      <w:r w:rsidRPr="639E38F9">
        <w:rPr>
          <w:rStyle w:val="FootnoteReference"/>
          <w:rFonts w:cstheme="minorBidi"/>
        </w:rPr>
        <w:footnoteReference w:id="1288"/>
      </w:r>
      <w:r w:rsidRPr="00472578">
        <w:rPr>
          <w:strike/>
        </w:rPr>
        <w:t xml:space="preserve"> </w:t>
      </w:r>
    </w:p>
    <w:p w14:paraId="0648EDF4" w14:textId="77777777" w:rsidR="00DC6C9B" w:rsidRPr="00472578" w:rsidRDefault="00DC6C9B" w:rsidP="00E92686">
      <w:pPr>
        <w:pStyle w:val="JustifiedSpacing"/>
        <w:ind w:left="567" w:hanging="567"/>
      </w:pPr>
      <w:r w:rsidRPr="00472578">
        <w:t>(3)</w:t>
      </w:r>
      <w:r w:rsidRPr="00472578">
        <w:tab/>
      </w:r>
      <w:r w:rsidRPr="00472578">
        <w:rPr>
          <w:rFonts w:eastAsia="Calibri" w:cs="Times New Roman"/>
          <w:u w:val="single"/>
        </w:rPr>
        <w:t>collaborate with Kāi Tahu to</w:t>
      </w:r>
      <w:r w:rsidRPr="639E38F9">
        <w:rPr>
          <w:rStyle w:val="FootnoteReference"/>
          <w:rFonts w:cstheme="minorBidi"/>
        </w:rPr>
        <w:footnoteReference w:id="1289"/>
      </w:r>
      <w:r w:rsidRPr="00472578">
        <w:t xml:space="preserve"> share information relevant to Kāi Tahu interests.</w:t>
      </w:r>
    </w:p>
    <w:p w14:paraId="36DD649C" w14:textId="77777777" w:rsidR="00DC6C9B" w:rsidRPr="00472578" w:rsidRDefault="00DC6C9B" w:rsidP="00E92686">
      <w:pPr>
        <w:pStyle w:val="Heading5"/>
        <w:jc w:val="both"/>
      </w:pPr>
      <w:r w:rsidRPr="00472578">
        <w:t>HCV-WT-M1 – Identification</w:t>
      </w:r>
    </w:p>
    <w:p w14:paraId="66698CA3" w14:textId="77777777" w:rsidR="00DC6C9B" w:rsidRPr="00472578" w:rsidRDefault="00DC6C9B" w:rsidP="00E92686">
      <w:pPr>
        <w:jc w:val="both"/>
        <w:rPr>
          <w:rFonts w:ascii="Calibri" w:eastAsia="Calibri" w:hAnsi="Calibri" w:cs="Times New Roman"/>
        </w:rPr>
      </w:pPr>
      <w:r w:rsidRPr="00472578">
        <w:rPr>
          <w:rFonts w:ascii="Calibri" w:eastAsia="Calibri" w:hAnsi="Calibri" w:cs="Times New Roman"/>
          <w:i/>
          <w:iCs/>
        </w:rPr>
        <w:t>Local authorities</w:t>
      </w:r>
      <w:r w:rsidRPr="00472578">
        <w:rPr>
          <w:rFonts w:ascii="Calibri" w:eastAsia="Calibri" w:hAnsi="Calibri" w:cs="Times New Roman"/>
        </w:rPr>
        <w:t xml:space="preserve"> </w:t>
      </w:r>
      <w:r w:rsidRPr="00472578">
        <w:t>must</w:t>
      </w:r>
      <w:r w:rsidRPr="00472578">
        <w:rPr>
          <w:rFonts w:ascii="Calibri" w:eastAsia="Calibri" w:hAnsi="Calibri" w:cs="Times New Roman"/>
        </w:rPr>
        <w:t>:</w:t>
      </w:r>
    </w:p>
    <w:p w14:paraId="7A452C7E" w14:textId="77777777" w:rsidR="00DC6C9B" w:rsidRPr="00472578" w:rsidRDefault="00DC6C9B" w:rsidP="00E92686">
      <w:pPr>
        <w:pStyle w:val="JustifiedSpacing"/>
        <w:spacing w:after="120"/>
        <w:ind w:left="567" w:hanging="567"/>
      </w:pPr>
      <w:r w:rsidRPr="00472578">
        <w:t>(1)</w:t>
      </w:r>
      <w:r w:rsidRPr="00472578">
        <w:tab/>
        <w:t xml:space="preserve">enable Kāi Tahu to identify </w:t>
      </w:r>
      <w:r w:rsidRPr="00472578">
        <w:rPr>
          <w:i/>
        </w:rPr>
        <w:t>wāhi tūpuna</w:t>
      </w:r>
      <w:r w:rsidRPr="00472578">
        <w:t xml:space="preserve"> sites, areas and values, </w:t>
      </w:r>
      <w:r w:rsidRPr="00472578">
        <w:rPr>
          <w:rFonts w:cstheme="minorHAnsi"/>
          <w:iCs/>
          <w:u w:val="single"/>
        </w:rPr>
        <w:t>using the guide set out in </w:t>
      </w:r>
      <w:hyperlink r:id="rId52" w:anchor="Rules/0/223/1/21390/0" w:history="1">
        <w:r w:rsidRPr="00472578">
          <w:rPr>
            <w:rStyle w:val="Hyperlink"/>
            <w:rFonts w:cstheme="minorHAnsi"/>
            <w:iCs/>
            <w:color w:val="auto"/>
          </w:rPr>
          <w:t>APP7</w:t>
        </w:r>
      </w:hyperlink>
      <w:r w:rsidRPr="00472578">
        <w:rPr>
          <w:rStyle w:val="Hyperlink"/>
          <w:rFonts w:cstheme="minorHAnsi"/>
          <w:iCs/>
        </w:rPr>
        <w:t>,</w:t>
      </w:r>
    </w:p>
    <w:p w14:paraId="4AC8D176" w14:textId="77777777" w:rsidR="00DC6C9B" w:rsidRPr="00472578" w:rsidRDefault="00DC6C9B" w:rsidP="00E92686">
      <w:pPr>
        <w:pStyle w:val="JustifiedSpacing"/>
        <w:spacing w:after="120"/>
        <w:ind w:left="567" w:hanging="567"/>
        <w:rPr>
          <w:strike/>
        </w:rPr>
      </w:pPr>
      <w:r w:rsidRPr="00472578">
        <w:rPr>
          <w:strike/>
        </w:rPr>
        <w:t>(2)</w:t>
      </w:r>
      <w:r w:rsidRPr="00472578">
        <w:rPr>
          <w:strike/>
        </w:rPr>
        <w:tab/>
        <w:t xml:space="preserve">identify </w:t>
      </w:r>
      <w:r w:rsidRPr="00472578">
        <w:rPr>
          <w:i/>
          <w:strike/>
        </w:rPr>
        <w:t>wāhi tūpuna</w:t>
      </w:r>
      <w:r w:rsidRPr="00472578">
        <w:rPr>
          <w:strike/>
        </w:rPr>
        <w:t xml:space="preserve"> using the guide set out in APP7,</w:t>
      </w:r>
      <w:r w:rsidRPr="639E38F9">
        <w:rPr>
          <w:rFonts w:cstheme="minorBidi"/>
        </w:rPr>
        <w:t xml:space="preserve"> </w:t>
      </w:r>
      <w:r w:rsidRPr="639E38F9">
        <w:rPr>
          <w:rStyle w:val="FootnoteReference"/>
          <w:rFonts w:cstheme="minorBidi"/>
        </w:rPr>
        <w:footnoteReference w:id="1290"/>
      </w:r>
    </w:p>
    <w:p w14:paraId="15188718" w14:textId="77777777" w:rsidR="00DC6C9B" w:rsidRPr="00472578" w:rsidRDefault="00DC6C9B" w:rsidP="00E92686">
      <w:pPr>
        <w:pStyle w:val="JustifiedSpacing"/>
        <w:spacing w:after="120"/>
        <w:ind w:left="567" w:hanging="567"/>
      </w:pPr>
      <w:r w:rsidRPr="00472578">
        <w:t>(3)</w:t>
      </w:r>
      <w:r w:rsidRPr="00472578">
        <w:tab/>
        <w:t xml:space="preserve">recognise that </w:t>
      </w:r>
      <w:r w:rsidRPr="00472578">
        <w:rPr>
          <w:i/>
        </w:rPr>
        <w:t>wāhi tūpuna</w:t>
      </w:r>
      <w:r w:rsidRPr="00472578">
        <w:t xml:space="preserve"> span jurisdictional boundaries and work together to ensure the identification process under (1) enables </w:t>
      </w:r>
      <w:r w:rsidRPr="00472578">
        <w:rPr>
          <w:i/>
          <w:iCs/>
        </w:rPr>
        <w:t>wāhi tūpuna</w:t>
      </w:r>
      <w:r w:rsidRPr="00472578">
        <w:t xml:space="preserve"> sites, areas and values to be treated uniformly across district boundaries, and</w:t>
      </w:r>
    </w:p>
    <w:p w14:paraId="6903546C" w14:textId="4009A9ED" w:rsidR="00DC6C9B" w:rsidRPr="00472578" w:rsidRDefault="00DC6C9B" w:rsidP="00E92686">
      <w:pPr>
        <w:pStyle w:val="Paragraphs"/>
        <w:numPr>
          <w:ilvl w:val="0"/>
          <w:numId w:val="0"/>
        </w:numPr>
        <w:spacing w:after="120" w:line="259" w:lineRule="auto"/>
        <w:ind w:left="567" w:hanging="567"/>
        <w:jc w:val="both"/>
      </w:pPr>
      <w:r w:rsidRPr="00472578">
        <w:t>(4)</w:t>
      </w:r>
      <w:r w:rsidRPr="00472578">
        <w:tab/>
        <w:t xml:space="preserve">identify, </w:t>
      </w:r>
      <w:r w:rsidRPr="00472578">
        <w:rPr>
          <w:strike/>
        </w:rPr>
        <w:t>map,</w:t>
      </w:r>
      <w:r w:rsidRPr="00472578">
        <w:t xml:space="preserve"> describe and protect the areas and values identified under (1) in the relevant </w:t>
      </w:r>
      <w:r w:rsidRPr="00472578">
        <w:rPr>
          <w:i/>
          <w:iCs/>
        </w:rPr>
        <w:t>regional</w:t>
      </w:r>
      <w:r w:rsidRPr="00472578">
        <w:rPr>
          <w:i/>
          <w:u w:val="single"/>
        </w:rPr>
        <w:t xml:space="preserve"> </w:t>
      </w:r>
      <w:r w:rsidR="003117AC" w:rsidRPr="00472578">
        <w:rPr>
          <w:i/>
          <w:iCs/>
          <w:u w:val="single"/>
        </w:rPr>
        <w:t>plans</w:t>
      </w:r>
      <w:r w:rsidR="003117AC" w:rsidRPr="00472578">
        <w:rPr>
          <w:rStyle w:val="FootnoteReference"/>
        </w:rPr>
        <w:footnoteReference w:id="1291"/>
      </w:r>
      <w:r w:rsidRPr="00472578">
        <w:t xml:space="preserve"> and </w:t>
      </w:r>
      <w:r w:rsidRPr="00472578">
        <w:rPr>
          <w:i/>
          <w:iCs/>
        </w:rPr>
        <w:t xml:space="preserve">district plans </w:t>
      </w:r>
      <w:r w:rsidRPr="00472578">
        <w:rPr>
          <w:strike/>
        </w:rPr>
        <w:t>or, if a site is a sensitive cultural site, use alert layers to advise of sensitive cultural sites without disclosure in plans</w:t>
      </w:r>
    </w:p>
    <w:p w14:paraId="3FCA8F9F" w14:textId="2E30B671" w:rsidR="00DC6C9B" w:rsidRPr="00472578" w:rsidRDefault="00DC6C9B" w:rsidP="00E92686">
      <w:pPr>
        <w:pStyle w:val="Paragraphs"/>
        <w:numPr>
          <w:ilvl w:val="0"/>
          <w:numId w:val="0"/>
        </w:numPr>
        <w:spacing w:after="120" w:line="259" w:lineRule="auto"/>
        <w:ind w:left="567" w:hanging="567"/>
        <w:jc w:val="both"/>
        <w:rPr>
          <w:u w:val="single"/>
        </w:rPr>
      </w:pPr>
      <w:r w:rsidRPr="00472578">
        <w:rPr>
          <w:u w:val="single"/>
        </w:rPr>
        <w:t>(5)</w:t>
      </w:r>
      <w:r w:rsidRPr="00472578">
        <w:rPr>
          <w:u w:val="single"/>
        </w:rPr>
        <w:tab/>
        <w:t xml:space="preserve">collaborate with Kāi Tahu regarding the use of mapping and other techniques, including alert layers, to </w:t>
      </w:r>
      <w:r w:rsidR="00A573A6" w:rsidRPr="00472578">
        <w:rPr>
          <w:u w:val="single"/>
        </w:rPr>
        <w:t xml:space="preserve">identify, describe and </w:t>
      </w:r>
      <w:r w:rsidRPr="00472578">
        <w:rPr>
          <w:u w:val="single"/>
        </w:rPr>
        <w:t xml:space="preserve">protect </w:t>
      </w:r>
      <w:r w:rsidRPr="00472578">
        <w:rPr>
          <w:i/>
          <w:u w:val="single"/>
        </w:rPr>
        <w:t>wāhi tūpuna</w:t>
      </w:r>
      <w:r w:rsidRPr="00472578">
        <w:rPr>
          <w:u w:val="single"/>
        </w:rPr>
        <w:t xml:space="preserve"> sites, areas and values.</w:t>
      </w:r>
      <w:r w:rsidRPr="639E38F9">
        <w:rPr>
          <w:rStyle w:val="FootnoteReference"/>
          <w:rFonts w:cstheme="minorBidi"/>
        </w:rPr>
        <w:footnoteReference w:id="1292"/>
      </w:r>
      <w:r w:rsidRPr="00472578">
        <w:rPr>
          <w:rFonts w:ascii="Times New Roman" w:hAnsi="Times New Roman" w:cs="Times New Roman"/>
          <w:sz w:val="24"/>
          <w:szCs w:val="24"/>
          <w:lang w:eastAsia="en-NZ"/>
        </w:rPr>
        <w:t xml:space="preserve"> </w:t>
      </w:r>
    </w:p>
    <w:p w14:paraId="58F49F2D" w14:textId="6BB7B581" w:rsidR="00DC6C9B" w:rsidRPr="00472578" w:rsidRDefault="00DC6C9B" w:rsidP="00E92686">
      <w:pPr>
        <w:pStyle w:val="Heading5"/>
        <w:jc w:val="both"/>
      </w:pPr>
      <w:r w:rsidRPr="00472578">
        <w:lastRenderedPageBreak/>
        <w:t xml:space="preserve">HCV-WT-M2 – </w:t>
      </w:r>
      <w:r w:rsidRPr="00472578">
        <w:rPr>
          <w:i/>
          <w:iCs/>
        </w:rPr>
        <w:t>Regional</w:t>
      </w:r>
      <w:r w:rsidRPr="00472578">
        <w:rPr>
          <w:u w:val="single"/>
        </w:rPr>
        <w:t xml:space="preserve"> </w:t>
      </w:r>
      <w:r w:rsidR="002354B0" w:rsidRPr="00472578">
        <w:rPr>
          <w:i/>
          <w:iCs/>
          <w:u w:val="single"/>
        </w:rPr>
        <w:t>plans</w:t>
      </w:r>
      <w:r w:rsidR="002354B0" w:rsidRPr="00472578">
        <w:rPr>
          <w:rStyle w:val="FootnoteReference"/>
          <w:i/>
          <w:iCs/>
        </w:rPr>
        <w:footnoteReference w:id="1293"/>
      </w:r>
      <w:r w:rsidRPr="00472578">
        <w:t xml:space="preserve"> and </w:t>
      </w:r>
      <w:r w:rsidRPr="00472578">
        <w:rPr>
          <w:i/>
          <w:iCs/>
        </w:rPr>
        <w:t>district plans</w:t>
      </w:r>
    </w:p>
    <w:bookmarkEnd w:id="314"/>
    <w:p w14:paraId="3B8B6813" w14:textId="0DC7C0F3" w:rsidR="00DC6C9B" w:rsidRPr="00472578" w:rsidRDefault="00DC6C9B" w:rsidP="00E92686">
      <w:pPr>
        <w:pStyle w:val="JustifiedSpacing"/>
      </w:pPr>
      <w:r w:rsidRPr="00472578">
        <w:rPr>
          <w:i/>
          <w:iCs/>
        </w:rPr>
        <w:t>Local authorities</w:t>
      </w:r>
      <w:r w:rsidRPr="00472578">
        <w:t xml:space="preserve"> must</w:t>
      </w:r>
      <w:r w:rsidRPr="00472578" w:rsidDel="006F541A">
        <w:t xml:space="preserve"> </w:t>
      </w:r>
      <w:r w:rsidRPr="00472578">
        <w:t xml:space="preserve">prepare or amend and maintain their </w:t>
      </w:r>
      <w:r w:rsidRPr="00472578">
        <w:rPr>
          <w:i/>
          <w:iCs/>
        </w:rPr>
        <w:t>regional</w:t>
      </w:r>
      <w:r w:rsidRPr="00472578">
        <w:rPr>
          <w:i/>
          <w:u w:val="single"/>
        </w:rPr>
        <w:t xml:space="preserve"> </w:t>
      </w:r>
      <w:r w:rsidR="002354B0" w:rsidRPr="00472578">
        <w:rPr>
          <w:i/>
          <w:iCs/>
          <w:u w:val="single"/>
        </w:rPr>
        <w:t>plan</w:t>
      </w:r>
      <w:r w:rsidR="008D26F1" w:rsidRPr="00472578">
        <w:rPr>
          <w:i/>
          <w:iCs/>
          <w:u w:val="single"/>
        </w:rPr>
        <w:t>s</w:t>
      </w:r>
      <w:r w:rsidR="008D26F1" w:rsidRPr="00472578">
        <w:rPr>
          <w:rStyle w:val="FootnoteReference"/>
        </w:rPr>
        <w:footnoteReference w:id="1294"/>
      </w:r>
      <w:r w:rsidRPr="00472578">
        <w:t xml:space="preserve"> and </w:t>
      </w:r>
      <w:r w:rsidRPr="00472578">
        <w:rPr>
          <w:i/>
          <w:iCs/>
        </w:rPr>
        <w:t>district plans</w:t>
      </w:r>
      <w:r w:rsidRPr="00472578">
        <w:t xml:space="preserve"> to include methods that are in accordance with tikaka to:</w:t>
      </w:r>
    </w:p>
    <w:p w14:paraId="6E247BDD" w14:textId="557E883F" w:rsidR="00DC6C9B" w:rsidRPr="00472578" w:rsidRDefault="00DC6C9B" w:rsidP="00E92686">
      <w:pPr>
        <w:ind w:left="567" w:hanging="567"/>
        <w:jc w:val="both"/>
        <w:rPr>
          <w:rFonts w:ascii="Times New Roman" w:hAnsi="Times New Roman" w:cs="Times New Roman"/>
          <w:sz w:val="24"/>
          <w:szCs w:val="24"/>
          <w:lang w:eastAsia="en-NZ"/>
        </w:rPr>
      </w:pPr>
      <w:r w:rsidRPr="00472578">
        <w:t>(1)</w:t>
      </w:r>
      <w:r w:rsidRPr="00472578">
        <w:tab/>
      </w:r>
      <w:r w:rsidRPr="00472578">
        <w:rPr>
          <w:strike/>
        </w:rPr>
        <w:t>control</w:t>
      </w:r>
      <w:r w:rsidRPr="00472578">
        <w:t xml:space="preserve"> </w:t>
      </w:r>
      <w:r w:rsidRPr="00472578">
        <w:rPr>
          <w:u w:val="single"/>
        </w:rPr>
        <w:t>manage</w:t>
      </w:r>
      <w:r w:rsidRPr="00472578">
        <w:rPr>
          <w:rStyle w:val="FootnoteReference"/>
        </w:rPr>
        <w:footnoteReference w:id="1295"/>
      </w:r>
      <w:r w:rsidRPr="00472578">
        <w:t xml:space="preserve"> activities in, or </w:t>
      </w:r>
      <w:r w:rsidRPr="00472578">
        <w:rPr>
          <w:strike/>
        </w:rPr>
        <w:t>adjacent to</w:t>
      </w:r>
      <w:r w:rsidRPr="00472578">
        <w:rPr>
          <w:rStyle w:val="FootnoteReference"/>
        </w:rPr>
        <w:footnoteReference w:id="1296"/>
      </w:r>
      <w:r w:rsidRPr="00472578">
        <w:t xml:space="preserve"> </w:t>
      </w:r>
      <w:r w:rsidRPr="00472578">
        <w:rPr>
          <w:u w:val="single"/>
        </w:rPr>
        <w:t>affecting</w:t>
      </w:r>
      <w:r w:rsidRPr="00472578">
        <w:t>,</w:t>
      </w:r>
      <w:r w:rsidRPr="639E38F9">
        <w:rPr>
          <w:rStyle w:val="FootnoteReference"/>
        </w:rPr>
        <w:footnoteReference w:id="1297"/>
      </w:r>
      <w:r w:rsidRPr="00472578">
        <w:rPr>
          <w:rFonts w:ascii="Times New Roman" w:hAnsi="Times New Roman" w:cs="Times New Roman"/>
          <w:sz w:val="24"/>
          <w:szCs w:val="24"/>
          <w:lang w:eastAsia="en-NZ"/>
        </w:rPr>
        <w:t xml:space="preserve"> </w:t>
      </w:r>
      <w:r w:rsidRPr="00472578">
        <w:rPr>
          <w:i/>
        </w:rPr>
        <w:t>wāhi tūpuna</w:t>
      </w:r>
      <w:r w:rsidRPr="00472578">
        <w:t xml:space="preserve"> sites and areas,</w:t>
      </w:r>
    </w:p>
    <w:p w14:paraId="08B0BAC2" w14:textId="77777777" w:rsidR="00DC6C9B" w:rsidRPr="00472578" w:rsidRDefault="00DC6C9B" w:rsidP="00E92686">
      <w:pPr>
        <w:pStyle w:val="JustifiedSpacing"/>
        <w:ind w:left="567" w:hanging="567"/>
      </w:pPr>
      <w:r w:rsidRPr="00472578">
        <w:t>(2)</w:t>
      </w:r>
      <w:r w:rsidRPr="00472578">
        <w:tab/>
        <w:t xml:space="preserve">require cultural impact assessments where activities have the potential to adversely affect </w:t>
      </w:r>
      <w:r w:rsidRPr="00472578">
        <w:rPr>
          <w:u w:val="single"/>
        </w:rPr>
        <w:t>values of</w:t>
      </w:r>
      <w:r w:rsidRPr="639E38F9">
        <w:rPr>
          <w:rStyle w:val="FootnoteReference"/>
          <w:rFonts w:cstheme="minorBidi"/>
        </w:rPr>
        <w:footnoteReference w:id="1298"/>
      </w:r>
      <w:r w:rsidRPr="00472578">
        <w:t xml:space="preserve"> </w:t>
      </w:r>
      <w:r w:rsidRPr="00472578">
        <w:rPr>
          <w:i/>
        </w:rPr>
        <w:t xml:space="preserve">wāhi tūpuna </w:t>
      </w:r>
      <w:r w:rsidRPr="639E38F9">
        <w:rPr>
          <w:rFonts w:cstheme="minorBidi"/>
          <w:u w:val="single"/>
        </w:rPr>
        <w:t>and Kāi Tahu have identified the need for an assessment</w:t>
      </w:r>
      <w:r w:rsidRPr="00472578">
        <w:t>,</w:t>
      </w:r>
      <w:r w:rsidRPr="639E38F9">
        <w:rPr>
          <w:rStyle w:val="FootnoteReference"/>
          <w:rFonts w:cstheme="minorBidi"/>
        </w:rPr>
        <w:t xml:space="preserve"> </w:t>
      </w:r>
      <w:r w:rsidRPr="639E38F9">
        <w:rPr>
          <w:rStyle w:val="FootnoteReference"/>
          <w:rFonts w:cstheme="minorBidi"/>
        </w:rPr>
        <w:footnoteReference w:id="1299"/>
      </w:r>
    </w:p>
    <w:p w14:paraId="7EF9667C" w14:textId="723DC6F4" w:rsidR="00DC6C9B" w:rsidRPr="00472578" w:rsidRDefault="00DC6C9B" w:rsidP="00E92686">
      <w:pPr>
        <w:ind w:left="567" w:hanging="567"/>
        <w:jc w:val="both"/>
      </w:pPr>
      <w:r w:rsidRPr="00472578">
        <w:t>(3)</w:t>
      </w:r>
      <w:r w:rsidRPr="00472578">
        <w:tab/>
        <w:t xml:space="preserve">require </w:t>
      </w:r>
      <w:r w:rsidRPr="00472578">
        <w:rPr>
          <w:strike/>
        </w:rPr>
        <w:t>including</w:t>
      </w:r>
      <w:bookmarkStart w:id="317" w:name="_Hlk95782174"/>
      <w:bookmarkEnd w:id="317"/>
      <w:r w:rsidRPr="639E38F9">
        <w:rPr>
          <w:rStyle w:val="FootnoteReference"/>
        </w:rPr>
        <w:footnoteReference w:id="1300"/>
      </w:r>
      <w:r w:rsidRPr="00472578">
        <w:rPr>
          <w:rFonts w:ascii="Times New Roman" w:hAnsi="Times New Roman" w:cs="Times New Roman"/>
          <w:sz w:val="24"/>
          <w:szCs w:val="24"/>
          <w:lang w:eastAsia="en-NZ"/>
        </w:rPr>
        <w:t xml:space="preserve"> </w:t>
      </w:r>
      <w:r w:rsidRPr="00472578">
        <w:t xml:space="preserve">conditions on </w:t>
      </w:r>
      <w:r w:rsidRPr="00472578">
        <w:rPr>
          <w:i/>
        </w:rPr>
        <w:t>resource consents</w:t>
      </w:r>
      <w:r w:rsidRPr="00472578">
        <w:t xml:space="preserve"> or designations to </w:t>
      </w:r>
      <w:r w:rsidRPr="00472578">
        <w:rPr>
          <w:strike/>
        </w:rPr>
        <w:t>provide buffers or setbacks between</w:t>
      </w:r>
      <w:r w:rsidRPr="00472578">
        <w:t xml:space="preserve"> </w:t>
      </w:r>
      <w:r w:rsidRPr="00472578">
        <w:rPr>
          <w:u w:val="single"/>
        </w:rPr>
        <w:t>protect</w:t>
      </w:r>
      <w:r w:rsidRPr="00472578">
        <w:rPr>
          <w:rStyle w:val="FootnoteReference"/>
        </w:rPr>
        <w:footnoteReference w:id="1301"/>
      </w:r>
      <w:r w:rsidRPr="00472578">
        <w:t xml:space="preserve"> </w:t>
      </w:r>
      <w:r w:rsidRPr="00472578">
        <w:rPr>
          <w:i/>
        </w:rPr>
        <w:t>wāhi tūpuna</w:t>
      </w:r>
      <w:r w:rsidRPr="00472578">
        <w:t xml:space="preserve"> </w:t>
      </w:r>
      <w:r w:rsidRPr="00472578">
        <w:rPr>
          <w:strike/>
        </w:rPr>
        <w:t xml:space="preserve">and </w:t>
      </w:r>
      <w:r w:rsidRPr="00472578">
        <w:rPr>
          <w:u w:val="single"/>
        </w:rPr>
        <w:t>from</w:t>
      </w:r>
      <w:r w:rsidRPr="00472578">
        <w:rPr>
          <w:rStyle w:val="FootnoteReference"/>
        </w:rPr>
        <w:footnoteReference w:id="1302"/>
      </w:r>
      <w:r w:rsidRPr="00472578">
        <w:t xml:space="preserve"> incompatible activities, </w:t>
      </w:r>
    </w:p>
    <w:p w14:paraId="40DDA439" w14:textId="77777777" w:rsidR="00DC6C9B" w:rsidRPr="00472578" w:rsidRDefault="00DC6C9B" w:rsidP="00E92686">
      <w:pPr>
        <w:ind w:left="567" w:hanging="567"/>
        <w:jc w:val="both"/>
      </w:pPr>
      <w:r w:rsidRPr="00472578">
        <w:t>(4)</w:t>
      </w:r>
      <w:r w:rsidRPr="00472578">
        <w:tab/>
        <w:t xml:space="preserve">require </w:t>
      </w:r>
      <w:r w:rsidRPr="00472578">
        <w:rPr>
          <w:strike/>
        </w:rPr>
        <w:t>including</w:t>
      </w:r>
      <w:r w:rsidRPr="00472578">
        <w:rPr>
          <w:rStyle w:val="FootnoteReference"/>
        </w:rPr>
        <w:footnoteReference w:id="1303"/>
      </w:r>
      <w:r w:rsidRPr="00472578">
        <w:t xml:space="preserve"> accidental discovery protocols as </w:t>
      </w:r>
      <w:r w:rsidRPr="00472578">
        <w:rPr>
          <w:strike/>
        </w:rPr>
        <w:t>conditions</w:t>
      </w:r>
      <w:r w:rsidRPr="00472578">
        <w:t xml:space="preserve"> </w:t>
      </w:r>
      <w:r w:rsidRPr="00472578">
        <w:rPr>
          <w:u w:val="single"/>
        </w:rPr>
        <w:t>an advice note</w:t>
      </w:r>
      <w:r w:rsidRPr="00472578">
        <w:rPr>
          <w:rStyle w:val="FootnoteReference"/>
          <w:rFonts w:cs="Calibri"/>
        </w:rPr>
        <w:footnoteReference w:id="1304"/>
      </w:r>
      <w:r w:rsidRPr="00472578">
        <w:rPr>
          <w:rFonts w:ascii="Times New Roman" w:hAnsi="Times New Roman" w:cs="Times New Roman"/>
          <w:sz w:val="24"/>
          <w:szCs w:val="24"/>
          <w:lang w:eastAsia="en-NZ"/>
        </w:rPr>
        <w:t xml:space="preserve"> </w:t>
      </w:r>
      <w:r w:rsidRPr="00472578">
        <w:t xml:space="preserve">on </w:t>
      </w:r>
      <w:r w:rsidRPr="00472578">
        <w:rPr>
          <w:i/>
          <w:iCs/>
        </w:rPr>
        <w:t>resource consents</w:t>
      </w:r>
      <w:r w:rsidRPr="00472578">
        <w:t xml:space="preserve"> or designations for activities that may unearth archaeological sites, and</w:t>
      </w:r>
    </w:p>
    <w:p w14:paraId="11F1FE3E" w14:textId="77777777" w:rsidR="00DC6C9B" w:rsidRPr="00472578" w:rsidRDefault="00DC6C9B" w:rsidP="00E92686">
      <w:pPr>
        <w:pStyle w:val="JustifiedSpacing"/>
        <w:ind w:left="567" w:hanging="567"/>
      </w:pPr>
      <w:r w:rsidRPr="00472578">
        <w:t>(5)</w:t>
      </w:r>
      <w:r w:rsidRPr="00472578">
        <w:tab/>
        <w:t xml:space="preserve">maintain existing access to identified </w:t>
      </w:r>
      <w:r w:rsidRPr="00472578">
        <w:rPr>
          <w:i/>
        </w:rPr>
        <w:t>wāhi tūpuna</w:t>
      </w:r>
      <w:r w:rsidRPr="00472578">
        <w:t xml:space="preserve"> sites and areas and promote improved access where practicable.</w:t>
      </w:r>
    </w:p>
    <w:p w14:paraId="0BB35AB5" w14:textId="77777777" w:rsidR="00DC6C9B" w:rsidRPr="00472578" w:rsidRDefault="00DC6C9B" w:rsidP="00E92686">
      <w:pPr>
        <w:pStyle w:val="Heading4"/>
        <w:jc w:val="both"/>
      </w:pPr>
      <w:r w:rsidRPr="00472578">
        <w:t>Explanation</w:t>
      </w:r>
    </w:p>
    <w:p w14:paraId="7AAB7E7C" w14:textId="77777777" w:rsidR="00DC6C9B" w:rsidRPr="00472578" w:rsidRDefault="00DC6C9B" w:rsidP="00E92686">
      <w:pPr>
        <w:pStyle w:val="Heading5"/>
        <w:jc w:val="both"/>
      </w:pPr>
      <w:r w:rsidRPr="00472578">
        <w:t>HCV-WT-E1 – Explanation</w:t>
      </w:r>
    </w:p>
    <w:p w14:paraId="202045BF" w14:textId="56C49D19" w:rsidR="00DC6C9B" w:rsidRPr="00472578" w:rsidRDefault="00DC6C9B" w:rsidP="00E92686">
      <w:pPr>
        <w:pStyle w:val="Paragraphs"/>
        <w:numPr>
          <w:ilvl w:val="0"/>
          <w:numId w:val="0"/>
        </w:numPr>
        <w:spacing w:after="120" w:line="259" w:lineRule="auto"/>
        <w:jc w:val="both"/>
        <w:rPr>
          <w:rFonts w:asciiTheme="minorHAnsi" w:hAnsiTheme="minorHAnsi" w:cstheme="minorHAnsi"/>
          <w:iCs/>
          <w:u w:val="single"/>
        </w:rPr>
      </w:pPr>
      <w:r w:rsidRPr="00472578">
        <w:rPr>
          <w:u w:val="single"/>
        </w:rPr>
        <w:t xml:space="preserve">Providing for </w:t>
      </w:r>
      <w:r w:rsidRPr="009A06ED">
        <w:rPr>
          <w:i/>
          <w:u w:val="single"/>
        </w:rPr>
        <w:t>wāhi tūpuna</w:t>
      </w:r>
      <w:r w:rsidRPr="00472578">
        <w:rPr>
          <w:u w:val="single"/>
        </w:rPr>
        <w:t xml:space="preserve"> plays a role in recognising the resource management principles in sections 6(e), 7(a) and 8 of the RMA.</w:t>
      </w:r>
      <w:r w:rsidRPr="00472578">
        <w:rPr>
          <w:rFonts w:cstheme="minorHAnsi"/>
          <w:iCs/>
          <w:u w:val="single"/>
        </w:rPr>
        <w:t xml:space="preserve"> The policies in this chapter recognise the cultural and contemporary significance of </w:t>
      </w:r>
      <w:r w:rsidRPr="009A06ED">
        <w:rPr>
          <w:rFonts w:cstheme="minorHAnsi"/>
          <w:i/>
          <w:u w:val="single"/>
        </w:rPr>
        <w:t xml:space="preserve">wāhi tūpuna </w:t>
      </w:r>
      <w:r w:rsidRPr="00472578">
        <w:rPr>
          <w:rFonts w:cstheme="minorHAnsi"/>
          <w:iCs/>
          <w:u w:val="single"/>
        </w:rPr>
        <w:t xml:space="preserve">to Kāi Tahu and acknowledge that the identification of </w:t>
      </w:r>
      <w:r w:rsidRPr="009A06ED">
        <w:rPr>
          <w:rFonts w:cstheme="minorHAnsi"/>
          <w:i/>
          <w:u w:val="single"/>
        </w:rPr>
        <w:t>wāhi tūpuna</w:t>
      </w:r>
      <w:r w:rsidRPr="00472578">
        <w:rPr>
          <w:rFonts w:cstheme="minorHAnsi"/>
          <w:iCs/>
          <w:u w:val="single"/>
        </w:rPr>
        <w:t xml:space="preserve"> and the associated values can only be undertaken by Kāi Tahu. </w:t>
      </w:r>
    </w:p>
    <w:p w14:paraId="11207D0B" w14:textId="0AE9E02A" w:rsidR="00DC6C9B" w:rsidRPr="00472578" w:rsidRDefault="00DC6C9B" w:rsidP="00E92686">
      <w:pPr>
        <w:jc w:val="both"/>
      </w:pPr>
      <w:r w:rsidRPr="639E38F9">
        <w:rPr>
          <w:i/>
          <w:u w:val="single"/>
        </w:rPr>
        <w:t xml:space="preserve">Wāhi </w:t>
      </w:r>
      <w:r w:rsidR="00A544CF" w:rsidRPr="639E38F9">
        <w:rPr>
          <w:i/>
          <w:u w:val="single"/>
        </w:rPr>
        <w:t>t</w:t>
      </w:r>
      <w:r w:rsidRPr="639E38F9">
        <w:rPr>
          <w:i/>
          <w:u w:val="single"/>
        </w:rPr>
        <w:t>ūpuna</w:t>
      </w:r>
      <w:r w:rsidRPr="639E38F9">
        <w:rPr>
          <w:u w:val="single"/>
        </w:rPr>
        <w:t xml:space="preserve"> can be impacted by a range of activities, requiring a range of different management responses.</w:t>
      </w:r>
      <w:r w:rsidRPr="639E38F9">
        <w:t xml:space="preserve"> </w:t>
      </w:r>
      <w:r w:rsidRPr="00472578">
        <w:t xml:space="preserve">The policies in this chapter are designed to achieve </w:t>
      </w:r>
      <w:r w:rsidRPr="00472578">
        <w:rPr>
          <w:u w:val="single"/>
        </w:rPr>
        <w:t>active</w:t>
      </w:r>
      <w:r w:rsidRPr="00472578" w:rsidDel="00F01D70">
        <w:t xml:space="preserve"> </w:t>
      </w:r>
      <w:r w:rsidRPr="00472578">
        <w:t xml:space="preserve">protection of </w:t>
      </w:r>
      <w:r w:rsidRPr="00472578">
        <w:rPr>
          <w:i/>
        </w:rPr>
        <w:t>wāhi tūpuna</w:t>
      </w:r>
      <w:r w:rsidRPr="00472578">
        <w:rPr>
          <w:strike/>
        </w:rPr>
        <w:t xml:space="preserve"> from inappropriate </w:t>
      </w:r>
      <w:r w:rsidRPr="00472578">
        <w:rPr>
          <w:i/>
          <w:iCs/>
          <w:strike/>
        </w:rPr>
        <w:t>subdivision</w:t>
      </w:r>
      <w:r w:rsidRPr="00472578">
        <w:rPr>
          <w:strike/>
        </w:rPr>
        <w:t xml:space="preserve">, use and development. The policies recognise the significance of </w:t>
      </w:r>
      <w:r w:rsidRPr="00472578">
        <w:rPr>
          <w:i/>
          <w:strike/>
        </w:rPr>
        <w:t>wāhi tūpuna</w:t>
      </w:r>
      <w:r w:rsidRPr="00472578">
        <w:rPr>
          <w:strike/>
        </w:rPr>
        <w:t xml:space="preserve"> to Kāi Tahu, and enable the relationship of Kāi Tahu with their culture and traditions by acknowledging that the identification of </w:t>
      </w:r>
      <w:r w:rsidRPr="00472578">
        <w:rPr>
          <w:i/>
          <w:strike/>
        </w:rPr>
        <w:t>wāhi tūpuna</w:t>
      </w:r>
      <w:r w:rsidRPr="00472578">
        <w:rPr>
          <w:strike/>
        </w:rPr>
        <w:t xml:space="preserve"> and the associated values can only be undertaken by Kāi Tahu, then protecting or managing those sites or areas</w:t>
      </w:r>
      <w:r w:rsidRPr="00472578">
        <w:t xml:space="preserve"> to ensure that activities do not have any significant adverse </w:t>
      </w:r>
      <w:r w:rsidRPr="00472578">
        <w:rPr>
          <w:i/>
          <w:iCs/>
        </w:rPr>
        <w:t>effects</w:t>
      </w:r>
      <w:r w:rsidRPr="00472578">
        <w:t xml:space="preserve"> on the values </w:t>
      </w:r>
      <w:r w:rsidR="00A15E10" w:rsidRPr="00472578">
        <w:rPr>
          <w:u w:val="single"/>
        </w:rPr>
        <w:t>of</w:t>
      </w:r>
      <w:r w:rsidRPr="00472578">
        <w:rPr>
          <w:strike/>
        </w:rPr>
        <w:t>associated with</w:t>
      </w:r>
      <w:r w:rsidR="00A15E10" w:rsidRPr="00472578">
        <w:rPr>
          <w:rStyle w:val="FootnoteReference"/>
        </w:rPr>
        <w:footnoteReference w:id="1305"/>
      </w:r>
      <w:r w:rsidRPr="00472578">
        <w:t xml:space="preserve"> the identified </w:t>
      </w:r>
      <w:r w:rsidRPr="00472578">
        <w:rPr>
          <w:i/>
        </w:rPr>
        <w:t>wāhi tūpuna</w:t>
      </w:r>
      <w:r w:rsidRPr="00472578">
        <w:t xml:space="preserve">. The policies also direct that the management of activities within or </w:t>
      </w:r>
      <w:r w:rsidRPr="00472578">
        <w:rPr>
          <w:strike/>
        </w:rPr>
        <w:t>adjacent to</w:t>
      </w:r>
      <w:r w:rsidRPr="00472578">
        <w:t xml:space="preserve"> </w:t>
      </w:r>
      <w:r w:rsidRPr="00472578">
        <w:rPr>
          <w:iCs/>
          <w:u w:val="single"/>
        </w:rPr>
        <w:t>affecting</w:t>
      </w:r>
      <w:r w:rsidRPr="00472578">
        <w:rPr>
          <w:iCs/>
        </w:rPr>
        <w:t xml:space="preserve"> </w:t>
      </w:r>
      <w:r w:rsidRPr="00472578">
        <w:rPr>
          <w:i/>
        </w:rPr>
        <w:t>wāhi tūpuna</w:t>
      </w:r>
      <w:r w:rsidRPr="00472578">
        <w:t xml:space="preserve"> must occur in </w:t>
      </w:r>
      <w:r w:rsidRPr="00472578">
        <w:rPr>
          <w:strike/>
        </w:rPr>
        <w:t>a culturally appropriate manner</w:t>
      </w:r>
      <w:r w:rsidRPr="00472578">
        <w:t xml:space="preserve"> </w:t>
      </w:r>
      <w:r w:rsidRPr="639E38F9">
        <w:rPr>
          <w:u w:val="single"/>
        </w:rPr>
        <w:t>accordance with tikaka</w:t>
      </w:r>
      <w:r w:rsidRPr="00472578">
        <w:t>.</w:t>
      </w:r>
      <w:r w:rsidRPr="00472578">
        <w:rPr>
          <w:rStyle w:val="FootnoteReference"/>
        </w:rPr>
        <w:footnoteReference w:id="1306"/>
      </w:r>
    </w:p>
    <w:p w14:paraId="2669BB81" w14:textId="77777777" w:rsidR="00DC6C9B" w:rsidRPr="00472578" w:rsidRDefault="00DC6C9B" w:rsidP="00E92686">
      <w:pPr>
        <w:pStyle w:val="Heading4"/>
        <w:jc w:val="both"/>
      </w:pPr>
      <w:bookmarkStart w:id="318" w:name="_Toc49763564"/>
      <w:r w:rsidRPr="00472578">
        <w:lastRenderedPageBreak/>
        <w:t>Principal reasons</w:t>
      </w:r>
      <w:bookmarkEnd w:id="318"/>
    </w:p>
    <w:p w14:paraId="414B19A8" w14:textId="77777777" w:rsidR="00DC6C9B" w:rsidRPr="00472578" w:rsidRDefault="00DC6C9B" w:rsidP="00E92686">
      <w:pPr>
        <w:pStyle w:val="Heading5"/>
        <w:jc w:val="both"/>
      </w:pPr>
      <w:r w:rsidRPr="00472578">
        <w:t>HCV-WT-PR1 – Principal reasons</w:t>
      </w:r>
    </w:p>
    <w:p w14:paraId="79241B0B" w14:textId="77777777" w:rsidR="00DC6C9B" w:rsidRPr="00472578" w:rsidRDefault="00DC6C9B" w:rsidP="00E92686">
      <w:pPr>
        <w:jc w:val="both"/>
      </w:pPr>
      <w:r w:rsidRPr="00472578">
        <w:rPr>
          <w:i/>
        </w:rPr>
        <w:t>Wāhi tūpuna</w:t>
      </w:r>
      <w:r w:rsidRPr="00472578">
        <w:t xml:space="preserve"> are landscapes that embody the customary and contemporary relationship of Kāi Tahu and their culture and traditions with Otago. The sites and resources used by Kāi Tahu are spread throughout Otago, </w:t>
      </w:r>
      <w:r w:rsidRPr="00472578">
        <w:rPr>
          <w:rFonts w:eastAsia="National-Book" w:cs="Times New Roman"/>
        </w:rPr>
        <w:t xml:space="preserve">reflecting the relationship of Kāi Tahu with the </w:t>
      </w:r>
      <w:r w:rsidRPr="00472578">
        <w:rPr>
          <w:rFonts w:eastAsia="National-Book" w:cs="Times New Roman"/>
          <w:i/>
        </w:rPr>
        <w:t xml:space="preserve">land, coastal waters </w:t>
      </w:r>
      <w:r w:rsidRPr="00472578">
        <w:rPr>
          <w:rFonts w:eastAsia="National-Book" w:cs="Times New Roman"/>
        </w:rPr>
        <w:t>and wai Māori</w:t>
      </w:r>
      <w:r w:rsidRPr="00472578">
        <w:t xml:space="preserve">. </w:t>
      </w:r>
      <w:r w:rsidRPr="00472578">
        <w:rPr>
          <w:rFonts w:eastAsia="National-Book" w:cs="Times New Roman"/>
          <w:i/>
        </w:rPr>
        <w:t>Wāhi tūpuna</w:t>
      </w:r>
      <w:r w:rsidRPr="00472578">
        <w:rPr>
          <w:rFonts w:eastAsia="National-Book" w:cs="Times New Roman"/>
        </w:rPr>
        <w:t xml:space="preserve"> have significant cultural value to Kāi Tahu. </w:t>
      </w:r>
    </w:p>
    <w:p w14:paraId="792E6D1A" w14:textId="65EFBE3E" w:rsidR="00DC6C9B" w:rsidRPr="00472578" w:rsidRDefault="00DC6C9B" w:rsidP="00E92686">
      <w:pPr>
        <w:jc w:val="both"/>
      </w:pPr>
      <w:r w:rsidRPr="00472578">
        <w:t xml:space="preserve">The provisions in this chapter </w:t>
      </w:r>
      <w:r w:rsidRPr="00472578">
        <w:rPr>
          <w:u w:val="single"/>
        </w:rPr>
        <w:t>play a role in recognising the resource management principles in</w:t>
      </w:r>
      <w:r w:rsidRPr="00472578">
        <w:t xml:space="preserve"> </w:t>
      </w:r>
      <w:r w:rsidRPr="00472578">
        <w:rPr>
          <w:strike/>
        </w:rPr>
        <w:t>assist in implementing</w:t>
      </w:r>
      <w:r w:rsidRPr="00472578">
        <w:rPr>
          <w:rStyle w:val="FootnoteReference"/>
        </w:rPr>
        <w:footnoteReference w:id="1307"/>
      </w:r>
      <w:r w:rsidRPr="00472578">
        <w:t xml:space="preserve"> section</w:t>
      </w:r>
      <w:r w:rsidR="00AD704E" w:rsidRPr="00472578">
        <w:rPr>
          <w:u w:val="single"/>
        </w:rPr>
        <w:t>s</w:t>
      </w:r>
      <w:r w:rsidRPr="00472578">
        <w:t xml:space="preserve"> 6(e)</w:t>
      </w:r>
      <w:r w:rsidRPr="00472578">
        <w:rPr>
          <w:u w:val="single"/>
        </w:rPr>
        <w:t>, 7(a) and 8</w:t>
      </w:r>
      <w:r w:rsidRPr="00472578">
        <w:rPr>
          <w:rStyle w:val="FootnoteReference"/>
        </w:rPr>
        <w:footnoteReference w:id="1308"/>
      </w:r>
      <w:r w:rsidRPr="00472578">
        <w:t xml:space="preserve"> of the RMA</w:t>
      </w:r>
      <w:r w:rsidRPr="00F36BFC">
        <w:rPr>
          <w:strike/>
        </w:rPr>
        <w:t xml:space="preserve"> 1991</w:t>
      </w:r>
      <w:r w:rsidR="00F36BFC">
        <w:rPr>
          <w:rStyle w:val="FootnoteReference"/>
        </w:rPr>
        <w:footnoteReference w:id="1309"/>
      </w:r>
      <w:r w:rsidRPr="00472578">
        <w:t xml:space="preserve"> and the NZCPS</w:t>
      </w:r>
      <w:r w:rsidRPr="00472578">
        <w:rPr>
          <w:u w:val="single"/>
        </w:rPr>
        <w:t>, as well as providing for the principles of te Tiriti o Waitangi,</w:t>
      </w:r>
      <w:r w:rsidRPr="00472578">
        <w:rPr>
          <w:rStyle w:val="FootnoteReference"/>
          <w:rFonts w:cs="Calibri"/>
        </w:rPr>
        <w:footnoteReference w:id="1310"/>
      </w:r>
      <w:r w:rsidRPr="00472578">
        <w:t xml:space="preserve"> by requiring:</w:t>
      </w:r>
    </w:p>
    <w:p w14:paraId="051C853F" w14:textId="77777777" w:rsidR="00DC6C9B" w:rsidRPr="00472578" w:rsidRDefault="00DC6C9B" w:rsidP="00E92686">
      <w:pPr>
        <w:pStyle w:val="JustifiedSpacing"/>
        <w:numPr>
          <w:ilvl w:val="0"/>
          <w:numId w:val="14"/>
        </w:numPr>
        <w:spacing w:line="240" w:lineRule="auto"/>
        <w:ind w:left="567" w:hanging="567"/>
      </w:pPr>
      <w:r w:rsidRPr="00472578">
        <w:t xml:space="preserve">the identification of </w:t>
      </w:r>
      <w:r w:rsidRPr="00472578">
        <w:rPr>
          <w:i/>
        </w:rPr>
        <w:t>wāhi tūpuna</w:t>
      </w:r>
      <w:r w:rsidRPr="00472578">
        <w:t xml:space="preserve"> </w:t>
      </w:r>
      <w:r w:rsidRPr="00472578">
        <w:rPr>
          <w:strike/>
        </w:rPr>
        <w:t>in consultation with</w:t>
      </w:r>
      <w:r w:rsidRPr="00472578">
        <w:t xml:space="preserve"> </w:t>
      </w:r>
      <w:r w:rsidRPr="00472578">
        <w:rPr>
          <w:u w:val="single"/>
        </w:rPr>
        <w:t>by</w:t>
      </w:r>
      <w:r w:rsidRPr="00472578">
        <w:t xml:space="preserve"> Kāi Tahu </w:t>
      </w:r>
      <w:r w:rsidRPr="639E38F9">
        <w:rPr>
          <w:rFonts w:cstheme="minorBidi"/>
          <w:u w:val="single"/>
        </w:rPr>
        <w:t>in accordance with tikaka Māori</w:t>
      </w:r>
      <w:r w:rsidRPr="00472578">
        <w:t>,</w:t>
      </w:r>
      <w:r w:rsidRPr="639E38F9">
        <w:rPr>
          <w:rStyle w:val="FootnoteReference"/>
          <w:rFonts w:cstheme="minorBidi"/>
        </w:rPr>
        <w:footnoteReference w:id="1311"/>
      </w:r>
    </w:p>
    <w:p w14:paraId="32306CAC" w14:textId="77777777" w:rsidR="00DC6C9B" w:rsidRPr="00472578" w:rsidRDefault="00DC6C9B" w:rsidP="00E92686">
      <w:pPr>
        <w:pStyle w:val="JustifiedSpacing"/>
        <w:numPr>
          <w:ilvl w:val="0"/>
          <w:numId w:val="14"/>
        </w:numPr>
        <w:spacing w:line="240" w:lineRule="auto"/>
        <w:ind w:left="567" w:hanging="567"/>
      </w:pPr>
      <w:r w:rsidRPr="00472578">
        <w:t xml:space="preserve">the protection of </w:t>
      </w:r>
      <w:r w:rsidRPr="00472578">
        <w:rPr>
          <w:i/>
        </w:rPr>
        <w:t>wāhi tūpuna</w:t>
      </w:r>
      <w:r w:rsidRPr="00472578">
        <w:t xml:space="preserve"> from inappropriate </w:t>
      </w:r>
      <w:r w:rsidRPr="00472578">
        <w:rPr>
          <w:i/>
          <w:iCs/>
        </w:rPr>
        <w:t>subdivision</w:t>
      </w:r>
      <w:r w:rsidRPr="00472578">
        <w:t>, use and development, and</w:t>
      </w:r>
    </w:p>
    <w:p w14:paraId="06C5D176" w14:textId="77777777" w:rsidR="00DC6C9B" w:rsidRPr="00472578" w:rsidRDefault="00DC6C9B" w:rsidP="00E92686">
      <w:pPr>
        <w:pStyle w:val="JustifiedSpacing"/>
        <w:numPr>
          <w:ilvl w:val="0"/>
          <w:numId w:val="14"/>
        </w:numPr>
        <w:spacing w:line="240" w:lineRule="auto"/>
        <w:ind w:left="567" w:hanging="567"/>
      </w:pPr>
      <w:r w:rsidRPr="00472578">
        <w:t xml:space="preserve">specified actions on the part of Otago’s </w:t>
      </w:r>
      <w:r w:rsidRPr="00472578">
        <w:rPr>
          <w:i/>
          <w:iCs/>
        </w:rPr>
        <w:t>local authorities</w:t>
      </w:r>
      <w:r w:rsidRPr="00472578">
        <w:t xml:space="preserve"> in managing activities that may impact </w:t>
      </w:r>
      <w:r w:rsidRPr="00472578">
        <w:rPr>
          <w:i/>
        </w:rPr>
        <w:t>wāhi tūpuna</w:t>
      </w:r>
      <w:r w:rsidRPr="00472578">
        <w:t>.</w:t>
      </w:r>
    </w:p>
    <w:p w14:paraId="6E016093" w14:textId="6D04BAD4" w:rsidR="00DC6C9B" w:rsidRPr="00472578" w:rsidRDefault="00DC6C9B" w:rsidP="00E92686">
      <w:pPr>
        <w:pStyle w:val="JustifiedSpacing"/>
      </w:pPr>
      <w:r w:rsidRPr="00472578">
        <w:t xml:space="preserve">Implementation of the provisions in this chapter will occur primarily through </w:t>
      </w:r>
      <w:r w:rsidRPr="00472578">
        <w:rPr>
          <w:i/>
          <w:iCs/>
        </w:rPr>
        <w:t>regional</w:t>
      </w:r>
      <w:r w:rsidRPr="00472578">
        <w:rPr>
          <w:i/>
          <w:u w:val="single"/>
        </w:rPr>
        <w:t xml:space="preserve"> </w:t>
      </w:r>
      <w:r w:rsidR="008D26F1" w:rsidRPr="00472578">
        <w:rPr>
          <w:i/>
          <w:iCs/>
          <w:u w:val="single"/>
        </w:rPr>
        <w:t>plans</w:t>
      </w:r>
      <w:r w:rsidR="008D26F1" w:rsidRPr="00472578">
        <w:rPr>
          <w:rStyle w:val="FootnoteReference"/>
        </w:rPr>
        <w:footnoteReference w:id="1312"/>
      </w:r>
      <w:r w:rsidRPr="00472578">
        <w:t xml:space="preserve"> and</w:t>
      </w:r>
      <w:r w:rsidRPr="00472578">
        <w:rPr>
          <w:i/>
          <w:iCs/>
        </w:rPr>
        <w:t xml:space="preserve"> district plan</w:t>
      </w:r>
      <w:r w:rsidRPr="00472578">
        <w:t xml:space="preserve"> provisions, however </w:t>
      </w:r>
      <w:r w:rsidRPr="00472578">
        <w:rPr>
          <w:i/>
          <w:iCs/>
        </w:rPr>
        <w:t>local authorities</w:t>
      </w:r>
      <w:r w:rsidRPr="00472578">
        <w:t xml:space="preserve"> may also choose to adopt additional non-regulatory methods to support the achievement of the objectives.</w:t>
      </w:r>
    </w:p>
    <w:p w14:paraId="45E2D6E5" w14:textId="77777777" w:rsidR="00DC6C9B" w:rsidRPr="00472578" w:rsidRDefault="00DC6C9B" w:rsidP="00E92686">
      <w:pPr>
        <w:pStyle w:val="Heading4"/>
        <w:jc w:val="both"/>
      </w:pPr>
      <w:bookmarkStart w:id="319" w:name="_Toc49763565"/>
      <w:r w:rsidRPr="00472578">
        <w:t>Anticipated environmental results</w:t>
      </w:r>
      <w:bookmarkEnd w:id="319"/>
    </w:p>
    <w:p w14:paraId="2A5AF3D2" w14:textId="7990B16F" w:rsidR="00DC6C9B" w:rsidRPr="00472578" w:rsidRDefault="00DC6C9B" w:rsidP="00E92686">
      <w:pPr>
        <w:ind w:left="2127" w:hanging="2127"/>
        <w:jc w:val="both"/>
        <w:rPr>
          <w:b/>
        </w:rPr>
      </w:pPr>
      <w:r w:rsidRPr="00472578">
        <w:rPr>
          <w:rStyle w:val="Heading5Char"/>
        </w:rPr>
        <w:t>HCV</w:t>
      </w:r>
      <w:r w:rsidRPr="00472578">
        <w:rPr>
          <w:b/>
          <w:bCs/>
          <w:color w:val="1F3864" w:themeColor="accent1" w:themeShade="80"/>
        </w:rPr>
        <w:t>-WT-</w:t>
      </w:r>
      <w:r w:rsidRPr="00472578">
        <w:rPr>
          <w:b/>
          <w:color w:val="1F3864" w:themeColor="accent1" w:themeShade="80"/>
        </w:rPr>
        <w:t xml:space="preserve">AER1 </w:t>
      </w:r>
      <w:r w:rsidRPr="00472578">
        <w:rPr>
          <w:color w:val="1F3864" w:themeColor="accent1" w:themeShade="80"/>
        </w:rPr>
        <w:tab/>
      </w:r>
      <w:r w:rsidRPr="00472578">
        <w:rPr>
          <w:i/>
          <w:iCs/>
          <w:u w:val="single"/>
        </w:rPr>
        <w:t xml:space="preserve">Wāhi </w:t>
      </w:r>
      <w:r w:rsidR="00501CB9" w:rsidRPr="00472578">
        <w:rPr>
          <w:i/>
          <w:iCs/>
          <w:u w:val="single"/>
        </w:rPr>
        <w:t>t</w:t>
      </w:r>
      <w:r w:rsidR="00501CB9" w:rsidRPr="639E38F9">
        <w:rPr>
          <w:i/>
          <w:u w:val="single"/>
        </w:rPr>
        <w:t>ū</w:t>
      </w:r>
      <w:r w:rsidRPr="00472578">
        <w:rPr>
          <w:i/>
          <w:iCs/>
          <w:u w:val="single"/>
        </w:rPr>
        <w:t>puna</w:t>
      </w:r>
      <w:r w:rsidRPr="00472578">
        <w:rPr>
          <w:u w:val="single"/>
        </w:rPr>
        <w:t xml:space="preserve"> areas and sites</w:t>
      </w:r>
      <w:r w:rsidRPr="00472578">
        <w:t xml:space="preserve"> </w:t>
      </w:r>
      <w:r w:rsidRPr="00472578">
        <w:rPr>
          <w:strike/>
        </w:rPr>
        <w:t xml:space="preserve">The areas and places of </w:t>
      </w:r>
      <w:r w:rsidRPr="00472578">
        <w:rPr>
          <w:i/>
          <w:strike/>
        </w:rPr>
        <w:t>wāhi tūpuna</w:t>
      </w:r>
      <w:r w:rsidRPr="00472578">
        <w:rPr>
          <w:rStyle w:val="FootnoteReference"/>
          <w:iCs/>
        </w:rPr>
        <w:footnoteReference w:id="1313"/>
      </w:r>
      <w:r w:rsidRPr="00472578">
        <w:t xml:space="preserve"> are identified in the relevant </w:t>
      </w:r>
      <w:r w:rsidRPr="00472578">
        <w:rPr>
          <w:i/>
          <w:iCs/>
        </w:rPr>
        <w:t>regional</w:t>
      </w:r>
      <w:r w:rsidRPr="00472578">
        <w:rPr>
          <w:i/>
          <w:u w:val="single"/>
        </w:rPr>
        <w:t xml:space="preserve"> </w:t>
      </w:r>
      <w:r w:rsidR="008D26F1" w:rsidRPr="00472578">
        <w:rPr>
          <w:i/>
          <w:iCs/>
          <w:u w:val="single"/>
        </w:rPr>
        <w:t>plans</w:t>
      </w:r>
      <w:r w:rsidR="008D26F1" w:rsidRPr="00472578">
        <w:rPr>
          <w:rStyle w:val="FootnoteReference"/>
        </w:rPr>
        <w:footnoteReference w:id="1314"/>
      </w:r>
      <w:r w:rsidRPr="00472578">
        <w:t xml:space="preserve"> and </w:t>
      </w:r>
      <w:r w:rsidRPr="00472578">
        <w:rPr>
          <w:i/>
        </w:rPr>
        <w:t xml:space="preserve">district plans </w:t>
      </w:r>
      <w:r w:rsidRPr="00472578">
        <w:rPr>
          <w:u w:val="single"/>
        </w:rPr>
        <w:t xml:space="preserve">and sensitive sites are </w:t>
      </w:r>
      <w:r w:rsidR="00D32AC4" w:rsidRPr="00472578">
        <w:rPr>
          <w:u w:val="single"/>
        </w:rPr>
        <w:t xml:space="preserve">identified and </w:t>
      </w:r>
      <w:r w:rsidRPr="00472578">
        <w:rPr>
          <w:u w:val="single"/>
        </w:rPr>
        <w:t>protected using mechanisms deemed appropriate by Kāi Tahu</w:t>
      </w:r>
      <w:r w:rsidRPr="00472578">
        <w:rPr>
          <w:i/>
        </w:rPr>
        <w:t>.</w:t>
      </w:r>
      <w:r w:rsidRPr="00472578">
        <w:rPr>
          <w:rStyle w:val="FootnoteReference"/>
          <w:rFonts w:cs="Calibri"/>
        </w:rPr>
        <w:footnoteReference w:id="1315"/>
      </w:r>
      <w:r w:rsidRPr="00472578">
        <w:t xml:space="preserve"> </w:t>
      </w:r>
    </w:p>
    <w:p w14:paraId="7E4896F4" w14:textId="77777777" w:rsidR="00DC6C9B" w:rsidRPr="00472578" w:rsidRDefault="00DC6C9B" w:rsidP="00E92686">
      <w:pPr>
        <w:ind w:left="2127" w:hanging="2127"/>
        <w:jc w:val="both"/>
        <w:rPr>
          <w:rFonts w:ascii="Calibri" w:eastAsia="Calibri" w:hAnsi="Calibri" w:cs="Times New Roman"/>
          <w:b/>
          <w:bCs/>
        </w:rPr>
      </w:pPr>
      <w:r w:rsidRPr="00472578">
        <w:rPr>
          <w:b/>
          <w:color w:val="1F3864" w:themeColor="accent1" w:themeShade="80"/>
        </w:rPr>
        <w:t>HCV</w:t>
      </w:r>
      <w:r w:rsidRPr="00472578">
        <w:rPr>
          <w:b/>
          <w:bCs/>
          <w:color w:val="1F3864" w:themeColor="accent1" w:themeShade="80"/>
        </w:rPr>
        <w:t>-WT-</w:t>
      </w:r>
      <w:r w:rsidRPr="00472578">
        <w:rPr>
          <w:b/>
          <w:color w:val="1F3864" w:themeColor="accent1" w:themeShade="80"/>
        </w:rPr>
        <w:t>AER2</w:t>
      </w:r>
      <w:r w:rsidRPr="00472578">
        <w:rPr>
          <w:rFonts w:ascii="Calibri" w:eastAsia="Calibri" w:hAnsi="Calibri" w:cs="Times New Roman"/>
          <w:b/>
          <w:color w:val="1F3864" w:themeColor="accent1" w:themeShade="80"/>
        </w:rPr>
        <w:t xml:space="preserve"> </w:t>
      </w:r>
      <w:r w:rsidRPr="00472578">
        <w:tab/>
      </w:r>
      <w:r w:rsidRPr="00472578">
        <w:rPr>
          <w:rFonts w:ascii="Calibri" w:eastAsia="Calibri" w:hAnsi="Calibri" w:cs="Times New Roman"/>
          <w:i/>
        </w:rPr>
        <w:t>Wāhi tūpuna</w:t>
      </w:r>
      <w:r w:rsidRPr="00472578">
        <w:rPr>
          <w:rFonts w:ascii="Calibri" w:eastAsia="Calibri" w:hAnsi="Calibri" w:cs="Times New Roman"/>
        </w:rPr>
        <w:t xml:space="preserve"> and their values are </w:t>
      </w:r>
      <w:r w:rsidRPr="00472578">
        <w:rPr>
          <w:rFonts w:ascii="Calibri" w:eastAsia="Calibri" w:hAnsi="Calibri" w:cs="Times New Roman"/>
          <w:strike/>
        </w:rPr>
        <w:t>maintained</w:t>
      </w:r>
      <w:r w:rsidRPr="00472578">
        <w:rPr>
          <w:rFonts w:ascii="Calibri" w:eastAsia="Calibri" w:hAnsi="Calibri" w:cs="Times New Roman"/>
        </w:rPr>
        <w:t xml:space="preserve"> </w:t>
      </w:r>
      <w:r w:rsidRPr="00472578">
        <w:rPr>
          <w:rFonts w:ascii="Calibri" w:eastAsia="Calibri" w:hAnsi="Calibri" w:cs="Times New Roman"/>
          <w:u w:val="single"/>
        </w:rPr>
        <w:t>protected</w:t>
      </w:r>
      <w:r w:rsidRPr="00472578">
        <w:rPr>
          <w:rStyle w:val="FootnoteReference"/>
        </w:rPr>
        <w:footnoteReference w:id="1316"/>
      </w:r>
      <w:r w:rsidRPr="00472578">
        <w:rPr>
          <w:rFonts w:ascii="Calibri" w:eastAsia="Calibri" w:hAnsi="Calibri" w:cs="Times New Roman"/>
        </w:rPr>
        <w:t xml:space="preserve"> </w:t>
      </w:r>
      <w:r w:rsidRPr="639E38F9">
        <w:rPr>
          <w:u w:val="single"/>
        </w:rPr>
        <w:t>and improved where their values have been degraded by human activities</w:t>
      </w:r>
      <w:r w:rsidRPr="00472578">
        <w:rPr>
          <w:rFonts w:ascii="Calibri" w:eastAsia="Calibri" w:hAnsi="Calibri" w:cs="Times New Roman"/>
        </w:rPr>
        <w:t>.</w:t>
      </w:r>
      <w:r w:rsidRPr="639E38F9">
        <w:rPr>
          <w:rStyle w:val="FootnoteReference"/>
        </w:rPr>
        <w:footnoteReference w:id="1317"/>
      </w:r>
    </w:p>
    <w:p w14:paraId="29F0F916" w14:textId="77777777" w:rsidR="00570759" w:rsidRPr="00472578" w:rsidRDefault="00570759" w:rsidP="00E92686">
      <w:pPr>
        <w:jc w:val="both"/>
      </w:pPr>
    </w:p>
    <w:p w14:paraId="2A7A7529" w14:textId="77777777" w:rsidR="00E37317" w:rsidRPr="00472578" w:rsidRDefault="00E37317" w:rsidP="00E92686">
      <w:pPr>
        <w:pStyle w:val="Heading3"/>
        <w:jc w:val="both"/>
      </w:pPr>
      <w:bookmarkStart w:id="320" w:name="_Toc49763566"/>
      <w:bookmarkStart w:id="321" w:name="_Toc52435145"/>
      <w:r w:rsidRPr="00472578">
        <w:lastRenderedPageBreak/>
        <w:t>HCV-HH – Historic heritage</w:t>
      </w:r>
      <w:bookmarkEnd w:id="320"/>
      <w:bookmarkEnd w:id="321"/>
    </w:p>
    <w:p w14:paraId="36ED7133" w14:textId="77777777" w:rsidR="00E37317" w:rsidRPr="00472578" w:rsidRDefault="00E37317" w:rsidP="00E92686">
      <w:pPr>
        <w:pStyle w:val="Heading4"/>
        <w:jc w:val="both"/>
      </w:pPr>
      <w:bookmarkStart w:id="322" w:name="_Toc49763567"/>
      <w:r w:rsidRPr="00472578">
        <w:t>Objective</w:t>
      </w:r>
      <w:bookmarkEnd w:id="322"/>
    </w:p>
    <w:p w14:paraId="4E1C7A0F" w14:textId="77777777" w:rsidR="00E37317" w:rsidRPr="00472578" w:rsidRDefault="00E37317" w:rsidP="00E92686">
      <w:pPr>
        <w:pStyle w:val="Heading5"/>
        <w:jc w:val="both"/>
      </w:pPr>
      <w:bookmarkStart w:id="323" w:name="_Hlk48908413"/>
      <w:r w:rsidRPr="00472578">
        <w:t xml:space="preserve">HCV-HH-O3 – </w:t>
      </w:r>
      <w:r w:rsidRPr="00472578">
        <w:rPr>
          <w:i/>
        </w:rPr>
        <w:t>Historic heritage</w:t>
      </w:r>
      <w:r w:rsidRPr="00472578">
        <w:t xml:space="preserve"> resources</w:t>
      </w:r>
    </w:p>
    <w:bookmarkEnd w:id="323"/>
    <w:p w14:paraId="358364B2" w14:textId="77777777" w:rsidR="00E37317" w:rsidRPr="00472578" w:rsidRDefault="00E37317" w:rsidP="00E92686">
      <w:pPr>
        <w:pStyle w:val="JustifiedSpacing"/>
      </w:pPr>
      <w:r w:rsidRPr="00472578">
        <w:t xml:space="preserve">Otago’s unique </w:t>
      </w:r>
      <w:r w:rsidRPr="00472578">
        <w:rPr>
          <w:i/>
          <w:iCs/>
        </w:rPr>
        <w:t>historic heritage</w:t>
      </w:r>
      <w:r w:rsidRPr="00472578">
        <w:t xml:space="preserve"> contributes to the region’s character, sense of identity, and social, cultural and economic well-being, and is preserved for future generations.</w:t>
      </w:r>
    </w:p>
    <w:p w14:paraId="0CBAD2F0" w14:textId="77777777" w:rsidR="00E37317" w:rsidRPr="00472578" w:rsidRDefault="00E37317" w:rsidP="00E92686">
      <w:pPr>
        <w:pStyle w:val="Heading4"/>
        <w:jc w:val="both"/>
      </w:pPr>
      <w:bookmarkStart w:id="324" w:name="_Toc49763568"/>
      <w:r w:rsidRPr="00472578">
        <w:t>Policies</w:t>
      </w:r>
      <w:bookmarkEnd w:id="324"/>
    </w:p>
    <w:p w14:paraId="763B0598" w14:textId="77777777" w:rsidR="00E37317" w:rsidRPr="00472578" w:rsidRDefault="00E37317" w:rsidP="00E92686">
      <w:pPr>
        <w:pStyle w:val="Heading5"/>
        <w:jc w:val="both"/>
        <w:rPr>
          <w:i/>
        </w:rPr>
      </w:pPr>
      <w:bookmarkStart w:id="325" w:name="_Hlk48908420"/>
      <w:r w:rsidRPr="00472578">
        <w:t xml:space="preserve">HCV-HH-P3 – Recognising </w:t>
      </w:r>
      <w:r w:rsidRPr="00472578">
        <w:rPr>
          <w:i/>
        </w:rPr>
        <w:t>historic heritage</w:t>
      </w:r>
    </w:p>
    <w:bookmarkEnd w:id="325"/>
    <w:p w14:paraId="51529234" w14:textId="77777777" w:rsidR="00E37317" w:rsidRPr="00472578" w:rsidRDefault="00E37317" w:rsidP="00E92686">
      <w:pPr>
        <w:pStyle w:val="JustifiedSpacing"/>
      </w:pPr>
      <w:r w:rsidRPr="00472578">
        <w:t xml:space="preserve">Recognise that Otago’s </w:t>
      </w:r>
      <w:r w:rsidRPr="00472578">
        <w:rPr>
          <w:i/>
          <w:iCs/>
        </w:rPr>
        <w:t>historic heritage</w:t>
      </w:r>
      <w:r w:rsidRPr="00472578">
        <w:t xml:space="preserve"> includes:</w:t>
      </w:r>
    </w:p>
    <w:p w14:paraId="67BFA3A3" w14:textId="77777777" w:rsidR="00E37317" w:rsidRPr="00472578" w:rsidRDefault="00E37317" w:rsidP="00E92686">
      <w:pPr>
        <w:pStyle w:val="JustifiedSpacing"/>
        <w:ind w:left="567" w:hanging="567"/>
      </w:pPr>
      <w:r w:rsidRPr="00472578">
        <w:t>(1)</w:t>
      </w:r>
      <w:r w:rsidRPr="00472578">
        <w:tab/>
      </w:r>
      <w:r w:rsidRPr="00472578">
        <w:rPr>
          <w:strike/>
        </w:rPr>
        <w:t>Māori</w:t>
      </w:r>
      <w:r w:rsidRPr="00472578">
        <w:t xml:space="preserve"> </w:t>
      </w:r>
      <w:r w:rsidRPr="00472578">
        <w:rPr>
          <w:u w:val="single"/>
        </w:rPr>
        <w:t>Kāi Tahu</w:t>
      </w:r>
      <w:r w:rsidRPr="00472578">
        <w:t xml:space="preserve"> cultural and </w:t>
      </w:r>
      <w:r w:rsidRPr="00472578">
        <w:rPr>
          <w:i/>
          <w:iCs/>
        </w:rPr>
        <w:t>historic heritage</w:t>
      </w:r>
      <w:r w:rsidRPr="00472578">
        <w:t xml:space="preserve"> values </w:t>
      </w:r>
      <w:r w:rsidRPr="00472578">
        <w:rPr>
          <w:u w:val="single"/>
        </w:rPr>
        <w:t>and sites</w:t>
      </w:r>
      <w:r w:rsidRPr="00472578">
        <w:t>,</w:t>
      </w:r>
      <w:r w:rsidRPr="00472578">
        <w:rPr>
          <w:rStyle w:val="FootnoteReference"/>
        </w:rPr>
        <w:footnoteReference w:id="1318"/>
      </w:r>
    </w:p>
    <w:p w14:paraId="3DF5A0BF" w14:textId="77777777" w:rsidR="00E37317" w:rsidRPr="00472578" w:rsidRDefault="00E37317" w:rsidP="00E92686">
      <w:pPr>
        <w:pStyle w:val="JustifiedSpacing"/>
        <w:ind w:left="567" w:hanging="567"/>
      </w:pPr>
      <w:r w:rsidRPr="00472578">
        <w:t>(2)</w:t>
      </w:r>
      <w:r w:rsidRPr="00472578">
        <w:tab/>
        <w:t>archaeological sites,</w:t>
      </w:r>
    </w:p>
    <w:p w14:paraId="132494E2" w14:textId="77777777" w:rsidR="00E37317" w:rsidRPr="00472578" w:rsidRDefault="00E37317" w:rsidP="00E92686">
      <w:pPr>
        <w:pStyle w:val="JustifiedSpacing"/>
        <w:ind w:left="567" w:hanging="567"/>
      </w:pPr>
      <w:r w:rsidRPr="00472578">
        <w:t>(3)</w:t>
      </w:r>
      <w:r w:rsidRPr="00472578">
        <w:tab/>
        <w:t xml:space="preserve">residential and commercial </w:t>
      </w:r>
      <w:r w:rsidRPr="00472578">
        <w:rPr>
          <w:i/>
          <w:iCs/>
        </w:rPr>
        <w:t>buildings</w:t>
      </w:r>
      <w:r w:rsidRPr="00472578">
        <w:t>,</w:t>
      </w:r>
    </w:p>
    <w:p w14:paraId="7D705F3D" w14:textId="77777777" w:rsidR="00E37317" w:rsidRPr="00472578" w:rsidRDefault="00E37317" w:rsidP="00E92686">
      <w:pPr>
        <w:pStyle w:val="JustifiedSpacing"/>
        <w:ind w:left="567" w:hanging="567"/>
      </w:pPr>
      <w:r w:rsidRPr="00472578">
        <w:t>(4)</w:t>
      </w:r>
      <w:r w:rsidRPr="00472578">
        <w:tab/>
        <w:t>pastoral sites,</w:t>
      </w:r>
    </w:p>
    <w:p w14:paraId="5B02AFC1" w14:textId="7627D862" w:rsidR="00E37317" w:rsidRPr="00472578" w:rsidRDefault="00E37317" w:rsidP="00E92686">
      <w:pPr>
        <w:pStyle w:val="JustifiedSpacing"/>
        <w:ind w:left="567" w:hanging="567"/>
      </w:pPr>
      <w:r w:rsidRPr="00472578">
        <w:t>(5)</w:t>
      </w:r>
      <w:r w:rsidRPr="00472578">
        <w:tab/>
        <w:t xml:space="preserve">surveying equipment, communications and transport, including </w:t>
      </w:r>
      <w:r w:rsidRPr="00472578">
        <w:rPr>
          <w:i/>
          <w:iCs/>
        </w:rPr>
        <w:t>roads</w:t>
      </w:r>
      <w:r w:rsidRPr="00472578">
        <w:t>, bridges</w:t>
      </w:r>
      <w:r w:rsidRPr="00472578">
        <w:rPr>
          <w:u w:val="single"/>
        </w:rPr>
        <w:t>,</w:t>
      </w:r>
      <w:r w:rsidRPr="00472578">
        <w:rPr>
          <w:iCs/>
          <w:u w:val="single"/>
          <w:lang w:val="en-AU"/>
        </w:rPr>
        <w:t xml:space="preserve"> railway infrastructure</w:t>
      </w:r>
      <w:r w:rsidR="00660B8E" w:rsidRPr="00472578">
        <w:rPr>
          <w:rStyle w:val="FootnoteReference"/>
        </w:rPr>
        <w:footnoteReference w:id="1319"/>
      </w:r>
      <w:r w:rsidR="00660B8E" w:rsidRPr="00472578">
        <w:rPr>
          <w:iCs/>
          <w:lang w:val="en-AU"/>
        </w:rPr>
        <w:t xml:space="preserve"> </w:t>
      </w:r>
      <w:r w:rsidRPr="00472578">
        <w:t>and routes,</w:t>
      </w:r>
    </w:p>
    <w:p w14:paraId="111D5E0D" w14:textId="1EF145D8" w:rsidR="00E37317" w:rsidRPr="00472578" w:rsidRDefault="00E37317" w:rsidP="00E92686">
      <w:pPr>
        <w:pStyle w:val="JustifiedSpacing"/>
        <w:ind w:left="567" w:hanging="567"/>
      </w:pPr>
      <w:r w:rsidRPr="00472578">
        <w:t>(6)</w:t>
      </w:r>
      <w:r w:rsidRPr="00472578">
        <w:tab/>
        <w:t xml:space="preserve">industrial </w:t>
      </w:r>
      <w:r w:rsidRPr="00472578">
        <w:rPr>
          <w:i/>
          <w:iCs/>
        </w:rPr>
        <w:t>historic heritage,</w:t>
      </w:r>
      <w:r w:rsidRPr="00472578">
        <w:t xml:space="preserve"> including mills</w:t>
      </w:r>
      <w:r w:rsidRPr="00472578">
        <w:rPr>
          <w:iCs/>
          <w:u w:val="single"/>
          <w:lang w:val="en-AU"/>
        </w:rPr>
        <w:t>, quarries, limekilns, grain stores, water supply infrastructure</w:t>
      </w:r>
      <w:r w:rsidR="00534075" w:rsidRPr="00472578">
        <w:rPr>
          <w:rStyle w:val="FootnoteReference"/>
        </w:rPr>
        <w:footnoteReference w:id="1320"/>
      </w:r>
      <w:r w:rsidRPr="00472578">
        <w:t xml:space="preserve"> and brickworks,</w:t>
      </w:r>
    </w:p>
    <w:p w14:paraId="2EADD185" w14:textId="1A1FB918" w:rsidR="00E37317" w:rsidRPr="00472578" w:rsidRDefault="00E37317" w:rsidP="00E92686">
      <w:pPr>
        <w:pStyle w:val="JustifiedSpacing"/>
        <w:ind w:left="567" w:hanging="567"/>
      </w:pPr>
      <w:r w:rsidRPr="00472578">
        <w:t>(7)</w:t>
      </w:r>
      <w:r w:rsidRPr="00472578">
        <w:tab/>
        <w:t>gold</w:t>
      </w:r>
      <w:r w:rsidRPr="00472578">
        <w:rPr>
          <w:u w:val="single"/>
        </w:rPr>
        <w:t xml:space="preserve">, </w:t>
      </w:r>
      <w:r w:rsidRPr="00472578">
        <w:rPr>
          <w:iCs/>
          <w:u w:val="single"/>
          <w:lang w:val="en-AU"/>
        </w:rPr>
        <w:t>limestone</w:t>
      </w:r>
      <w:r w:rsidRPr="00472578">
        <w:rPr>
          <w:rStyle w:val="FootnoteReference"/>
        </w:rPr>
        <w:footnoteReference w:id="1321"/>
      </w:r>
      <w:r w:rsidR="00D01B25" w:rsidRPr="00D01B25">
        <w:rPr>
          <w:iCs/>
          <w:lang w:val="en-AU"/>
        </w:rPr>
        <w:t xml:space="preserve"> </w:t>
      </w:r>
      <w:r w:rsidRPr="00472578">
        <w:t>and other mining systems and settlements,</w:t>
      </w:r>
    </w:p>
    <w:p w14:paraId="5D4BA904" w14:textId="23F9B2A4" w:rsidR="00E37317" w:rsidRPr="00472578" w:rsidRDefault="00E37317" w:rsidP="00E92686">
      <w:pPr>
        <w:pStyle w:val="JustifiedSpacing"/>
        <w:ind w:left="567" w:hanging="567"/>
      </w:pPr>
      <w:r w:rsidRPr="00472578">
        <w:t>(8)</w:t>
      </w:r>
      <w:r w:rsidRPr="00472578">
        <w:tab/>
        <w:t xml:space="preserve">dredge and ship wrecks, </w:t>
      </w:r>
      <w:r w:rsidRPr="00472578">
        <w:rPr>
          <w:iCs/>
          <w:u w:val="single"/>
          <w:lang w:val="en-AU"/>
        </w:rPr>
        <w:t>and coastal structures and buildings, including breakwaters, jetties, and lighthouses,</w:t>
      </w:r>
      <w:r w:rsidRPr="00472578">
        <w:rPr>
          <w:rStyle w:val="FootnoteReference"/>
          <w:iCs/>
          <w:lang w:val="en-AU"/>
        </w:rPr>
        <w:footnoteReference w:id="1322"/>
      </w:r>
    </w:p>
    <w:p w14:paraId="3A9FE628" w14:textId="77777777" w:rsidR="00E37317" w:rsidRPr="00472578" w:rsidRDefault="00E37317" w:rsidP="00E92686">
      <w:pPr>
        <w:pStyle w:val="JustifiedSpacing"/>
        <w:ind w:left="567" w:hanging="567"/>
      </w:pPr>
      <w:r w:rsidRPr="00472578">
        <w:t>(9)</w:t>
      </w:r>
      <w:r w:rsidRPr="00472578">
        <w:tab/>
        <w:t>ruins,</w:t>
      </w:r>
    </w:p>
    <w:p w14:paraId="234D4EFF" w14:textId="77777777" w:rsidR="00E37317" w:rsidRPr="00472578" w:rsidRDefault="00E37317" w:rsidP="00E92686">
      <w:pPr>
        <w:pStyle w:val="JustifiedSpacing"/>
        <w:ind w:left="567" w:hanging="567"/>
      </w:pPr>
      <w:r w:rsidRPr="00472578">
        <w:t>(10)</w:t>
      </w:r>
      <w:r w:rsidRPr="00472578">
        <w:tab/>
        <w:t xml:space="preserve">coastal </w:t>
      </w:r>
      <w:r w:rsidRPr="00472578">
        <w:rPr>
          <w:i/>
          <w:iCs/>
        </w:rPr>
        <w:t>historic heritage</w:t>
      </w:r>
      <w:r w:rsidRPr="00472578">
        <w:t>, particularly Kāi Tahu occupation sites and those associated with early European activities such as whaling,</w:t>
      </w:r>
    </w:p>
    <w:p w14:paraId="67DC4488" w14:textId="77777777" w:rsidR="00E37317" w:rsidRPr="00472578" w:rsidRDefault="00E37317" w:rsidP="00E92686">
      <w:pPr>
        <w:pStyle w:val="JustifiedSpacing"/>
        <w:ind w:left="567" w:hanging="567"/>
      </w:pPr>
      <w:r w:rsidRPr="00472578">
        <w:t>(11)</w:t>
      </w:r>
      <w:r w:rsidRPr="00472578">
        <w:tab/>
        <w:t xml:space="preserve">memorials </w:t>
      </w:r>
      <w:r w:rsidRPr="00472578">
        <w:rPr>
          <w:u w:val="single"/>
        </w:rPr>
        <w:t>and cemeteries,</w:t>
      </w:r>
      <w:r w:rsidRPr="00472578">
        <w:rPr>
          <w:rStyle w:val="FootnoteReference"/>
        </w:rPr>
        <w:footnoteReference w:id="1323"/>
      </w:r>
      <w:r w:rsidRPr="00472578">
        <w:t xml:space="preserve"> </w:t>
      </w:r>
      <w:r w:rsidRPr="00472578">
        <w:rPr>
          <w:strike/>
        </w:rPr>
        <w:t>and</w:t>
      </w:r>
    </w:p>
    <w:p w14:paraId="083E0295" w14:textId="77777777" w:rsidR="00E37317" w:rsidRPr="00472578" w:rsidRDefault="00E37317" w:rsidP="00E92686">
      <w:pPr>
        <w:pStyle w:val="JustifiedSpacing"/>
        <w:ind w:left="567" w:hanging="567"/>
      </w:pPr>
      <w:r w:rsidRPr="00472578">
        <w:t>(12)</w:t>
      </w:r>
      <w:r w:rsidRPr="00472578">
        <w:tab/>
        <w:t xml:space="preserve">trees </w:t>
      </w:r>
      <w:r w:rsidRPr="00472578">
        <w:rPr>
          <w:strike/>
        </w:rPr>
        <w:t>and vegetation.</w:t>
      </w:r>
      <w:r w:rsidRPr="00472578">
        <w:rPr>
          <w:u w:val="single"/>
        </w:rPr>
        <w:t>, and</w:t>
      </w:r>
      <w:r w:rsidRPr="00472578">
        <w:rPr>
          <w:rStyle w:val="FootnoteReference"/>
        </w:rPr>
        <w:footnoteReference w:id="1324"/>
      </w:r>
    </w:p>
    <w:p w14:paraId="4DF5B431" w14:textId="77777777" w:rsidR="00E37317" w:rsidRPr="00472578" w:rsidRDefault="00E37317" w:rsidP="00E92686">
      <w:pPr>
        <w:pStyle w:val="Paragraphs"/>
        <w:numPr>
          <w:ilvl w:val="0"/>
          <w:numId w:val="0"/>
        </w:numPr>
        <w:ind w:left="567" w:hanging="567"/>
        <w:jc w:val="both"/>
      </w:pPr>
      <w:r w:rsidRPr="00472578">
        <w:rPr>
          <w:iCs/>
          <w:u w:val="single"/>
          <w:lang w:val="en-AU"/>
        </w:rPr>
        <w:t xml:space="preserve">(13) </w:t>
      </w:r>
      <w:r w:rsidRPr="00472578">
        <w:rPr>
          <w:iCs/>
          <w:u w:val="single"/>
          <w:lang w:val="en-AU"/>
        </w:rPr>
        <w:tab/>
        <w:t>military structures or remains.</w:t>
      </w:r>
      <w:r w:rsidRPr="00472578">
        <w:rPr>
          <w:rStyle w:val="FootnoteReference"/>
          <w:iCs/>
          <w:lang w:val="en-AU"/>
        </w:rPr>
        <w:footnoteReference w:id="1325"/>
      </w:r>
    </w:p>
    <w:p w14:paraId="660EA021" w14:textId="77777777" w:rsidR="00E37317" w:rsidRPr="00472578" w:rsidRDefault="00E37317" w:rsidP="00E92686">
      <w:pPr>
        <w:pStyle w:val="Heading5"/>
        <w:jc w:val="both"/>
      </w:pPr>
      <w:bookmarkStart w:id="326" w:name="_Hlk48908427"/>
      <w:r w:rsidRPr="00472578">
        <w:t xml:space="preserve">HCV-HH-P4 – Identifying </w:t>
      </w:r>
      <w:r w:rsidRPr="00472578">
        <w:rPr>
          <w:i/>
        </w:rPr>
        <w:t>historic heritage</w:t>
      </w:r>
    </w:p>
    <w:bookmarkEnd w:id="326"/>
    <w:p w14:paraId="5A21F425" w14:textId="77777777" w:rsidR="00E37317" w:rsidRPr="00472578" w:rsidRDefault="00E37317" w:rsidP="00E92686">
      <w:pPr>
        <w:pStyle w:val="JustifiedSpacing"/>
      </w:pPr>
      <w:r w:rsidRPr="00472578">
        <w:lastRenderedPageBreak/>
        <w:t xml:space="preserve">Identify the places and areas of </w:t>
      </w:r>
      <w:r w:rsidRPr="00472578">
        <w:rPr>
          <w:i/>
          <w:iCs/>
        </w:rPr>
        <w:t>historic heritage</w:t>
      </w:r>
      <w:r w:rsidRPr="00472578">
        <w:t xml:space="preserve"> in Otago in accordance with APP8 and categorise them as:</w:t>
      </w:r>
    </w:p>
    <w:p w14:paraId="63A00755" w14:textId="77777777" w:rsidR="00E37317" w:rsidRPr="00472578" w:rsidRDefault="00E37317" w:rsidP="00E92686">
      <w:pPr>
        <w:pStyle w:val="JustifiedSpacing"/>
        <w:ind w:left="567" w:hanging="567"/>
      </w:pPr>
      <w:r w:rsidRPr="00472578">
        <w:t>(1)</w:t>
      </w:r>
      <w:r w:rsidRPr="00472578">
        <w:tab/>
        <w:t xml:space="preserve">places and areas with special or outstanding </w:t>
      </w:r>
      <w:r w:rsidRPr="00472578">
        <w:rPr>
          <w:i/>
          <w:iCs/>
        </w:rPr>
        <w:t>historic heritage</w:t>
      </w:r>
      <w:r w:rsidRPr="00472578">
        <w:t xml:space="preserve"> values or qualities, or</w:t>
      </w:r>
    </w:p>
    <w:p w14:paraId="0D462432" w14:textId="77777777" w:rsidR="00E37317" w:rsidRPr="00472578" w:rsidRDefault="00E37317" w:rsidP="00E92686">
      <w:pPr>
        <w:pStyle w:val="JustifiedSpacing"/>
        <w:ind w:left="567" w:hanging="567"/>
      </w:pPr>
      <w:r w:rsidRPr="00472578">
        <w:t>(2)</w:t>
      </w:r>
      <w:r w:rsidRPr="00472578">
        <w:tab/>
        <w:t xml:space="preserve">places and areas with </w:t>
      </w:r>
      <w:r w:rsidRPr="00472578">
        <w:rPr>
          <w:i/>
          <w:iCs/>
        </w:rPr>
        <w:t>historic heritage</w:t>
      </w:r>
      <w:r w:rsidRPr="00472578">
        <w:t xml:space="preserve"> values or qualities. </w:t>
      </w:r>
    </w:p>
    <w:p w14:paraId="56E73D3F" w14:textId="77777777" w:rsidR="00E37317" w:rsidRPr="00472578" w:rsidRDefault="00E37317" w:rsidP="00E92686">
      <w:pPr>
        <w:pStyle w:val="Heading5"/>
        <w:jc w:val="both"/>
        <w:rPr>
          <w:i/>
        </w:rPr>
      </w:pPr>
      <w:bookmarkStart w:id="327" w:name="_Hlk48908433"/>
      <w:r w:rsidRPr="00472578">
        <w:t xml:space="preserve">HCV-HH-P5 – Managing </w:t>
      </w:r>
      <w:r w:rsidRPr="00472578">
        <w:rPr>
          <w:i/>
        </w:rPr>
        <w:t xml:space="preserve">historic heritage </w:t>
      </w:r>
      <w:bookmarkEnd w:id="327"/>
    </w:p>
    <w:p w14:paraId="002584BD" w14:textId="77777777" w:rsidR="00E37317" w:rsidRPr="00472578" w:rsidRDefault="00E37317" w:rsidP="00E92686">
      <w:pPr>
        <w:pStyle w:val="JustifiedSpacing"/>
      </w:pPr>
      <w:r w:rsidRPr="00472578">
        <w:t xml:space="preserve">Protect </w:t>
      </w:r>
      <w:r w:rsidRPr="00472578">
        <w:rPr>
          <w:i/>
          <w:iCs/>
        </w:rPr>
        <w:t>historic heritage</w:t>
      </w:r>
      <w:r w:rsidRPr="00472578">
        <w:t xml:space="preserve"> by:</w:t>
      </w:r>
    </w:p>
    <w:p w14:paraId="3A61FAE3" w14:textId="77777777" w:rsidR="00E37317" w:rsidRPr="00472578" w:rsidRDefault="00E37317" w:rsidP="00E92686">
      <w:pPr>
        <w:pStyle w:val="JustifiedSpacing"/>
        <w:ind w:left="567" w:hanging="567"/>
      </w:pPr>
      <w:r w:rsidRPr="00472578">
        <w:t>(1)</w:t>
      </w:r>
      <w:r w:rsidRPr="00472578">
        <w:tab/>
        <w:t>requiring the use of accidental discovery protocols,</w:t>
      </w:r>
    </w:p>
    <w:p w14:paraId="5BE2A118" w14:textId="77777777" w:rsidR="00E37317" w:rsidRPr="00472578" w:rsidRDefault="00E37317" w:rsidP="00E92686">
      <w:pPr>
        <w:pStyle w:val="JustifiedSpacing"/>
        <w:ind w:left="567" w:hanging="567"/>
      </w:pPr>
      <w:r w:rsidRPr="00472578">
        <w:t>(2)</w:t>
      </w:r>
      <w:r w:rsidRPr="00472578">
        <w:tab/>
        <w:t xml:space="preserve">avoiding adverse </w:t>
      </w:r>
      <w:r w:rsidRPr="00472578">
        <w:rPr>
          <w:i/>
          <w:iCs/>
        </w:rPr>
        <w:t>effects</w:t>
      </w:r>
      <w:r w:rsidRPr="00472578">
        <w:t xml:space="preserve"> on areas or places with special or outstanding </w:t>
      </w:r>
      <w:r w:rsidRPr="00472578">
        <w:rPr>
          <w:i/>
          <w:iCs/>
        </w:rPr>
        <w:t>historic heritage</w:t>
      </w:r>
      <w:r w:rsidRPr="00472578">
        <w:t xml:space="preserve"> values or qualities,</w:t>
      </w:r>
      <w:r w:rsidRPr="00472578">
        <w:rPr>
          <w:u w:val="single"/>
        </w:rPr>
        <w:t xml:space="preserve"> except in the circumstances where HCV-HH-P7 applies,</w:t>
      </w:r>
      <w:r w:rsidRPr="00472578">
        <w:rPr>
          <w:rStyle w:val="FootnoteReference"/>
        </w:rPr>
        <w:footnoteReference w:id="1326"/>
      </w:r>
    </w:p>
    <w:p w14:paraId="204AFAA6" w14:textId="77777777" w:rsidR="00E37317" w:rsidRPr="00472578" w:rsidRDefault="00E37317" w:rsidP="00E92686">
      <w:pPr>
        <w:pStyle w:val="JustifiedSpacing"/>
        <w:ind w:left="567" w:hanging="567"/>
      </w:pPr>
      <w:r w:rsidRPr="00472578">
        <w:t>(3)</w:t>
      </w:r>
      <w:r w:rsidRPr="00472578">
        <w:tab/>
        <w:t xml:space="preserve">avoiding significant adverse </w:t>
      </w:r>
      <w:r w:rsidRPr="00472578">
        <w:rPr>
          <w:i/>
          <w:iCs/>
        </w:rPr>
        <w:t>effects</w:t>
      </w:r>
      <w:r w:rsidRPr="00472578">
        <w:t xml:space="preserve"> on areas or places with </w:t>
      </w:r>
      <w:r w:rsidRPr="00472578">
        <w:rPr>
          <w:i/>
          <w:iCs/>
        </w:rPr>
        <w:t>historic heritage</w:t>
      </w:r>
      <w:r w:rsidRPr="00472578">
        <w:t xml:space="preserve"> values or qualities, </w:t>
      </w:r>
    </w:p>
    <w:p w14:paraId="777E7F7A" w14:textId="44A4F764" w:rsidR="00E37317" w:rsidRPr="00472578" w:rsidRDefault="00E37317" w:rsidP="00E92686">
      <w:pPr>
        <w:pStyle w:val="JustifiedSpacing"/>
        <w:ind w:left="567" w:hanging="567"/>
      </w:pPr>
      <w:r w:rsidRPr="00472578">
        <w:t>(4)</w:t>
      </w:r>
      <w:r w:rsidRPr="00472578">
        <w:tab/>
        <w:t xml:space="preserve">avoiding, as the first priority, other adverse </w:t>
      </w:r>
      <w:r w:rsidRPr="00472578">
        <w:rPr>
          <w:i/>
          <w:iCs/>
        </w:rPr>
        <w:t>effects</w:t>
      </w:r>
      <w:r w:rsidRPr="00472578">
        <w:t xml:space="preserve"> on areas or places with </w:t>
      </w:r>
      <w:r w:rsidRPr="00472578">
        <w:rPr>
          <w:i/>
          <w:iCs/>
        </w:rPr>
        <w:t>historic heritage</w:t>
      </w:r>
      <w:r w:rsidRPr="00472578">
        <w:t xml:space="preserve"> values or qualities, </w:t>
      </w:r>
    </w:p>
    <w:p w14:paraId="4AED6EF8" w14:textId="62E36962" w:rsidR="00E37317" w:rsidRPr="00472578" w:rsidRDefault="00E37317" w:rsidP="00E92686">
      <w:pPr>
        <w:pStyle w:val="JustifiedSpacing"/>
        <w:ind w:left="567" w:hanging="567"/>
      </w:pPr>
      <w:r w:rsidRPr="00472578">
        <w:rPr>
          <w:strike/>
        </w:rPr>
        <w:t>(5)</w:t>
      </w:r>
      <w:r w:rsidRPr="00472578">
        <w:rPr>
          <w:strike/>
        </w:rPr>
        <w:tab/>
      </w:r>
      <w:r w:rsidR="002D3A43" w:rsidRPr="00472578">
        <w:rPr>
          <w:u w:val="single"/>
        </w:rPr>
        <w:t>and</w:t>
      </w:r>
      <w:r w:rsidR="002D3A43" w:rsidRPr="00472578">
        <w:t xml:space="preserve"> </w:t>
      </w:r>
      <w:r w:rsidRPr="00472578">
        <w:t xml:space="preserve">where </w:t>
      </w:r>
      <w:r w:rsidRPr="00472578">
        <w:rPr>
          <w:u w:val="single"/>
        </w:rPr>
        <w:t>it is demonstrated that</w:t>
      </w:r>
      <w:r w:rsidRPr="00472578">
        <w:t xml:space="preserve"> adverse </w:t>
      </w:r>
      <w:r w:rsidRPr="00472578">
        <w:rPr>
          <w:i/>
          <w:iCs/>
        </w:rPr>
        <w:t>effects</w:t>
      </w:r>
      <w:r w:rsidRPr="00472578">
        <w:t xml:space="preserve"> </w:t>
      </w:r>
      <w:r w:rsidRPr="00472578">
        <w:rPr>
          <w:strike/>
        </w:rPr>
        <w:t xml:space="preserve">demonstrably </w:t>
      </w:r>
      <w:r w:rsidRPr="00472578">
        <w:t xml:space="preserve">cannot be completely avoided, </w:t>
      </w:r>
      <w:r w:rsidRPr="00472578">
        <w:rPr>
          <w:u w:val="single"/>
        </w:rPr>
        <w:t>they are remedied or mitigated</w:t>
      </w:r>
      <w:r w:rsidRPr="00472578">
        <w:t xml:space="preserve"> </w:t>
      </w:r>
      <w:r w:rsidRPr="00472578">
        <w:rPr>
          <w:strike/>
        </w:rPr>
        <w:t>remedying or mitigating them</w:t>
      </w:r>
      <w:r w:rsidRPr="00472578">
        <w:t>,</w:t>
      </w:r>
      <w:r w:rsidRPr="00472578">
        <w:rPr>
          <w:rStyle w:val="FootnoteReference"/>
        </w:rPr>
        <w:t xml:space="preserve"> </w:t>
      </w:r>
      <w:r w:rsidRPr="00472578">
        <w:t>and</w:t>
      </w:r>
      <w:r w:rsidRPr="00472578">
        <w:rPr>
          <w:rStyle w:val="FootnoteReference"/>
        </w:rPr>
        <w:footnoteReference w:id="1327"/>
      </w:r>
    </w:p>
    <w:p w14:paraId="11C6FF7B" w14:textId="77777777" w:rsidR="00E37317" w:rsidRPr="00472578" w:rsidRDefault="00E37317" w:rsidP="00E92686">
      <w:pPr>
        <w:pStyle w:val="JustifiedSpacing"/>
        <w:ind w:left="567" w:hanging="567"/>
      </w:pPr>
      <w:r w:rsidRPr="00472578">
        <w:t>(6)</w:t>
      </w:r>
      <w:r w:rsidRPr="00472578">
        <w:tab/>
        <w:t xml:space="preserve">recognising that for </w:t>
      </w:r>
      <w:r w:rsidRPr="00472578">
        <w:rPr>
          <w:i/>
          <w:iCs/>
        </w:rPr>
        <w:t>infrastructure</w:t>
      </w:r>
      <w:r w:rsidRPr="00472578">
        <w:t>, EIT-INF-P13 applies instead of HCV-HH-P5(1) to (5).</w:t>
      </w:r>
    </w:p>
    <w:p w14:paraId="1A43CDEE" w14:textId="77777777" w:rsidR="00E37317" w:rsidRPr="00472578" w:rsidRDefault="00E37317" w:rsidP="00E92686">
      <w:pPr>
        <w:pStyle w:val="Heading5"/>
        <w:jc w:val="both"/>
      </w:pPr>
      <w:bookmarkStart w:id="328" w:name="_Hlk48908440"/>
      <w:r w:rsidRPr="00472578">
        <w:t xml:space="preserve">HCV-HH-P6 – Enhancing </w:t>
      </w:r>
      <w:r w:rsidRPr="00472578">
        <w:rPr>
          <w:i/>
        </w:rPr>
        <w:t>historic heritage</w:t>
      </w:r>
    </w:p>
    <w:bookmarkEnd w:id="328"/>
    <w:p w14:paraId="363FD870" w14:textId="77777777" w:rsidR="00E37317" w:rsidRPr="00472578" w:rsidRDefault="00E37317" w:rsidP="00E92686">
      <w:pPr>
        <w:jc w:val="both"/>
        <w:rPr>
          <w:color w:val="000000"/>
        </w:rPr>
      </w:pPr>
      <w:r w:rsidRPr="00472578">
        <w:t xml:space="preserve">Enhance places and areas of </w:t>
      </w:r>
      <w:r w:rsidRPr="00472578">
        <w:rPr>
          <w:i/>
        </w:rPr>
        <w:t>historic heritage</w:t>
      </w:r>
      <w:r w:rsidRPr="00472578">
        <w:t xml:space="preserve"> wherever possible through the implementation of plan provisions, decisions on applications for </w:t>
      </w:r>
      <w:r w:rsidRPr="00472578">
        <w:rPr>
          <w:i/>
          <w:iCs/>
        </w:rPr>
        <w:t>resource consent</w:t>
      </w:r>
      <w:r w:rsidRPr="00472578">
        <w:t xml:space="preserve"> and notices of requirement and non-regulatory methods.</w:t>
      </w:r>
    </w:p>
    <w:p w14:paraId="4A5F0446" w14:textId="77777777" w:rsidR="00E37317" w:rsidRPr="00472578" w:rsidRDefault="00E37317" w:rsidP="00E92686">
      <w:pPr>
        <w:pStyle w:val="Heading5"/>
        <w:jc w:val="both"/>
      </w:pPr>
      <w:bookmarkStart w:id="329" w:name="_Hlk51847067"/>
      <w:r w:rsidRPr="00472578">
        <w:t>HCV-HH-P7 –</w:t>
      </w:r>
      <w:r w:rsidRPr="00472578" w:rsidDel="002D5BFF">
        <w:t xml:space="preserve"> </w:t>
      </w:r>
      <w:r w:rsidRPr="00472578">
        <w:t xml:space="preserve">Integration of </w:t>
      </w:r>
      <w:r w:rsidRPr="00472578">
        <w:rPr>
          <w:i/>
        </w:rPr>
        <w:t>historic heritage</w:t>
      </w:r>
    </w:p>
    <w:bookmarkEnd w:id="329"/>
    <w:p w14:paraId="3A33C520" w14:textId="77777777" w:rsidR="00E37317" w:rsidRPr="00472578" w:rsidRDefault="00E37317" w:rsidP="00E92686">
      <w:pPr>
        <w:jc w:val="both"/>
      </w:pPr>
      <w:r w:rsidRPr="00472578">
        <w:t xml:space="preserve">Maintain </w:t>
      </w:r>
      <w:r w:rsidRPr="00472578">
        <w:rPr>
          <w:i/>
          <w:iCs/>
        </w:rPr>
        <w:t>historic heritage</w:t>
      </w:r>
      <w:r w:rsidRPr="00472578">
        <w:t xml:space="preserve"> values through the integration of </w:t>
      </w:r>
      <w:r w:rsidRPr="00472578">
        <w:rPr>
          <w:i/>
          <w:iCs/>
        </w:rPr>
        <w:t>historic heritage</w:t>
      </w:r>
      <w:r w:rsidRPr="00472578">
        <w:t xml:space="preserve"> values into new activities and the adaptive reuse or upgrade of </w:t>
      </w:r>
      <w:r w:rsidRPr="00472578">
        <w:rPr>
          <w:i/>
          <w:iCs/>
        </w:rPr>
        <w:t>historic heritage</w:t>
      </w:r>
      <w:r w:rsidRPr="00472578">
        <w:t xml:space="preserve"> places and areas.</w:t>
      </w:r>
    </w:p>
    <w:p w14:paraId="6F1E3257" w14:textId="77777777" w:rsidR="00E37317" w:rsidRPr="00472578" w:rsidRDefault="00E37317" w:rsidP="00E92686">
      <w:pPr>
        <w:pStyle w:val="Heading4"/>
        <w:jc w:val="both"/>
      </w:pPr>
      <w:bookmarkStart w:id="330" w:name="_Toc49763570"/>
      <w:r w:rsidRPr="00472578">
        <w:t>Methods</w:t>
      </w:r>
      <w:bookmarkEnd w:id="330"/>
    </w:p>
    <w:p w14:paraId="747E2C03" w14:textId="77777777" w:rsidR="00E37317" w:rsidRPr="00472578" w:rsidRDefault="00E37317" w:rsidP="00E92686">
      <w:pPr>
        <w:pStyle w:val="Heading5"/>
        <w:jc w:val="both"/>
      </w:pPr>
      <w:bookmarkStart w:id="331" w:name="_Hlk48908447"/>
      <w:r w:rsidRPr="00472578">
        <w:t xml:space="preserve">HCV-HH-M4 – </w:t>
      </w:r>
      <w:r w:rsidRPr="00472578">
        <w:rPr>
          <w:i/>
          <w:iCs/>
        </w:rPr>
        <w:t>Regional plans</w:t>
      </w:r>
    </w:p>
    <w:bookmarkEnd w:id="331"/>
    <w:p w14:paraId="276B6B66" w14:textId="77777777" w:rsidR="00E37317" w:rsidRPr="00472578" w:rsidRDefault="00E37317" w:rsidP="00E92686">
      <w:pPr>
        <w:jc w:val="both"/>
        <w:rPr>
          <w:rFonts w:ascii="Calibri" w:eastAsia="Calibri" w:hAnsi="Calibri" w:cs="Times New Roman"/>
        </w:rPr>
      </w:pPr>
      <w:r w:rsidRPr="00472578">
        <w:rPr>
          <w:rFonts w:ascii="Calibri" w:eastAsia="Calibri" w:hAnsi="Calibri" w:cs="Times New Roman"/>
        </w:rPr>
        <w:t xml:space="preserve">Otago Regional Council </w:t>
      </w:r>
      <w:r w:rsidRPr="00472578">
        <w:t>must</w:t>
      </w:r>
      <w:r w:rsidRPr="00472578" w:rsidDel="006F541A">
        <w:rPr>
          <w:rFonts w:ascii="Calibri" w:eastAsia="Calibri" w:hAnsi="Calibri" w:cs="Times New Roman"/>
        </w:rPr>
        <w:t xml:space="preserve"> </w:t>
      </w:r>
      <w:r w:rsidRPr="00472578">
        <w:rPr>
          <w:rFonts w:ascii="Calibri" w:eastAsia="Calibri" w:hAnsi="Calibri" w:cs="Times New Roman"/>
        </w:rPr>
        <w:t>prepare or amend and maintain</w:t>
      </w:r>
      <w:r w:rsidRPr="00472578">
        <w:t xml:space="preserve"> </w:t>
      </w:r>
      <w:r w:rsidRPr="00472578">
        <w:rPr>
          <w:rFonts w:ascii="Calibri" w:eastAsia="Calibri" w:hAnsi="Calibri" w:cs="Times New Roman"/>
        </w:rPr>
        <w:t xml:space="preserve">its </w:t>
      </w:r>
      <w:r w:rsidRPr="00472578">
        <w:rPr>
          <w:rFonts w:ascii="Calibri" w:eastAsia="Calibri" w:hAnsi="Calibri" w:cs="Times New Roman"/>
          <w:i/>
          <w:iCs/>
        </w:rPr>
        <w:t>regional plans</w:t>
      </w:r>
      <w:r w:rsidRPr="00472578">
        <w:rPr>
          <w:rFonts w:ascii="Calibri" w:eastAsia="Calibri" w:hAnsi="Calibri" w:cs="Times New Roman"/>
        </w:rPr>
        <w:t xml:space="preserve"> to:</w:t>
      </w:r>
    </w:p>
    <w:p w14:paraId="5F03E8B7" w14:textId="77777777" w:rsidR="00E37317" w:rsidRPr="00472578" w:rsidRDefault="00E37317" w:rsidP="00E92686">
      <w:pPr>
        <w:pStyle w:val="JustifiedSpacing"/>
        <w:spacing w:after="120"/>
        <w:ind w:left="567" w:hanging="567"/>
        <w:rPr>
          <w:i/>
          <w:iCs/>
        </w:rPr>
      </w:pPr>
      <w:r w:rsidRPr="00472578">
        <w:t>(1)</w:t>
      </w:r>
      <w:r w:rsidRPr="00472578">
        <w:tab/>
        <w:t xml:space="preserve">identify places and areas with </w:t>
      </w:r>
      <w:r w:rsidRPr="00472578">
        <w:rPr>
          <w:i/>
          <w:iCs/>
        </w:rPr>
        <w:t>historic heritage</w:t>
      </w:r>
      <w:r w:rsidRPr="00472578">
        <w:t xml:space="preserve"> in accordance with HCV-HH-P4 that are located in 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w:t>
      </w:r>
      <w:r w:rsidRPr="00472578">
        <w:rPr>
          <w:i/>
          <w:iCs/>
        </w:rPr>
        <w:t>wetlands</w:t>
      </w:r>
      <w:r w:rsidRPr="00472578">
        <w:t xml:space="preserve"> and the </w:t>
      </w:r>
      <w:r w:rsidRPr="00472578">
        <w:rPr>
          <w:i/>
          <w:iCs/>
        </w:rPr>
        <w:t>coastal marine area,</w:t>
      </w:r>
    </w:p>
    <w:p w14:paraId="3403AB51" w14:textId="77777777" w:rsidR="00E37317" w:rsidRPr="00472578" w:rsidRDefault="00E37317" w:rsidP="00E92686">
      <w:pPr>
        <w:pStyle w:val="JustifiedSpacing"/>
        <w:spacing w:after="120"/>
        <w:ind w:left="567" w:hanging="567"/>
      </w:pPr>
      <w:r w:rsidRPr="00472578">
        <w:t>(2)</w:t>
      </w:r>
      <w:r w:rsidRPr="00472578">
        <w:tab/>
        <w:t xml:space="preserve">control the following where they may adversely affect </w:t>
      </w:r>
      <w:r w:rsidRPr="00472578">
        <w:rPr>
          <w:i/>
          <w:iCs/>
        </w:rPr>
        <w:t>historic heritage</w:t>
      </w:r>
      <w:r w:rsidRPr="00472578">
        <w:t>:</w:t>
      </w:r>
    </w:p>
    <w:p w14:paraId="0BD01F6A" w14:textId="77777777" w:rsidR="00E37317" w:rsidRPr="00472578" w:rsidRDefault="00E37317" w:rsidP="00E92686">
      <w:pPr>
        <w:pStyle w:val="JustifiedSpacing"/>
        <w:spacing w:after="120"/>
        <w:ind w:left="1134" w:hanging="567"/>
      </w:pPr>
      <w:r w:rsidRPr="00472578">
        <w:t>(a)</w:t>
      </w:r>
      <w:r w:rsidRPr="00472578">
        <w:tab/>
        <w:t xml:space="preserve">the character, location, scale and form of </w:t>
      </w:r>
      <w:r w:rsidRPr="00472578">
        <w:rPr>
          <w:i/>
          <w:iCs/>
        </w:rPr>
        <w:t>structures</w:t>
      </w:r>
      <w:r w:rsidRPr="00472578">
        <w:t xml:space="preserve"> in the </w:t>
      </w:r>
      <w:r w:rsidRPr="00472578">
        <w:rPr>
          <w:i/>
          <w:iCs/>
        </w:rPr>
        <w:t>beds</w:t>
      </w:r>
      <w:r w:rsidRPr="00472578">
        <w:t xml:space="preserve"> of </w:t>
      </w:r>
      <w:r w:rsidRPr="00472578">
        <w:rPr>
          <w:i/>
          <w:iCs/>
        </w:rPr>
        <w:t>lakes</w:t>
      </w:r>
      <w:r w:rsidRPr="00472578">
        <w:t xml:space="preserve"> and </w:t>
      </w:r>
      <w:r w:rsidRPr="00472578">
        <w:rPr>
          <w:i/>
          <w:iCs/>
        </w:rPr>
        <w:t xml:space="preserve">rivers, wetlands </w:t>
      </w:r>
      <w:r w:rsidRPr="00472578">
        <w:t xml:space="preserve">and in the </w:t>
      </w:r>
      <w:r w:rsidRPr="00472578">
        <w:rPr>
          <w:i/>
          <w:iCs/>
        </w:rPr>
        <w:t>coastal marine area</w:t>
      </w:r>
      <w:r w:rsidRPr="00472578">
        <w:t>,</w:t>
      </w:r>
    </w:p>
    <w:p w14:paraId="4A51E8F1" w14:textId="77777777" w:rsidR="00E37317" w:rsidRPr="00472578" w:rsidRDefault="00E37317" w:rsidP="00E92686">
      <w:pPr>
        <w:pStyle w:val="JustifiedSpacing"/>
        <w:spacing w:after="120"/>
        <w:ind w:left="1134" w:hanging="567"/>
        <w:rPr>
          <w:i/>
          <w:iCs/>
        </w:rPr>
      </w:pPr>
      <w:r w:rsidRPr="00472578">
        <w:t>(b)</w:t>
      </w:r>
      <w:r w:rsidRPr="00472578">
        <w:tab/>
        <w:t xml:space="preserve">indigenous vegetation removal in the </w:t>
      </w:r>
      <w:r w:rsidRPr="00472578">
        <w:rPr>
          <w:i/>
          <w:iCs/>
        </w:rPr>
        <w:t xml:space="preserve">beds </w:t>
      </w:r>
      <w:r w:rsidRPr="00472578">
        <w:t xml:space="preserve">of </w:t>
      </w:r>
      <w:r w:rsidRPr="00472578">
        <w:rPr>
          <w:i/>
          <w:iCs/>
        </w:rPr>
        <w:t xml:space="preserve">lakes </w:t>
      </w:r>
      <w:r w:rsidRPr="00472578">
        <w:t xml:space="preserve">and </w:t>
      </w:r>
      <w:r w:rsidRPr="00472578">
        <w:rPr>
          <w:i/>
          <w:iCs/>
        </w:rPr>
        <w:t>rivers</w:t>
      </w:r>
      <w:r w:rsidRPr="00472578">
        <w:t xml:space="preserve">, </w:t>
      </w:r>
      <w:r w:rsidRPr="00472578">
        <w:rPr>
          <w:i/>
          <w:iCs/>
        </w:rPr>
        <w:t>wetlands</w:t>
      </w:r>
      <w:r w:rsidRPr="00472578">
        <w:t xml:space="preserve"> and the </w:t>
      </w:r>
      <w:r w:rsidRPr="00472578">
        <w:rPr>
          <w:i/>
          <w:iCs/>
        </w:rPr>
        <w:t>coastal marine area,</w:t>
      </w:r>
    </w:p>
    <w:p w14:paraId="436251AC" w14:textId="77777777" w:rsidR="00E37317" w:rsidRPr="00472578" w:rsidRDefault="00E37317" w:rsidP="00E92686">
      <w:pPr>
        <w:pStyle w:val="JustifiedSpacing"/>
        <w:spacing w:after="120"/>
        <w:ind w:left="1134" w:hanging="567"/>
      </w:pPr>
      <w:r w:rsidRPr="00472578">
        <w:lastRenderedPageBreak/>
        <w:t>(c)</w:t>
      </w:r>
      <w:r w:rsidRPr="00472578">
        <w:tab/>
      </w:r>
      <w:r w:rsidRPr="00472578">
        <w:rPr>
          <w:i/>
          <w:iCs/>
        </w:rPr>
        <w:t>earthworks</w:t>
      </w:r>
      <w:r w:rsidRPr="00472578">
        <w:t xml:space="preserve">, deposition and disturbance to and in 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and in the </w:t>
      </w:r>
      <w:r w:rsidRPr="00472578">
        <w:rPr>
          <w:i/>
          <w:iCs/>
        </w:rPr>
        <w:t>coastal marine area</w:t>
      </w:r>
      <w:r w:rsidRPr="00472578">
        <w:t>,</w:t>
      </w:r>
    </w:p>
    <w:p w14:paraId="2DE41172" w14:textId="77777777" w:rsidR="00E37317" w:rsidRPr="00472578" w:rsidRDefault="00E37317" w:rsidP="00E92686">
      <w:pPr>
        <w:pStyle w:val="JustifiedSpacing"/>
        <w:spacing w:after="120"/>
        <w:ind w:left="1134" w:hanging="567"/>
      </w:pPr>
      <w:r w:rsidRPr="00472578">
        <w:t>(d)</w:t>
      </w:r>
      <w:r w:rsidRPr="00472578">
        <w:tab/>
      </w:r>
      <w:r w:rsidRPr="00472578">
        <w:rPr>
          <w:i/>
          <w:iCs/>
        </w:rPr>
        <w:t>discharges</w:t>
      </w:r>
      <w:r w:rsidRPr="00472578">
        <w:t xml:space="preserve"> to air,</w:t>
      </w:r>
    </w:p>
    <w:p w14:paraId="217E13B7" w14:textId="77777777" w:rsidR="00E37317" w:rsidRPr="00472578" w:rsidRDefault="00E37317" w:rsidP="00E92686">
      <w:pPr>
        <w:pStyle w:val="JustifiedSpacing"/>
        <w:spacing w:after="120"/>
        <w:ind w:left="1134" w:hanging="567"/>
      </w:pPr>
      <w:r w:rsidRPr="00472578">
        <w:t>(e)</w:t>
      </w:r>
      <w:r w:rsidRPr="00472578">
        <w:tab/>
        <w:t xml:space="preserve">taking, use, damming and diversion of, and </w:t>
      </w:r>
      <w:r w:rsidRPr="00472578">
        <w:rPr>
          <w:i/>
          <w:iCs/>
        </w:rPr>
        <w:t>discharges</w:t>
      </w:r>
      <w:r w:rsidRPr="00472578">
        <w:t xml:space="preserve"> to, </w:t>
      </w:r>
      <w:r w:rsidRPr="00472578">
        <w:rPr>
          <w:i/>
          <w:iCs/>
        </w:rPr>
        <w:t>water</w:t>
      </w:r>
      <w:r w:rsidRPr="00472578">
        <w:t>, and</w:t>
      </w:r>
    </w:p>
    <w:p w14:paraId="7CC70A06" w14:textId="77777777" w:rsidR="00E37317" w:rsidRPr="00472578" w:rsidRDefault="00E37317" w:rsidP="00E92686">
      <w:pPr>
        <w:pStyle w:val="JustifiedSpacing"/>
        <w:spacing w:after="120"/>
        <w:ind w:left="1134" w:hanging="567"/>
      </w:pPr>
      <w:r w:rsidRPr="00472578">
        <w:t>(f)</w:t>
      </w:r>
      <w:r w:rsidRPr="00472578">
        <w:tab/>
        <w:t xml:space="preserve">the disturbance, demolition or alteration of physical elements or </w:t>
      </w:r>
      <w:r w:rsidRPr="00472578">
        <w:rPr>
          <w:i/>
          <w:iCs/>
        </w:rPr>
        <w:t>structures</w:t>
      </w:r>
      <w:r w:rsidRPr="00472578">
        <w:t xml:space="preserve"> of </w:t>
      </w:r>
      <w:r w:rsidRPr="00472578">
        <w:rPr>
          <w:i/>
          <w:iCs/>
        </w:rPr>
        <w:t>historic heritage</w:t>
      </w:r>
      <w:r w:rsidRPr="00472578">
        <w:t xml:space="preserve"> in the </w:t>
      </w:r>
      <w:r w:rsidRPr="00472578">
        <w:rPr>
          <w:i/>
          <w:iCs/>
        </w:rPr>
        <w:t>beds</w:t>
      </w:r>
      <w:r w:rsidRPr="00472578">
        <w:t xml:space="preserve"> of </w:t>
      </w:r>
      <w:r w:rsidRPr="00472578">
        <w:rPr>
          <w:i/>
          <w:iCs/>
        </w:rPr>
        <w:t>lakes</w:t>
      </w:r>
      <w:r w:rsidRPr="00472578">
        <w:t xml:space="preserve"> and </w:t>
      </w:r>
      <w:r w:rsidRPr="00472578">
        <w:rPr>
          <w:i/>
          <w:iCs/>
        </w:rPr>
        <w:t xml:space="preserve">rivers </w:t>
      </w:r>
      <w:r w:rsidRPr="00472578">
        <w:t xml:space="preserve">and in the </w:t>
      </w:r>
      <w:r w:rsidRPr="00472578">
        <w:rPr>
          <w:i/>
          <w:iCs/>
        </w:rPr>
        <w:t>coastal marine area</w:t>
      </w:r>
      <w:r w:rsidRPr="00472578">
        <w:t xml:space="preserve">, </w:t>
      </w:r>
    </w:p>
    <w:p w14:paraId="7AD8915F" w14:textId="39387ADA" w:rsidR="00E37317" w:rsidRPr="00472578" w:rsidRDefault="00E37317" w:rsidP="00E92686">
      <w:pPr>
        <w:pStyle w:val="Paragraphs"/>
        <w:numPr>
          <w:ilvl w:val="0"/>
          <w:numId w:val="0"/>
        </w:numPr>
        <w:spacing w:after="120" w:line="259" w:lineRule="auto"/>
        <w:ind w:left="567" w:hanging="567"/>
        <w:jc w:val="both"/>
        <w:rPr>
          <w:u w:val="single"/>
        </w:rPr>
      </w:pPr>
      <w:r w:rsidRPr="00472578">
        <w:rPr>
          <w:u w:val="single"/>
        </w:rPr>
        <w:t>(2</w:t>
      </w:r>
      <w:r w:rsidR="00C5333A" w:rsidRPr="00472578">
        <w:rPr>
          <w:u w:val="single"/>
        </w:rPr>
        <w:t>A</w:t>
      </w:r>
      <w:r w:rsidRPr="00472578">
        <w:rPr>
          <w:u w:val="single"/>
        </w:rPr>
        <w:t xml:space="preserve">) </w:t>
      </w:r>
      <w:r w:rsidRPr="00472578">
        <w:rPr>
          <w:u w:val="single"/>
        </w:rPr>
        <w:tab/>
        <w:t>enable Kāi Tahu to identify places and areas with historic heritage values for mana whenua in accordance with HCV-HH-P4 that are located on the beds of lakes and rivers, and in wetlands and the coastal marine area</w:t>
      </w:r>
      <w:r w:rsidRPr="00472578">
        <w:t>,</w:t>
      </w:r>
      <w:r w:rsidRPr="00472578">
        <w:rPr>
          <w:rStyle w:val="FootnoteReference"/>
        </w:rPr>
        <w:footnoteReference w:id="1328"/>
      </w:r>
    </w:p>
    <w:p w14:paraId="614DD9D4" w14:textId="77777777" w:rsidR="00E37317" w:rsidRPr="00472578" w:rsidRDefault="00E37317" w:rsidP="00E92686">
      <w:pPr>
        <w:pStyle w:val="JustifiedSpacing"/>
        <w:spacing w:after="120"/>
        <w:ind w:left="567" w:hanging="567"/>
      </w:pPr>
      <w:r w:rsidRPr="00472578">
        <w:t>(3)</w:t>
      </w:r>
      <w:r w:rsidRPr="00472578">
        <w:tab/>
        <w:t xml:space="preserve">include implementation methods to protect </w:t>
      </w:r>
      <w:r w:rsidRPr="00472578">
        <w:rPr>
          <w:i/>
          <w:iCs/>
        </w:rPr>
        <w:t>historic heritage</w:t>
      </w:r>
      <w:r w:rsidRPr="00472578" w:rsidDel="00F628EF">
        <w:rPr>
          <w:i/>
        </w:rPr>
        <w:t xml:space="preserve"> </w:t>
      </w:r>
      <w:r w:rsidRPr="00472578">
        <w:t xml:space="preserve">that are in accordance with HCV-HH-P5 </w:t>
      </w:r>
      <w:r w:rsidRPr="00472578" w:rsidDel="00F628EF">
        <w:t xml:space="preserve">and </w:t>
      </w:r>
      <w:r w:rsidRPr="00472578">
        <w:t>may also include:</w:t>
      </w:r>
    </w:p>
    <w:p w14:paraId="02AA7EA6" w14:textId="77777777" w:rsidR="00E37317" w:rsidRPr="00472578" w:rsidRDefault="00E37317" w:rsidP="00E92686">
      <w:pPr>
        <w:pStyle w:val="JustifiedSpacing"/>
        <w:spacing w:after="120"/>
        <w:ind w:left="1134" w:hanging="567"/>
      </w:pPr>
      <w:r w:rsidRPr="00472578">
        <w:t>(a)</w:t>
      </w:r>
      <w:r w:rsidRPr="00472578">
        <w:tab/>
        <w:t xml:space="preserve">assessment criteria, development standards or thresholds to control the scale, intensity, form and location of activities (including for the purposes of controlling cumulative adverse </w:t>
      </w:r>
      <w:r w:rsidRPr="00472578">
        <w:rPr>
          <w:i/>
          <w:iCs/>
        </w:rPr>
        <w:t>effects</w:t>
      </w:r>
      <w:r w:rsidRPr="00472578">
        <w:t>), and</w:t>
      </w:r>
    </w:p>
    <w:p w14:paraId="61C9579B" w14:textId="77777777" w:rsidR="00E37317" w:rsidRPr="00472578" w:rsidRDefault="00E37317" w:rsidP="00E92686">
      <w:pPr>
        <w:pStyle w:val="JustifiedSpacing"/>
        <w:spacing w:after="120"/>
        <w:ind w:left="1134" w:hanging="567"/>
      </w:pPr>
      <w:r w:rsidRPr="00472578">
        <w:t>(b)</w:t>
      </w:r>
      <w:r w:rsidRPr="00472578">
        <w:tab/>
        <w:t xml:space="preserve">conditions on </w:t>
      </w:r>
      <w:r w:rsidRPr="00472578">
        <w:rPr>
          <w:i/>
          <w:iCs/>
        </w:rPr>
        <w:t>resource consents</w:t>
      </w:r>
      <w:r w:rsidRPr="00472578">
        <w:t xml:space="preserve"> to provide buffers or setbacks between </w:t>
      </w:r>
      <w:r w:rsidRPr="00472578">
        <w:rPr>
          <w:i/>
          <w:iCs/>
        </w:rPr>
        <w:t>historic heritage</w:t>
      </w:r>
      <w:r w:rsidRPr="00472578">
        <w:t xml:space="preserve"> places or areas and other incompatible activity, and</w:t>
      </w:r>
    </w:p>
    <w:p w14:paraId="0432C316" w14:textId="77777777" w:rsidR="00E37317" w:rsidRPr="00472578" w:rsidRDefault="00E37317" w:rsidP="00E92686">
      <w:pPr>
        <w:pStyle w:val="JustifiedSpacing"/>
        <w:spacing w:after="120"/>
        <w:ind w:left="720" w:hanging="720"/>
      </w:pPr>
      <w:r w:rsidRPr="00472578">
        <w:t>(4)</w:t>
      </w:r>
      <w:r w:rsidRPr="00472578">
        <w:tab/>
        <w:t xml:space="preserve">require the use of accidental discovery protocols as conditions on </w:t>
      </w:r>
      <w:r w:rsidRPr="00472578">
        <w:rPr>
          <w:i/>
        </w:rPr>
        <w:t>resource consents</w:t>
      </w:r>
      <w:r w:rsidRPr="00472578">
        <w:t xml:space="preserve"> for </w:t>
      </w:r>
      <w:r w:rsidRPr="00472578">
        <w:rPr>
          <w:i/>
          <w:iCs/>
        </w:rPr>
        <w:t xml:space="preserve">earthworks </w:t>
      </w:r>
      <w:r w:rsidRPr="00472578">
        <w:t>or other activities that may encounter archaeological features.</w:t>
      </w:r>
    </w:p>
    <w:p w14:paraId="2A72CB15" w14:textId="77777777" w:rsidR="00E37317" w:rsidRPr="00472578" w:rsidRDefault="00E37317" w:rsidP="00E92686">
      <w:pPr>
        <w:pStyle w:val="Heading5"/>
        <w:jc w:val="both"/>
      </w:pPr>
      <w:bookmarkStart w:id="332" w:name="_Hlk48908458"/>
      <w:r w:rsidRPr="00472578">
        <w:t xml:space="preserve">HCV-HH-M5 – </w:t>
      </w:r>
      <w:r w:rsidRPr="00472578">
        <w:rPr>
          <w:i/>
          <w:iCs/>
        </w:rPr>
        <w:t>District Plans</w:t>
      </w:r>
    </w:p>
    <w:bookmarkEnd w:id="332"/>
    <w:p w14:paraId="10E59EED" w14:textId="77777777" w:rsidR="00E37317" w:rsidRPr="00472578" w:rsidRDefault="00E37317" w:rsidP="00E92686">
      <w:pPr>
        <w:pStyle w:val="JustifiedSpacing"/>
        <w:spacing w:after="120"/>
      </w:pPr>
      <w:r w:rsidRPr="00472578">
        <w:rPr>
          <w:i/>
          <w:iCs/>
        </w:rPr>
        <w:t>Territorial authorities</w:t>
      </w:r>
      <w:r w:rsidRPr="00472578">
        <w:t xml:space="preserve"> must</w:t>
      </w:r>
      <w:r w:rsidRPr="00472578" w:rsidDel="006F541A">
        <w:t xml:space="preserve"> </w:t>
      </w:r>
      <w:r w:rsidRPr="00472578">
        <w:t xml:space="preserve">prepare or amend and maintain their </w:t>
      </w:r>
      <w:r w:rsidRPr="00472578">
        <w:rPr>
          <w:i/>
          <w:iCs/>
        </w:rPr>
        <w:t>district plans</w:t>
      </w:r>
      <w:r w:rsidRPr="00472578">
        <w:t xml:space="preserve"> to the extent necessary to:</w:t>
      </w:r>
    </w:p>
    <w:p w14:paraId="540EA9B6" w14:textId="77777777" w:rsidR="00E37317" w:rsidRPr="00472578" w:rsidRDefault="00E37317" w:rsidP="00E92686">
      <w:pPr>
        <w:pStyle w:val="JustifiedSpacing"/>
        <w:spacing w:after="120"/>
        <w:ind w:left="567" w:hanging="567"/>
        <w:rPr>
          <w:i/>
          <w:iCs/>
        </w:rPr>
      </w:pPr>
      <w:r w:rsidRPr="00472578">
        <w:t>(1)</w:t>
      </w:r>
      <w:r w:rsidRPr="00472578">
        <w:tab/>
        <w:t xml:space="preserve">identify places and areas with </w:t>
      </w:r>
      <w:r w:rsidRPr="00472578">
        <w:rPr>
          <w:i/>
          <w:iCs/>
        </w:rPr>
        <w:t>historic heritage</w:t>
      </w:r>
      <w:r w:rsidRPr="00472578">
        <w:t xml:space="preserve"> in accordance with HCV-HH-P4 that are located outside the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 xml:space="preserve">, </w:t>
      </w:r>
      <w:r w:rsidRPr="00472578">
        <w:rPr>
          <w:i/>
          <w:iCs/>
        </w:rPr>
        <w:t>wetlands</w:t>
      </w:r>
      <w:r w:rsidRPr="00472578">
        <w:t xml:space="preserve"> and the </w:t>
      </w:r>
      <w:r w:rsidRPr="00472578">
        <w:rPr>
          <w:i/>
          <w:iCs/>
        </w:rPr>
        <w:t>coastal marine area,</w:t>
      </w:r>
    </w:p>
    <w:p w14:paraId="51918D1F" w14:textId="77777777" w:rsidR="00E37317" w:rsidRPr="00472578" w:rsidRDefault="00E37317" w:rsidP="00E92686">
      <w:pPr>
        <w:pStyle w:val="JustifiedSpacing"/>
        <w:spacing w:after="120"/>
        <w:ind w:left="567" w:hanging="567"/>
      </w:pPr>
      <w:r w:rsidRPr="00472578">
        <w:t>(2)</w:t>
      </w:r>
      <w:r w:rsidRPr="00472578">
        <w:tab/>
        <w:t xml:space="preserve">control the following where they may adversely affect </w:t>
      </w:r>
      <w:r w:rsidRPr="00472578">
        <w:rPr>
          <w:i/>
          <w:iCs/>
        </w:rPr>
        <w:t>historic heritage</w:t>
      </w:r>
      <w:r w:rsidRPr="00472578">
        <w:t>:</w:t>
      </w:r>
    </w:p>
    <w:p w14:paraId="57DFCE94" w14:textId="77777777" w:rsidR="00E37317" w:rsidRPr="00472578" w:rsidRDefault="00E37317" w:rsidP="00E92686">
      <w:pPr>
        <w:pStyle w:val="JustifiedSpacing"/>
        <w:spacing w:after="120"/>
        <w:ind w:left="1134" w:hanging="567"/>
      </w:pPr>
      <w:r w:rsidRPr="00472578">
        <w:t>(a)</w:t>
      </w:r>
      <w:r w:rsidRPr="00472578">
        <w:tab/>
        <w:t xml:space="preserve">the location, intensity and form of </w:t>
      </w:r>
      <w:r w:rsidRPr="00472578">
        <w:rPr>
          <w:i/>
          <w:iCs/>
        </w:rPr>
        <w:t>subdivision</w:t>
      </w:r>
      <w:r w:rsidRPr="00472578">
        <w:t>,</w:t>
      </w:r>
    </w:p>
    <w:p w14:paraId="4004E852" w14:textId="77777777" w:rsidR="00E37317" w:rsidRPr="00472578" w:rsidRDefault="00E37317" w:rsidP="00E92686">
      <w:pPr>
        <w:pStyle w:val="JustifiedSpacing"/>
        <w:spacing w:after="120"/>
        <w:ind w:left="1134" w:hanging="567"/>
      </w:pPr>
      <w:r w:rsidRPr="00472578">
        <w:t>(b)</w:t>
      </w:r>
      <w:r w:rsidRPr="00472578">
        <w:tab/>
        <w:t xml:space="preserve">the character, location, scale and form of activities (including </w:t>
      </w:r>
      <w:r w:rsidRPr="00472578">
        <w:rPr>
          <w:i/>
          <w:iCs/>
        </w:rPr>
        <w:t>structures</w:t>
      </w:r>
      <w:r w:rsidRPr="00472578">
        <w:t>) outside</w:t>
      </w:r>
      <w:r w:rsidRPr="00472578">
        <w:rPr>
          <w:i/>
          <w:iCs/>
        </w:rPr>
        <w:t xml:space="preserve"> </w:t>
      </w:r>
      <w:r w:rsidRPr="00472578">
        <w:t xml:space="preserve">the </w:t>
      </w:r>
      <w:r w:rsidRPr="00472578">
        <w:rPr>
          <w:i/>
          <w:iCs/>
        </w:rPr>
        <w:t>beds</w:t>
      </w:r>
      <w:r w:rsidRPr="00472578">
        <w:t xml:space="preserve"> of </w:t>
      </w:r>
      <w:r w:rsidRPr="00472578">
        <w:rPr>
          <w:i/>
          <w:iCs/>
        </w:rPr>
        <w:t>lakes</w:t>
      </w:r>
      <w:r w:rsidRPr="00472578">
        <w:t xml:space="preserve"> and </w:t>
      </w:r>
      <w:r w:rsidRPr="00472578">
        <w:rPr>
          <w:i/>
          <w:iCs/>
        </w:rPr>
        <w:t xml:space="preserve">rivers </w:t>
      </w:r>
      <w:r w:rsidRPr="00472578">
        <w:t xml:space="preserve">and the </w:t>
      </w:r>
      <w:r w:rsidRPr="00472578">
        <w:rPr>
          <w:i/>
          <w:iCs/>
        </w:rPr>
        <w:t>coastal marine area</w:t>
      </w:r>
      <w:r w:rsidRPr="00472578">
        <w:t>,</w:t>
      </w:r>
    </w:p>
    <w:p w14:paraId="1751627D" w14:textId="77777777" w:rsidR="00E37317" w:rsidRPr="00472578" w:rsidRDefault="00E37317" w:rsidP="00E92686">
      <w:pPr>
        <w:pStyle w:val="JustifiedSpacing"/>
        <w:spacing w:after="120"/>
        <w:ind w:left="1134" w:hanging="567"/>
        <w:rPr>
          <w:i/>
          <w:iCs/>
        </w:rPr>
      </w:pPr>
      <w:r w:rsidRPr="00472578">
        <w:t>(c)</w:t>
      </w:r>
      <w:r w:rsidRPr="00472578">
        <w:tab/>
        <w:t xml:space="preserve">the location and scale of </w:t>
      </w:r>
      <w:r w:rsidRPr="00472578">
        <w:rPr>
          <w:i/>
          <w:iCs/>
        </w:rPr>
        <w:t>earthworks</w:t>
      </w:r>
      <w:r w:rsidRPr="00472578">
        <w:t xml:space="preserve"> and indigenous vegetation removal outside the </w:t>
      </w:r>
      <w:r w:rsidRPr="00472578">
        <w:rPr>
          <w:i/>
          <w:iCs/>
        </w:rPr>
        <w:t>beds</w:t>
      </w:r>
      <w:r w:rsidRPr="00472578">
        <w:t xml:space="preserve"> of </w:t>
      </w:r>
      <w:r w:rsidRPr="00472578">
        <w:rPr>
          <w:i/>
          <w:iCs/>
        </w:rPr>
        <w:t>lakes</w:t>
      </w:r>
      <w:r w:rsidRPr="00472578">
        <w:t xml:space="preserve"> and </w:t>
      </w:r>
      <w:r w:rsidRPr="00472578">
        <w:rPr>
          <w:i/>
          <w:iCs/>
        </w:rPr>
        <w:t xml:space="preserve">rivers </w:t>
      </w:r>
      <w:r w:rsidRPr="00472578">
        <w:t>and the</w:t>
      </w:r>
      <w:r w:rsidRPr="00472578" w:rsidDel="00384F15">
        <w:t xml:space="preserve"> </w:t>
      </w:r>
      <w:r w:rsidRPr="00472578">
        <w:rPr>
          <w:i/>
          <w:iCs/>
        </w:rPr>
        <w:t>coastal marine area,</w:t>
      </w:r>
    </w:p>
    <w:p w14:paraId="283C20F1" w14:textId="5E42E164" w:rsidR="00E37317" w:rsidRPr="00472578" w:rsidRDefault="00E37317" w:rsidP="00E92686">
      <w:pPr>
        <w:pStyle w:val="JustifiedSpacing"/>
        <w:spacing w:after="120"/>
        <w:ind w:left="1134" w:hanging="567"/>
      </w:pPr>
      <w:r w:rsidRPr="00472578">
        <w:t>(d)</w:t>
      </w:r>
      <w:r w:rsidRPr="00472578">
        <w:tab/>
        <w:t xml:space="preserve">the disturbance, demolition or alteration of physical elements or </w:t>
      </w:r>
      <w:r w:rsidRPr="00472578">
        <w:rPr>
          <w:i/>
          <w:iCs/>
        </w:rPr>
        <w:t>structures</w:t>
      </w:r>
      <w:r w:rsidRPr="00472578">
        <w:t xml:space="preserve"> with special or outstanding </w:t>
      </w:r>
      <w:r w:rsidRPr="00472578">
        <w:rPr>
          <w:i/>
          <w:iCs/>
        </w:rPr>
        <w:t>historic heritage</w:t>
      </w:r>
      <w:r w:rsidRPr="00472578">
        <w:rPr>
          <w:i/>
        </w:rPr>
        <w:t xml:space="preserve"> </w:t>
      </w:r>
      <w:r w:rsidRPr="00472578">
        <w:t xml:space="preserve">value or qualities outside the </w:t>
      </w:r>
      <w:r w:rsidRPr="00472578">
        <w:rPr>
          <w:i/>
          <w:iCs/>
        </w:rPr>
        <w:t>coastal marine area</w:t>
      </w:r>
      <w:r w:rsidRPr="00472578">
        <w:t xml:space="preserve">, </w:t>
      </w:r>
      <w:r w:rsidRPr="00472578">
        <w:rPr>
          <w:i/>
          <w:iCs/>
        </w:rPr>
        <w:t>beds</w:t>
      </w:r>
      <w:r w:rsidRPr="00472578">
        <w:t xml:space="preserve"> of </w:t>
      </w:r>
      <w:r w:rsidRPr="00472578">
        <w:rPr>
          <w:i/>
          <w:iCs/>
        </w:rPr>
        <w:t>lakes</w:t>
      </w:r>
      <w:r w:rsidRPr="00472578">
        <w:t xml:space="preserve"> and </w:t>
      </w:r>
      <w:r w:rsidRPr="00472578">
        <w:rPr>
          <w:i/>
          <w:iCs/>
        </w:rPr>
        <w:t>rivers</w:t>
      </w:r>
      <w:r w:rsidRPr="00472578">
        <w:t>,</w:t>
      </w:r>
    </w:p>
    <w:p w14:paraId="25C874A0" w14:textId="39F6C433" w:rsidR="00E37317" w:rsidRPr="00472578" w:rsidRDefault="00E37317" w:rsidP="00E92686">
      <w:pPr>
        <w:pStyle w:val="Paragraphs"/>
        <w:numPr>
          <w:ilvl w:val="0"/>
          <w:numId w:val="0"/>
        </w:numPr>
        <w:spacing w:after="120" w:line="259" w:lineRule="auto"/>
        <w:ind w:left="567" w:hanging="567"/>
        <w:jc w:val="both"/>
        <w:rPr>
          <w:u w:val="single"/>
        </w:rPr>
      </w:pPr>
      <w:r w:rsidRPr="00472578">
        <w:rPr>
          <w:u w:val="single"/>
        </w:rPr>
        <w:t>(2</w:t>
      </w:r>
      <w:r w:rsidR="00BB0A7D" w:rsidRPr="00472578">
        <w:rPr>
          <w:u w:val="single"/>
        </w:rPr>
        <w:t>A</w:t>
      </w:r>
      <w:r w:rsidRPr="00472578">
        <w:rPr>
          <w:u w:val="single"/>
        </w:rPr>
        <w:t>)</w:t>
      </w:r>
      <w:r w:rsidRPr="00472578">
        <w:rPr>
          <w:u w:val="single"/>
        </w:rPr>
        <w:tab/>
        <w:t>enable Kāi Tahu to identify places and areas with historic heritage values for mana whenua in accordance with HCV-HH-P4 that are located outside the beds of lakes and rivers, wetlands and the coastal marine area,</w:t>
      </w:r>
      <w:r w:rsidRPr="00472578">
        <w:rPr>
          <w:rStyle w:val="FootnoteReference"/>
        </w:rPr>
        <w:footnoteReference w:id="1329"/>
      </w:r>
    </w:p>
    <w:p w14:paraId="162EE503" w14:textId="77777777" w:rsidR="00E37317" w:rsidRPr="00472578" w:rsidRDefault="00E37317" w:rsidP="00E92686">
      <w:pPr>
        <w:pStyle w:val="JustifiedSpacing"/>
        <w:spacing w:after="120"/>
        <w:ind w:left="567" w:hanging="567"/>
      </w:pPr>
      <w:r w:rsidRPr="00472578">
        <w:t>(3)</w:t>
      </w:r>
      <w:r w:rsidRPr="00472578">
        <w:tab/>
        <w:t xml:space="preserve">include implementation methods to protect </w:t>
      </w:r>
      <w:r w:rsidRPr="00472578">
        <w:rPr>
          <w:i/>
          <w:iCs/>
        </w:rPr>
        <w:t>historic heritage</w:t>
      </w:r>
      <w:r w:rsidRPr="00472578">
        <w:t xml:space="preserve"> places and areas</w:t>
      </w:r>
      <w:r w:rsidRPr="00472578" w:rsidDel="00C56DB5">
        <w:t xml:space="preserve"> </w:t>
      </w:r>
      <w:r w:rsidRPr="00472578">
        <w:t>required by HCV-HH-P5,</w:t>
      </w:r>
      <w:r w:rsidRPr="00472578" w:rsidDel="00C56DB5">
        <w:t xml:space="preserve"> and </w:t>
      </w:r>
      <w:r w:rsidRPr="00472578">
        <w:t>may also include:</w:t>
      </w:r>
    </w:p>
    <w:p w14:paraId="20145120" w14:textId="77777777" w:rsidR="00E37317" w:rsidRPr="00472578" w:rsidRDefault="00E37317" w:rsidP="00E92686">
      <w:pPr>
        <w:pStyle w:val="JustifiedSpacing"/>
        <w:spacing w:after="120"/>
        <w:ind w:left="1134" w:hanging="567"/>
      </w:pPr>
      <w:r w:rsidRPr="00472578">
        <w:lastRenderedPageBreak/>
        <w:t>(a)</w:t>
      </w:r>
      <w:r w:rsidRPr="00472578">
        <w:tab/>
        <w:t xml:space="preserve">assessment criteria, development standards or thresholds to control the scale, intensity, form and location of activities (including for the purposes of controlling cumulative adverse </w:t>
      </w:r>
      <w:r w:rsidRPr="00472578">
        <w:rPr>
          <w:i/>
          <w:iCs/>
        </w:rPr>
        <w:t>effects</w:t>
      </w:r>
      <w:r w:rsidRPr="00472578">
        <w:t>),</w:t>
      </w:r>
    </w:p>
    <w:p w14:paraId="4678F278" w14:textId="77777777" w:rsidR="00E37317" w:rsidRPr="00472578" w:rsidRDefault="00E37317" w:rsidP="00E92686">
      <w:pPr>
        <w:pStyle w:val="JustifiedSpacing"/>
        <w:spacing w:after="120"/>
        <w:ind w:left="1134" w:hanging="567"/>
      </w:pPr>
      <w:r w:rsidRPr="00472578">
        <w:t>(b)</w:t>
      </w:r>
      <w:r w:rsidRPr="00472578">
        <w:tab/>
        <w:t xml:space="preserve">conditions on </w:t>
      </w:r>
      <w:r w:rsidRPr="00472578">
        <w:rPr>
          <w:i/>
          <w:iCs/>
        </w:rPr>
        <w:t>resource consents</w:t>
      </w:r>
      <w:r w:rsidRPr="00472578">
        <w:t xml:space="preserve"> </w:t>
      </w:r>
      <w:r w:rsidRPr="00472578">
        <w:rPr>
          <w:rFonts w:asciiTheme="minorHAnsi" w:hAnsiTheme="minorHAnsi" w:cstheme="minorHAnsi"/>
        </w:rPr>
        <w:t xml:space="preserve">and designations to provide buffers or setbacks between </w:t>
      </w:r>
      <w:r w:rsidRPr="00472578">
        <w:rPr>
          <w:rFonts w:asciiTheme="minorHAnsi" w:hAnsiTheme="minorHAnsi" w:cstheme="minorHAnsi"/>
          <w:i/>
          <w:iCs/>
        </w:rPr>
        <w:t>historic heritage</w:t>
      </w:r>
      <w:r w:rsidRPr="00472578">
        <w:rPr>
          <w:rFonts w:asciiTheme="minorHAnsi" w:hAnsiTheme="minorHAnsi" w:cstheme="minorHAnsi"/>
        </w:rPr>
        <w:t xml:space="preserve"> places or areas and other incompatible activity,</w:t>
      </w:r>
    </w:p>
    <w:p w14:paraId="28FAC820" w14:textId="77777777" w:rsidR="00E37317" w:rsidRPr="00472578" w:rsidRDefault="00E37317" w:rsidP="00E92686">
      <w:pPr>
        <w:pStyle w:val="JustifiedSpacing"/>
        <w:spacing w:after="120"/>
        <w:ind w:left="1134" w:hanging="567"/>
      </w:pPr>
      <w:r w:rsidRPr="00472578">
        <w:t>(c)</w:t>
      </w:r>
      <w:r w:rsidRPr="00472578">
        <w:tab/>
        <w:t xml:space="preserve">accidental discovery protocols as conditions on </w:t>
      </w:r>
      <w:r w:rsidRPr="00472578">
        <w:rPr>
          <w:i/>
        </w:rPr>
        <w:t>resource consents</w:t>
      </w:r>
      <w:r w:rsidRPr="00472578">
        <w:t xml:space="preserve"> for </w:t>
      </w:r>
      <w:r w:rsidRPr="00472578">
        <w:rPr>
          <w:i/>
          <w:iCs/>
        </w:rPr>
        <w:t xml:space="preserve">earthworks </w:t>
      </w:r>
      <w:r w:rsidRPr="00472578">
        <w:t>or other activities that may unearth archaeological features,</w:t>
      </w:r>
    </w:p>
    <w:p w14:paraId="37DC47FF" w14:textId="77777777" w:rsidR="00E37317" w:rsidRPr="00472578" w:rsidRDefault="00E37317" w:rsidP="00E92686">
      <w:pPr>
        <w:pStyle w:val="JustifiedSpacing"/>
        <w:spacing w:after="120"/>
        <w:ind w:left="1134" w:hanging="567"/>
      </w:pPr>
      <w:r w:rsidRPr="00472578">
        <w:t>(d)</w:t>
      </w:r>
      <w:r w:rsidRPr="00472578">
        <w:tab/>
        <w:t xml:space="preserve">providing for activities seeking to retain </w:t>
      </w:r>
      <w:r w:rsidRPr="00472578">
        <w:rPr>
          <w:i/>
          <w:iCs/>
        </w:rPr>
        <w:t>historic heritage</w:t>
      </w:r>
      <w:r w:rsidRPr="00472578">
        <w:t xml:space="preserve"> places, areas or landscapes, including adaptive reuse, maintenance and seismic strengthening, </w:t>
      </w:r>
    </w:p>
    <w:p w14:paraId="18C2C959" w14:textId="77777777" w:rsidR="00E37317" w:rsidRPr="00472578" w:rsidRDefault="00E37317" w:rsidP="00E92686">
      <w:pPr>
        <w:pStyle w:val="JustifiedSpacing"/>
        <w:spacing w:after="120"/>
        <w:ind w:left="1134" w:hanging="567"/>
      </w:pPr>
      <w:r w:rsidRPr="00472578">
        <w:t>(e)</w:t>
      </w:r>
      <w:r w:rsidRPr="00472578">
        <w:tab/>
        <w:t>including heritage alert layers in plans to inform the public about areas where there is a high probability of the presence of heritage values, particularly archaeological values, and</w:t>
      </w:r>
    </w:p>
    <w:p w14:paraId="03B3084B" w14:textId="77777777" w:rsidR="00E37317" w:rsidRPr="00472578" w:rsidRDefault="00E37317" w:rsidP="00E92686">
      <w:pPr>
        <w:pStyle w:val="JustifiedSpacing"/>
        <w:spacing w:after="120"/>
        <w:ind w:left="720" w:hanging="720"/>
      </w:pPr>
      <w:r w:rsidRPr="00472578">
        <w:t>(4)</w:t>
      </w:r>
      <w:r w:rsidRPr="00472578">
        <w:tab/>
        <w:t xml:space="preserve">require the use of accidental discovery protocols as conditions on </w:t>
      </w:r>
      <w:r w:rsidRPr="00472578">
        <w:rPr>
          <w:i/>
        </w:rPr>
        <w:t>resource</w:t>
      </w:r>
      <w:r w:rsidRPr="00472578" w:rsidDel="00A502B6">
        <w:rPr>
          <w:i/>
        </w:rPr>
        <w:t xml:space="preserve"> </w:t>
      </w:r>
      <w:r w:rsidRPr="00472578">
        <w:rPr>
          <w:i/>
        </w:rPr>
        <w:t>consents</w:t>
      </w:r>
      <w:r w:rsidRPr="00472578">
        <w:t xml:space="preserve"> and designations for </w:t>
      </w:r>
      <w:r w:rsidRPr="00472578">
        <w:rPr>
          <w:i/>
          <w:iCs/>
        </w:rPr>
        <w:t xml:space="preserve">earthworks </w:t>
      </w:r>
      <w:r w:rsidRPr="00472578">
        <w:t>or other activities that may unearth archaeological features.</w:t>
      </w:r>
    </w:p>
    <w:p w14:paraId="0651D820" w14:textId="77777777" w:rsidR="00E37317" w:rsidRPr="00472578" w:rsidRDefault="00E37317" w:rsidP="00E92686">
      <w:pPr>
        <w:pStyle w:val="Heading5"/>
        <w:jc w:val="both"/>
      </w:pPr>
      <w:bookmarkStart w:id="333" w:name="_Hlk48908471"/>
      <w:r w:rsidRPr="00472578">
        <w:t>HCV-HH-M6 – Incentives and education</w:t>
      </w:r>
    </w:p>
    <w:bookmarkEnd w:id="333"/>
    <w:p w14:paraId="0CDD03EB" w14:textId="77777777" w:rsidR="00E37317" w:rsidRPr="00472578" w:rsidRDefault="00E37317" w:rsidP="00E92686">
      <w:pPr>
        <w:pStyle w:val="JustifiedSpacing"/>
        <w:spacing w:after="120"/>
      </w:pPr>
      <w:r w:rsidRPr="00472578">
        <w:rPr>
          <w:i/>
          <w:iCs/>
        </w:rPr>
        <w:t>Local authorities</w:t>
      </w:r>
      <w:r w:rsidRPr="00472578">
        <w:t xml:space="preserve"> are encouraged to use</w:t>
      </w:r>
      <w:r w:rsidRPr="00472578" w:rsidDel="00F01D70">
        <w:t xml:space="preserve"> </w:t>
      </w:r>
      <w:r w:rsidRPr="00472578">
        <w:t>other mechanisms or incentives to assist in achieving Policies HCV-HH-P3 to HCV-HH-P7, including:</w:t>
      </w:r>
    </w:p>
    <w:p w14:paraId="15EBFC01" w14:textId="77777777" w:rsidR="00E37317" w:rsidRPr="00472578" w:rsidRDefault="00E37317" w:rsidP="00E92686">
      <w:pPr>
        <w:pStyle w:val="JustifiedSpacing"/>
        <w:spacing w:after="120"/>
        <w:ind w:left="567" w:hanging="567"/>
      </w:pPr>
      <w:r w:rsidRPr="00472578">
        <w:t>(1)</w:t>
      </w:r>
      <w:r w:rsidRPr="00472578">
        <w:tab/>
        <w:t xml:space="preserve">promoting public awareness of </w:t>
      </w:r>
      <w:r w:rsidRPr="00472578">
        <w:rPr>
          <w:i/>
          <w:iCs/>
        </w:rPr>
        <w:t>historic heritage</w:t>
      </w:r>
      <w:r w:rsidRPr="00472578">
        <w:t xml:space="preserve"> values through providing information and education, and</w:t>
      </w:r>
    </w:p>
    <w:p w14:paraId="192F7D98" w14:textId="77777777" w:rsidR="00E37317" w:rsidRPr="00472578" w:rsidRDefault="00E37317" w:rsidP="00E92686">
      <w:pPr>
        <w:pStyle w:val="JustifiedSpacing"/>
        <w:spacing w:after="120"/>
        <w:ind w:left="567" w:hanging="567"/>
      </w:pPr>
      <w:r w:rsidRPr="00472578">
        <w:t>(2)</w:t>
      </w:r>
      <w:r w:rsidRPr="00472578">
        <w:tab/>
        <w:t xml:space="preserve">rates differentials and </w:t>
      </w:r>
      <w:r w:rsidRPr="00472578">
        <w:rPr>
          <w:i/>
          <w:iCs/>
        </w:rPr>
        <w:t>resource consent</w:t>
      </w:r>
      <w:r w:rsidRPr="00472578">
        <w:t xml:space="preserve"> fee waivers for activities that involve the retention of historic places or areas.</w:t>
      </w:r>
    </w:p>
    <w:p w14:paraId="4DF1F1C8" w14:textId="77777777" w:rsidR="00E37317" w:rsidRPr="00472578" w:rsidRDefault="00E37317" w:rsidP="00E92686">
      <w:pPr>
        <w:pStyle w:val="Paragraphs"/>
        <w:numPr>
          <w:ilvl w:val="0"/>
          <w:numId w:val="0"/>
        </w:numPr>
        <w:spacing w:after="120" w:line="259" w:lineRule="auto"/>
        <w:ind w:left="567" w:hanging="567"/>
        <w:jc w:val="both"/>
        <w:rPr>
          <w:u w:val="single"/>
        </w:rPr>
      </w:pPr>
      <w:r w:rsidRPr="00472578">
        <w:rPr>
          <w:u w:val="single"/>
        </w:rPr>
        <w:t xml:space="preserve">(3) </w:t>
      </w:r>
      <w:r w:rsidRPr="00472578">
        <w:rPr>
          <w:u w:val="single"/>
        </w:rPr>
        <w:tab/>
        <w:t>enabling Kāi Tahu to interpret places and areas with historic heritage values for mana whenua.</w:t>
      </w:r>
      <w:r w:rsidRPr="00472578">
        <w:rPr>
          <w:rStyle w:val="FootnoteReference"/>
        </w:rPr>
        <w:footnoteReference w:id="1330"/>
      </w:r>
    </w:p>
    <w:p w14:paraId="55D55D06" w14:textId="77777777" w:rsidR="00E37317" w:rsidRPr="00472578" w:rsidRDefault="00E37317" w:rsidP="00E92686">
      <w:pPr>
        <w:pStyle w:val="Heading4"/>
        <w:jc w:val="both"/>
      </w:pPr>
      <w:bookmarkStart w:id="334" w:name="_Toc49763571"/>
      <w:bookmarkStart w:id="335" w:name="_Hlk48900427"/>
      <w:r w:rsidRPr="00472578">
        <w:t>Explanation</w:t>
      </w:r>
    </w:p>
    <w:p w14:paraId="755E8113" w14:textId="77777777" w:rsidR="00E37317" w:rsidRPr="00472578" w:rsidRDefault="00E37317" w:rsidP="00E92686">
      <w:pPr>
        <w:pStyle w:val="Heading5"/>
        <w:jc w:val="both"/>
      </w:pPr>
      <w:r w:rsidRPr="00472578">
        <w:t>HCV-HH-E2 – Explanation</w:t>
      </w:r>
    </w:p>
    <w:p w14:paraId="458AA432" w14:textId="77777777" w:rsidR="00E37317" w:rsidRPr="00472578" w:rsidRDefault="00E37317" w:rsidP="00E92686">
      <w:pPr>
        <w:jc w:val="both"/>
      </w:pPr>
      <w:r w:rsidRPr="00472578">
        <w:t xml:space="preserve">The policies in this section are designed to ensure that Otago’s unique </w:t>
      </w:r>
      <w:r w:rsidRPr="00472578">
        <w:rPr>
          <w:i/>
          <w:iCs/>
        </w:rPr>
        <w:t>historic heritage</w:t>
      </w:r>
      <w:r w:rsidRPr="00472578">
        <w:t xml:space="preserve"> continues to contribute to the region’s character, sense of identity, and social and economic well-being by requiring places and areas of significant </w:t>
      </w:r>
      <w:r w:rsidRPr="00472578">
        <w:rPr>
          <w:i/>
          <w:iCs/>
        </w:rPr>
        <w:t>historic heritage</w:t>
      </w:r>
      <w:r w:rsidRPr="00472578">
        <w:t xml:space="preserve"> to be identified using regionally consistent methodology, then protecting or managing those sites or areas </w:t>
      </w:r>
      <w:r w:rsidRPr="00472578">
        <w:rPr>
          <w:strike/>
        </w:rPr>
        <w:t>in particular ways</w:t>
      </w:r>
      <w:r w:rsidRPr="00472578">
        <w:t xml:space="preserve"> to ensure that </w:t>
      </w:r>
      <w:r w:rsidRPr="00472578">
        <w:rPr>
          <w:strike/>
        </w:rPr>
        <w:t>other</w:t>
      </w:r>
      <w:r w:rsidRPr="00472578">
        <w:rPr>
          <w:rStyle w:val="FootnoteReference"/>
        </w:rPr>
        <w:footnoteReference w:id="1331"/>
      </w:r>
      <w:r w:rsidRPr="00472578">
        <w:t xml:space="preserve"> activities do not detract from the region’s special character and sense of identity. This also includes enhancing places and areas of </w:t>
      </w:r>
      <w:r w:rsidRPr="00472578">
        <w:rPr>
          <w:i/>
          <w:iCs/>
        </w:rPr>
        <w:t>historic heritage</w:t>
      </w:r>
      <w:r w:rsidRPr="00472578">
        <w:t xml:space="preserve"> by encouraging the integration of </w:t>
      </w:r>
      <w:r w:rsidRPr="00472578">
        <w:rPr>
          <w:i/>
          <w:iCs/>
        </w:rPr>
        <w:t>historic heritage</w:t>
      </w:r>
      <w:r w:rsidRPr="00472578">
        <w:t xml:space="preserve"> values into new activities and enabling the adaptive reuse or upgrade of </w:t>
      </w:r>
      <w:r w:rsidRPr="00472578">
        <w:rPr>
          <w:i/>
          <w:iCs/>
        </w:rPr>
        <w:t>historic heritage</w:t>
      </w:r>
      <w:r w:rsidRPr="00472578">
        <w:t xml:space="preserve"> places in certain circumstances. </w:t>
      </w:r>
    </w:p>
    <w:p w14:paraId="72C9FA63" w14:textId="77777777" w:rsidR="00E37317" w:rsidRPr="00472578" w:rsidRDefault="00E37317" w:rsidP="00E92686">
      <w:pPr>
        <w:pStyle w:val="Heading4"/>
        <w:jc w:val="both"/>
      </w:pPr>
      <w:r w:rsidRPr="00472578">
        <w:t>Principal reasons</w:t>
      </w:r>
      <w:bookmarkEnd w:id="334"/>
    </w:p>
    <w:bookmarkEnd w:id="335"/>
    <w:p w14:paraId="49979B34" w14:textId="77777777" w:rsidR="00E37317" w:rsidRPr="00472578" w:rsidRDefault="00E37317" w:rsidP="00E92686">
      <w:pPr>
        <w:pStyle w:val="Heading5"/>
        <w:jc w:val="both"/>
      </w:pPr>
      <w:r w:rsidRPr="00472578">
        <w:t>HCV-HH-PR2 – Principal reasons</w:t>
      </w:r>
    </w:p>
    <w:p w14:paraId="582A01D1" w14:textId="77777777" w:rsidR="00E37317" w:rsidRPr="00472578" w:rsidRDefault="00E37317" w:rsidP="00E92686">
      <w:pPr>
        <w:jc w:val="both"/>
      </w:pPr>
      <w:r w:rsidRPr="00472578">
        <w:lastRenderedPageBreak/>
        <w:t xml:space="preserve">Otago is a region rich in </w:t>
      </w:r>
      <w:r w:rsidRPr="00472578">
        <w:rPr>
          <w:i/>
          <w:iCs/>
        </w:rPr>
        <w:t>historic heritage</w:t>
      </w:r>
      <w:r w:rsidRPr="00472578">
        <w:t xml:space="preserve">, with a diversity of significant cultural and </w:t>
      </w:r>
      <w:r w:rsidRPr="00472578">
        <w:rPr>
          <w:i/>
          <w:iCs/>
        </w:rPr>
        <w:t>historic heritage</w:t>
      </w:r>
      <w:r w:rsidRPr="00472578">
        <w:t xml:space="preserve"> places and areas that contribute to its special character and identity. </w:t>
      </w:r>
      <w:r w:rsidRPr="00472578">
        <w:rPr>
          <w:i/>
          <w:iCs/>
        </w:rPr>
        <w:t>Historic heritage</w:t>
      </w:r>
      <w:r w:rsidRPr="00472578">
        <w:t xml:space="preserve"> encompasses historic sites, </w:t>
      </w:r>
      <w:r w:rsidRPr="00472578">
        <w:rPr>
          <w:i/>
          <w:iCs/>
        </w:rPr>
        <w:t>structures</w:t>
      </w:r>
      <w:r w:rsidRPr="00472578">
        <w:t xml:space="preserve">, places, and areas; archaeological sites; sites of significance to Māori (including wāhi tapu and wāhi taoka </w:t>
      </w:r>
      <w:r w:rsidRPr="00472578">
        <w:rPr>
          <w:u w:val="single"/>
        </w:rPr>
        <w:t>sites</w:t>
      </w:r>
      <w:r w:rsidRPr="00472578">
        <w:t>)</w:t>
      </w:r>
      <w:r w:rsidRPr="00472578">
        <w:rPr>
          <w:rStyle w:val="FootnoteReference"/>
        </w:rPr>
        <w:t xml:space="preserve"> </w:t>
      </w:r>
      <w:r w:rsidRPr="00472578">
        <w:rPr>
          <w:rStyle w:val="FootnoteReference"/>
        </w:rPr>
        <w:footnoteReference w:id="1332"/>
      </w:r>
      <w:r w:rsidRPr="00472578">
        <w:t xml:space="preserve"> and the broader surroundings and landscape in which they are situated. The heritage resources in Otago are reflective of the history that helped to shape the region, and is representative of the different cultures, industries and institutions that contributed to its development. Historic landscapes in the coastal </w:t>
      </w:r>
      <w:r w:rsidRPr="00472578">
        <w:rPr>
          <w:i/>
          <w:iCs/>
        </w:rPr>
        <w:t>environment</w:t>
      </w:r>
      <w:r w:rsidRPr="00472578">
        <w:t xml:space="preserve"> are specifically recognised in Policy 17 of the NZCPS. </w:t>
      </w:r>
    </w:p>
    <w:p w14:paraId="5E94864A" w14:textId="7FDE6655" w:rsidR="00E37317" w:rsidRPr="00472578" w:rsidRDefault="00E37317" w:rsidP="00E92686">
      <w:pPr>
        <w:jc w:val="both"/>
      </w:pPr>
      <w:r w:rsidRPr="00472578">
        <w:t>The provisions in this chapter assist in implementing section 6(f) of the RMA</w:t>
      </w:r>
      <w:r w:rsidRPr="00A96E6F">
        <w:rPr>
          <w:strike/>
        </w:rPr>
        <w:t xml:space="preserve"> 1991</w:t>
      </w:r>
      <w:r w:rsidR="00A96E6F">
        <w:rPr>
          <w:rStyle w:val="FootnoteReference"/>
        </w:rPr>
        <w:footnoteReference w:id="1333"/>
      </w:r>
      <w:r w:rsidR="00F13ECE" w:rsidRPr="00F13ECE">
        <w:t xml:space="preserve"> </w:t>
      </w:r>
      <w:r w:rsidRPr="00472578">
        <w:t>and the NZCPS by requiring:</w:t>
      </w:r>
    </w:p>
    <w:p w14:paraId="02F0BD26" w14:textId="77777777" w:rsidR="00E37317" w:rsidRPr="00472578" w:rsidRDefault="00E37317" w:rsidP="00E92686">
      <w:pPr>
        <w:pStyle w:val="JustifiedSpacing"/>
        <w:numPr>
          <w:ilvl w:val="0"/>
          <w:numId w:val="15"/>
        </w:numPr>
        <w:spacing w:line="240" w:lineRule="auto"/>
        <w:ind w:left="567" w:hanging="567"/>
      </w:pPr>
      <w:r w:rsidRPr="00472578">
        <w:t xml:space="preserve">the identification of places and areas with </w:t>
      </w:r>
      <w:r w:rsidRPr="00472578">
        <w:rPr>
          <w:i/>
          <w:iCs/>
        </w:rPr>
        <w:t>historic heritage</w:t>
      </w:r>
      <w:r w:rsidRPr="00472578">
        <w:rPr>
          <w:i/>
        </w:rPr>
        <w:t xml:space="preserve"> </w:t>
      </w:r>
      <w:r w:rsidRPr="00472578">
        <w:t>values and qualities and places and areas with special or outstanding</w:t>
      </w:r>
      <w:r w:rsidRPr="00472578">
        <w:rPr>
          <w:i/>
          <w:iCs/>
        </w:rPr>
        <w:t xml:space="preserve"> historic heritage </w:t>
      </w:r>
      <w:r w:rsidRPr="00472578">
        <w:t xml:space="preserve">values and </w:t>
      </w:r>
      <w:r w:rsidRPr="00472578" w:rsidDel="00786C37">
        <w:t>qualities</w:t>
      </w:r>
      <w:r w:rsidRPr="00472578" w:rsidDel="00786C37">
        <w:rPr>
          <w:i/>
          <w:iCs/>
        </w:rPr>
        <w:t xml:space="preserve"> </w:t>
      </w:r>
      <w:r w:rsidRPr="00472578">
        <w:t xml:space="preserve">using clear criteria and methodology that is regionally consistent, </w:t>
      </w:r>
    </w:p>
    <w:p w14:paraId="6894FC5F" w14:textId="77777777" w:rsidR="00E37317" w:rsidRPr="00472578" w:rsidRDefault="00E37317" w:rsidP="00E92686">
      <w:pPr>
        <w:pStyle w:val="JustifiedSpacing"/>
        <w:numPr>
          <w:ilvl w:val="0"/>
          <w:numId w:val="15"/>
        </w:numPr>
        <w:spacing w:line="240" w:lineRule="auto"/>
        <w:ind w:left="567" w:hanging="567"/>
      </w:pPr>
      <w:r w:rsidRPr="00472578">
        <w:t xml:space="preserve">the protection of </w:t>
      </w:r>
      <w:r w:rsidRPr="00472578">
        <w:rPr>
          <w:i/>
          <w:iCs/>
        </w:rPr>
        <w:t xml:space="preserve">historic heritage </w:t>
      </w:r>
      <w:r w:rsidRPr="00472578">
        <w:t xml:space="preserve">from inappropriate </w:t>
      </w:r>
      <w:r w:rsidRPr="00472578">
        <w:rPr>
          <w:i/>
          <w:iCs/>
        </w:rPr>
        <w:t>subdivision</w:t>
      </w:r>
      <w:r w:rsidRPr="00472578">
        <w:t>, use and development,</w:t>
      </w:r>
    </w:p>
    <w:p w14:paraId="36A2B0BD" w14:textId="77777777" w:rsidR="00E37317" w:rsidRPr="00472578" w:rsidRDefault="00E37317" w:rsidP="00E92686">
      <w:pPr>
        <w:pStyle w:val="JustifiedSpacing"/>
        <w:numPr>
          <w:ilvl w:val="0"/>
          <w:numId w:val="15"/>
        </w:numPr>
        <w:spacing w:line="240" w:lineRule="auto"/>
        <w:ind w:left="567" w:hanging="567"/>
      </w:pPr>
      <w:r w:rsidRPr="00472578">
        <w:t xml:space="preserve">the enhancement of </w:t>
      </w:r>
      <w:r w:rsidRPr="00472578">
        <w:rPr>
          <w:i/>
          <w:iCs/>
        </w:rPr>
        <w:t>historic heritage</w:t>
      </w:r>
      <w:r w:rsidRPr="00472578">
        <w:t xml:space="preserve"> through the integration of </w:t>
      </w:r>
      <w:r w:rsidRPr="00472578">
        <w:rPr>
          <w:i/>
          <w:iCs/>
        </w:rPr>
        <w:t>historic heritage</w:t>
      </w:r>
      <w:r w:rsidRPr="00472578">
        <w:t xml:space="preserve"> values into new activities and enabling the adaptive reuse or upgrade of </w:t>
      </w:r>
      <w:r w:rsidRPr="00472578">
        <w:rPr>
          <w:i/>
          <w:iCs/>
        </w:rPr>
        <w:t>historic heritage</w:t>
      </w:r>
      <w:r w:rsidRPr="00472578">
        <w:t xml:space="preserve"> places and areas in certain circumstances, and </w:t>
      </w:r>
    </w:p>
    <w:p w14:paraId="1A63268B" w14:textId="77777777" w:rsidR="00E37317" w:rsidRPr="00472578" w:rsidRDefault="00E37317" w:rsidP="00E92686">
      <w:pPr>
        <w:pStyle w:val="JustifiedSpacing"/>
        <w:numPr>
          <w:ilvl w:val="0"/>
          <w:numId w:val="15"/>
        </w:numPr>
        <w:spacing w:line="240" w:lineRule="auto"/>
        <w:ind w:left="567" w:hanging="567"/>
      </w:pPr>
      <w:r w:rsidRPr="00472578">
        <w:t xml:space="preserve">specified actions on the part of Otago’s </w:t>
      </w:r>
      <w:r w:rsidRPr="00472578">
        <w:rPr>
          <w:i/>
          <w:iCs/>
        </w:rPr>
        <w:t>local authorities</w:t>
      </w:r>
      <w:r w:rsidRPr="00472578">
        <w:t xml:space="preserve"> in managing </w:t>
      </w:r>
      <w:r w:rsidRPr="00472578">
        <w:rPr>
          <w:i/>
          <w:iCs/>
        </w:rPr>
        <w:t>historic heritage</w:t>
      </w:r>
      <w:r w:rsidRPr="00472578">
        <w:t>.</w:t>
      </w:r>
    </w:p>
    <w:p w14:paraId="68CA5AD7" w14:textId="5F51200A" w:rsidR="00E37317" w:rsidRPr="00472578" w:rsidRDefault="00E37317" w:rsidP="00E92686">
      <w:pPr>
        <w:jc w:val="both"/>
      </w:pPr>
      <w:r w:rsidRPr="00472578">
        <w:t xml:space="preserve">Implementation of the provisions in this chapter will occur primarily through </w:t>
      </w:r>
      <w:r w:rsidRPr="00472578">
        <w:rPr>
          <w:i/>
          <w:iCs/>
        </w:rPr>
        <w:t>regional</w:t>
      </w:r>
      <w:r w:rsidRPr="00472578">
        <w:rPr>
          <w:i/>
          <w:u w:val="single"/>
        </w:rPr>
        <w:t xml:space="preserve"> </w:t>
      </w:r>
      <w:r w:rsidR="00D87A3B" w:rsidRPr="00472578">
        <w:rPr>
          <w:i/>
          <w:iCs/>
          <w:u w:val="single"/>
        </w:rPr>
        <w:t>plans</w:t>
      </w:r>
      <w:r w:rsidR="00D87A3B" w:rsidRPr="00472578">
        <w:rPr>
          <w:rStyle w:val="FootnoteReference"/>
        </w:rPr>
        <w:footnoteReference w:id="1334"/>
      </w:r>
      <w:r w:rsidRPr="00472578">
        <w:t xml:space="preserve"> and</w:t>
      </w:r>
      <w:r w:rsidRPr="00472578">
        <w:rPr>
          <w:i/>
          <w:iCs/>
        </w:rPr>
        <w:t xml:space="preserve"> district plan</w:t>
      </w:r>
      <w:r w:rsidRPr="00472578">
        <w:t xml:space="preserve"> provisions, however </w:t>
      </w:r>
      <w:r w:rsidRPr="00472578">
        <w:rPr>
          <w:i/>
          <w:iCs/>
        </w:rPr>
        <w:t>local authorities</w:t>
      </w:r>
      <w:r w:rsidRPr="00472578">
        <w:t xml:space="preserve"> may also choose to adopt additional non-regulatory methods to support the achievement of the objectives.</w:t>
      </w:r>
    </w:p>
    <w:p w14:paraId="360BDAB9" w14:textId="77777777" w:rsidR="00E37317" w:rsidRPr="00472578" w:rsidRDefault="00E37317" w:rsidP="00E92686">
      <w:pPr>
        <w:pStyle w:val="Heading4"/>
        <w:jc w:val="both"/>
      </w:pPr>
      <w:bookmarkStart w:id="336" w:name="_Toc49763572"/>
      <w:r w:rsidRPr="00472578">
        <w:t>Anticipated environmental results</w:t>
      </w:r>
      <w:bookmarkStart w:id="337" w:name="_Hlk48900437"/>
      <w:bookmarkEnd w:id="336"/>
    </w:p>
    <w:bookmarkEnd w:id="337"/>
    <w:p w14:paraId="7FD2C544" w14:textId="77777777" w:rsidR="00E37317" w:rsidRPr="00472578" w:rsidRDefault="00E37317" w:rsidP="00E92686">
      <w:pPr>
        <w:spacing w:line="256" w:lineRule="auto"/>
        <w:ind w:left="2160" w:hanging="2160"/>
        <w:jc w:val="both"/>
        <w:rPr>
          <w:rFonts w:ascii="Calibri" w:eastAsia="Calibri" w:hAnsi="Calibri" w:cs="Times New Roman"/>
          <w:b/>
          <w:bCs/>
        </w:rPr>
      </w:pPr>
      <w:r w:rsidRPr="00472578">
        <w:rPr>
          <w:b/>
          <w:color w:val="1F3864" w:themeColor="accent1" w:themeShade="80"/>
        </w:rPr>
        <w:t>HCV</w:t>
      </w:r>
      <w:r w:rsidRPr="00472578">
        <w:rPr>
          <w:b/>
          <w:bCs/>
          <w:color w:val="1F3864" w:themeColor="accent1" w:themeShade="80"/>
        </w:rPr>
        <w:t>-HH-</w:t>
      </w:r>
      <w:r w:rsidRPr="00472578">
        <w:rPr>
          <w:b/>
          <w:color w:val="1F3864" w:themeColor="accent1" w:themeShade="80"/>
        </w:rPr>
        <w:t>AER3</w:t>
      </w:r>
      <w:r w:rsidRPr="00472578">
        <w:rPr>
          <w:rFonts w:ascii="Calibri" w:eastAsia="Calibri" w:hAnsi="Calibri" w:cs="Times New Roman"/>
          <w:b/>
          <w:color w:val="1F3864" w:themeColor="accent1" w:themeShade="80"/>
        </w:rPr>
        <w:t xml:space="preserve"> </w:t>
      </w:r>
      <w:r w:rsidRPr="00472578">
        <w:tab/>
      </w:r>
      <w:r w:rsidRPr="00472578">
        <w:rPr>
          <w:rFonts w:ascii="Calibri" w:eastAsia="Calibri" w:hAnsi="Calibri" w:cs="Times New Roman"/>
        </w:rPr>
        <w:t xml:space="preserve">Heritage resources that make a significant contribution towards Otago’s </w:t>
      </w:r>
      <w:r w:rsidRPr="00472578">
        <w:rPr>
          <w:rFonts w:ascii="Calibri" w:eastAsia="Calibri" w:hAnsi="Calibri" w:cs="Times New Roman"/>
          <w:i/>
        </w:rPr>
        <w:t>historic heritage</w:t>
      </w:r>
      <w:r w:rsidRPr="00472578">
        <w:rPr>
          <w:rFonts w:ascii="Calibri" w:eastAsia="Calibri" w:hAnsi="Calibri" w:cs="Times New Roman"/>
        </w:rPr>
        <w:t xml:space="preserve"> are identified and protected. </w:t>
      </w:r>
    </w:p>
    <w:p w14:paraId="53E6CEA4" w14:textId="77777777" w:rsidR="00E37317" w:rsidRPr="00472578" w:rsidRDefault="00E37317" w:rsidP="00E92686">
      <w:pPr>
        <w:spacing w:line="256" w:lineRule="auto"/>
        <w:ind w:left="2160" w:hanging="2160"/>
        <w:jc w:val="both"/>
        <w:rPr>
          <w:rFonts w:asciiTheme="majorHAnsi" w:eastAsia="National-Book" w:hAnsiTheme="majorHAnsi" w:cstheme="majorBidi"/>
          <w:color w:val="2F5496" w:themeColor="accent1" w:themeShade="BF"/>
          <w:sz w:val="28"/>
          <w:szCs w:val="28"/>
        </w:rPr>
      </w:pPr>
      <w:r w:rsidRPr="00472578">
        <w:rPr>
          <w:rStyle w:val="Heading5Char"/>
        </w:rPr>
        <w:t>HCV</w:t>
      </w:r>
      <w:r w:rsidRPr="00472578">
        <w:rPr>
          <w:b/>
          <w:bCs/>
        </w:rPr>
        <w:t>-HH-</w:t>
      </w:r>
      <w:r w:rsidRPr="00472578">
        <w:rPr>
          <w:rStyle w:val="Heading5Char"/>
        </w:rPr>
        <w:t>AER4</w:t>
      </w:r>
      <w:r w:rsidRPr="00472578">
        <w:rPr>
          <w:rFonts w:ascii="Calibri" w:eastAsia="Calibri" w:hAnsi="Calibri" w:cs="Times New Roman"/>
          <w:b/>
          <w:bCs/>
        </w:rPr>
        <w:t xml:space="preserve"> </w:t>
      </w:r>
      <w:r w:rsidRPr="00472578">
        <w:tab/>
      </w:r>
      <w:r w:rsidRPr="00472578">
        <w:rPr>
          <w:rFonts w:ascii="Calibri" w:eastAsia="Calibri" w:hAnsi="Calibri" w:cs="Times New Roman"/>
        </w:rPr>
        <w:t xml:space="preserve">The number, type, extent and distribution of </w:t>
      </w:r>
      <w:r w:rsidRPr="00472578">
        <w:rPr>
          <w:rFonts w:ascii="Calibri" w:eastAsia="Calibri" w:hAnsi="Calibri" w:cs="Times New Roman"/>
          <w:i/>
          <w:iCs/>
        </w:rPr>
        <w:t>historic heritage</w:t>
      </w:r>
      <w:r w:rsidRPr="00472578">
        <w:rPr>
          <w:rFonts w:ascii="Calibri" w:eastAsia="Calibri" w:hAnsi="Calibri" w:cs="Times New Roman"/>
        </w:rPr>
        <w:t xml:space="preserve"> sites and places with special or outstanding values or qualities are maintained.</w:t>
      </w:r>
      <w:bookmarkStart w:id="338" w:name="_Toc49763573"/>
      <w:bookmarkStart w:id="339" w:name="_Hlk48908489"/>
    </w:p>
    <w:p w14:paraId="58925D0B" w14:textId="77777777" w:rsidR="00E37317" w:rsidRPr="00472578" w:rsidRDefault="00E37317" w:rsidP="00E92686">
      <w:pPr>
        <w:spacing w:line="256" w:lineRule="auto"/>
        <w:ind w:left="2160" w:hanging="2160"/>
        <w:jc w:val="both"/>
        <w:rPr>
          <w:rFonts w:ascii="Calibri" w:eastAsia="Calibri" w:hAnsi="Calibri" w:cs="Calibri"/>
        </w:rPr>
      </w:pPr>
      <w:r w:rsidRPr="00472578">
        <w:rPr>
          <w:rStyle w:val="Heading5Char"/>
        </w:rPr>
        <w:t>HCV</w:t>
      </w:r>
      <w:r w:rsidRPr="00472578">
        <w:rPr>
          <w:b/>
          <w:bCs/>
        </w:rPr>
        <w:t>-HH-</w:t>
      </w:r>
      <w:r w:rsidRPr="00472578">
        <w:rPr>
          <w:rStyle w:val="Heading5Char"/>
        </w:rPr>
        <w:t>AER5</w:t>
      </w:r>
      <w:r w:rsidRPr="00472578">
        <w:rPr>
          <w:rStyle w:val="Heading5Char"/>
        </w:rPr>
        <w:tab/>
      </w:r>
      <w:r w:rsidRPr="00472578">
        <w:rPr>
          <w:rFonts w:ascii="Calibri" w:eastAsia="Calibri" w:hAnsi="Calibri" w:cs="Calibri"/>
        </w:rPr>
        <w:t xml:space="preserve">Otago’s existing built </w:t>
      </w:r>
      <w:r w:rsidRPr="00472578">
        <w:rPr>
          <w:rFonts w:ascii="Calibri" w:eastAsia="Calibri" w:hAnsi="Calibri" w:cs="Calibri"/>
          <w:i/>
          <w:iCs/>
        </w:rPr>
        <w:t>historic heritage</w:t>
      </w:r>
      <w:r w:rsidRPr="00472578">
        <w:rPr>
          <w:rFonts w:ascii="Calibri" w:eastAsia="Calibri" w:hAnsi="Calibri" w:cs="Calibri"/>
        </w:rPr>
        <w:t xml:space="preserve"> is maintained, enhanced and integrated through efficient use, or adaptive reuse, where appropriate.</w:t>
      </w:r>
    </w:p>
    <w:bookmarkEnd w:id="338"/>
    <w:bookmarkEnd w:id="339"/>
    <w:p w14:paraId="73F36A82" w14:textId="58830A7D" w:rsidR="00012977" w:rsidRPr="00472578" w:rsidRDefault="00012977" w:rsidP="00E92686">
      <w:pPr>
        <w:jc w:val="both"/>
      </w:pPr>
    </w:p>
    <w:p w14:paraId="363645C9" w14:textId="5B200AD5" w:rsidR="00E37317" w:rsidRPr="00472578" w:rsidRDefault="00E37317" w:rsidP="00E92686">
      <w:pPr>
        <w:jc w:val="both"/>
      </w:pPr>
      <w:r w:rsidRPr="00472578">
        <w:br w:type="page"/>
      </w:r>
    </w:p>
    <w:p w14:paraId="0339079D" w14:textId="77777777" w:rsidR="00E37317" w:rsidRPr="00472578" w:rsidRDefault="00E37317" w:rsidP="00E92686">
      <w:pPr>
        <w:pStyle w:val="Heading2"/>
        <w:jc w:val="both"/>
      </w:pPr>
      <w:bookmarkStart w:id="340" w:name="_Toc49763574"/>
      <w:bookmarkStart w:id="341" w:name="_Toc52435146"/>
      <w:bookmarkStart w:id="342" w:name="_Toc73105367"/>
      <w:bookmarkStart w:id="343" w:name="_Toc102551287"/>
      <w:r w:rsidRPr="00472578">
        <w:lastRenderedPageBreak/>
        <w:t>NFL – Natural features and landscapes</w:t>
      </w:r>
      <w:bookmarkEnd w:id="340"/>
      <w:bookmarkEnd w:id="341"/>
      <w:bookmarkEnd w:id="342"/>
      <w:bookmarkEnd w:id="343"/>
    </w:p>
    <w:p w14:paraId="3DE5B447" w14:textId="77777777" w:rsidR="00E37317" w:rsidRPr="00472578" w:rsidRDefault="00E37317" w:rsidP="00E92686">
      <w:pPr>
        <w:pStyle w:val="Heading3"/>
        <w:jc w:val="both"/>
        <w:rPr>
          <w:rFonts w:eastAsia="National-Book"/>
        </w:rPr>
      </w:pPr>
      <w:bookmarkStart w:id="344" w:name="_Toc49763575"/>
      <w:r w:rsidRPr="00472578">
        <w:rPr>
          <w:rFonts w:eastAsia="National-Book"/>
        </w:rPr>
        <w:t>Objectives</w:t>
      </w:r>
      <w:bookmarkStart w:id="345" w:name="_Hlk49506224"/>
      <w:bookmarkEnd w:id="344"/>
    </w:p>
    <w:bookmarkEnd w:id="345"/>
    <w:p w14:paraId="3041E203" w14:textId="54450A62" w:rsidR="00E37317" w:rsidRPr="00472578" w:rsidRDefault="00E37317" w:rsidP="00E92686">
      <w:pPr>
        <w:pStyle w:val="Heading4"/>
        <w:jc w:val="both"/>
        <w:rPr>
          <w:rFonts w:eastAsia="National-Book"/>
        </w:rPr>
      </w:pPr>
      <w:r w:rsidRPr="00472578">
        <w:rPr>
          <w:rFonts w:eastAsia="National-Book"/>
        </w:rPr>
        <w:t>NFL-O1</w:t>
      </w:r>
      <w:r w:rsidRPr="00472578">
        <w:t xml:space="preserve"> – </w:t>
      </w:r>
      <w:r w:rsidRPr="00472578">
        <w:rPr>
          <w:rFonts w:eastAsia="National-Book"/>
        </w:rPr>
        <w:t xml:space="preserve">Outstanding </w:t>
      </w:r>
      <w:r w:rsidRPr="00472578" w:rsidDel="00D34524">
        <w:rPr>
          <w:rFonts w:eastAsia="National-Book"/>
        </w:rPr>
        <w:t xml:space="preserve">and </w:t>
      </w:r>
      <w:r w:rsidRPr="00472578" w:rsidDel="00D34524">
        <w:rPr>
          <w:rFonts w:eastAsia="National-Book"/>
          <w:i/>
          <w:iCs w:val="0"/>
        </w:rPr>
        <w:t xml:space="preserve">highly valued </w:t>
      </w:r>
      <w:r w:rsidRPr="00472578">
        <w:rPr>
          <w:rFonts w:eastAsia="National-Book"/>
          <w:i/>
          <w:iCs w:val="0"/>
        </w:rPr>
        <w:t xml:space="preserve">natural features and landscapes </w:t>
      </w:r>
    </w:p>
    <w:p w14:paraId="6A884BE1" w14:textId="77777777" w:rsidR="00E37317" w:rsidRPr="00472578" w:rsidRDefault="00E37317" w:rsidP="00E92686">
      <w:pPr>
        <w:pStyle w:val="JustifiedSpacing"/>
      </w:pPr>
      <w:r w:rsidRPr="00472578">
        <w:t xml:space="preserve">The areas and values of Otago’s outstanding and </w:t>
      </w:r>
      <w:r w:rsidRPr="00472578">
        <w:rPr>
          <w:i/>
          <w:iCs/>
        </w:rPr>
        <w:t>highly valued natural features and landscapes</w:t>
      </w:r>
      <w:r w:rsidRPr="00472578">
        <w:t xml:space="preserve"> are identified, and the use and development of Otago’s </w:t>
      </w:r>
      <w:r w:rsidRPr="00472578">
        <w:rPr>
          <w:i/>
          <w:iCs/>
        </w:rPr>
        <w:t xml:space="preserve">natural and physical resources </w:t>
      </w:r>
      <w:r w:rsidRPr="00472578">
        <w:t>results in:</w:t>
      </w:r>
    </w:p>
    <w:p w14:paraId="09D3D8D3" w14:textId="77777777" w:rsidR="00E37317" w:rsidRPr="00472578" w:rsidRDefault="00E37317" w:rsidP="00E92686">
      <w:pPr>
        <w:pStyle w:val="JustifiedSpacing"/>
        <w:ind w:left="567" w:hanging="567"/>
      </w:pPr>
      <w:r w:rsidRPr="00472578">
        <w:t>(1)</w:t>
      </w:r>
      <w:r w:rsidRPr="00472578">
        <w:tab/>
        <w:t>the protection of outstanding natural features and landscapes, and</w:t>
      </w:r>
    </w:p>
    <w:p w14:paraId="1F31C137" w14:textId="77777777" w:rsidR="00E37317" w:rsidRPr="00472578" w:rsidRDefault="00E37317" w:rsidP="00E92686">
      <w:pPr>
        <w:pStyle w:val="JustifiedSpacing"/>
        <w:ind w:left="567" w:hanging="567"/>
      </w:pPr>
      <w:r w:rsidRPr="00472578">
        <w:t>(2)</w:t>
      </w:r>
      <w:r w:rsidRPr="00472578">
        <w:tab/>
        <w:t xml:space="preserve">the maintenance or enhancement of </w:t>
      </w:r>
      <w:r w:rsidRPr="00472578">
        <w:rPr>
          <w:i/>
          <w:iCs/>
        </w:rPr>
        <w:t>highly valued natural features and landscapes</w:t>
      </w:r>
      <w:r w:rsidRPr="00472578">
        <w:t>.</w:t>
      </w:r>
    </w:p>
    <w:p w14:paraId="52CE150D" w14:textId="77777777" w:rsidR="00E37317" w:rsidRPr="00472578" w:rsidRDefault="00E37317" w:rsidP="00E92686">
      <w:pPr>
        <w:pStyle w:val="Heading3"/>
        <w:jc w:val="both"/>
        <w:rPr>
          <w:rFonts w:eastAsia="National-Book"/>
        </w:rPr>
      </w:pPr>
      <w:bookmarkStart w:id="346" w:name="_Toc49763576"/>
      <w:r w:rsidRPr="00472578">
        <w:rPr>
          <w:rFonts w:eastAsia="National-Book"/>
        </w:rPr>
        <w:t>Policies</w:t>
      </w:r>
      <w:bookmarkEnd w:id="346"/>
    </w:p>
    <w:p w14:paraId="470A64CC" w14:textId="78BD923B" w:rsidR="00E37317" w:rsidRPr="00472578" w:rsidRDefault="00E37317" w:rsidP="00E92686">
      <w:pPr>
        <w:pStyle w:val="Heading4"/>
        <w:jc w:val="both"/>
        <w:rPr>
          <w:rFonts w:eastAsia="National-Book"/>
        </w:rPr>
      </w:pPr>
      <w:r w:rsidRPr="00472578">
        <w:rPr>
          <w:rFonts w:eastAsia="National-Book"/>
        </w:rPr>
        <w:t>NFL-P1</w:t>
      </w:r>
      <w:r w:rsidRPr="00472578">
        <w:t xml:space="preserve"> – </w:t>
      </w:r>
      <w:r w:rsidRPr="00472578">
        <w:rPr>
          <w:rFonts w:eastAsia="National-Book"/>
        </w:rPr>
        <w:t xml:space="preserve">Identification </w:t>
      </w:r>
    </w:p>
    <w:p w14:paraId="74C9AE1D" w14:textId="77777777" w:rsidR="00E37317" w:rsidRPr="00472578" w:rsidRDefault="00E37317" w:rsidP="00E92686">
      <w:pPr>
        <w:pStyle w:val="JustifiedSpacing"/>
      </w:pPr>
      <w:r w:rsidRPr="00472578">
        <w:t xml:space="preserve">In order to manage outstanding and </w:t>
      </w:r>
      <w:r w:rsidRPr="00472578">
        <w:rPr>
          <w:i/>
          <w:iCs/>
        </w:rPr>
        <w:t>highly valued natural features</w:t>
      </w:r>
      <w:bookmarkStart w:id="347" w:name="_Hlk69138967"/>
      <w:r w:rsidRPr="00472578">
        <w:rPr>
          <w:i/>
          <w:iCs/>
        </w:rPr>
        <w:t xml:space="preserve"> </w:t>
      </w:r>
      <w:r w:rsidRPr="00472578" w:rsidDel="00711831">
        <w:rPr>
          <w:i/>
          <w:iCs/>
        </w:rPr>
        <w:t xml:space="preserve">and </w:t>
      </w:r>
      <w:r w:rsidRPr="00472578">
        <w:rPr>
          <w:i/>
          <w:iCs/>
        </w:rPr>
        <w:t>landscapes</w:t>
      </w:r>
      <w:r w:rsidRPr="00472578">
        <w:t xml:space="preserve">, </w:t>
      </w:r>
      <w:bookmarkEnd w:id="347"/>
      <w:r w:rsidRPr="00472578">
        <w:t>identify:</w:t>
      </w:r>
    </w:p>
    <w:p w14:paraId="78297DBA" w14:textId="77777777" w:rsidR="00E37317" w:rsidRPr="00472578" w:rsidRDefault="00E37317" w:rsidP="00E92686">
      <w:pPr>
        <w:pStyle w:val="JustifiedSpacing"/>
        <w:ind w:left="567" w:hanging="567"/>
      </w:pPr>
      <w:r w:rsidRPr="00472578">
        <w:t>(1)</w:t>
      </w:r>
      <w:r w:rsidRPr="00472578">
        <w:tab/>
        <w:t xml:space="preserve">the areas and values of outstanding and </w:t>
      </w:r>
      <w:r w:rsidRPr="00472578">
        <w:rPr>
          <w:i/>
          <w:iCs/>
        </w:rPr>
        <w:t>highly valued natural features</w:t>
      </w:r>
      <w:r w:rsidRPr="00472578" w:rsidDel="00ED3CB5">
        <w:rPr>
          <w:i/>
          <w:iCs/>
        </w:rPr>
        <w:t xml:space="preserve"> and landscapes</w:t>
      </w:r>
      <w:r w:rsidRPr="00472578" w:rsidDel="00ED3CB5">
        <w:t xml:space="preserve"> </w:t>
      </w:r>
      <w:r w:rsidRPr="00472578">
        <w:t>in accordance with APP9, and</w:t>
      </w:r>
      <w:bookmarkStart w:id="348" w:name="_Hlk48030098"/>
    </w:p>
    <w:p w14:paraId="6AC937B0" w14:textId="77777777" w:rsidR="00E37317" w:rsidRPr="00472578" w:rsidRDefault="00E37317" w:rsidP="00E92686">
      <w:pPr>
        <w:pStyle w:val="JustifiedSpacing"/>
        <w:ind w:left="567" w:hanging="567"/>
      </w:pPr>
      <w:r w:rsidRPr="00472578">
        <w:t>(2)</w:t>
      </w:r>
      <w:r w:rsidRPr="00472578">
        <w:tab/>
        <w:t>the capacity of those natural features</w:t>
      </w:r>
      <w:r w:rsidRPr="00472578" w:rsidDel="00ED3CB5">
        <w:t xml:space="preserve"> and landscapes </w:t>
      </w:r>
      <w:r w:rsidRPr="00472578">
        <w:t>to accommodate use or development while protecting the values that contribute to the natural feature</w:t>
      </w:r>
      <w:r w:rsidRPr="00472578" w:rsidDel="00152353">
        <w:t xml:space="preserve"> and landscape </w:t>
      </w:r>
      <w:r w:rsidRPr="00472578">
        <w:t xml:space="preserve">being considered outstanding or </w:t>
      </w:r>
      <w:r w:rsidRPr="00472578">
        <w:rPr>
          <w:u w:val="single"/>
        </w:rPr>
        <w:t>maintaining the values that contribute to the natural feature and landscape being</w:t>
      </w:r>
      <w:r w:rsidRPr="00472578">
        <w:rPr>
          <w:rStyle w:val="FootnoteReference"/>
        </w:rPr>
        <w:footnoteReference w:id="1335"/>
      </w:r>
      <w:r w:rsidRPr="00472578">
        <w:t xml:space="preserve"> highly valued.</w:t>
      </w:r>
      <w:r w:rsidRPr="00472578">
        <w:tab/>
      </w:r>
    </w:p>
    <w:bookmarkEnd w:id="348"/>
    <w:p w14:paraId="446A432A" w14:textId="5C3EC2F6" w:rsidR="00E37317" w:rsidRPr="00472578" w:rsidRDefault="00E37317" w:rsidP="00E92686">
      <w:pPr>
        <w:pStyle w:val="Heading4"/>
        <w:jc w:val="both"/>
        <w:rPr>
          <w:rFonts w:eastAsia="National-Book"/>
        </w:rPr>
      </w:pPr>
      <w:r w:rsidRPr="00472578">
        <w:rPr>
          <w:rFonts w:eastAsia="National-Book"/>
        </w:rPr>
        <w:t>NFL-P2</w:t>
      </w:r>
      <w:r w:rsidRPr="00472578">
        <w:t xml:space="preserve"> – </w:t>
      </w:r>
      <w:r w:rsidRPr="00472578">
        <w:rPr>
          <w:rFonts w:eastAsia="National-Book"/>
        </w:rPr>
        <w:t>Protection</w:t>
      </w:r>
      <w:bookmarkStart w:id="349" w:name="_Hlk72434135"/>
      <w:r w:rsidRPr="00472578">
        <w:rPr>
          <w:rFonts w:eastAsia="National-Book"/>
        </w:rPr>
        <w:t xml:space="preserve"> of outstanding natural features and landscapes</w:t>
      </w:r>
      <w:bookmarkEnd w:id="349"/>
    </w:p>
    <w:p w14:paraId="3B9F6F36" w14:textId="77777777" w:rsidR="00E37317" w:rsidRPr="00472578" w:rsidRDefault="00E37317" w:rsidP="00E92686">
      <w:pPr>
        <w:pStyle w:val="JustifiedSpacing"/>
        <w:ind w:left="567" w:hanging="567"/>
      </w:pPr>
      <w:r w:rsidRPr="00472578">
        <w:t>Protect outstanding natural features</w:t>
      </w:r>
      <w:r w:rsidRPr="00472578" w:rsidDel="00BE3D4C">
        <w:t xml:space="preserve"> and landscapes </w:t>
      </w:r>
      <w:r w:rsidRPr="00472578">
        <w:t>by:</w:t>
      </w:r>
    </w:p>
    <w:p w14:paraId="6E7A32FF" w14:textId="77777777" w:rsidR="00E37317" w:rsidRPr="00472578" w:rsidRDefault="00E37317" w:rsidP="00E92686">
      <w:pPr>
        <w:pStyle w:val="JustifiedSpacing"/>
        <w:ind w:left="567" w:hanging="567"/>
      </w:pPr>
      <w:r w:rsidRPr="00472578">
        <w:t>(1)</w:t>
      </w:r>
      <w:r w:rsidRPr="00472578">
        <w:tab/>
        <w:t xml:space="preserve">avoiding adverse </w:t>
      </w:r>
      <w:r w:rsidRPr="00472578">
        <w:rPr>
          <w:i/>
          <w:iCs/>
        </w:rPr>
        <w:t>effects</w:t>
      </w:r>
      <w:r w:rsidRPr="00472578">
        <w:t xml:space="preserve"> on the values </w:t>
      </w:r>
      <w:r w:rsidRPr="00472578">
        <w:rPr>
          <w:u w:val="single"/>
        </w:rPr>
        <w:t>of the natural features and landscapes where there is limited or no capacity to absorb change</w:t>
      </w:r>
      <w:r w:rsidRPr="00472578">
        <w:rPr>
          <w:rStyle w:val="FootnoteReference"/>
        </w:rPr>
        <w:footnoteReference w:id="1336"/>
      </w:r>
      <w:r w:rsidRPr="00472578">
        <w:rPr>
          <w:strike/>
        </w:rPr>
        <w:t xml:space="preserve"> that contribute to the natural feature</w:t>
      </w:r>
      <w:r w:rsidRPr="00472578" w:rsidDel="00F958F2">
        <w:rPr>
          <w:strike/>
        </w:rPr>
        <w:t xml:space="preserve"> or landscape</w:t>
      </w:r>
      <w:r w:rsidRPr="00472578">
        <w:rPr>
          <w:strike/>
        </w:rPr>
        <w:t xml:space="preserve"> being considered outstanding, even if those values are not themselves outstanding</w:t>
      </w:r>
      <w:r w:rsidRPr="00472578">
        <w:t>, and</w:t>
      </w:r>
    </w:p>
    <w:p w14:paraId="61034C4F" w14:textId="77777777" w:rsidR="00E37317" w:rsidRPr="00472578" w:rsidRDefault="00E37317" w:rsidP="00E92686">
      <w:pPr>
        <w:pStyle w:val="JustifiedSpacing"/>
        <w:ind w:left="567" w:hanging="567"/>
      </w:pPr>
      <w:r w:rsidRPr="00472578">
        <w:t>(2)</w:t>
      </w:r>
      <w:r w:rsidRPr="00472578">
        <w:tab/>
        <w:t xml:space="preserve">avoiding, remedying or mitigating other adverse </w:t>
      </w:r>
      <w:r w:rsidRPr="00472578">
        <w:rPr>
          <w:i/>
        </w:rPr>
        <w:t>effects</w:t>
      </w:r>
      <w:r w:rsidRPr="00472578">
        <w:t>.</w:t>
      </w:r>
    </w:p>
    <w:p w14:paraId="56934D49" w14:textId="61BF8288" w:rsidR="00E37317" w:rsidRPr="00472578" w:rsidRDefault="00E37317" w:rsidP="00E92686">
      <w:pPr>
        <w:pStyle w:val="Heading4"/>
        <w:jc w:val="both"/>
        <w:rPr>
          <w:i/>
          <w:iCs w:val="0"/>
        </w:rPr>
      </w:pPr>
      <w:r w:rsidRPr="00472578">
        <w:t xml:space="preserve">NFL-P3 – Maintenance </w:t>
      </w:r>
      <w:bookmarkStart w:id="350" w:name="_Hlk72434149"/>
      <w:r w:rsidRPr="00472578">
        <w:t xml:space="preserve">of </w:t>
      </w:r>
      <w:r w:rsidRPr="00472578">
        <w:rPr>
          <w:i/>
          <w:iCs w:val="0"/>
        </w:rPr>
        <w:t>highly valued natural features and landscapes</w:t>
      </w:r>
      <w:bookmarkEnd w:id="350"/>
    </w:p>
    <w:p w14:paraId="6C08DA82" w14:textId="77777777" w:rsidR="00E37317" w:rsidRPr="00472578" w:rsidRDefault="00E37317" w:rsidP="00E92686">
      <w:pPr>
        <w:pStyle w:val="JustifiedSpacing"/>
      </w:pPr>
      <w:bookmarkStart w:id="351" w:name="_Hlk70067448"/>
      <w:r w:rsidRPr="00472578">
        <w:t xml:space="preserve">Maintain or enhance </w:t>
      </w:r>
      <w:r w:rsidRPr="00472578">
        <w:rPr>
          <w:i/>
          <w:iCs/>
        </w:rPr>
        <w:t>highly valued natural features</w:t>
      </w:r>
      <w:bookmarkEnd w:id="351"/>
      <w:r w:rsidRPr="00472578" w:rsidDel="00403601">
        <w:rPr>
          <w:i/>
          <w:iCs/>
        </w:rPr>
        <w:t xml:space="preserve"> and landscapes</w:t>
      </w:r>
      <w:r w:rsidRPr="00472578" w:rsidDel="00403601">
        <w:t xml:space="preserve"> </w:t>
      </w:r>
      <w:r w:rsidRPr="00472578">
        <w:t>by:</w:t>
      </w:r>
    </w:p>
    <w:p w14:paraId="2AB3AA22" w14:textId="77777777" w:rsidR="00E37317" w:rsidRPr="00472578" w:rsidRDefault="00E37317" w:rsidP="00E92686">
      <w:pPr>
        <w:pStyle w:val="JustifiedSpacing"/>
        <w:ind w:left="567" w:hanging="567"/>
      </w:pPr>
      <w:r w:rsidRPr="00472578">
        <w:t>(1)</w:t>
      </w:r>
      <w:r w:rsidRPr="00472578">
        <w:tab/>
        <w:t>avoiding significant adverse effects on the values of the natural feature</w:t>
      </w:r>
      <w:r w:rsidRPr="00472578" w:rsidDel="00340672">
        <w:t xml:space="preserve"> </w:t>
      </w:r>
      <w:r w:rsidRPr="00472578" w:rsidDel="00403601">
        <w:t>or landscape</w:t>
      </w:r>
      <w:r w:rsidRPr="00472578">
        <w:t>, and</w:t>
      </w:r>
    </w:p>
    <w:p w14:paraId="4992AC66" w14:textId="77777777" w:rsidR="00E37317" w:rsidRPr="00472578" w:rsidRDefault="00E37317" w:rsidP="00E92686">
      <w:pPr>
        <w:pStyle w:val="JustifiedSpacing"/>
        <w:ind w:left="567" w:hanging="567"/>
      </w:pPr>
      <w:r w:rsidRPr="00472578">
        <w:t>(2)</w:t>
      </w:r>
      <w:r w:rsidRPr="00472578">
        <w:tab/>
        <w:t>avoiding, remedying or mitigating other adverse effects.</w:t>
      </w:r>
    </w:p>
    <w:p w14:paraId="1AEC9AED" w14:textId="06E570AE" w:rsidR="00E37317" w:rsidRPr="00472578" w:rsidRDefault="00E37317" w:rsidP="00E92686">
      <w:pPr>
        <w:pStyle w:val="Heading4"/>
        <w:jc w:val="both"/>
        <w:rPr>
          <w:rFonts w:eastAsia="National-Book"/>
        </w:rPr>
      </w:pPr>
      <w:r w:rsidRPr="00472578">
        <w:rPr>
          <w:rFonts w:eastAsia="National-Book"/>
        </w:rPr>
        <w:lastRenderedPageBreak/>
        <w:t>NFL-P4</w:t>
      </w:r>
      <w:r w:rsidRPr="00472578">
        <w:t xml:space="preserve"> – </w:t>
      </w:r>
      <w:r w:rsidRPr="00472578">
        <w:rPr>
          <w:rFonts w:eastAsia="National-Book"/>
        </w:rPr>
        <w:t>Restoration</w:t>
      </w:r>
    </w:p>
    <w:p w14:paraId="02002FB9" w14:textId="77777777" w:rsidR="00E37317" w:rsidRPr="00472578" w:rsidRDefault="00E37317" w:rsidP="00E92686">
      <w:pPr>
        <w:pStyle w:val="JustifiedSpacing"/>
      </w:pPr>
      <w:bookmarkStart w:id="352" w:name="_Hlk67997902"/>
      <w:r w:rsidRPr="00472578">
        <w:t xml:space="preserve">Promote restoration of the areas and values of outstanding and </w:t>
      </w:r>
      <w:r w:rsidRPr="00472578">
        <w:rPr>
          <w:i/>
          <w:iCs/>
        </w:rPr>
        <w:t>highly valued natural features</w:t>
      </w:r>
      <w:r w:rsidRPr="00472578" w:rsidDel="00340672">
        <w:rPr>
          <w:i/>
          <w:iCs/>
        </w:rPr>
        <w:t xml:space="preserve"> and landscapes</w:t>
      </w:r>
      <w:r w:rsidRPr="00472578" w:rsidDel="00340672">
        <w:t xml:space="preserve"> </w:t>
      </w:r>
      <w:r w:rsidRPr="00472578">
        <w:t>where those areas or values have been reduced or lost.</w:t>
      </w:r>
    </w:p>
    <w:p w14:paraId="5C337378" w14:textId="19367B70" w:rsidR="00E37317" w:rsidRPr="00472578" w:rsidRDefault="00E37317" w:rsidP="00E92686">
      <w:pPr>
        <w:pStyle w:val="Heading4"/>
        <w:jc w:val="both"/>
        <w:rPr>
          <w:rFonts w:eastAsia="National-Book"/>
        </w:rPr>
      </w:pPr>
      <w:bookmarkStart w:id="353" w:name="_Hlk46493480"/>
      <w:bookmarkEnd w:id="352"/>
      <w:r w:rsidRPr="00472578">
        <w:rPr>
          <w:rFonts w:eastAsia="National-Book"/>
        </w:rPr>
        <w:t>NFL-P5</w:t>
      </w:r>
      <w:r w:rsidRPr="00472578">
        <w:t xml:space="preserve"> – </w:t>
      </w:r>
      <w:r w:rsidRPr="00472578">
        <w:rPr>
          <w:rFonts w:eastAsia="National-Book"/>
          <w:i/>
        </w:rPr>
        <w:t>Wilding conifers</w:t>
      </w:r>
    </w:p>
    <w:p w14:paraId="3CE1A354" w14:textId="77777777" w:rsidR="00E37317" w:rsidRPr="00472578" w:rsidRDefault="00E37317" w:rsidP="00E92686">
      <w:pPr>
        <w:pStyle w:val="JustifiedSpacing"/>
      </w:pPr>
      <w:r w:rsidRPr="00472578">
        <w:t xml:space="preserve">Reduce the impact of </w:t>
      </w:r>
      <w:r w:rsidRPr="00472578">
        <w:rPr>
          <w:i/>
          <w:iCs/>
        </w:rPr>
        <w:t>wilding conifers</w:t>
      </w:r>
      <w:r w:rsidRPr="00472578">
        <w:t xml:space="preserve"> on outstanding and highly valued natural features</w:t>
      </w:r>
      <w:r w:rsidRPr="00472578" w:rsidDel="00D03FCA">
        <w:t xml:space="preserve"> and landscapes</w:t>
      </w:r>
      <w:r w:rsidRPr="00472578">
        <w:t xml:space="preserve"> by:</w:t>
      </w:r>
    </w:p>
    <w:p w14:paraId="3743AB1A" w14:textId="35530BBB" w:rsidR="00E37317" w:rsidRPr="00472578" w:rsidRDefault="00E37317" w:rsidP="00E92686">
      <w:pPr>
        <w:pStyle w:val="JustifiedSpacing"/>
        <w:ind w:left="567" w:hanging="567"/>
      </w:pPr>
      <w:bookmarkStart w:id="354" w:name="_Hlk72434361"/>
      <w:r w:rsidRPr="00472578">
        <w:t>(1)</w:t>
      </w:r>
      <w:r w:rsidRPr="00472578">
        <w:tab/>
        <w:t xml:space="preserve">avoiding </w:t>
      </w:r>
      <w:r w:rsidRPr="00472578">
        <w:rPr>
          <w:u w:val="single"/>
        </w:rPr>
        <w:t>the planting</w:t>
      </w:r>
      <w:r w:rsidRPr="00472578">
        <w:t xml:space="preserve"> </w:t>
      </w:r>
      <w:r w:rsidRPr="00472578">
        <w:rPr>
          <w:i/>
          <w:iCs/>
          <w:strike/>
        </w:rPr>
        <w:t>afforestation</w:t>
      </w:r>
      <w:r w:rsidRPr="00472578">
        <w:rPr>
          <w:i/>
          <w:iCs/>
          <w:u w:val="single"/>
        </w:rPr>
        <w:t>,</w:t>
      </w:r>
      <w:r w:rsidRPr="00472578">
        <w:t xml:space="preserve"> and </w:t>
      </w:r>
      <w:r w:rsidRPr="00472578">
        <w:rPr>
          <w:i/>
          <w:iCs/>
        </w:rPr>
        <w:t xml:space="preserve">replanting </w:t>
      </w:r>
      <w:r w:rsidRPr="00472578">
        <w:t xml:space="preserve">of </w:t>
      </w:r>
      <w:r w:rsidRPr="00472578">
        <w:rPr>
          <w:i/>
          <w:iCs/>
        </w:rPr>
        <w:t xml:space="preserve">plantation forests </w:t>
      </w:r>
      <w:r w:rsidRPr="00472578">
        <w:rPr>
          <w:u w:val="single"/>
        </w:rPr>
        <w:t>and permanent forests</w:t>
      </w:r>
      <w:r w:rsidRPr="00472578">
        <w:rPr>
          <w:rStyle w:val="FootnoteReference"/>
        </w:rPr>
        <w:footnoteReference w:id="1337"/>
      </w:r>
      <w:r w:rsidRPr="00472578">
        <w:t xml:space="preserve"> with </w:t>
      </w:r>
      <w:r w:rsidRPr="00472578">
        <w:rPr>
          <w:i/>
          <w:iCs/>
        </w:rPr>
        <w:t>wilding conifer</w:t>
      </w:r>
      <w:r w:rsidRPr="00472578">
        <w:t xml:space="preserve"> species listed in APP5 within: </w:t>
      </w:r>
    </w:p>
    <w:p w14:paraId="3A07D944" w14:textId="77777777" w:rsidR="00E37317" w:rsidRPr="00472578" w:rsidRDefault="00E37317" w:rsidP="00E92686">
      <w:pPr>
        <w:pStyle w:val="JustifiedSpacing"/>
        <w:ind w:left="1134" w:hanging="567"/>
      </w:pPr>
      <w:r w:rsidRPr="00472578">
        <w:t>(a)</w:t>
      </w:r>
      <w:r w:rsidRPr="00472578">
        <w:tab/>
        <w:t>areas identified as outstanding natural features or landscapes, and</w:t>
      </w:r>
    </w:p>
    <w:p w14:paraId="5A26D0DB" w14:textId="77777777" w:rsidR="00E37317" w:rsidRPr="00472578" w:rsidRDefault="00E37317" w:rsidP="00E92686">
      <w:pPr>
        <w:pStyle w:val="JustifiedSpacing"/>
        <w:ind w:left="1134" w:hanging="567"/>
      </w:pPr>
      <w:r w:rsidRPr="00472578">
        <w:t>(b)</w:t>
      </w:r>
      <w:r w:rsidRPr="00472578">
        <w:tab/>
        <w:t>buffer zones adjacent to outstanding natural features and landscapes where it is necessary to protect the outstanding natural feature or landscape, and</w:t>
      </w:r>
    </w:p>
    <w:p w14:paraId="1E274285" w14:textId="77777777" w:rsidR="00E37317" w:rsidRPr="00472578" w:rsidRDefault="00E37317" w:rsidP="00E92686">
      <w:pPr>
        <w:pStyle w:val="JustifiedSpacing"/>
        <w:ind w:left="567" w:hanging="567"/>
      </w:pPr>
      <w:r w:rsidRPr="00472578">
        <w:t>(2)</w:t>
      </w:r>
      <w:r w:rsidRPr="00472578">
        <w:tab/>
        <w:t xml:space="preserve">supporting initiatives to control existing </w:t>
      </w:r>
      <w:r w:rsidRPr="00472578">
        <w:rPr>
          <w:i/>
          <w:iCs/>
        </w:rPr>
        <w:t>wilding conifers</w:t>
      </w:r>
      <w:r w:rsidRPr="00472578">
        <w:t xml:space="preserve"> and limit their further spread.</w:t>
      </w:r>
      <w:bookmarkEnd w:id="353"/>
    </w:p>
    <w:bookmarkEnd w:id="354"/>
    <w:p w14:paraId="632F9D70" w14:textId="0812EFEF" w:rsidR="00E37317" w:rsidRPr="00472578" w:rsidRDefault="00E37317" w:rsidP="00E92686">
      <w:pPr>
        <w:pStyle w:val="Heading4"/>
        <w:jc w:val="both"/>
      </w:pPr>
      <w:r w:rsidRPr="00472578">
        <w:t>NFL-P6 – Coastal features and landscapes</w:t>
      </w:r>
    </w:p>
    <w:p w14:paraId="34B7C993" w14:textId="25F3DE3B" w:rsidR="00E37317" w:rsidRPr="00472578" w:rsidRDefault="00E37317" w:rsidP="00E92686">
      <w:pPr>
        <w:jc w:val="both"/>
      </w:pPr>
      <w:r w:rsidRPr="00472578">
        <w:t>Natural features</w:t>
      </w:r>
      <w:r w:rsidRPr="00472578" w:rsidDel="00D03FCA">
        <w:t xml:space="preserve"> and landscapes </w:t>
      </w:r>
      <w:r w:rsidRPr="00472578">
        <w:t>located within the coastal environment are managed by CE–P6 and implementation of CE–P6 also contributes to achieving NFL-O1.</w:t>
      </w:r>
    </w:p>
    <w:p w14:paraId="09BCD7DC" w14:textId="12C96101" w:rsidR="00E37317" w:rsidRPr="00472578" w:rsidRDefault="00E37317" w:rsidP="00E92686">
      <w:pPr>
        <w:pStyle w:val="Heading4"/>
        <w:jc w:val="both"/>
        <w:rPr>
          <w:u w:val="single"/>
        </w:rPr>
      </w:pPr>
      <w:r w:rsidRPr="00472578">
        <w:rPr>
          <w:u w:val="single"/>
        </w:rPr>
        <w:t>NFL-P7 –</w:t>
      </w:r>
      <w:r w:rsidR="00E70164" w:rsidRPr="00472578">
        <w:rPr>
          <w:u w:val="single"/>
        </w:rPr>
        <w:t xml:space="preserve"> </w:t>
      </w:r>
      <w:r w:rsidRPr="00472578">
        <w:rPr>
          <w:u w:val="single"/>
        </w:rPr>
        <w:t xml:space="preserve">Natural features and landscapes and infrastructure </w:t>
      </w:r>
    </w:p>
    <w:p w14:paraId="2CB1C307" w14:textId="3EA97937" w:rsidR="00E37317" w:rsidRPr="00472578" w:rsidRDefault="00E37317" w:rsidP="00E92686">
      <w:pPr>
        <w:jc w:val="both"/>
        <w:rPr>
          <w:u w:val="single"/>
        </w:rPr>
      </w:pPr>
      <w:r w:rsidRPr="00472578">
        <w:rPr>
          <w:u w:val="single"/>
        </w:rPr>
        <w:t xml:space="preserve">Outside of the coastal environment, the effects of </w:t>
      </w:r>
      <w:r w:rsidR="00D147B0">
        <w:rPr>
          <w:i/>
          <w:iCs/>
          <w:u w:val="single"/>
        </w:rPr>
        <w:t>N</w:t>
      </w:r>
      <w:r w:rsidRPr="00472578">
        <w:rPr>
          <w:i/>
          <w:iCs/>
          <w:u w:val="single"/>
        </w:rPr>
        <w:t xml:space="preserve">ationally </w:t>
      </w:r>
      <w:r w:rsidR="00D147B0">
        <w:rPr>
          <w:i/>
          <w:iCs/>
          <w:u w:val="single"/>
        </w:rPr>
        <w:t>S</w:t>
      </w:r>
      <w:r w:rsidR="009401C7" w:rsidRPr="00472578">
        <w:rPr>
          <w:i/>
          <w:iCs/>
          <w:u w:val="single"/>
        </w:rPr>
        <w:t xml:space="preserve">ignificant </w:t>
      </w:r>
      <w:r w:rsidR="00114B9C">
        <w:rPr>
          <w:i/>
          <w:iCs/>
          <w:u w:val="single"/>
        </w:rPr>
        <w:t>I</w:t>
      </w:r>
      <w:r w:rsidR="009401C7" w:rsidRPr="00472578">
        <w:rPr>
          <w:i/>
          <w:iCs/>
          <w:u w:val="single"/>
        </w:rPr>
        <w:t>nfrastructure</w:t>
      </w:r>
      <w:r w:rsidR="009401C7" w:rsidRPr="00472578">
        <w:rPr>
          <w:u w:val="single"/>
        </w:rPr>
        <w:t xml:space="preserve"> </w:t>
      </w:r>
      <w:r w:rsidRPr="00472578">
        <w:rPr>
          <w:u w:val="single"/>
        </w:rPr>
        <w:t xml:space="preserve">and </w:t>
      </w:r>
      <w:r w:rsidR="00114B9C">
        <w:rPr>
          <w:i/>
          <w:iCs/>
          <w:u w:val="single"/>
        </w:rPr>
        <w:t>R</w:t>
      </w:r>
      <w:r w:rsidRPr="00472578">
        <w:rPr>
          <w:i/>
          <w:iCs/>
          <w:u w:val="single"/>
        </w:rPr>
        <w:t xml:space="preserve">egionally </w:t>
      </w:r>
      <w:r w:rsidR="00114B9C">
        <w:rPr>
          <w:i/>
          <w:iCs/>
          <w:u w:val="single"/>
        </w:rPr>
        <w:t>S</w:t>
      </w:r>
      <w:r w:rsidRPr="00472578">
        <w:rPr>
          <w:i/>
          <w:iCs/>
          <w:u w:val="single"/>
        </w:rPr>
        <w:t xml:space="preserve">ignificant </w:t>
      </w:r>
      <w:r w:rsidR="00114B9C">
        <w:rPr>
          <w:i/>
          <w:iCs/>
          <w:u w:val="single"/>
        </w:rPr>
        <w:t>I</w:t>
      </w:r>
      <w:r w:rsidRPr="00472578">
        <w:rPr>
          <w:i/>
          <w:iCs/>
          <w:u w:val="single"/>
        </w:rPr>
        <w:t>nfrastructure</w:t>
      </w:r>
      <w:r w:rsidRPr="00472578">
        <w:rPr>
          <w:u w:val="single"/>
        </w:rPr>
        <w:t xml:space="preserve"> on the values of outstanding natural features and landscapes are managed by EIT-INF-P13.</w:t>
      </w:r>
      <w:r w:rsidRPr="00472578">
        <w:rPr>
          <w:rStyle w:val="FootnoteReference"/>
        </w:rPr>
        <w:footnoteReference w:id="1338"/>
      </w:r>
      <w:r w:rsidRPr="00472578">
        <w:t xml:space="preserve"> </w:t>
      </w:r>
    </w:p>
    <w:p w14:paraId="3A93AE8C" w14:textId="77777777" w:rsidR="00E37317" w:rsidRPr="00472578" w:rsidRDefault="00E37317" w:rsidP="00E92686">
      <w:pPr>
        <w:pStyle w:val="Heading3"/>
        <w:jc w:val="both"/>
        <w:rPr>
          <w:rFonts w:eastAsia="National-Book"/>
        </w:rPr>
      </w:pPr>
      <w:bookmarkStart w:id="355" w:name="_Toc49763578"/>
      <w:r w:rsidRPr="00472578">
        <w:rPr>
          <w:rFonts w:eastAsia="National-Book"/>
        </w:rPr>
        <w:t>Methods</w:t>
      </w:r>
      <w:bookmarkEnd w:id="355"/>
    </w:p>
    <w:p w14:paraId="4E9C03E1" w14:textId="77B0B88F" w:rsidR="00E37317" w:rsidRPr="00472578" w:rsidRDefault="00E37317" w:rsidP="00E92686">
      <w:pPr>
        <w:pStyle w:val="Heading4"/>
        <w:jc w:val="both"/>
        <w:rPr>
          <w:rFonts w:eastAsia="National-Book"/>
        </w:rPr>
      </w:pPr>
      <w:r w:rsidRPr="00472578">
        <w:rPr>
          <w:rFonts w:eastAsia="National-Book"/>
        </w:rPr>
        <w:t>NFL-M1</w:t>
      </w:r>
      <w:r w:rsidRPr="00472578">
        <w:t xml:space="preserve"> – </w:t>
      </w:r>
      <w:r w:rsidRPr="00472578">
        <w:rPr>
          <w:rFonts w:eastAsia="National-Book"/>
        </w:rPr>
        <w:t>Identification</w:t>
      </w:r>
    </w:p>
    <w:p w14:paraId="524DB278" w14:textId="77777777" w:rsidR="00E37317" w:rsidRPr="00472578" w:rsidRDefault="00E37317" w:rsidP="00E92686">
      <w:pPr>
        <w:spacing w:line="256" w:lineRule="auto"/>
        <w:jc w:val="both"/>
        <w:rPr>
          <w:rFonts w:ascii="Calibri" w:eastAsia="Calibri" w:hAnsi="Calibri" w:cs="Times New Roman"/>
        </w:rPr>
      </w:pPr>
      <w:r w:rsidRPr="00472578">
        <w:rPr>
          <w:rFonts w:ascii="Calibri" w:eastAsia="Calibri" w:hAnsi="Calibri" w:cs="Times New Roman"/>
          <w:i/>
          <w:iCs/>
        </w:rPr>
        <w:t>Territorial authorities</w:t>
      </w:r>
      <w:r w:rsidRPr="00472578">
        <w:rPr>
          <w:rFonts w:ascii="Calibri" w:eastAsia="Calibri" w:hAnsi="Calibri" w:cs="Times New Roman"/>
        </w:rPr>
        <w:t xml:space="preserve"> </w:t>
      </w:r>
      <w:r w:rsidRPr="00472578">
        <w:t>must</w:t>
      </w:r>
      <w:r w:rsidRPr="00472578">
        <w:rPr>
          <w:rFonts w:ascii="Calibri" w:eastAsia="Calibri" w:hAnsi="Calibri" w:cs="Times New Roman"/>
        </w:rPr>
        <w:t>:</w:t>
      </w:r>
    </w:p>
    <w:p w14:paraId="09C4765F" w14:textId="30E8B39B" w:rsidR="00E37317" w:rsidRPr="00472578" w:rsidRDefault="00E37317" w:rsidP="00E92686">
      <w:pPr>
        <w:pStyle w:val="JustifiedSpacing"/>
        <w:numPr>
          <w:ilvl w:val="0"/>
          <w:numId w:val="33"/>
        </w:numPr>
        <w:spacing w:line="240" w:lineRule="auto"/>
        <w:ind w:left="567"/>
      </w:pPr>
      <w:r w:rsidRPr="00472578">
        <w:t xml:space="preserve">include in their </w:t>
      </w:r>
      <w:r w:rsidRPr="00472578">
        <w:rPr>
          <w:i/>
          <w:iCs/>
        </w:rPr>
        <w:t>district plans</w:t>
      </w:r>
      <w:r w:rsidRPr="00472578">
        <w:t xml:space="preserve"> a map or maps and a statement of the values of the areas of outstanding and </w:t>
      </w:r>
      <w:r w:rsidRPr="00472578">
        <w:rPr>
          <w:i/>
          <w:iCs/>
        </w:rPr>
        <w:t>highly valued natural features and landscapes</w:t>
      </w:r>
      <w:r w:rsidRPr="00472578">
        <w:t xml:space="preserve"> in accordance with NFL-P1, </w:t>
      </w:r>
    </w:p>
    <w:p w14:paraId="50FDC6A5" w14:textId="12E74822" w:rsidR="00E37317" w:rsidRPr="00472578" w:rsidRDefault="00E37317" w:rsidP="00E92686">
      <w:pPr>
        <w:pStyle w:val="JustifiedSpacing"/>
        <w:numPr>
          <w:ilvl w:val="0"/>
          <w:numId w:val="33"/>
        </w:numPr>
        <w:spacing w:line="240" w:lineRule="auto"/>
        <w:ind w:left="567" w:hanging="567"/>
      </w:pPr>
      <w:r w:rsidRPr="00472578">
        <w:t xml:space="preserve">include in their </w:t>
      </w:r>
      <w:r w:rsidRPr="00472578">
        <w:rPr>
          <w:i/>
          <w:iCs/>
        </w:rPr>
        <w:t>district plans</w:t>
      </w:r>
      <w:r w:rsidRPr="00472578">
        <w:t xml:space="preserve"> a statement of the capacity of outstanding and </w:t>
      </w:r>
      <w:r w:rsidRPr="00472578">
        <w:rPr>
          <w:i/>
          <w:iCs/>
        </w:rPr>
        <w:t>highly valued natural features and landscapes</w:t>
      </w:r>
      <w:r w:rsidRPr="00472578">
        <w:t xml:space="preserve"> to accommodate change in use and development without their values being materially compromised or lost,</w:t>
      </w:r>
      <w:r w:rsidRPr="00472578" w:rsidDel="00D774F7">
        <w:t xml:space="preserve"> </w:t>
      </w:r>
      <w:r w:rsidRPr="00472578">
        <w:t xml:space="preserve">in accordance with NFL-P1, </w:t>
      </w:r>
    </w:p>
    <w:p w14:paraId="32BA8142" w14:textId="26826858" w:rsidR="00E37317" w:rsidRPr="00472578" w:rsidRDefault="00E37317" w:rsidP="00E92686">
      <w:pPr>
        <w:pStyle w:val="JustifiedSpacing"/>
        <w:ind w:left="567" w:hanging="567"/>
        <w:rPr>
          <w:u w:val="single"/>
        </w:rPr>
      </w:pPr>
      <w:r w:rsidRPr="00472578">
        <w:rPr>
          <w:u w:val="single"/>
        </w:rPr>
        <w:t>(2</w:t>
      </w:r>
      <w:r w:rsidR="00E70164" w:rsidRPr="00472578">
        <w:rPr>
          <w:u w:val="single"/>
        </w:rPr>
        <w:t>A</w:t>
      </w:r>
      <w:r w:rsidRPr="00472578">
        <w:rPr>
          <w:u w:val="single"/>
        </w:rPr>
        <w:t xml:space="preserve">) </w:t>
      </w:r>
      <w:r w:rsidRPr="00472578">
        <w:rPr>
          <w:u w:val="single"/>
        </w:rPr>
        <w:tab/>
        <w:t>collaborate with Kāi Tahu to identify the areas, values, and capacity of outstanding natural features and landscapes, and highly valued natural features and landscapes of significance for Kāi Tahu in accordance with NFL-P1,</w:t>
      </w:r>
      <w:r w:rsidRPr="00472578">
        <w:rPr>
          <w:rStyle w:val="FootnoteReference"/>
        </w:rPr>
        <w:footnoteReference w:id="1339"/>
      </w:r>
    </w:p>
    <w:p w14:paraId="37FD883C" w14:textId="77777777" w:rsidR="00E37317" w:rsidRPr="00472578" w:rsidRDefault="00E37317" w:rsidP="00E92686">
      <w:pPr>
        <w:pStyle w:val="JustifiedSpacing"/>
        <w:numPr>
          <w:ilvl w:val="0"/>
          <w:numId w:val="33"/>
        </w:numPr>
        <w:spacing w:line="240" w:lineRule="auto"/>
        <w:ind w:left="567" w:hanging="567"/>
      </w:pPr>
      <w:r w:rsidRPr="00472578">
        <w:lastRenderedPageBreak/>
        <w:t>recognise that natural features</w:t>
      </w:r>
      <w:r w:rsidRPr="00472578" w:rsidDel="0023508B">
        <w:t xml:space="preserve"> and landscapes </w:t>
      </w:r>
      <w:r w:rsidRPr="00472578">
        <w:t xml:space="preserve">may span jurisdictional boundaries and work together, including with the Regional Council </w:t>
      </w:r>
      <w:r w:rsidRPr="00472578">
        <w:rPr>
          <w:u w:val="single"/>
        </w:rPr>
        <w:t>and adjoining Regional Councils</w:t>
      </w:r>
      <w:r w:rsidRPr="00472578">
        <w:t>,</w:t>
      </w:r>
      <w:r w:rsidRPr="00472578">
        <w:rPr>
          <w:rStyle w:val="FootnoteReference"/>
        </w:rPr>
        <w:footnoteReference w:id="1340"/>
      </w:r>
      <w:r w:rsidRPr="00472578">
        <w:t xml:space="preserve"> to identify areas under (1) to ensure that the identification of natural features</w:t>
      </w:r>
      <w:r w:rsidRPr="00472578" w:rsidDel="002858FB">
        <w:t xml:space="preserve"> </w:t>
      </w:r>
      <w:r w:rsidRPr="00472578" w:rsidDel="0023508B">
        <w:t>and landscapes</w:t>
      </w:r>
      <w:r w:rsidRPr="00472578">
        <w:t xml:space="preserve"> are treated uniformly across district boundaries </w:t>
      </w:r>
      <w:r w:rsidRPr="00472578">
        <w:rPr>
          <w:u w:val="single"/>
        </w:rPr>
        <w:t>and, where appropriate, regional boundaries</w:t>
      </w:r>
      <w:r w:rsidRPr="00472578">
        <w:t>,</w:t>
      </w:r>
      <w:r w:rsidRPr="00472578">
        <w:rPr>
          <w:rStyle w:val="FootnoteReference"/>
        </w:rPr>
        <w:footnoteReference w:id="1341"/>
      </w:r>
      <w:r w:rsidRPr="00472578">
        <w:t xml:space="preserve"> and</w:t>
      </w:r>
    </w:p>
    <w:p w14:paraId="146035AC" w14:textId="77777777" w:rsidR="00E37317" w:rsidRPr="00472578" w:rsidRDefault="00E37317" w:rsidP="00E92686">
      <w:pPr>
        <w:pStyle w:val="JustifiedSpacing"/>
        <w:ind w:left="567" w:hanging="567"/>
      </w:pPr>
      <w:r w:rsidRPr="00472578">
        <w:t>(4)</w:t>
      </w:r>
      <w:r w:rsidRPr="00472578">
        <w:tab/>
      </w:r>
      <w:bookmarkStart w:id="356" w:name="_Hlk72224165"/>
      <w:r w:rsidRPr="00472578">
        <w:t xml:space="preserve">prioritise identification under (1) in areas that are likely to contain outstanding natural features or landscapes </w:t>
      </w:r>
      <w:bookmarkEnd w:id="356"/>
      <w:r w:rsidRPr="00472578">
        <w:t>and are likely to face development or growth pressure over the life of this RPS.</w:t>
      </w:r>
    </w:p>
    <w:p w14:paraId="49F7D316" w14:textId="49004044" w:rsidR="00E37317" w:rsidRPr="00472578" w:rsidRDefault="00E37317" w:rsidP="00E92686">
      <w:pPr>
        <w:pStyle w:val="Heading4"/>
        <w:jc w:val="both"/>
        <w:rPr>
          <w:rFonts w:eastAsia="National-Book"/>
        </w:rPr>
      </w:pPr>
      <w:r w:rsidRPr="00472578">
        <w:rPr>
          <w:rFonts w:eastAsia="National-Book"/>
        </w:rPr>
        <w:t>NFL-M2</w:t>
      </w:r>
      <w:r w:rsidRPr="00472578">
        <w:t xml:space="preserve"> </w:t>
      </w:r>
      <w:bookmarkStart w:id="357" w:name="_Hlk72434553"/>
      <w:r w:rsidRPr="00472578">
        <w:t>–</w:t>
      </w:r>
      <w:bookmarkEnd w:id="357"/>
      <w:r w:rsidRPr="00472578">
        <w:t xml:space="preserve"> </w:t>
      </w:r>
      <w:r w:rsidRPr="00472578">
        <w:rPr>
          <w:rFonts w:eastAsia="National-Book"/>
          <w:i/>
        </w:rPr>
        <w:t>Regional plans</w:t>
      </w:r>
      <w:r w:rsidRPr="00472578">
        <w:rPr>
          <w:rFonts w:eastAsia="National-Book"/>
        </w:rPr>
        <w:t xml:space="preserve"> </w:t>
      </w:r>
    </w:p>
    <w:p w14:paraId="4369D765" w14:textId="77777777" w:rsidR="00E37317" w:rsidRPr="00472578" w:rsidRDefault="00E37317" w:rsidP="00E92686">
      <w:pPr>
        <w:spacing w:line="256" w:lineRule="auto"/>
        <w:jc w:val="both"/>
        <w:rPr>
          <w:rFonts w:ascii="Calibri" w:eastAsia="Calibri" w:hAnsi="Calibri" w:cs="Times New Roman"/>
        </w:rPr>
      </w:pPr>
      <w:r w:rsidRPr="00472578">
        <w:rPr>
          <w:rFonts w:ascii="Calibri" w:eastAsia="Calibri" w:hAnsi="Calibri" w:cs="Times New Roman"/>
        </w:rPr>
        <w:t xml:space="preserve">Otago Regional Council </w:t>
      </w:r>
      <w:r w:rsidRPr="00472578">
        <w:t>must</w:t>
      </w:r>
      <w:r w:rsidRPr="00472578" w:rsidDel="006F541A">
        <w:rPr>
          <w:rFonts w:ascii="Calibri" w:eastAsia="Calibri" w:hAnsi="Calibri" w:cs="Times New Roman"/>
        </w:rPr>
        <w:t xml:space="preserve"> </w:t>
      </w:r>
      <w:r w:rsidRPr="00472578">
        <w:rPr>
          <w:rFonts w:ascii="Calibri" w:eastAsia="Calibri" w:hAnsi="Calibri" w:cs="Times New Roman"/>
        </w:rPr>
        <w:t>prepare or amend and maintain</w:t>
      </w:r>
      <w:r w:rsidRPr="00472578">
        <w:t xml:space="preserve"> </w:t>
      </w:r>
      <w:r w:rsidRPr="00472578">
        <w:rPr>
          <w:rFonts w:ascii="Calibri" w:eastAsia="Calibri" w:hAnsi="Calibri" w:cs="Times New Roman"/>
        </w:rPr>
        <w:t xml:space="preserve">its </w:t>
      </w:r>
      <w:r w:rsidRPr="00472578">
        <w:rPr>
          <w:rFonts w:ascii="Calibri" w:eastAsia="Calibri" w:hAnsi="Calibri" w:cs="Times New Roman"/>
          <w:i/>
          <w:iCs/>
        </w:rPr>
        <w:t>regional plans</w:t>
      </w:r>
      <w:r w:rsidRPr="00472578">
        <w:rPr>
          <w:rFonts w:ascii="Calibri" w:eastAsia="Calibri" w:hAnsi="Calibri" w:cs="Times New Roman"/>
        </w:rPr>
        <w:t xml:space="preserve"> to:</w:t>
      </w:r>
    </w:p>
    <w:p w14:paraId="4E7926D1" w14:textId="28642B60" w:rsidR="00E37317" w:rsidRPr="00472578" w:rsidRDefault="00E37317" w:rsidP="00E92686">
      <w:pPr>
        <w:pStyle w:val="JustifiedSpacing"/>
        <w:ind w:left="567" w:hanging="567"/>
      </w:pPr>
      <w:r w:rsidRPr="00472578">
        <w:t>(1)</w:t>
      </w:r>
      <w:r w:rsidRPr="00472578">
        <w:tab/>
        <w:t xml:space="preserve">control the </w:t>
      </w:r>
      <w:r w:rsidRPr="00472578">
        <w:rPr>
          <w:i/>
          <w:iCs/>
        </w:rPr>
        <w:t>use</w:t>
      </w:r>
      <w:r w:rsidRPr="00472578">
        <w:t xml:space="preserve"> and development of </w:t>
      </w:r>
      <w:r w:rsidRPr="00472578">
        <w:rPr>
          <w:i/>
          <w:iCs/>
        </w:rPr>
        <w:t xml:space="preserve">water bodies, </w:t>
      </w:r>
      <w:r w:rsidRPr="00472578">
        <w:t>the</w:t>
      </w:r>
      <w:r w:rsidRPr="00472578">
        <w:rPr>
          <w:i/>
          <w:iCs/>
        </w:rPr>
        <w:t xml:space="preserve"> beds </w:t>
      </w:r>
      <w:r w:rsidRPr="00472578">
        <w:t xml:space="preserve">of </w:t>
      </w:r>
      <w:r w:rsidRPr="00472578">
        <w:rPr>
          <w:i/>
          <w:iCs/>
        </w:rPr>
        <w:t>rivers</w:t>
      </w:r>
      <w:r w:rsidRPr="00472578">
        <w:t xml:space="preserve"> and </w:t>
      </w:r>
      <w:r w:rsidRPr="00472578">
        <w:rPr>
          <w:i/>
          <w:iCs/>
        </w:rPr>
        <w:t>lakes</w:t>
      </w:r>
      <w:r w:rsidRPr="00472578">
        <w:t xml:space="preserve">, and </w:t>
      </w:r>
      <w:r w:rsidRPr="00472578">
        <w:rPr>
          <w:i/>
          <w:iCs/>
        </w:rPr>
        <w:t xml:space="preserve">wetlands </w:t>
      </w:r>
      <w:r w:rsidRPr="00472578">
        <w:t>in order to protect outstanding natural features and landscapes in accordance with NFL-P2, and maintain and enhance</w:t>
      </w:r>
      <w:r w:rsidRPr="00472578">
        <w:rPr>
          <w:i/>
          <w:iCs/>
        </w:rPr>
        <w:t xml:space="preserve"> highly valued natural features or landscapes</w:t>
      </w:r>
      <w:r w:rsidRPr="00472578">
        <w:t xml:space="preserve"> in accordance with NFL-P3, and</w:t>
      </w:r>
    </w:p>
    <w:p w14:paraId="18D2F3B3" w14:textId="38DF0C44" w:rsidR="00E37317" w:rsidRPr="00472578" w:rsidRDefault="00E37317" w:rsidP="00E92686">
      <w:pPr>
        <w:pStyle w:val="JustifiedSpacing"/>
        <w:ind w:left="567" w:hanging="567"/>
      </w:pPr>
      <w:r w:rsidRPr="00472578">
        <w:t>(2)</w:t>
      </w:r>
      <w:r w:rsidRPr="00472578">
        <w:tab/>
        <w:t>provide for and encourage activities undertaken for the primary purpose of restoring highly valued natural features</w:t>
      </w:r>
      <w:r w:rsidRPr="00472578" w:rsidDel="00492762">
        <w:t xml:space="preserve"> or landscapes </w:t>
      </w:r>
      <w:r w:rsidRPr="00472578">
        <w:t>in accordance with NFL-P4.</w:t>
      </w:r>
    </w:p>
    <w:p w14:paraId="6FDBD059" w14:textId="1C9FBCFE" w:rsidR="00E37317" w:rsidRPr="00472578" w:rsidRDefault="00E37317" w:rsidP="00E92686">
      <w:pPr>
        <w:pStyle w:val="Heading4"/>
        <w:jc w:val="both"/>
        <w:rPr>
          <w:rFonts w:eastAsia="National-Book"/>
        </w:rPr>
      </w:pPr>
      <w:r w:rsidRPr="00472578">
        <w:rPr>
          <w:rFonts w:eastAsia="National-Book"/>
        </w:rPr>
        <w:t>NFL-M3</w:t>
      </w:r>
      <w:r w:rsidRPr="00472578">
        <w:t xml:space="preserve"> – </w:t>
      </w:r>
      <w:r w:rsidRPr="00472578">
        <w:rPr>
          <w:rFonts w:eastAsia="National-Book"/>
          <w:i/>
        </w:rPr>
        <w:t>District plans</w:t>
      </w:r>
      <w:r w:rsidRPr="00472578">
        <w:rPr>
          <w:rFonts w:eastAsia="National-Book"/>
        </w:rPr>
        <w:t xml:space="preserve"> </w:t>
      </w:r>
    </w:p>
    <w:p w14:paraId="5ED4DA9F" w14:textId="77777777" w:rsidR="00E37317" w:rsidRPr="00472578" w:rsidRDefault="00E37317" w:rsidP="00E92686">
      <w:pPr>
        <w:spacing w:line="256" w:lineRule="auto"/>
        <w:jc w:val="both"/>
        <w:rPr>
          <w:rFonts w:ascii="Calibri" w:eastAsia="Calibri" w:hAnsi="Calibri" w:cs="Times New Roman"/>
        </w:rPr>
      </w:pPr>
      <w:r w:rsidRPr="00472578">
        <w:rPr>
          <w:rFonts w:ascii="Calibri" w:eastAsia="Calibri" w:hAnsi="Calibri" w:cs="Times New Roman"/>
          <w:i/>
          <w:iCs/>
        </w:rPr>
        <w:t>Territorial authorities</w:t>
      </w:r>
      <w:r w:rsidRPr="00472578">
        <w:rPr>
          <w:rFonts w:ascii="Calibri" w:eastAsia="Calibri" w:hAnsi="Calibri" w:cs="Times New Roman"/>
        </w:rPr>
        <w:t xml:space="preserve"> </w:t>
      </w:r>
      <w:r w:rsidRPr="00472578">
        <w:t>must</w:t>
      </w:r>
      <w:r w:rsidRPr="00472578" w:rsidDel="006F541A">
        <w:rPr>
          <w:rFonts w:ascii="Calibri" w:eastAsia="Calibri" w:hAnsi="Calibri" w:cs="Times New Roman"/>
        </w:rPr>
        <w:t xml:space="preserve"> </w:t>
      </w:r>
      <w:r w:rsidRPr="00472578">
        <w:rPr>
          <w:rFonts w:ascii="Calibri" w:eastAsia="Calibri" w:hAnsi="Calibri" w:cs="Times New Roman"/>
        </w:rPr>
        <w:t>prepare or amend and maintain</w:t>
      </w:r>
      <w:r w:rsidRPr="00472578">
        <w:t xml:space="preserve"> </w:t>
      </w:r>
      <w:r w:rsidRPr="00472578">
        <w:rPr>
          <w:rFonts w:ascii="Calibri" w:eastAsia="Calibri" w:hAnsi="Calibri" w:cs="Times New Roman"/>
        </w:rPr>
        <w:t xml:space="preserve">their </w:t>
      </w:r>
      <w:r w:rsidRPr="00472578">
        <w:rPr>
          <w:rFonts w:ascii="Calibri" w:eastAsia="Calibri" w:hAnsi="Calibri" w:cs="Times New Roman"/>
          <w:i/>
          <w:iCs/>
        </w:rPr>
        <w:t>district plans</w:t>
      </w:r>
      <w:r w:rsidRPr="00472578">
        <w:rPr>
          <w:rFonts w:ascii="Calibri" w:eastAsia="Calibri" w:hAnsi="Calibri" w:cs="Times New Roman"/>
        </w:rPr>
        <w:t xml:space="preserve"> to:</w:t>
      </w:r>
    </w:p>
    <w:p w14:paraId="26D3DC02" w14:textId="5A543714" w:rsidR="00E37317" w:rsidRPr="00472578" w:rsidRDefault="00E37317" w:rsidP="00E92686">
      <w:pPr>
        <w:pStyle w:val="JustifiedSpacing"/>
        <w:ind w:left="567" w:hanging="567"/>
      </w:pPr>
      <w:r w:rsidRPr="00472578">
        <w:t>(1)</w:t>
      </w:r>
      <w:r w:rsidRPr="00472578">
        <w:tab/>
        <w:t xml:space="preserve">control the </w:t>
      </w:r>
      <w:r w:rsidRPr="00472578">
        <w:rPr>
          <w:i/>
          <w:iCs/>
        </w:rPr>
        <w:t>subdivision</w:t>
      </w:r>
      <w:r w:rsidRPr="00472578">
        <w:t xml:space="preserve">, </w:t>
      </w:r>
      <w:r w:rsidRPr="00472578">
        <w:rPr>
          <w:i/>
          <w:iCs/>
        </w:rPr>
        <w:t>use</w:t>
      </w:r>
      <w:r w:rsidRPr="00472578">
        <w:t xml:space="preserve"> and development of </w:t>
      </w:r>
      <w:r w:rsidRPr="00472578">
        <w:rPr>
          <w:i/>
          <w:iCs/>
        </w:rPr>
        <w:t>land</w:t>
      </w:r>
      <w:r w:rsidRPr="00472578">
        <w:t xml:space="preserve"> and the use of the surface of </w:t>
      </w:r>
      <w:r w:rsidRPr="00472578">
        <w:rPr>
          <w:i/>
          <w:iCs/>
        </w:rPr>
        <w:t>water bodies</w:t>
      </w:r>
      <w:r w:rsidRPr="00472578">
        <w:t xml:space="preserve"> in order to protect outstanding natural features</w:t>
      </w:r>
      <w:r w:rsidRPr="00472578" w:rsidDel="00492762">
        <w:t xml:space="preserve"> or landscapes </w:t>
      </w:r>
      <w:r w:rsidRPr="00472578">
        <w:t xml:space="preserve">in accordance with NFL-P2, and maintain and enhance </w:t>
      </w:r>
      <w:r w:rsidRPr="00472578">
        <w:rPr>
          <w:i/>
          <w:iCs/>
        </w:rPr>
        <w:t>highly valued natural features or landscapes</w:t>
      </w:r>
      <w:r w:rsidRPr="00472578">
        <w:t xml:space="preserve"> in accordance with NFL-P3,</w:t>
      </w:r>
    </w:p>
    <w:p w14:paraId="28ABEED4" w14:textId="6DCE09F1" w:rsidR="00E37317" w:rsidRPr="00472578" w:rsidRDefault="00E37317" w:rsidP="00E92686">
      <w:pPr>
        <w:pStyle w:val="JustifiedSpacing"/>
        <w:ind w:left="567" w:hanging="567"/>
      </w:pPr>
      <w:r w:rsidRPr="00472578">
        <w:t>(2)</w:t>
      </w:r>
      <w:r w:rsidRPr="00472578">
        <w:tab/>
        <w:t>provide for and encourage activities undertaken for the primary purpose of restoring highly valued natural features</w:t>
      </w:r>
      <w:r w:rsidRPr="00472578" w:rsidDel="00492762">
        <w:t xml:space="preserve"> or landscapes </w:t>
      </w:r>
      <w:r w:rsidRPr="00472578">
        <w:t>in accordance with NFL-P4, and</w:t>
      </w:r>
    </w:p>
    <w:p w14:paraId="66F5F409" w14:textId="4D7D7D1B" w:rsidR="00E37317" w:rsidRPr="00472578" w:rsidRDefault="00E37317" w:rsidP="00E92686">
      <w:pPr>
        <w:pStyle w:val="JustifiedSpacing"/>
        <w:ind w:left="567" w:hanging="567"/>
      </w:pPr>
      <w:r w:rsidRPr="00472578">
        <w:t>(3)</w:t>
      </w:r>
      <w:r w:rsidRPr="00472578">
        <w:tab/>
        <w:t xml:space="preserve">manage </w:t>
      </w:r>
      <w:r w:rsidRPr="00472578">
        <w:rPr>
          <w:i/>
          <w:iCs/>
        </w:rPr>
        <w:t>wilding conifer</w:t>
      </w:r>
      <w:r w:rsidRPr="00472578">
        <w:t xml:space="preserve"> spread in accordance with NFL-P5.</w:t>
      </w:r>
    </w:p>
    <w:p w14:paraId="049FDFE1" w14:textId="3263D7AC" w:rsidR="00E37317" w:rsidRPr="00472578" w:rsidRDefault="00E37317" w:rsidP="00E92686">
      <w:pPr>
        <w:pStyle w:val="Heading4"/>
        <w:jc w:val="both"/>
        <w:rPr>
          <w:rFonts w:eastAsia="National-Book"/>
        </w:rPr>
      </w:pPr>
      <w:r w:rsidRPr="00472578">
        <w:rPr>
          <w:rFonts w:eastAsia="National-Book"/>
        </w:rPr>
        <w:t>NFL-M4 – Other incentives and mechanisms</w:t>
      </w:r>
    </w:p>
    <w:p w14:paraId="045C6FB7" w14:textId="77777777" w:rsidR="00E37317" w:rsidRPr="00472578" w:rsidRDefault="00E37317" w:rsidP="00E92686">
      <w:pPr>
        <w:spacing w:line="256" w:lineRule="auto"/>
        <w:jc w:val="both"/>
        <w:rPr>
          <w:rFonts w:ascii="Calibri" w:eastAsia="Calibri" w:hAnsi="Calibri" w:cs="Times New Roman"/>
        </w:rPr>
      </w:pPr>
      <w:r w:rsidRPr="00472578">
        <w:rPr>
          <w:rFonts w:ascii="Calibri" w:eastAsia="Calibri" w:hAnsi="Calibri" w:cs="Times New Roman"/>
          <w:i/>
          <w:iCs/>
        </w:rPr>
        <w:t>Local authorities</w:t>
      </w:r>
      <w:r w:rsidRPr="00472578">
        <w:rPr>
          <w:rFonts w:ascii="Calibri" w:eastAsia="Calibri" w:hAnsi="Calibri" w:cs="Times New Roman"/>
        </w:rPr>
        <w:t xml:space="preserve"> are encouraged to consider the use of other mechanisms or incentives to assist in achieving the outcomes sought by the policies in this chapter, including:</w:t>
      </w:r>
    </w:p>
    <w:p w14:paraId="69368310" w14:textId="77777777" w:rsidR="00E37317" w:rsidRPr="00472578" w:rsidRDefault="00E37317" w:rsidP="00E92686">
      <w:pPr>
        <w:pStyle w:val="JustifiedSpacing"/>
        <w:ind w:left="567" w:hanging="567"/>
      </w:pPr>
      <w:r w:rsidRPr="00472578">
        <w:t>(1)</w:t>
      </w:r>
      <w:r w:rsidRPr="00472578">
        <w:tab/>
        <w:t>funding assistance for restoration projects (for example, through the Regional Council’s ECO Fund),</w:t>
      </w:r>
    </w:p>
    <w:p w14:paraId="6B4EF6DE" w14:textId="77777777" w:rsidR="00E37317" w:rsidRPr="00472578" w:rsidRDefault="00E37317" w:rsidP="00E92686">
      <w:pPr>
        <w:pStyle w:val="JustifiedSpacing"/>
        <w:ind w:left="567" w:hanging="567"/>
      </w:pPr>
      <w:r w:rsidRPr="00472578">
        <w:t>(2)</w:t>
      </w:r>
      <w:r w:rsidRPr="00472578">
        <w:tab/>
        <w:t xml:space="preserve">purchase of </w:t>
      </w:r>
      <w:r w:rsidRPr="00472578">
        <w:rPr>
          <w:i/>
          <w:iCs/>
        </w:rPr>
        <w:t>land</w:t>
      </w:r>
      <w:r w:rsidRPr="00472578">
        <w:t xml:space="preserve"> that forms part of a natural feature</w:t>
      </w:r>
      <w:r w:rsidRPr="00472578" w:rsidDel="00490697">
        <w:t xml:space="preserve"> or landscape</w:t>
      </w:r>
      <w:r w:rsidRPr="00472578">
        <w:t>,</w:t>
      </w:r>
    </w:p>
    <w:p w14:paraId="4F619EBB" w14:textId="77777777" w:rsidR="00E37317" w:rsidRPr="00472578" w:rsidRDefault="00E37317" w:rsidP="00E92686">
      <w:pPr>
        <w:pStyle w:val="JustifiedSpacing"/>
        <w:ind w:left="567" w:hanging="567"/>
      </w:pPr>
      <w:r w:rsidRPr="00472578">
        <w:t>(3)</w:t>
      </w:r>
      <w:r w:rsidRPr="00472578">
        <w:tab/>
        <w:t xml:space="preserve">development or design guidelines (for example, colour palettes for </w:t>
      </w:r>
      <w:r w:rsidRPr="00472578">
        <w:rPr>
          <w:i/>
          <w:iCs/>
        </w:rPr>
        <w:t>structures</w:t>
      </w:r>
      <w:r w:rsidRPr="00472578">
        <w:t xml:space="preserve"> in or on natural features</w:t>
      </w:r>
      <w:r w:rsidRPr="00472578" w:rsidDel="00B113DB">
        <w:t xml:space="preserve"> or landscapes</w:t>
      </w:r>
      <w:r w:rsidRPr="00472578">
        <w:t>),</w:t>
      </w:r>
    </w:p>
    <w:p w14:paraId="6F133DFA" w14:textId="77777777" w:rsidR="00E37317" w:rsidRPr="00472578" w:rsidRDefault="00E37317" w:rsidP="00E92686">
      <w:pPr>
        <w:pStyle w:val="JustifiedSpacing"/>
        <w:ind w:left="567" w:hanging="567"/>
      </w:pPr>
      <w:r w:rsidRPr="00472578">
        <w:t>(4)</w:t>
      </w:r>
      <w:r w:rsidRPr="00472578">
        <w:tab/>
        <w:t xml:space="preserve">rates relief for </w:t>
      </w:r>
      <w:r w:rsidRPr="00472578">
        <w:rPr>
          <w:i/>
          <w:iCs/>
        </w:rPr>
        <w:t>land</w:t>
      </w:r>
      <w:r w:rsidRPr="00472578">
        <w:t xml:space="preserve"> that is protected due to its status as an outstanding natural feature</w:t>
      </w:r>
      <w:r w:rsidRPr="00472578" w:rsidDel="00B113DB">
        <w:t xml:space="preserve"> or landscape</w:t>
      </w:r>
      <w:r w:rsidRPr="00472578">
        <w:t>,</w:t>
      </w:r>
    </w:p>
    <w:p w14:paraId="503D9C0D" w14:textId="77777777" w:rsidR="00E37317" w:rsidRPr="00472578" w:rsidRDefault="00E37317" w:rsidP="00E92686">
      <w:pPr>
        <w:pStyle w:val="JustifiedSpacing"/>
        <w:ind w:left="567" w:hanging="567"/>
      </w:pPr>
      <w:r w:rsidRPr="00472578">
        <w:t>(5)</w:t>
      </w:r>
      <w:r w:rsidRPr="00472578">
        <w:tab/>
        <w:t>education and advice,</w:t>
      </w:r>
    </w:p>
    <w:p w14:paraId="66987EDB" w14:textId="77777777" w:rsidR="00E37317" w:rsidRPr="00472578" w:rsidRDefault="00E37317" w:rsidP="00E92686">
      <w:pPr>
        <w:pStyle w:val="JustifiedSpacing"/>
        <w:ind w:left="567" w:hanging="567"/>
      </w:pPr>
      <w:r w:rsidRPr="00472578">
        <w:lastRenderedPageBreak/>
        <w:t>(6)</w:t>
      </w:r>
      <w:r w:rsidRPr="00472578">
        <w:tab/>
        <w:t>waiver or reduction of processing fees for activities where the primary purpose is to enhance the values of highly valued natural features</w:t>
      </w:r>
      <w:r w:rsidRPr="00472578" w:rsidDel="00B113DB">
        <w:t xml:space="preserve"> or landscapes</w:t>
      </w:r>
      <w:r w:rsidRPr="00472578">
        <w:t>, and</w:t>
      </w:r>
    </w:p>
    <w:p w14:paraId="03477320" w14:textId="77777777" w:rsidR="00E37317" w:rsidRPr="00472578" w:rsidRDefault="00E37317" w:rsidP="00E92686">
      <w:pPr>
        <w:pStyle w:val="JustifiedSpacing"/>
        <w:ind w:left="567" w:hanging="567"/>
      </w:pPr>
      <w:r w:rsidRPr="00472578">
        <w:t>(7)</w:t>
      </w:r>
      <w:r w:rsidRPr="00472578">
        <w:tab/>
        <w:t xml:space="preserve">advocating for a collaborative approach between central and local government to fund and carry out </w:t>
      </w:r>
      <w:r w:rsidRPr="00472578">
        <w:rPr>
          <w:i/>
          <w:iCs/>
        </w:rPr>
        <w:t>wilding conifer</w:t>
      </w:r>
      <w:r w:rsidRPr="00472578">
        <w:t xml:space="preserve"> control.</w:t>
      </w:r>
    </w:p>
    <w:p w14:paraId="671844C0" w14:textId="77777777" w:rsidR="00E37317" w:rsidRPr="00472578" w:rsidRDefault="00E37317" w:rsidP="00E92686">
      <w:pPr>
        <w:pStyle w:val="Heading3"/>
        <w:jc w:val="both"/>
        <w:rPr>
          <w:rFonts w:eastAsia="National-Book"/>
        </w:rPr>
      </w:pPr>
      <w:bookmarkStart w:id="358" w:name="_Toc49763577"/>
      <w:r w:rsidRPr="00472578">
        <w:rPr>
          <w:rFonts w:eastAsia="National-Book"/>
        </w:rPr>
        <w:t>Explanation</w:t>
      </w:r>
      <w:bookmarkStart w:id="359" w:name="_Toc49763579"/>
      <w:bookmarkEnd w:id="358"/>
    </w:p>
    <w:p w14:paraId="29126773" w14:textId="4DFC7363" w:rsidR="00E37317" w:rsidRPr="00472578" w:rsidRDefault="00E37317" w:rsidP="00E92686">
      <w:pPr>
        <w:pStyle w:val="Heading4"/>
        <w:jc w:val="both"/>
        <w:rPr>
          <w:rFonts w:eastAsia="National-Book"/>
        </w:rPr>
      </w:pPr>
      <w:r w:rsidRPr="00472578">
        <w:rPr>
          <w:rFonts w:eastAsia="National-Book"/>
        </w:rPr>
        <w:t>NFL-E1</w:t>
      </w:r>
      <w:r w:rsidRPr="00472578">
        <w:t xml:space="preserve"> – </w:t>
      </w:r>
      <w:r w:rsidRPr="00472578">
        <w:rPr>
          <w:rFonts w:eastAsia="National-Book"/>
        </w:rPr>
        <w:t xml:space="preserve">Explanation </w:t>
      </w:r>
    </w:p>
    <w:p w14:paraId="42176E42" w14:textId="2F3D9724" w:rsidR="00E37317" w:rsidRPr="00472578" w:rsidRDefault="00E37317" w:rsidP="00E92686">
      <w:pPr>
        <w:jc w:val="both"/>
      </w:pPr>
      <w:r w:rsidRPr="00472578">
        <w:t xml:space="preserve">The policies in this chapter are designed to require outstanding and </w:t>
      </w:r>
      <w:r w:rsidRPr="00472578">
        <w:rPr>
          <w:i/>
          <w:iCs/>
        </w:rPr>
        <w:t>highly valued natural features</w:t>
      </w:r>
      <w:r w:rsidRPr="00472578" w:rsidDel="00804CBE">
        <w:rPr>
          <w:i/>
          <w:iCs/>
        </w:rPr>
        <w:t xml:space="preserve"> and landscapes</w:t>
      </w:r>
      <w:r w:rsidRPr="00472578">
        <w:t xml:space="preserve"> to be identified using regionally consistent attributes, then managing activities to either protect outstanding natural features</w:t>
      </w:r>
      <w:r w:rsidRPr="00472578" w:rsidDel="00E65947">
        <w:t xml:space="preserve"> and landscapes </w:t>
      </w:r>
      <w:r w:rsidRPr="00472578">
        <w:t>in accordance with section 6(b) of the RMA</w:t>
      </w:r>
      <w:r w:rsidRPr="00AD06FD">
        <w:rPr>
          <w:strike/>
        </w:rPr>
        <w:t xml:space="preserve"> 1991</w:t>
      </w:r>
      <w:r w:rsidR="00AD06FD">
        <w:rPr>
          <w:rStyle w:val="FootnoteReference"/>
        </w:rPr>
        <w:footnoteReference w:id="1342"/>
      </w:r>
      <w:r w:rsidR="00AD06FD">
        <w:t xml:space="preserve"> </w:t>
      </w:r>
      <w:r w:rsidRPr="00472578">
        <w:t xml:space="preserve">or maintain </w:t>
      </w:r>
      <w:r w:rsidRPr="00472578">
        <w:rPr>
          <w:i/>
          <w:iCs/>
        </w:rPr>
        <w:t>highly valued natural features</w:t>
      </w:r>
      <w:r w:rsidRPr="00472578" w:rsidDel="00E65947">
        <w:rPr>
          <w:i/>
          <w:iCs/>
        </w:rPr>
        <w:t xml:space="preserve"> or landscapes</w:t>
      </w:r>
      <w:r w:rsidRPr="00472578" w:rsidDel="00E65947">
        <w:t xml:space="preserve"> </w:t>
      </w:r>
      <w:r w:rsidRPr="00472578">
        <w:t>in accordance with section 7 of the RMA</w:t>
      </w:r>
      <w:r w:rsidRPr="00F54768">
        <w:rPr>
          <w:strike/>
        </w:rPr>
        <w:t xml:space="preserve"> 1991</w:t>
      </w:r>
      <w:r w:rsidRPr="00472578">
        <w:t>.</w:t>
      </w:r>
      <w:r w:rsidR="00F54768">
        <w:rPr>
          <w:rStyle w:val="FootnoteReference"/>
        </w:rPr>
        <w:footnoteReference w:id="1343"/>
      </w:r>
      <w:r w:rsidRPr="00472578">
        <w:t xml:space="preserve"> This distinction recognises that these areas have values with differing degrees of significance and that, generally, those classified as ‘highly valued’ will have greater capacity to accommodate land use change and development without values being adversely affected. The policies seek to control the impact of </w:t>
      </w:r>
      <w:r w:rsidRPr="00472578">
        <w:rPr>
          <w:i/>
          <w:iCs/>
        </w:rPr>
        <w:t>wilding conifers</w:t>
      </w:r>
      <w:r w:rsidRPr="00472578">
        <w:t xml:space="preserve"> which are a particular threat to Otago’s natural features</w:t>
      </w:r>
      <w:r w:rsidRPr="00472578" w:rsidDel="0054612E">
        <w:t xml:space="preserve"> and landscapes</w:t>
      </w:r>
      <w:r w:rsidRPr="00472578">
        <w:t xml:space="preserve">, in a way that recognises the regulations in the NESPF. </w:t>
      </w:r>
    </w:p>
    <w:p w14:paraId="17EDBEC2" w14:textId="77777777" w:rsidR="00E37317" w:rsidRPr="00472578" w:rsidRDefault="00E37317" w:rsidP="00E92686">
      <w:pPr>
        <w:pStyle w:val="Heading3"/>
        <w:jc w:val="both"/>
        <w:rPr>
          <w:rFonts w:eastAsia="National-Book"/>
        </w:rPr>
      </w:pPr>
      <w:r w:rsidRPr="00472578">
        <w:rPr>
          <w:rFonts w:eastAsia="National-Book"/>
        </w:rPr>
        <w:t>Principal reasons</w:t>
      </w:r>
      <w:bookmarkEnd w:id="359"/>
    </w:p>
    <w:p w14:paraId="16BBD7B8" w14:textId="32B520DD" w:rsidR="00E37317" w:rsidRPr="00472578" w:rsidRDefault="00E37317" w:rsidP="00E92686">
      <w:pPr>
        <w:pStyle w:val="Heading4"/>
        <w:jc w:val="both"/>
        <w:rPr>
          <w:rFonts w:eastAsia="National-Book"/>
        </w:rPr>
      </w:pPr>
      <w:r w:rsidRPr="00472578">
        <w:rPr>
          <w:rFonts w:eastAsia="National-Book"/>
        </w:rPr>
        <w:t>NFL-PR1</w:t>
      </w:r>
      <w:r w:rsidRPr="00472578">
        <w:t xml:space="preserve"> – </w:t>
      </w:r>
      <w:r w:rsidRPr="00472578">
        <w:rPr>
          <w:rFonts w:eastAsia="National-Book"/>
        </w:rPr>
        <w:t>Principal reasons</w:t>
      </w:r>
    </w:p>
    <w:p w14:paraId="3F4F6D02" w14:textId="77777777" w:rsidR="00E37317" w:rsidRPr="00472578" w:rsidRDefault="00E37317" w:rsidP="00E92686">
      <w:pPr>
        <w:jc w:val="both"/>
      </w:pPr>
      <w:r w:rsidRPr="00472578">
        <w:t xml:space="preserve">Natural features include resources that are the result of natural processes, particularly those reflecting a particular geology, topography, geomorphology, hydrology, ecology, or other physical attribute that creates a natural feature or combination of natural features. Landscapes include the natural and physical attributes of </w:t>
      </w:r>
      <w:r w:rsidRPr="00472578">
        <w:rPr>
          <w:i/>
          <w:iCs/>
        </w:rPr>
        <w:t>land</w:t>
      </w:r>
      <w:r w:rsidRPr="00472578">
        <w:t xml:space="preserve"> together with air and </w:t>
      </w:r>
      <w:r w:rsidRPr="00472578">
        <w:rPr>
          <w:i/>
          <w:iCs/>
        </w:rPr>
        <w:t>water</w:t>
      </w:r>
      <w:r w:rsidRPr="00472578">
        <w:t>, which change over time and which is made known by people’s evolving perceptions and associations. Natural features</w:t>
      </w:r>
      <w:r w:rsidRPr="00472578" w:rsidDel="00EE2AEF">
        <w:t xml:space="preserve"> and landscapes </w:t>
      </w:r>
      <w:r w:rsidRPr="00472578">
        <w:t xml:space="preserve">also have significant cultural value to Kāi Tahu. </w:t>
      </w:r>
      <w:r w:rsidRPr="00472578">
        <w:rPr>
          <w:rFonts w:eastAsia="National-Book" w:cs="Times New Roman"/>
        </w:rPr>
        <w:t xml:space="preserve">There are many </w:t>
      </w:r>
      <w:r w:rsidRPr="00472578">
        <w:t xml:space="preserve">sites of significance across Otago, reflecting the relationship of Kāi Tahu with the </w:t>
      </w:r>
      <w:r w:rsidRPr="00472578">
        <w:rPr>
          <w:i/>
          <w:iCs/>
        </w:rPr>
        <w:t xml:space="preserve">land, water </w:t>
      </w:r>
      <w:r w:rsidRPr="00472578">
        <w:t>and sea.</w:t>
      </w:r>
    </w:p>
    <w:p w14:paraId="6515C449" w14:textId="77777777" w:rsidR="00E37317" w:rsidRPr="00472578" w:rsidRDefault="00E37317" w:rsidP="00E92686">
      <w:pPr>
        <w:jc w:val="both"/>
      </w:pPr>
      <w:r w:rsidRPr="00472578">
        <w:t xml:space="preserve">The provisions in this chapter assist in protecting Otago’s outstanding and </w:t>
      </w:r>
      <w:r w:rsidRPr="00472578">
        <w:rPr>
          <w:i/>
          <w:iCs/>
        </w:rPr>
        <w:t>highly valued natural features</w:t>
      </w:r>
      <w:r w:rsidRPr="00472578" w:rsidDel="00EE2AEF">
        <w:rPr>
          <w:i/>
          <w:iCs/>
        </w:rPr>
        <w:t xml:space="preserve"> and landscapes</w:t>
      </w:r>
      <w:r w:rsidRPr="00472578" w:rsidDel="00EE2AEF">
        <w:t xml:space="preserve"> </w:t>
      </w:r>
      <w:r w:rsidRPr="00472578">
        <w:t>by requiring:</w:t>
      </w:r>
    </w:p>
    <w:p w14:paraId="0F180734" w14:textId="77777777" w:rsidR="00E37317" w:rsidRPr="00472578" w:rsidRDefault="00E37317" w:rsidP="00E92686">
      <w:pPr>
        <w:pStyle w:val="JustifiedSpacing"/>
        <w:numPr>
          <w:ilvl w:val="0"/>
          <w:numId w:val="16"/>
        </w:numPr>
        <w:spacing w:line="240" w:lineRule="auto"/>
        <w:ind w:left="567" w:hanging="567"/>
      </w:pPr>
      <w:r w:rsidRPr="00472578">
        <w:t xml:space="preserve">the identification of outstanding and </w:t>
      </w:r>
      <w:r w:rsidRPr="00472578">
        <w:rPr>
          <w:i/>
          <w:iCs/>
        </w:rPr>
        <w:t>highly valued natural features</w:t>
      </w:r>
      <w:r w:rsidRPr="00472578" w:rsidDel="00235DAB">
        <w:rPr>
          <w:i/>
          <w:iCs/>
        </w:rPr>
        <w:t xml:space="preserve"> and landscapes</w:t>
      </w:r>
      <w:r w:rsidRPr="00472578" w:rsidDel="00235DAB">
        <w:t xml:space="preserve"> </w:t>
      </w:r>
      <w:r w:rsidRPr="00472578">
        <w:t>using regionally consistent criteria,</w:t>
      </w:r>
    </w:p>
    <w:p w14:paraId="27D911D6" w14:textId="77777777" w:rsidR="00E37317" w:rsidRPr="00472578" w:rsidRDefault="00E37317" w:rsidP="00E92686">
      <w:pPr>
        <w:pStyle w:val="JustifiedSpacing"/>
        <w:numPr>
          <w:ilvl w:val="0"/>
          <w:numId w:val="16"/>
        </w:numPr>
        <w:spacing w:line="240" w:lineRule="auto"/>
        <w:ind w:left="567" w:hanging="567"/>
      </w:pPr>
      <w:r w:rsidRPr="00472578">
        <w:t>the protection of outstanding natural features</w:t>
      </w:r>
      <w:r w:rsidRPr="00472578" w:rsidDel="00235DAB">
        <w:t xml:space="preserve"> and landscapes </w:t>
      </w:r>
      <w:r w:rsidRPr="00472578">
        <w:t xml:space="preserve">and maintenance of </w:t>
      </w:r>
      <w:r w:rsidRPr="00472578">
        <w:rPr>
          <w:i/>
          <w:iCs/>
        </w:rPr>
        <w:t>highly valued natural features and landscapes</w:t>
      </w:r>
      <w:r w:rsidRPr="00472578">
        <w:t>,</w:t>
      </w:r>
    </w:p>
    <w:p w14:paraId="4D8DFE35" w14:textId="77777777" w:rsidR="00E37317" w:rsidRPr="00472578" w:rsidRDefault="00E37317" w:rsidP="00E92686">
      <w:pPr>
        <w:pStyle w:val="JustifiedSpacing"/>
        <w:numPr>
          <w:ilvl w:val="0"/>
          <w:numId w:val="16"/>
        </w:numPr>
        <w:spacing w:line="240" w:lineRule="auto"/>
        <w:ind w:left="567" w:hanging="567"/>
      </w:pPr>
      <w:r w:rsidRPr="00472578">
        <w:t xml:space="preserve">an ongoing reduction in the impact of </w:t>
      </w:r>
      <w:r w:rsidRPr="00472578">
        <w:rPr>
          <w:i/>
          <w:iCs/>
        </w:rPr>
        <w:t>wilding conifers</w:t>
      </w:r>
      <w:r w:rsidRPr="00472578">
        <w:t xml:space="preserve"> on natural features</w:t>
      </w:r>
      <w:r w:rsidRPr="00472578" w:rsidDel="00235DAB">
        <w:t xml:space="preserve"> and landscapes</w:t>
      </w:r>
      <w:r w:rsidRPr="00472578">
        <w:t>, and</w:t>
      </w:r>
    </w:p>
    <w:p w14:paraId="5B5E0B52" w14:textId="77777777" w:rsidR="00E37317" w:rsidRPr="00472578" w:rsidRDefault="00E37317" w:rsidP="00E92686">
      <w:pPr>
        <w:pStyle w:val="JustifiedSpacing"/>
        <w:numPr>
          <w:ilvl w:val="0"/>
          <w:numId w:val="16"/>
        </w:numPr>
        <w:spacing w:line="240" w:lineRule="auto"/>
        <w:ind w:left="567" w:hanging="567"/>
      </w:pPr>
      <w:r w:rsidRPr="00472578">
        <w:t xml:space="preserve">specified actions on the part of Otago’s </w:t>
      </w:r>
      <w:r w:rsidRPr="00472578">
        <w:rPr>
          <w:i/>
          <w:iCs/>
        </w:rPr>
        <w:t>local authorities</w:t>
      </w:r>
      <w:r w:rsidRPr="00472578">
        <w:t xml:space="preserve"> in managing natural features</w:t>
      </w:r>
      <w:r w:rsidRPr="00472578" w:rsidDel="00235DAB">
        <w:t xml:space="preserve"> and landscapes</w:t>
      </w:r>
      <w:r w:rsidRPr="00472578">
        <w:t>.</w:t>
      </w:r>
    </w:p>
    <w:p w14:paraId="41E54159" w14:textId="7F66A486" w:rsidR="00E37317" w:rsidRPr="00472578" w:rsidRDefault="00E37317" w:rsidP="00E92686">
      <w:pPr>
        <w:pStyle w:val="JustifiedSpacing"/>
      </w:pPr>
      <w:r w:rsidRPr="00472578">
        <w:lastRenderedPageBreak/>
        <w:t xml:space="preserve">Implementation of the provisions in this chapter will occur primarily through </w:t>
      </w:r>
      <w:r w:rsidRPr="00472578">
        <w:rPr>
          <w:i/>
          <w:iCs/>
        </w:rPr>
        <w:t>regional</w:t>
      </w:r>
      <w:r w:rsidRPr="00472578">
        <w:rPr>
          <w:i/>
          <w:u w:val="single"/>
        </w:rPr>
        <w:t xml:space="preserve"> </w:t>
      </w:r>
      <w:r w:rsidR="00D87A3B" w:rsidRPr="00472578">
        <w:rPr>
          <w:i/>
          <w:iCs/>
          <w:u w:val="single"/>
        </w:rPr>
        <w:t>plan</w:t>
      </w:r>
      <w:r w:rsidR="00D87A3B" w:rsidRPr="00472578">
        <w:rPr>
          <w:rStyle w:val="FootnoteReference"/>
        </w:rPr>
        <w:footnoteReference w:id="1344"/>
      </w:r>
      <w:r w:rsidRPr="00472578">
        <w:rPr>
          <w:i/>
          <w:iCs/>
        </w:rPr>
        <w:t xml:space="preserve"> </w:t>
      </w:r>
      <w:r w:rsidRPr="00472578">
        <w:t>and</w:t>
      </w:r>
      <w:r w:rsidRPr="00472578">
        <w:rPr>
          <w:i/>
          <w:iCs/>
        </w:rPr>
        <w:t xml:space="preserve"> district plan</w:t>
      </w:r>
      <w:r w:rsidRPr="00472578">
        <w:t xml:space="preserve"> provisions, however </w:t>
      </w:r>
      <w:r w:rsidRPr="00472578">
        <w:rPr>
          <w:i/>
          <w:iCs/>
        </w:rPr>
        <w:t>local authorities</w:t>
      </w:r>
      <w:r w:rsidRPr="00472578">
        <w:t xml:space="preserve"> may also choose to adopt additional non-regulatory methods to support the achievement of the objectives.</w:t>
      </w:r>
    </w:p>
    <w:p w14:paraId="1308D724" w14:textId="77777777" w:rsidR="00E37317" w:rsidRPr="00472578" w:rsidRDefault="00E37317" w:rsidP="00E92686">
      <w:pPr>
        <w:pStyle w:val="Heading3"/>
        <w:jc w:val="both"/>
        <w:rPr>
          <w:rFonts w:eastAsia="National-Book"/>
        </w:rPr>
      </w:pPr>
      <w:bookmarkStart w:id="360" w:name="_Toc49763580"/>
      <w:r w:rsidRPr="00472578">
        <w:rPr>
          <w:rFonts w:eastAsia="National-Book"/>
        </w:rPr>
        <w:t>Anticipated environmental results</w:t>
      </w:r>
      <w:bookmarkEnd w:id="360"/>
    </w:p>
    <w:p w14:paraId="55323174" w14:textId="250EF710" w:rsidR="00E37317" w:rsidRPr="00472578" w:rsidRDefault="00E37317" w:rsidP="00E92686">
      <w:pPr>
        <w:spacing w:line="256" w:lineRule="auto"/>
        <w:ind w:left="2160" w:hanging="2160"/>
        <w:jc w:val="both"/>
        <w:rPr>
          <w:rFonts w:ascii="Calibri" w:eastAsia="Calibri" w:hAnsi="Calibri" w:cs="Times New Roman"/>
          <w:b/>
          <w:bCs/>
        </w:rPr>
      </w:pPr>
      <w:r w:rsidRPr="00472578">
        <w:rPr>
          <w:rFonts w:ascii="Calibri" w:eastAsia="Calibri" w:hAnsi="Calibri" w:cs="Times New Roman"/>
          <w:b/>
          <w:color w:val="1F3864" w:themeColor="accent1" w:themeShade="80"/>
        </w:rPr>
        <w:t xml:space="preserve">NFL-AER1 </w:t>
      </w:r>
      <w:r w:rsidRPr="00472578">
        <w:rPr>
          <w:rFonts w:ascii="Calibri" w:eastAsia="Calibri" w:hAnsi="Calibri" w:cs="Times New Roman"/>
          <w:b/>
          <w:bCs/>
        </w:rPr>
        <w:tab/>
      </w:r>
      <w:r w:rsidRPr="00472578">
        <w:rPr>
          <w:rFonts w:ascii="Calibri" w:eastAsia="Calibri" w:hAnsi="Calibri" w:cs="Times New Roman"/>
        </w:rPr>
        <w:t xml:space="preserve">The number, type, extent and distribution of identified outstanding and </w:t>
      </w:r>
      <w:r w:rsidRPr="00472578">
        <w:rPr>
          <w:rFonts w:ascii="Calibri" w:eastAsia="Calibri" w:hAnsi="Calibri" w:cs="Times New Roman"/>
          <w:i/>
          <w:iCs/>
        </w:rPr>
        <w:t>highly valued natural features</w:t>
      </w:r>
      <w:r w:rsidRPr="00472578" w:rsidDel="00235DAB">
        <w:rPr>
          <w:rFonts w:ascii="Calibri" w:eastAsia="Calibri" w:hAnsi="Calibri" w:cs="Times New Roman"/>
          <w:i/>
          <w:iCs/>
        </w:rPr>
        <w:t xml:space="preserve"> and landscapes</w:t>
      </w:r>
      <w:r w:rsidRPr="00472578" w:rsidDel="00235DAB">
        <w:rPr>
          <w:rFonts w:ascii="Calibri" w:eastAsia="Calibri" w:hAnsi="Calibri" w:cs="Times New Roman"/>
        </w:rPr>
        <w:t xml:space="preserve"> </w:t>
      </w:r>
      <w:r w:rsidRPr="00472578">
        <w:rPr>
          <w:rFonts w:ascii="Calibri" w:eastAsia="Calibri" w:hAnsi="Calibri" w:cs="Times New Roman"/>
        </w:rPr>
        <w:t xml:space="preserve">are maintained over the life of this RPS. </w:t>
      </w:r>
    </w:p>
    <w:p w14:paraId="01A023E2" w14:textId="1F6CDE21" w:rsidR="00E37317" w:rsidRPr="00472578" w:rsidRDefault="00E37317" w:rsidP="00E92686">
      <w:pPr>
        <w:spacing w:line="256" w:lineRule="auto"/>
        <w:ind w:left="2160" w:hanging="2160"/>
        <w:jc w:val="both"/>
        <w:rPr>
          <w:rFonts w:ascii="Calibri" w:eastAsia="Calibri" w:hAnsi="Calibri" w:cs="Times New Roman"/>
          <w:b/>
          <w:bCs/>
        </w:rPr>
      </w:pPr>
      <w:r w:rsidRPr="00472578">
        <w:rPr>
          <w:rFonts w:ascii="Calibri" w:eastAsia="Calibri" w:hAnsi="Calibri" w:cs="Times New Roman"/>
          <w:b/>
          <w:color w:val="1F3864" w:themeColor="accent1" w:themeShade="80"/>
        </w:rPr>
        <w:t xml:space="preserve">NFL-AER2 </w:t>
      </w:r>
      <w:r w:rsidRPr="00472578">
        <w:rPr>
          <w:rFonts w:ascii="Calibri" w:eastAsia="Calibri" w:hAnsi="Calibri" w:cs="Times New Roman"/>
          <w:b/>
          <w:bCs/>
        </w:rPr>
        <w:tab/>
      </w:r>
      <w:r w:rsidRPr="00472578">
        <w:rPr>
          <w:rFonts w:ascii="Calibri" w:eastAsia="Calibri" w:hAnsi="Calibri" w:cs="Times New Roman"/>
        </w:rPr>
        <w:t xml:space="preserve">The values of outstanding and </w:t>
      </w:r>
      <w:r w:rsidRPr="00472578">
        <w:rPr>
          <w:rFonts w:ascii="Calibri" w:eastAsia="Calibri" w:hAnsi="Calibri" w:cs="Times New Roman"/>
          <w:i/>
          <w:iCs/>
        </w:rPr>
        <w:t>highly valued natural features</w:t>
      </w:r>
      <w:r w:rsidRPr="00472578" w:rsidDel="00715230">
        <w:rPr>
          <w:rFonts w:ascii="Calibri" w:eastAsia="Calibri" w:hAnsi="Calibri" w:cs="Times New Roman"/>
          <w:i/>
          <w:iCs/>
        </w:rPr>
        <w:t xml:space="preserve"> and landscapes</w:t>
      </w:r>
      <w:r w:rsidRPr="00472578" w:rsidDel="00715230">
        <w:rPr>
          <w:rFonts w:ascii="Calibri" w:eastAsia="Calibri" w:hAnsi="Calibri" w:cs="Times New Roman"/>
        </w:rPr>
        <w:t xml:space="preserve"> </w:t>
      </w:r>
      <w:r w:rsidRPr="00472578">
        <w:rPr>
          <w:rFonts w:ascii="Calibri" w:eastAsia="Calibri" w:hAnsi="Calibri" w:cs="Times New Roman"/>
        </w:rPr>
        <w:t>are not reduced or lost.</w:t>
      </w:r>
    </w:p>
    <w:p w14:paraId="778D486D" w14:textId="3FD5A9D7" w:rsidR="00E37317" w:rsidRPr="00472578" w:rsidRDefault="00E37317" w:rsidP="00E92686">
      <w:pPr>
        <w:spacing w:line="256" w:lineRule="auto"/>
        <w:ind w:left="2160" w:hanging="2160"/>
        <w:jc w:val="both"/>
        <w:rPr>
          <w:rFonts w:ascii="Calibri" w:eastAsia="Calibri" w:hAnsi="Calibri" w:cs="Times New Roman"/>
          <w:b/>
          <w:bCs/>
        </w:rPr>
      </w:pPr>
      <w:bookmarkStart w:id="361" w:name="_Hlk48029792"/>
      <w:r w:rsidRPr="00472578">
        <w:rPr>
          <w:rFonts w:ascii="Calibri" w:eastAsia="Calibri" w:hAnsi="Calibri" w:cs="Times New Roman"/>
          <w:b/>
          <w:color w:val="1F3864" w:themeColor="accent1" w:themeShade="80"/>
        </w:rPr>
        <w:t xml:space="preserve">NFL-AER3 </w:t>
      </w:r>
      <w:r w:rsidRPr="00472578">
        <w:rPr>
          <w:rFonts w:ascii="Calibri" w:eastAsia="Calibri" w:hAnsi="Calibri" w:cs="Times New Roman"/>
          <w:b/>
          <w:bCs/>
        </w:rPr>
        <w:tab/>
      </w:r>
      <w:r w:rsidRPr="00472578">
        <w:rPr>
          <w:rFonts w:ascii="Calibri" w:eastAsia="Calibri" w:hAnsi="Calibri" w:cs="Times New Roman"/>
        </w:rPr>
        <w:t xml:space="preserve">Within areas identified as outstanding or </w:t>
      </w:r>
      <w:r w:rsidRPr="00472578">
        <w:rPr>
          <w:rFonts w:ascii="Calibri" w:eastAsia="Calibri" w:hAnsi="Calibri" w:cs="Times New Roman"/>
          <w:i/>
          <w:iCs/>
        </w:rPr>
        <w:t>highly valued natural features</w:t>
      </w:r>
      <w:r w:rsidRPr="00472578" w:rsidDel="0044603D">
        <w:rPr>
          <w:rFonts w:ascii="Calibri" w:eastAsia="Calibri" w:hAnsi="Calibri" w:cs="Times New Roman"/>
          <w:i/>
          <w:iCs/>
        </w:rPr>
        <w:t xml:space="preserve"> or landscapes</w:t>
      </w:r>
      <w:r w:rsidRPr="00472578">
        <w:rPr>
          <w:rFonts w:ascii="Calibri" w:eastAsia="Calibri" w:hAnsi="Calibri" w:cs="Times New Roman"/>
        </w:rPr>
        <w:t xml:space="preserve">, the area of </w:t>
      </w:r>
      <w:r w:rsidRPr="00472578">
        <w:rPr>
          <w:rFonts w:ascii="Calibri" w:eastAsia="Calibri" w:hAnsi="Calibri" w:cs="Times New Roman"/>
          <w:i/>
          <w:iCs/>
        </w:rPr>
        <w:t>land</w:t>
      </w:r>
      <w:r w:rsidRPr="00472578">
        <w:rPr>
          <w:rFonts w:ascii="Calibri" w:eastAsia="Calibri" w:hAnsi="Calibri" w:cs="Times New Roman"/>
        </w:rPr>
        <w:t xml:space="preserve"> vegetated by </w:t>
      </w:r>
      <w:r w:rsidRPr="00472578">
        <w:rPr>
          <w:rFonts w:ascii="Calibri" w:eastAsia="Calibri" w:hAnsi="Calibri" w:cs="Times New Roman"/>
          <w:i/>
          <w:iCs/>
        </w:rPr>
        <w:t>wilding conifers</w:t>
      </w:r>
      <w:r w:rsidRPr="00472578">
        <w:rPr>
          <w:rFonts w:ascii="Calibri" w:eastAsia="Calibri" w:hAnsi="Calibri" w:cs="Times New Roman"/>
        </w:rPr>
        <w:t xml:space="preserve"> is reduced over the life of this RPS. </w:t>
      </w:r>
      <w:bookmarkEnd w:id="361"/>
    </w:p>
    <w:p w14:paraId="022067B4" w14:textId="77777777" w:rsidR="00E37317" w:rsidRPr="00472578" w:rsidRDefault="00E37317" w:rsidP="00E92686">
      <w:pPr>
        <w:jc w:val="both"/>
      </w:pPr>
    </w:p>
    <w:p w14:paraId="303704D6" w14:textId="77777777" w:rsidR="00E37317" w:rsidRPr="00472578" w:rsidRDefault="00E37317" w:rsidP="00E92686">
      <w:pPr>
        <w:jc w:val="both"/>
      </w:pPr>
    </w:p>
    <w:p w14:paraId="49C1522C" w14:textId="0F0DFF00" w:rsidR="00417301" w:rsidRPr="00472578" w:rsidRDefault="00417301" w:rsidP="00E92686">
      <w:pPr>
        <w:jc w:val="both"/>
      </w:pPr>
      <w:r w:rsidRPr="00472578">
        <w:br w:type="page"/>
      </w:r>
    </w:p>
    <w:p w14:paraId="3C028CC0" w14:textId="2039FE34" w:rsidR="00417301" w:rsidRPr="00472578" w:rsidRDefault="00417301" w:rsidP="00E92686">
      <w:pPr>
        <w:pStyle w:val="Heading2"/>
        <w:jc w:val="both"/>
      </w:pPr>
      <w:bookmarkStart w:id="362" w:name="_Toc102551288"/>
      <w:r w:rsidRPr="00472578">
        <w:lastRenderedPageBreak/>
        <w:t>UFD – Urban form and development</w:t>
      </w:r>
      <w:bookmarkEnd w:id="362"/>
    </w:p>
    <w:p w14:paraId="48DE7C0A" w14:textId="77777777" w:rsidR="00417301" w:rsidRPr="00472578" w:rsidRDefault="00417301" w:rsidP="00E92686">
      <w:pPr>
        <w:pStyle w:val="Heading3"/>
        <w:jc w:val="both"/>
      </w:pPr>
      <w:r w:rsidRPr="00472578">
        <w:t>Objectives</w:t>
      </w:r>
    </w:p>
    <w:p w14:paraId="0C118CC8" w14:textId="65273606" w:rsidR="00417301" w:rsidRPr="00472578" w:rsidRDefault="009A45CE" w:rsidP="00E92686">
      <w:pPr>
        <w:pStyle w:val="Heading4"/>
        <w:jc w:val="both"/>
        <w:rPr>
          <w:i/>
        </w:rPr>
      </w:pPr>
      <w:r w:rsidRPr="00472578">
        <w:t>UFD-O</w:t>
      </w:r>
      <w:r w:rsidR="00417301" w:rsidRPr="00472578">
        <w:t xml:space="preserve">1 – Form and function of </w:t>
      </w:r>
      <w:r w:rsidR="00417301" w:rsidRPr="00472578">
        <w:rPr>
          <w:i/>
        </w:rPr>
        <w:t>urban areas</w:t>
      </w:r>
    </w:p>
    <w:p w14:paraId="18527EC5"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The form and functioning of Otago’s </w:t>
      </w:r>
      <w:r w:rsidRPr="00472578">
        <w:rPr>
          <w:rFonts w:ascii="Calibri" w:eastAsia="Calibri" w:hAnsi="Calibri" w:cs="Calibri"/>
          <w:i/>
        </w:rPr>
        <w:t>urban areas</w:t>
      </w:r>
      <w:r w:rsidRPr="00472578">
        <w:rPr>
          <w:rFonts w:ascii="Calibri" w:eastAsia="Calibri" w:hAnsi="Calibri" w:cs="Calibri"/>
        </w:rPr>
        <w:t>:</w:t>
      </w:r>
    </w:p>
    <w:p w14:paraId="2FD60231" w14:textId="11665EE1" w:rsidR="00417301" w:rsidRPr="00472578" w:rsidRDefault="00417301" w:rsidP="00E92686">
      <w:pPr>
        <w:widowControl w:val="0"/>
        <w:tabs>
          <w:tab w:val="left" w:pos="867"/>
        </w:tabs>
        <w:autoSpaceDE w:val="0"/>
        <w:autoSpaceDN w:val="0"/>
        <w:ind w:left="567" w:right="11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t>reflects the diverse and changing needs and preferences of Otago’s people and communities, now and in the future, and</w:t>
      </w:r>
    </w:p>
    <w:p w14:paraId="401ED53D" w14:textId="7DB8F3CC" w:rsidR="00417301" w:rsidRPr="00472578" w:rsidRDefault="00417301"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t xml:space="preserve">maintains or enhances the significant values and features identified in this RPS, and the character and resources of each </w:t>
      </w:r>
      <w:r w:rsidRPr="00472578">
        <w:rPr>
          <w:rFonts w:ascii="Calibri" w:eastAsia="Calibri" w:hAnsi="Calibri" w:cs="Calibri"/>
          <w:i/>
        </w:rPr>
        <w:t>urban area</w:t>
      </w:r>
      <w:r w:rsidRPr="00472578">
        <w:rPr>
          <w:rFonts w:ascii="Calibri" w:eastAsia="Calibri" w:hAnsi="Calibri" w:cs="Calibri"/>
        </w:rPr>
        <w:t>.</w:t>
      </w:r>
    </w:p>
    <w:p w14:paraId="3931F755" w14:textId="22C09127" w:rsidR="00417301" w:rsidRPr="00472578" w:rsidRDefault="009A45CE" w:rsidP="00E92686">
      <w:pPr>
        <w:pStyle w:val="Heading4"/>
        <w:jc w:val="both"/>
        <w:rPr>
          <w:i/>
        </w:rPr>
      </w:pPr>
      <w:r w:rsidRPr="00472578">
        <w:t>UFD-O</w:t>
      </w:r>
      <w:r w:rsidR="00417301" w:rsidRPr="00472578">
        <w:t xml:space="preserve">2 – Development of </w:t>
      </w:r>
      <w:r w:rsidR="00417301" w:rsidRPr="00472578">
        <w:rPr>
          <w:i/>
        </w:rPr>
        <w:t>urban areas</w:t>
      </w:r>
    </w:p>
    <w:p w14:paraId="4CEA4953" w14:textId="77777777" w:rsidR="00417301" w:rsidRPr="00472578" w:rsidRDefault="00417301" w:rsidP="00E92686">
      <w:pPr>
        <w:widowControl w:val="0"/>
        <w:autoSpaceDE w:val="0"/>
        <w:autoSpaceDN w:val="0"/>
        <w:jc w:val="both"/>
        <w:rPr>
          <w:rFonts w:ascii="Calibri" w:eastAsia="Calibri" w:hAnsi="Calibri" w:cs="Calibri"/>
          <w:i/>
        </w:rPr>
      </w:pPr>
      <w:r w:rsidRPr="00472578">
        <w:rPr>
          <w:rFonts w:ascii="Calibri" w:eastAsia="Calibri" w:hAnsi="Calibri" w:cs="Calibri"/>
        </w:rPr>
        <w:t xml:space="preserve">The development and change of Otago’s </w:t>
      </w:r>
      <w:r w:rsidRPr="00472578">
        <w:rPr>
          <w:rFonts w:ascii="Calibri" w:eastAsia="Calibri" w:hAnsi="Calibri" w:cs="Calibri"/>
          <w:i/>
        </w:rPr>
        <w:t>urban areas:</w:t>
      </w:r>
    </w:p>
    <w:p w14:paraId="530BE000" w14:textId="0F2F2BE2"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t>improves housing choice, quality, and affordability,</w:t>
      </w:r>
    </w:p>
    <w:p w14:paraId="099D3A98" w14:textId="00F361D0" w:rsidR="00417301" w:rsidRPr="00472578" w:rsidRDefault="00417301"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t>allows business and other non-residential activities to meet the needs of communities in appropriate locations,</w:t>
      </w:r>
    </w:p>
    <w:p w14:paraId="1F23D497" w14:textId="57BDF9D4"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t>respects and wherever possible enhances the area’s history, setting, and natural and built environment,</w:t>
      </w:r>
    </w:p>
    <w:p w14:paraId="3C9F76E7" w14:textId="0A6D85F3"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t>delivers good urban design outcomes, and improves liveability,</w:t>
      </w:r>
    </w:p>
    <w:p w14:paraId="4CA151C9" w14:textId="3C37526A"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t xml:space="preserve">improves connectivity within </w:t>
      </w:r>
      <w:r w:rsidRPr="00472578">
        <w:rPr>
          <w:rFonts w:ascii="Calibri" w:eastAsia="Calibri" w:hAnsi="Calibri" w:cs="Calibri"/>
          <w:i/>
          <w:iCs/>
        </w:rPr>
        <w:t>urban areas</w:t>
      </w:r>
      <w:r w:rsidRPr="00472578">
        <w:rPr>
          <w:rFonts w:ascii="Calibri" w:eastAsia="Calibri" w:hAnsi="Calibri" w:cs="Calibri"/>
        </w:rPr>
        <w:t xml:space="preserve">, particularly by </w:t>
      </w:r>
      <w:r w:rsidRPr="00472578">
        <w:rPr>
          <w:rFonts w:ascii="Calibri" w:eastAsia="Calibri" w:hAnsi="Calibri" w:cs="Calibri"/>
          <w:i/>
        </w:rPr>
        <w:t>active transport</w:t>
      </w:r>
      <w:r w:rsidRPr="00472578">
        <w:rPr>
          <w:rFonts w:ascii="Calibri" w:eastAsia="Calibri" w:hAnsi="Calibri" w:cs="Calibri"/>
          <w:iCs/>
          <w:u w:val="single"/>
        </w:rPr>
        <w:t xml:space="preserve"> </w:t>
      </w:r>
      <w:r w:rsidRPr="00472578">
        <w:rPr>
          <w:rFonts w:ascii="Calibri" w:eastAsia="Calibri" w:hAnsi="Calibri" w:cs="Calibri"/>
        </w:rPr>
        <w:t xml:space="preserve">and </w:t>
      </w:r>
      <w:r w:rsidRPr="00472578">
        <w:rPr>
          <w:rFonts w:ascii="Calibri" w:eastAsia="Calibri" w:hAnsi="Calibri" w:cs="Calibri"/>
          <w:i/>
        </w:rPr>
        <w:t>public transport</w:t>
      </w:r>
      <w:r w:rsidRPr="00472578">
        <w:rPr>
          <w:rFonts w:ascii="Calibri" w:eastAsia="Calibri" w:hAnsi="Calibri" w:cs="Calibri"/>
        </w:rPr>
        <w:t>,</w:t>
      </w:r>
    </w:p>
    <w:p w14:paraId="63CB6C00" w14:textId="512773C0"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t xml:space="preserve">minimises conflict between incompatible activities, </w:t>
      </w:r>
    </w:p>
    <w:p w14:paraId="0DFB2FFE" w14:textId="7F226C89" w:rsidR="00417301" w:rsidRPr="00472578" w:rsidRDefault="00417301"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t>(7)</w:t>
      </w:r>
      <w:r w:rsidRPr="00472578">
        <w:rPr>
          <w:rFonts w:ascii="Calibri" w:eastAsia="Calibri" w:hAnsi="Calibri" w:cs="Calibri"/>
        </w:rPr>
        <w:tab/>
        <w:t xml:space="preserve">manages the exposure of </w:t>
      </w:r>
      <w:r w:rsidRPr="00472578">
        <w:rPr>
          <w:rFonts w:ascii="Calibri" w:eastAsia="Calibri" w:hAnsi="Calibri" w:cs="Calibri"/>
          <w:i/>
        </w:rPr>
        <w:t xml:space="preserve">risk </w:t>
      </w:r>
      <w:r w:rsidRPr="00472578">
        <w:rPr>
          <w:rFonts w:ascii="Calibri" w:eastAsia="Calibri" w:hAnsi="Calibri" w:cs="Calibri"/>
        </w:rPr>
        <w:t xml:space="preserve">from </w:t>
      </w:r>
      <w:r w:rsidRPr="00472578">
        <w:rPr>
          <w:rFonts w:ascii="Calibri" w:eastAsia="Calibri" w:hAnsi="Calibri" w:cs="Calibri"/>
          <w:i/>
        </w:rPr>
        <w:t xml:space="preserve">natural hazards </w:t>
      </w:r>
      <w:r w:rsidRPr="00472578">
        <w:rPr>
          <w:rFonts w:ascii="Calibri" w:eastAsia="Calibri" w:hAnsi="Calibri" w:cs="Calibri"/>
        </w:rPr>
        <w:t>in accordance with the HAZ–NH – Natural hazards section of this RPS,</w:t>
      </w:r>
    </w:p>
    <w:p w14:paraId="786CDDA4" w14:textId="7E4391CA"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(8)</w:t>
      </w:r>
      <w:r w:rsidRPr="00472578">
        <w:rPr>
          <w:rFonts w:ascii="Calibri" w:eastAsia="Calibri" w:hAnsi="Calibri" w:cs="Calibri"/>
        </w:rPr>
        <w:tab/>
        <w:t xml:space="preserve">results in sustainable and efficient use of </w:t>
      </w:r>
      <w:r w:rsidRPr="00472578">
        <w:rPr>
          <w:rFonts w:ascii="Calibri" w:eastAsia="Calibri" w:hAnsi="Calibri" w:cs="Calibri"/>
          <w:i/>
        </w:rPr>
        <w:t>water</w:t>
      </w:r>
      <w:r w:rsidRPr="00472578">
        <w:rPr>
          <w:rFonts w:ascii="Calibri" w:eastAsia="Calibri" w:hAnsi="Calibri" w:cs="Calibri"/>
        </w:rPr>
        <w:t xml:space="preserve">, energy, </w:t>
      </w:r>
      <w:r w:rsidRPr="00472578">
        <w:rPr>
          <w:rFonts w:ascii="Calibri" w:eastAsia="Calibri" w:hAnsi="Calibri" w:cs="Calibri"/>
          <w:i/>
        </w:rPr>
        <w:t>land</w:t>
      </w:r>
      <w:r w:rsidRPr="00472578">
        <w:rPr>
          <w:rFonts w:ascii="Calibri" w:eastAsia="Calibri" w:hAnsi="Calibri" w:cs="Calibri"/>
        </w:rPr>
        <w:t xml:space="preserve">, and </w:t>
      </w:r>
      <w:r w:rsidRPr="00472578">
        <w:rPr>
          <w:rFonts w:ascii="Calibri" w:eastAsia="Calibri" w:hAnsi="Calibri" w:cs="Calibri"/>
          <w:i/>
        </w:rPr>
        <w:t>infrastructure</w:t>
      </w:r>
      <w:r w:rsidRPr="00472578">
        <w:rPr>
          <w:rFonts w:ascii="Calibri" w:eastAsia="Calibri" w:hAnsi="Calibri" w:cs="Calibri"/>
        </w:rPr>
        <w:t>,</w:t>
      </w:r>
    </w:p>
    <w:p w14:paraId="35AD712A" w14:textId="7456E268" w:rsidR="00F820BA" w:rsidRPr="00472578" w:rsidRDefault="00793A26" w:rsidP="00E92686">
      <w:pPr>
        <w:widowControl w:val="0"/>
        <w:tabs>
          <w:tab w:val="left" w:pos="857"/>
        </w:tabs>
        <w:autoSpaceDE w:val="0"/>
        <w:autoSpaceDN w:val="0"/>
        <w:spacing w:before="159" w:after="0" w:line="240" w:lineRule="auto"/>
        <w:ind w:left="567" w:right="113" w:hanging="567"/>
        <w:jc w:val="both"/>
        <w:rPr>
          <w:rFonts w:ascii="Calibri" w:eastAsia="Calibri" w:hAnsi="Calibri" w:cs="Calibri"/>
        </w:rPr>
      </w:pPr>
      <w:r w:rsidRPr="00472578">
        <w:rPr>
          <w:rFonts w:ascii="Calibri" w:eastAsia="Calibri" w:hAnsi="Calibri" w:cs="Calibri"/>
        </w:rPr>
        <w:t>(9)</w:t>
      </w:r>
      <w:r w:rsidRPr="00472578">
        <w:rPr>
          <w:rFonts w:ascii="Calibri" w:eastAsia="Calibri" w:hAnsi="Calibri" w:cs="Calibri"/>
        </w:rPr>
        <w:tab/>
      </w:r>
      <w:r w:rsidR="00F820BA" w:rsidRPr="00472578">
        <w:rPr>
          <w:rFonts w:ascii="Calibri" w:eastAsia="Calibri" w:hAnsi="Calibri" w:cs="Calibri"/>
        </w:rPr>
        <w:t xml:space="preserve">achieves integration of </w:t>
      </w:r>
      <w:r w:rsidR="00F820BA" w:rsidRPr="00472578">
        <w:rPr>
          <w:rFonts w:ascii="Calibri" w:eastAsia="Calibri" w:hAnsi="Calibri" w:cs="Calibri"/>
          <w:i/>
        </w:rPr>
        <w:t xml:space="preserve">land </w:t>
      </w:r>
      <w:r w:rsidR="00F820BA" w:rsidRPr="00472578">
        <w:rPr>
          <w:rFonts w:ascii="Calibri" w:eastAsia="Calibri" w:hAnsi="Calibri" w:cs="Calibri"/>
        </w:rPr>
        <w:t xml:space="preserve">use with existing and planned </w:t>
      </w:r>
      <w:r w:rsidR="00F820BA" w:rsidRPr="00472578">
        <w:rPr>
          <w:rFonts w:ascii="Calibri" w:eastAsia="Calibri" w:hAnsi="Calibri" w:cs="Calibri"/>
          <w:i/>
        </w:rPr>
        <w:t xml:space="preserve">development infrastructure </w:t>
      </w:r>
      <w:r w:rsidR="00F820BA" w:rsidRPr="00472578">
        <w:rPr>
          <w:rFonts w:ascii="Calibri" w:eastAsia="Calibri" w:hAnsi="Calibri" w:cs="Calibri"/>
        </w:rPr>
        <w:t xml:space="preserve">and </w:t>
      </w:r>
      <w:r w:rsidR="00F820BA" w:rsidRPr="00472578">
        <w:rPr>
          <w:rFonts w:ascii="Calibri" w:eastAsia="Calibri" w:hAnsi="Calibri" w:cs="Calibri"/>
          <w:i/>
        </w:rPr>
        <w:t xml:space="preserve">additional infrastructure, </w:t>
      </w:r>
    </w:p>
    <w:p w14:paraId="59DB38D7" w14:textId="4A2C51AD" w:rsidR="00F820BA" w:rsidRPr="00472578" w:rsidRDefault="00F820BA" w:rsidP="00E92686">
      <w:pPr>
        <w:widowControl w:val="0"/>
        <w:tabs>
          <w:tab w:val="left" w:pos="857"/>
        </w:tabs>
        <w:autoSpaceDE w:val="0"/>
        <w:autoSpaceDN w:val="0"/>
        <w:spacing w:before="159" w:after="0" w:line="240" w:lineRule="auto"/>
        <w:ind w:left="567" w:right="113" w:hanging="567"/>
        <w:jc w:val="both"/>
        <w:rPr>
          <w:rFonts w:ascii="Calibri" w:eastAsia="Calibri" w:hAnsi="Calibri" w:cs="Calibri"/>
        </w:rPr>
      </w:pPr>
      <w:r w:rsidRPr="00472578">
        <w:rPr>
          <w:rFonts w:ascii="Calibri" w:eastAsia="Calibri" w:hAnsi="Calibri" w:cs="Calibri"/>
          <w:u w:val="single"/>
        </w:rPr>
        <w:t>(9A)</w:t>
      </w:r>
      <w:r w:rsidRPr="00472578">
        <w:rPr>
          <w:rFonts w:ascii="Calibri" w:eastAsia="Calibri" w:hAnsi="Calibri" w:cs="Calibri"/>
        </w:rPr>
        <w:t xml:space="preserve"> </w:t>
      </w:r>
      <w:r w:rsidR="00D83BE6" w:rsidRPr="00472578">
        <w:rPr>
          <w:rFonts w:ascii="Calibri" w:eastAsia="Calibri" w:hAnsi="Calibri" w:cs="Calibri"/>
        </w:rPr>
        <w:tab/>
      </w:r>
      <w:r w:rsidR="00D60934" w:rsidRPr="00472578">
        <w:rPr>
          <w:rFonts w:ascii="Calibri" w:eastAsia="Calibri" w:hAnsi="Calibri" w:cs="Calibri"/>
          <w:strike/>
        </w:rPr>
        <w:t>and</w:t>
      </w:r>
      <w:r w:rsidR="00D60934" w:rsidRPr="00472578">
        <w:rPr>
          <w:rFonts w:ascii="Calibri" w:eastAsia="Calibri" w:hAnsi="Calibri" w:cs="Calibri"/>
        </w:rPr>
        <w:t xml:space="preserve"> </w:t>
      </w:r>
      <w:r w:rsidRPr="00472578">
        <w:rPr>
          <w:rFonts w:ascii="Calibri" w:eastAsia="Calibri" w:hAnsi="Calibri" w:cs="Calibri"/>
        </w:rPr>
        <w:t>facilitates the safe and efficient ongoing use</w:t>
      </w:r>
      <w:r w:rsidRPr="00472578">
        <w:rPr>
          <w:rFonts w:ascii="Calibri" w:eastAsia="Calibri" w:hAnsi="Calibri" w:cs="Calibri"/>
          <w:u w:val="single"/>
        </w:rPr>
        <w:t>, maintenance, upgrade and development</w:t>
      </w:r>
      <w:r w:rsidRPr="00472578">
        <w:rPr>
          <w:rStyle w:val="FootnoteReference"/>
          <w:rFonts w:ascii="Calibri" w:eastAsia="Calibri" w:hAnsi="Calibri" w:cs="Calibri"/>
        </w:rPr>
        <w:footnoteReference w:id="1345"/>
      </w:r>
      <w:r w:rsidRPr="00472578">
        <w:rPr>
          <w:rFonts w:ascii="Calibri" w:eastAsia="Calibri" w:hAnsi="Calibri" w:cs="Calibri"/>
        </w:rPr>
        <w:t xml:space="preserve"> of </w:t>
      </w:r>
      <w:r w:rsidRPr="00472578">
        <w:rPr>
          <w:rFonts w:ascii="Calibri" w:eastAsia="Calibri" w:hAnsi="Calibri" w:cs="Calibri"/>
          <w:i/>
          <w:iCs/>
          <w:u w:val="single"/>
        </w:rPr>
        <w:t>nationally</w:t>
      </w:r>
      <w:r w:rsidRPr="00472578">
        <w:rPr>
          <w:rFonts w:ascii="Calibri" w:eastAsia="Calibri" w:hAnsi="Calibri" w:cs="Calibri"/>
          <w:u w:val="single"/>
        </w:rPr>
        <w:t xml:space="preserve"> </w:t>
      </w:r>
      <w:r w:rsidRPr="00472578">
        <w:rPr>
          <w:rFonts w:ascii="Calibri" w:eastAsia="Calibri" w:hAnsi="Calibri" w:cs="Calibri"/>
          <w:i/>
          <w:iCs/>
          <w:u w:val="single"/>
        </w:rPr>
        <w:t>significant infrastructure</w:t>
      </w:r>
      <w:r w:rsidRPr="00472578">
        <w:rPr>
          <w:rFonts w:ascii="Calibri" w:eastAsia="Calibri" w:hAnsi="Calibri" w:cs="Calibri"/>
          <w:u w:val="single"/>
        </w:rPr>
        <w:t xml:space="preserve"> and</w:t>
      </w:r>
      <w:r w:rsidR="008B2F70" w:rsidRPr="00472578">
        <w:rPr>
          <w:rStyle w:val="FootnoteReference"/>
          <w:rFonts w:ascii="Calibri" w:eastAsia="Calibri" w:hAnsi="Calibri" w:cs="Calibri"/>
        </w:rPr>
        <w:footnoteReference w:id="1346"/>
      </w:r>
      <w:r w:rsidRPr="00472578">
        <w:rPr>
          <w:rFonts w:ascii="Calibri" w:eastAsia="Calibri" w:hAnsi="Calibri" w:cs="Calibri"/>
        </w:rPr>
        <w:t xml:space="preserve"> </w:t>
      </w:r>
      <w:r w:rsidRPr="00472578">
        <w:rPr>
          <w:rFonts w:ascii="Calibri" w:eastAsia="Calibri" w:hAnsi="Calibri" w:cs="Calibri"/>
          <w:i/>
        </w:rPr>
        <w:t>regionally significant infrastructure</w:t>
      </w:r>
      <w:r w:rsidRPr="00472578">
        <w:rPr>
          <w:rFonts w:ascii="Calibri" w:eastAsia="Calibri" w:hAnsi="Calibri" w:cs="Calibri"/>
        </w:rPr>
        <w:t xml:space="preserve">, </w:t>
      </w:r>
    </w:p>
    <w:p w14:paraId="4A206F1D" w14:textId="41E74743" w:rsidR="00417301" w:rsidRPr="00472578" w:rsidRDefault="00417301" w:rsidP="00E92686">
      <w:pPr>
        <w:widowControl w:val="0"/>
        <w:tabs>
          <w:tab w:val="left" w:pos="855"/>
        </w:tabs>
        <w:autoSpaceDE w:val="0"/>
        <w:autoSpaceDN w:val="0"/>
        <w:spacing w:before="159" w:after="0" w:line="240" w:lineRule="auto"/>
        <w:ind w:left="567" w:right="115" w:hanging="567"/>
        <w:jc w:val="both"/>
        <w:rPr>
          <w:rFonts w:ascii="Calibri" w:eastAsia="Calibri" w:hAnsi="Calibri" w:cs="Calibri"/>
        </w:rPr>
      </w:pPr>
      <w:r w:rsidRPr="00472578">
        <w:rPr>
          <w:rFonts w:ascii="Calibri" w:eastAsia="Calibri" w:hAnsi="Calibri" w:cs="Calibri"/>
        </w:rPr>
        <w:t>(10)</w:t>
      </w:r>
      <w:r w:rsidRPr="00472578">
        <w:rPr>
          <w:rFonts w:ascii="Calibri" w:eastAsia="Calibri" w:hAnsi="Calibri" w:cs="Calibri"/>
        </w:rPr>
        <w:tab/>
        <w:t xml:space="preserve">achieves consolidated, well designed and located, and sustainable development in and around existing </w:t>
      </w:r>
      <w:r w:rsidRPr="00472578">
        <w:rPr>
          <w:rFonts w:ascii="Calibri" w:eastAsia="Calibri" w:hAnsi="Calibri" w:cs="Calibri"/>
          <w:i/>
        </w:rPr>
        <w:t xml:space="preserve">urban areas </w:t>
      </w:r>
      <w:r w:rsidRPr="00472578">
        <w:rPr>
          <w:rFonts w:ascii="Calibri" w:eastAsia="Calibri" w:hAnsi="Calibri" w:cs="Calibri"/>
        </w:rPr>
        <w:t>as the primary focus for accommodating the region’s urban growth and change, and</w:t>
      </w:r>
    </w:p>
    <w:p w14:paraId="595391A9" w14:textId="77777777" w:rsidR="00F820BA" w:rsidRPr="00472578" w:rsidRDefault="00F820BA" w:rsidP="00E92686">
      <w:pPr>
        <w:widowControl w:val="0"/>
        <w:autoSpaceDE w:val="0"/>
        <w:autoSpaceDN w:val="0"/>
        <w:spacing w:before="2" w:after="0" w:line="240" w:lineRule="auto"/>
        <w:ind w:left="567" w:hanging="567"/>
        <w:jc w:val="both"/>
        <w:rPr>
          <w:rFonts w:ascii="Calibri" w:eastAsia="Calibri" w:hAnsi="Calibri" w:cs="Calibri"/>
        </w:rPr>
      </w:pPr>
    </w:p>
    <w:p w14:paraId="7607F056" w14:textId="7A956439" w:rsidR="00F820BA" w:rsidRPr="00472578" w:rsidRDefault="00793A26" w:rsidP="00E92686">
      <w:pPr>
        <w:widowControl w:val="0"/>
        <w:tabs>
          <w:tab w:val="left" w:pos="865"/>
          <w:tab w:val="left" w:pos="867"/>
        </w:tabs>
        <w:autoSpaceDE w:val="0"/>
        <w:autoSpaceDN w:val="0"/>
        <w:spacing w:after="0" w:line="240" w:lineRule="auto"/>
        <w:ind w:left="567" w:hanging="567"/>
        <w:jc w:val="both"/>
        <w:rPr>
          <w:rFonts w:ascii="Calibri" w:eastAsia="Calibri" w:hAnsi="Calibri" w:cs="Calibri"/>
        </w:rPr>
      </w:pPr>
      <w:r w:rsidRPr="00472578">
        <w:rPr>
          <w:rFonts w:ascii="Calibri" w:eastAsia="Calibri" w:hAnsi="Calibri" w:cs="Calibri"/>
        </w:rPr>
        <w:t>(11)</w:t>
      </w:r>
      <w:r w:rsidRPr="00472578">
        <w:rPr>
          <w:rFonts w:ascii="Calibri" w:eastAsia="Calibri" w:hAnsi="Calibri" w:cs="Calibri"/>
        </w:rPr>
        <w:tab/>
      </w:r>
      <w:r w:rsidR="00F820BA" w:rsidRPr="00472578">
        <w:rPr>
          <w:rFonts w:ascii="Calibri" w:eastAsia="Calibri" w:hAnsi="Calibri" w:cs="Calibri"/>
        </w:rPr>
        <w:t>is guided by the input and involvement of</w:t>
      </w:r>
      <w:r w:rsidR="00F820BA" w:rsidRPr="00472578">
        <w:rPr>
          <w:rFonts w:ascii="Calibri" w:eastAsia="Calibri" w:hAnsi="Calibri" w:cs="Calibri"/>
          <w:i/>
          <w:iCs/>
        </w:rPr>
        <w:t xml:space="preserve"> mana whenua</w:t>
      </w:r>
      <w:r w:rsidR="00F820BA" w:rsidRPr="00162A2F">
        <w:rPr>
          <w:rFonts w:ascii="Calibri" w:eastAsia="Calibri" w:hAnsi="Calibri" w:cs="Calibri"/>
          <w:i/>
          <w:strike/>
          <w:u w:val="single"/>
        </w:rPr>
        <w:t>,</w:t>
      </w:r>
      <w:r w:rsidR="00F820BA" w:rsidRPr="00472578">
        <w:rPr>
          <w:rFonts w:ascii="Calibri" w:eastAsia="Calibri" w:hAnsi="Calibri" w:cs="Calibri"/>
          <w:i/>
          <w:iCs/>
          <w:u w:val="single"/>
        </w:rPr>
        <w:t xml:space="preserve"> </w:t>
      </w:r>
      <w:r w:rsidR="00F820BA" w:rsidRPr="00472578">
        <w:rPr>
          <w:rFonts w:ascii="Calibri" w:eastAsia="Calibri" w:hAnsi="Calibri" w:cs="Calibri"/>
          <w:u w:val="single"/>
        </w:rPr>
        <w:t xml:space="preserve">and provides for development opportunities which support the aspirations and values of </w:t>
      </w:r>
      <w:r w:rsidR="00F820BA" w:rsidRPr="00472578">
        <w:rPr>
          <w:rFonts w:ascii="Calibri" w:eastAsia="Calibri" w:hAnsi="Calibri" w:cs="Calibri"/>
          <w:i/>
          <w:iCs/>
          <w:u w:val="single"/>
        </w:rPr>
        <w:t>mana whenua</w:t>
      </w:r>
      <w:r w:rsidR="00F820BA" w:rsidRPr="00472578">
        <w:rPr>
          <w:rStyle w:val="FootnoteReference"/>
          <w:rFonts w:ascii="Calibri" w:eastAsia="Calibri" w:hAnsi="Calibri" w:cs="Calibri"/>
        </w:rPr>
        <w:footnoteReference w:id="1347"/>
      </w:r>
      <w:r w:rsidR="00F820BA" w:rsidRPr="00472578">
        <w:rPr>
          <w:rFonts w:ascii="Calibri" w:eastAsia="Calibri" w:hAnsi="Calibri" w:cs="Calibri"/>
          <w:i/>
          <w:iCs/>
        </w:rPr>
        <w:t>.</w:t>
      </w:r>
    </w:p>
    <w:p w14:paraId="3766BDF2" w14:textId="77777777" w:rsidR="00417301" w:rsidRPr="00472578" w:rsidRDefault="00417301" w:rsidP="00E92686">
      <w:pPr>
        <w:widowControl w:val="0"/>
        <w:autoSpaceDE w:val="0"/>
        <w:autoSpaceDN w:val="0"/>
        <w:spacing w:before="6" w:after="0" w:line="240" w:lineRule="auto"/>
        <w:jc w:val="both"/>
        <w:rPr>
          <w:rFonts w:ascii="Calibri" w:eastAsia="Calibri" w:hAnsi="Calibri" w:cs="Calibri"/>
          <w:sz w:val="29"/>
        </w:rPr>
      </w:pPr>
    </w:p>
    <w:p w14:paraId="7B91B5E4" w14:textId="58ED53A2" w:rsidR="00417301" w:rsidRPr="00472578" w:rsidRDefault="009A45CE" w:rsidP="00E92686">
      <w:pPr>
        <w:pStyle w:val="Heading4"/>
        <w:jc w:val="both"/>
      </w:pPr>
      <w:r w:rsidRPr="00472578">
        <w:lastRenderedPageBreak/>
        <w:t>UFD-O</w:t>
      </w:r>
      <w:r w:rsidR="00417301" w:rsidRPr="00472578">
        <w:t>3 – Strategic planning</w:t>
      </w:r>
    </w:p>
    <w:p w14:paraId="1E220616" w14:textId="6A0B9EE4" w:rsidR="00417301" w:rsidRPr="00472578" w:rsidRDefault="00417301" w:rsidP="00E92686">
      <w:pPr>
        <w:widowControl w:val="0"/>
        <w:autoSpaceDE w:val="0"/>
        <w:autoSpaceDN w:val="0"/>
        <w:ind w:right="-32"/>
        <w:jc w:val="both"/>
        <w:rPr>
          <w:rFonts w:ascii="Calibri" w:eastAsia="Calibri" w:hAnsi="Calibri" w:cs="Calibri"/>
        </w:rPr>
      </w:pPr>
      <w:r w:rsidRPr="00472578">
        <w:rPr>
          <w:rFonts w:ascii="Calibri" w:eastAsia="Calibri" w:hAnsi="Calibri" w:cs="Calibri"/>
        </w:rPr>
        <w:t xml:space="preserve">Strategic planning is undertaken in advance of significant development, expansion or redevelopment of </w:t>
      </w:r>
      <w:r w:rsidRPr="00472578">
        <w:rPr>
          <w:rFonts w:ascii="Calibri" w:eastAsia="Calibri" w:hAnsi="Calibri" w:cs="Calibri"/>
          <w:i/>
        </w:rPr>
        <w:t xml:space="preserve">urban areas </w:t>
      </w:r>
      <w:r w:rsidRPr="00472578">
        <w:rPr>
          <w:rFonts w:ascii="Calibri" w:eastAsia="Calibri" w:hAnsi="Calibri" w:cs="Calibri"/>
        </w:rPr>
        <w:t>to ensure that</w:t>
      </w:r>
      <w:r w:rsidRPr="00472578">
        <w:rPr>
          <w:rFonts w:ascii="Calibri" w:eastAsia="Calibri" w:hAnsi="Calibri" w:cs="Calibri"/>
          <w:u w:val="single"/>
        </w:rPr>
        <w:t>:</w:t>
      </w:r>
      <w:r w:rsidR="00D146AB" w:rsidRPr="00472578">
        <w:rPr>
          <w:rStyle w:val="FootnoteReference"/>
          <w:rFonts w:ascii="Calibri" w:eastAsia="Calibri" w:hAnsi="Calibri" w:cs="Calibri"/>
        </w:rPr>
        <w:footnoteReference w:id="1348"/>
      </w:r>
    </w:p>
    <w:p w14:paraId="3872A3A4" w14:textId="02A1749A" w:rsidR="00417301" w:rsidRPr="00472578" w:rsidRDefault="00417301" w:rsidP="00E92686">
      <w:pPr>
        <w:widowControl w:val="0"/>
        <w:tabs>
          <w:tab w:val="left" w:pos="1019"/>
          <w:tab w:val="left" w:pos="1020"/>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t xml:space="preserve">there is </w:t>
      </w:r>
      <w:r w:rsidRPr="00472578">
        <w:rPr>
          <w:u w:val="single"/>
        </w:rPr>
        <w:t>at least</w:t>
      </w:r>
      <w:r w:rsidRPr="00472578">
        <w:rPr>
          <w:rStyle w:val="FootnoteReference"/>
          <w:rFonts w:ascii="Calibri" w:eastAsia="Calibri" w:hAnsi="Calibri" w:cs="Calibri"/>
        </w:rPr>
        <w:footnoteReference w:id="1349"/>
      </w:r>
      <w:r w:rsidRPr="00472578">
        <w:t xml:space="preserve"> </w:t>
      </w:r>
      <w:r w:rsidRPr="00472578">
        <w:rPr>
          <w:rFonts w:ascii="Calibri" w:eastAsia="Calibri" w:hAnsi="Calibri" w:cs="Calibri"/>
        </w:rPr>
        <w:t xml:space="preserve">sufficient </w:t>
      </w:r>
      <w:r w:rsidRPr="00472578">
        <w:rPr>
          <w:rFonts w:ascii="Calibri" w:eastAsia="Calibri" w:hAnsi="Calibri" w:cs="Calibri"/>
          <w:i/>
        </w:rPr>
        <w:t xml:space="preserve">development capacity </w:t>
      </w:r>
      <w:r w:rsidRPr="00472578">
        <w:rPr>
          <w:rFonts w:ascii="Calibri" w:eastAsia="Calibri" w:hAnsi="Calibri" w:cs="Calibri"/>
        </w:rPr>
        <w:t xml:space="preserve">supported by integrated </w:t>
      </w:r>
      <w:r w:rsidRPr="00472578">
        <w:rPr>
          <w:rFonts w:ascii="Calibri" w:eastAsia="Calibri" w:hAnsi="Calibri" w:cs="Calibri"/>
          <w:i/>
        </w:rPr>
        <w:t xml:space="preserve">infrastructure </w:t>
      </w:r>
      <w:r w:rsidRPr="00472578">
        <w:rPr>
          <w:rFonts w:ascii="Calibri" w:eastAsia="Calibri" w:hAnsi="Calibri" w:cs="Calibri"/>
        </w:rPr>
        <w:t>provision for Otago’s housing and business needs in the short, medium and long term,</w:t>
      </w:r>
    </w:p>
    <w:p w14:paraId="20FC9D00" w14:textId="22A50CFB" w:rsidR="00417301" w:rsidRPr="00472578" w:rsidRDefault="00417301" w:rsidP="00E92686">
      <w:pPr>
        <w:widowControl w:val="0"/>
        <w:tabs>
          <w:tab w:val="left" w:pos="1020"/>
        </w:tabs>
        <w:autoSpaceDE w:val="0"/>
        <w:autoSpaceDN w:val="0"/>
        <w:ind w:left="567" w:right="113"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t>development is located, designed and delivered in a way and at a rate that recognises and provides for</w:t>
      </w:r>
      <w:r w:rsidRPr="00472578">
        <w:rPr>
          <w:rFonts w:ascii="Calibri" w:eastAsia="Calibri" w:hAnsi="Calibri" w:cs="Calibri"/>
          <w:strike/>
        </w:rPr>
        <w:t xml:space="preserve"> locationally relevant</w:t>
      </w:r>
      <w:r w:rsidRPr="00472578">
        <w:rPr>
          <w:rStyle w:val="FootnoteReference"/>
          <w:rFonts w:ascii="Calibri" w:eastAsia="Calibri" w:hAnsi="Calibri" w:cs="Calibri"/>
        </w:rPr>
        <w:footnoteReference w:id="1350"/>
      </w:r>
      <w:r w:rsidR="00C72935" w:rsidRPr="00472578">
        <w:rPr>
          <w:rFonts w:ascii="Calibri" w:eastAsia="Calibri" w:hAnsi="Calibri" w:cs="Calibri"/>
        </w:rPr>
        <w:t xml:space="preserve"> </w:t>
      </w:r>
      <w:r w:rsidRPr="00472578">
        <w:rPr>
          <w:rFonts w:ascii="Calibri" w:eastAsia="Calibri" w:hAnsi="Calibri" w:cs="Calibri"/>
        </w:rPr>
        <w:t>regionally significant features and values identified by this RPS, and</w:t>
      </w:r>
    </w:p>
    <w:p w14:paraId="163535B6" w14:textId="6CC3B7A1" w:rsidR="00417301" w:rsidRPr="00472578" w:rsidRDefault="00417301" w:rsidP="00E92686">
      <w:pPr>
        <w:widowControl w:val="0"/>
        <w:tabs>
          <w:tab w:val="left" w:pos="1019"/>
          <w:tab w:val="left" w:pos="1020"/>
        </w:tabs>
        <w:autoSpaceDE w:val="0"/>
        <w:autoSpaceDN w:val="0"/>
        <w:ind w:left="567"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t xml:space="preserve">the involvement of </w:t>
      </w:r>
      <w:r w:rsidRPr="00472578">
        <w:rPr>
          <w:rFonts w:ascii="Calibri" w:eastAsia="Calibri" w:hAnsi="Calibri" w:cs="Calibri"/>
          <w:i/>
        </w:rPr>
        <w:t xml:space="preserve">mana whenua </w:t>
      </w:r>
      <w:r w:rsidRPr="00472578">
        <w:rPr>
          <w:rFonts w:ascii="Calibri" w:eastAsia="Calibri" w:hAnsi="Calibri" w:cs="Calibri"/>
        </w:rPr>
        <w:t>is facilitated, and their values and aspirations are provided for.</w:t>
      </w:r>
    </w:p>
    <w:p w14:paraId="2DF36373" w14:textId="70C77A0C" w:rsidR="00417301" w:rsidRPr="00472578" w:rsidRDefault="009A45CE" w:rsidP="00E92686">
      <w:pPr>
        <w:pStyle w:val="Heading4"/>
        <w:jc w:val="both"/>
        <w:rPr>
          <w:i/>
        </w:rPr>
      </w:pPr>
      <w:r w:rsidRPr="00472578">
        <w:t>UFD-O</w:t>
      </w:r>
      <w:r w:rsidR="00417301" w:rsidRPr="00472578">
        <w:t xml:space="preserve">4 – Development in </w:t>
      </w:r>
      <w:r w:rsidR="00417301" w:rsidRPr="00472578">
        <w:rPr>
          <w:i/>
        </w:rPr>
        <w:t>rural areas</w:t>
      </w:r>
    </w:p>
    <w:p w14:paraId="6D3AEEDE"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Development in Otago’s </w:t>
      </w:r>
      <w:r w:rsidRPr="00472578">
        <w:rPr>
          <w:rFonts w:ascii="Calibri" w:eastAsia="Calibri" w:hAnsi="Calibri" w:cs="Calibri"/>
          <w:i/>
        </w:rPr>
        <w:t xml:space="preserve">rural areas </w:t>
      </w:r>
      <w:r w:rsidRPr="00472578">
        <w:rPr>
          <w:rFonts w:ascii="Calibri" w:eastAsia="Calibri" w:hAnsi="Calibri" w:cs="Calibri"/>
        </w:rPr>
        <w:t>occurs in a way that:</w:t>
      </w:r>
    </w:p>
    <w:p w14:paraId="08EAAE6B" w14:textId="02908B5E" w:rsidR="00417301" w:rsidRPr="00472578" w:rsidRDefault="004173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t>avoids impacts on significant values and features identified in this RPS,</w:t>
      </w:r>
    </w:p>
    <w:p w14:paraId="4C484CAA" w14:textId="14AF9DE8" w:rsidR="00417301" w:rsidRPr="00472578" w:rsidRDefault="00417301" w:rsidP="00E92686">
      <w:pPr>
        <w:widowControl w:val="0"/>
        <w:tabs>
          <w:tab w:val="left" w:pos="865"/>
          <w:tab w:val="left" w:pos="867"/>
        </w:tabs>
        <w:autoSpaceDE w:val="0"/>
        <w:autoSpaceDN w:val="0"/>
        <w:ind w:left="567" w:right="131"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t xml:space="preserve">avoids as the first priority, land </w:t>
      </w:r>
      <w:r w:rsidRPr="00472578">
        <w:rPr>
          <w:rFonts w:ascii="Calibri" w:eastAsia="Calibri" w:hAnsi="Calibri" w:cs="Calibri"/>
          <w:strike/>
        </w:rPr>
        <w:t>and soils</w:t>
      </w:r>
      <w:r w:rsidRPr="00472578">
        <w:rPr>
          <w:rStyle w:val="FootnoteReference"/>
          <w:rFonts w:ascii="Calibri" w:eastAsia="Calibri" w:hAnsi="Calibri" w:cs="Calibri"/>
        </w:rPr>
        <w:footnoteReference w:id="1351"/>
      </w:r>
      <w:r w:rsidRPr="00472578">
        <w:rPr>
          <w:rFonts w:ascii="Calibri" w:eastAsia="Calibri" w:hAnsi="Calibri" w:cs="Calibri"/>
        </w:rPr>
        <w:t xml:space="preserve"> identified as highly productive by LF–LS–P19 unless </w:t>
      </w:r>
      <w:r w:rsidR="005B6E56" w:rsidRPr="00472578">
        <w:rPr>
          <w:rFonts w:ascii="Calibri" w:eastAsia="Calibri" w:hAnsi="Calibri" w:cs="Calibri"/>
        </w:rPr>
        <w:t>there is</w:t>
      </w:r>
      <w:r w:rsidRPr="00472578">
        <w:rPr>
          <w:rFonts w:ascii="Calibri" w:eastAsia="Calibri" w:hAnsi="Calibri" w:cs="Calibri"/>
        </w:rPr>
        <w:t xml:space="preserve"> an </w:t>
      </w:r>
      <w:r w:rsidRPr="00472578">
        <w:rPr>
          <w:rFonts w:ascii="Calibri" w:eastAsia="Calibri" w:hAnsi="Calibri" w:cs="Calibri"/>
          <w:i/>
        </w:rPr>
        <w:t xml:space="preserve">operational need </w:t>
      </w:r>
      <w:r w:rsidRPr="00472578">
        <w:rPr>
          <w:rFonts w:ascii="Calibri" w:eastAsia="Calibri" w:hAnsi="Calibri" w:cs="Calibri"/>
          <w:iCs/>
          <w:u w:val="single"/>
        </w:rPr>
        <w:t xml:space="preserve">or </w:t>
      </w:r>
      <w:r w:rsidRPr="00472578">
        <w:rPr>
          <w:rFonts w:ascii="Calibri" w:eastAsia="Calibri" w:hAnsi="Calibri" w:cs="Calibri"/>
          <w:i/>
          <w:u w:val="single"/>
        </w:rPr>
        <w:t>functional need</w:t>
      </w:r>
      <w:r w:rsidRPr="00472578">
        <w:rPr>
          <w:rStyle w:val="FootnoteReference"/>
          <w:rFonts w:ascii="Calibri" w:eastAsia="Calibri" w:hAnsi="Calibri" w:cs="Calibri"/>
        </w:rPr>
        <w:footnoteReference w:id="1352"/>
      </w:r>
      <w:r w:rsidRPr="00472578">
        <w:rPr>
          <w:rFonts w:ascii="Calibri" w:eastAsia="Calibri" w:hAnsi="Calibri" w:cs="Calibri"/>
          <w:i/>
        </w:rPr>
        <w:t xml:space="preserve"> </w:t>
      </w:r>
      <w:r w:rsidRPr="00472578">
        <w:rPr>
          <w:rFonts w:ascii="Calibri" w:eastAsia="Calibri" w:hAnsi="Calibri" w:cs="Calibri"/>
        </w:rPr>
        <w:t xml:space="preserve">for the development to be located in </w:t>
      </w:r>
      <w:r w:rsidRPr="00472578">
        <w:rPr>
          <w:rFonts w:ascii="Calibri" w:eastAsia="Calibri" w:hAnsi="Calibri" w:cs="Calibri"/>
          <w:i/>
        </w:rPr>
        <w:t>rural areas</w:t>
      </w:r>
      <w:r w:rsidRPr="00472578">
        <w:rPr>
          <w:rFonts w:ascii="Calibri" w:eastAsia="Calibri" w:hAnsi="Calibri" w:cs="Calibri"/>
        </w:rPr>
        <w:t>,</w:t>
      </w:r>
      <w:r w:rsidRPr="00472578">
        <w:rPr>
          <w:rFonts w:ascii="Calibri" w:eastAsia="Calibri" w:hAnsi="Calibri" w:cs="Calibri"/>
          <w:u w:val="single"/>
        </w:rPr>
        <w:t xml:space="preserve"> </w:t>
      </w:r>
    </w:p>
    <w:p w14:paraId="0CB1EB1B" w14:textId="5406F13B" w:rsidR="00A063F9" w:rsidRPr="00472578" w:rsidRDefault="00A063F9" w:rsidP="00E92686">
      <w:pPr>
        <w:widowControl w:val="0"/>
        <w:tabs>
          <w:tab w:val="left" w:pos="865"/>
          <w:tab w:val="left" w:pos="867"/>
        </w:tabs>
        <w:autoSpaceDE w:val="0"/>
        <w:autoSpaceDN w:val="0"/>
        <w:ind w:left="567" w:right="438"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t xml:space="preserve">only provides for urban expansion, rural lifestyle and rural residential development and the establishment of </w:t>
      </w:r>
      <w:r w:rsidRPr="00472578">
        <w:rPr>
          <w:rFonts w:ascii="Calibri" w:eastAsia="Calibri" w:hAnsi="Calibri" w:cs="Calibri"/>
          <w:i/>
        </w:rPr>
        <w:t>sensitive activities</w:t>
      </w:r>
      <w:r w:rsidRPr="00472578">
        <w:rPr>
          <w:rFonts w:ascii="Calibri" w:eastAsia="Calibri" w:hAnsi="Calibri" w:cs="Calibri"/>
        </w:rPr>
        <w:t xml:space="preserve">, in locations identified through strategic planning or </w:t>
      </w:r>
      <w:r w:rsidR="005B6E56" w:rsidRPr="00472578">
        <w:rPr>
          <w:rFonts w:ascii="Calibri" w:eastAsia="Calibri" w:hAnsi="Calibri" w:cs="Calibri"/>
        </w:rPr>
        <w:t>zoned within</w:t>
      </w:r>
      <w:r w:rsidRPr="00472578">
        <w:rPr>
          <w:rFonts w:ascii="Calibri" w:eastAsia="Calibri" w:hAnsi="Calibri" w:cs="Calibri"/>
        </w:rPr>
        <w:t xml:space="preserve"> </w:t>
      </w:r>
      <w:r w:rsidRPr="00472578">
        <w:rPr>
          <w:rFonts w:ascii="Calibri" w:eastAsia="Calibri" w:hAnsi="Calibri" w:cs="Calibri"/>
          <w:i/>
        </w:rPr>
        <w:t xml:space="preserve">district plans </w:t>
      </w:r>
      <w:r w:rsidRPr="00472578">
        <w:rPr>
          <w:rFonts w:ascii="Calibri" w:eastAsia="Calibri" w:hAnsi="Calibri" w:cs="Calibri"/>
        </w:rPr>
        <w:t xml:space="preserve">as suitable for such development, </w:t>
      </w:r>
      <w:r w:rsidRPr="00472578">
        <w:rPr>
          <w:rFonts w:ascii="Calibri" w:eastAsia="Calibri" w:hAnsi="Calibri" w:cs="Calibri"/>
          <w:strike/>
        </w:rPr>
        <w:t>and</w:t>
      </w:r>
    </w:p>
    <w:p w14:paraId="20951A04" w14:textId="36109104" w:rsidR="00A063F9" w:rsidRPr="00472578" w:rsidRDefault="00A063F9" w:rsidP="00E92686">
      <w:pPr>
        <w:widowControl w:val="0"/>
        <w:tabs>
          <w:tab w:val="left" w:pos="867"/>
          <w:tab w:val="left" w:pos="867"/>
        </w:tabs>
        <w:autoSpaceDE w:val="0"/>
        <w:autoSpaceDN w:val="0"/>
        <w:ind w:left="567" w:right="114"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t>outside of areas identified in (3),</w:t>
      </w:r>
      <w:r w:rsidR="00FD2AB0" w:rsidRPr="00472578">
        <w:rPr>
          <w:rFonts w:ascii="Calibri" w:eastAsia="Calibri" w:hAnsi="Calibri" w:cs="Calibri"/>
        </w:rPr>
        <w:t xml:space="preserve"> </w:t>
      </w:r>
      <w:r w:rsidR="00FD2AB0" w:rsidRPr="00472578">
        <w:rPr>
          <w:rFonts w:ascii="Calibri" w:eastAsia="Calibri" w:hAnsi="Calibri" w:cs="Calibri"/>
          <w:strike/>
        </w:rPr>
        <w:t>maintains and enhances</w:t>
      </w:r>
      <w:r w:rsidRPr="00472578">
        <w:rPr>
          <w:u w:color="000000" w:themeColor="text1"/>
        </w:rPr>
        <w:t xml:space="preserve"> </w:t>
      </w:r>
      <w:r w:rsidRPr="00472578">
        <w:rPr>
          <w:u w:val="single"/>
        </w:rPr>
        <w:t xml:space="preserve">provides for the ongoing use of </w:t>
      </w:r>
      <w:r w:rsidRPr="00472578">
        <w:rPr>
          <w:i/>
          <w:iCs/>
          <w:u w:val="single"/>
        </w:rPr>
        <w:t>rural areas</w:t>
      </w:r>
      <w:r w:rsidRPr="00472578">
        <w:rPr>
          <w:u w:val="single"/>
        </w:rPr>
        <w:t xml:space="preserve"> for </w:t>
      </w:r>
      <w:r w:rsidRPr="00472578">
        <w:rPr>
          <w:i/>
          <w:iCs/>
          <w:u w:val="single"/>
        </w:rPr>
        <w:t>primary production,</w:t>
      </w:r>
      <w:r w:rsidRPr="00472578">
        <w:rPr>
          <w:u w:val="single"/>
        </w:rPr>
        <w:t xml:space="preserve"> supported by </w:t>
      </w:r>
      <w:r w:rsidRPr="00472578">
        <w:rPr>
          <w:i/>
          <w:iCs/>
          <w:u w:val="single"/>
        </w:rPr>
        <w:t xml:space="preserve">rural industry </w:t>
      </w:r>
      <w:r w:rsidRPr="00472578">
        <w:rPr>
          <w:u w:val="single"/>
        </w:rPr>
        <w:t>in appropriate locations</w:t>
      </w:r>
      <w:r w:rsidR="008F2C0F" w:rsidRPr="00472578">
        <w:rPr>
          <w:u w:val="single"/>
        </w:rPr>
        <w:t>,</w:t>
      </w:r>
      <w:r w:rsidRPr="00472578">
        <w:rPr>
          <w:rStyle w:val="FootnoteReference"/>
          <w:rFonts w:ascii="Calibri" w:eastAsia="Calibri" w:hAnsi="Calibri" w:cs="Calibri"/>
        </w:rPr>
        <w:footnoteReference w:id="1353"/>
      </w:r>
      <w:r w:rsidRPr="00472578">
        <w:t xml:space="preserve"> </w:t>
      </w:r>
      <w:r w:rsidRPr="00472578">
        <w:rPr>
          <w:u w:val="single"/>
        </w:rPr>
        <w:t xml:space="preserve">and </w:t>
      </w:r>
      <w:r w:rsidRPr="00472578">
        <w:rPr>
          <w:u w:val="single" w:color="000000" w:themeColor="text1"/>
        </w:rPr>
        <w:t xml:space="preserve">facilitates other activities that have an </w:t>
      </w:r>
      <w:r w:rsidRPr="00472578">
        <w:rPr>
          <w:i/>
          <w:u w:val="single" w:color="000000" w:themeColor="text1"/>
        </w:rPr>
        <w:t>operational</w:t>
      </w:r>
      <w:r w:rsidRPr="00472578">
        <w:rPr>
          <w:u w:val="single" w:color="000000" w:themeColor="text1"/>
        </w:rPr>
        <w:t xml:space="preserve"> </w:t>
      </w:r>
      <w:r w:rsidRPr="00472578">
        <w:rPr>
          <w:i/>
          <w:u w:val="single" w:color="000000" w:themeColor="text1"/>
        </w:rPr>
        <w:t xml:space="preserve">need </w:t>
      </w:r>
      <w:r w:rsidRPr="00472578">
        <w:rPr>
          <w:u w:val="single" w:color="000000" w:themeColor="text1"/>
        </w:rPr>
        <w:t xml:space="preserve">or </w:t>
      </w:r>
      <w:r w:rsidRPr="00472578">
        <w:rPr>
          <w:i/>
          <w:u w:val="single" w:color="000000" w:themeColor="text1"/>
        </w:rPr>
        <w:t>functional need</w:t>
      </w:r>
      <w:r w:rsidRPr="00472578">
        <w:rPr>
          <w:u w:val="single" w:color="000000" w:themeColor="text1"/>
        </w:rPr>
        <w:t xml:space="preserve"> to locate in </w:t>
      </w:r>
      <w:r w:rsidRPr="00472578">
        <w:rPr>
          <w:i/>
          <w:iCs/>
          <w:u w:val="single" w:color="000000" w:themeColor="text1"/>
        </w:rPr>
        <w:t>rural areas</w:t>
      </w:r>
      <w:r w:rsidRPr="00472578">
        <w:rPr>
          <w:u w:val="single" w:color="000000" w:themeColor="text1"/>
        </w:rPr>
        <w:t>, that will not compromise</w:t>
      </w:r>
      <w:r w:rsidRPr="00472578">
        <w:rPr>
          <w:rStyle w:val="FootnoteReference"/>
        </w:rPr>
        <w:footnoteReference w:id="1354"/>
      </w:r>
      <w:r w:rsidRPr="00472578">
        <w:rPr>
          <w:rFonts w:ascii="Calibri" w:eastAsia="Calibri" w:hAnsi="Calibri" w:cs="Calibri"/>
        </w:rPr>
        <w:t xml:space="preserve"> the </w:t>
      </w:r>
      <w:r w:rsidRPr="00472578">
        <w:rPr>
          <w:rFonts w:ascii="Calibri" w:eastAsia="Calibri" w:hAnsi="Calibri" w:cs="Calibri"/>
          <w:i/>
        </w:rPr>
        <w:t xml:space="preserve">natural and physical resources </w:t>
      </w:r>
      <w:r w:rsidRPr="00472578">
        <w:rPr>
          <w:rFonts w:ascii="Calibri" w:eastAsia="Calibri" w:hAnsi="Calibri" w:cs="Calibri"/>
        </w:rPr>
        <w:t>that support the productive capacity, rural character, and long-term viability of the rural sector and rural communities</w:t>
      </w:r>
      <w:r w:rsidR="00B94DC4" w:rsidRPr="00472578">
        <w:rPr>
          <w:rFonts w:ascii="Calibri" w:eastAsia="Calibri" w:hAnsi="Calibri" w:cs="Calibri"/>
          <w:strike/>
        </w:rPr>
        <w:t>.</w:t>
      </w:r>
      <w:r w:rsidRPr="00472578">
        <w:rPr>
          <w:rFonts w:ascii="Calibri" w:eastAsia="Calibri" w:hAnsi="Calibri" w:cs="Calibri"/>
          <w:u w:val="single"/>
        </w:rPr>
        <w:t>, and</w:t>
      </w:r>
    </w:p>
    <w:p w14:paraId="1313CF91" w14:textId="1F93BE0F" w:rsidR="00A063F9" w:rsidRPr="00472578" w:rsidRDefault="00A063F9" w:rsidP="00E92686">
      <w:pPr>
        <w:tabs>
          <w:tab w:val="left" w:pos="865"/>
          <w:tab w:val="left" w:pos="867"/>
        </w:tabs>
        <w:ind w:left="567" w:right="131" w:hanging="567"/>
        <w:jc w:val="both"/>
        <w:rPr>
          <w:rFonts w:ascii="Calibri" w:eastAsia="Calibri" w:hAnsi="Calibri" w:cs="Calibri"/>
        </w:rPr>
      </w:pPr>
      <w:r w:rsidRPr="00472578">
        <w:rPr>
          <w:rFonts w:ascii="Calibri" w:eastAsia="Calibri" w:hAnsi="Calibri" w:cs="Calibri"/>
          <w:u w:val="single"/>
        </w:rPr>
        <w:t xml:space="preserve">(4A) </w:t>
      </w:r>
      <w:r w:rsidRPr="00472578">
        <w:rPr>
          <w:rFonts w:ascii="Calibri" w:eastAsia="Calibri" w:hAnsi="Calibri" w:cs="Calibri"/>
          <w:u w:val="single"/>
        </w:rPr>
        <w:tab/>
      </w:r>
      <w:r w:rsidRPr="00472578">
        <w:rPr>
          <w:u w:val="single" w:color="000000" w:themeColor="text1"/>
        </w:rPr>
        <w:t>provides for the use and development of land in rural areas by Kāi Tahu fo</w:t>
      </w:r>
      <w:r w:rsidRPr="00472578">
        <w:rPr>
          <w:u w:val="single"/>
        </w:rPr>
        <w:t xml:space="preserve">r </w:t>
      </w:r>
      <w:r w:rsidRPr="00472578">
        <w:rPr>
          <w:rFonts w:ascii="Calibri" w:eastAsia="Calibri" w:hAnsi="Calibri" w:cs="Calibri"/>
          <w:i/>
          <w:u w:val="single"/>
        </w:rPr>
        <w:t>papakāika, kāika, nohoaka, marae</w:t>
      </w:r>
      <w:r w:rsidRPr="00472578">
        <w:rPr>
          <w:rFonts w:ascii="Calibri" w:eastAsia="Calibri" w:hAnsi="Calibri" w:cs="Calibri"/>
          <w:u w:val="single"/>
        </w:rPr>
        <w:t xml:space="preserve">, and </w:t>
      </w:r>
      <w:r w:rsidRPr="00472578">
        <w:rPr>
          <w:rFonts w:ascii="Calibri" w:eastAsia="Calibri" w:hAnsi="Calibri" w:cs="Calibri"/>
          <w:i/>
          <w:iCs/>
          <w:u w:val="single"/>
        </w:rPr>
        <w:t>marae</w:t>
      </w:r>
      <w:r w:rsidRPr="00472578">
        <w:rPr>
          <w:rFonts w:ascii="Calibri" w:eastAsia="Calibri" w:hAnsi="Calibri" w:cs="Calibri"/>
          <w:u w:val="single"/>
        </w:rPr>
        <w:t xml:space="preserve"> related activities.</w:t>
      </w:r>
      <w:r w:rsidRPr="00472578">
        <w:rPr>
          <w:rStyle w:val="FootnoteReference"/>
        </w:rPr>
        <w:footnoteReference w:id="1355"/>
      </w:r>
    </w:p>
    <w:p w14:paraId="06C410CE" w14:textId="770B8832" w:rsidR="00417301" w:rsidRPr="00472578" w:rsidRDefault="009A45CE" w:rsidP="00E92686">
      <w:pPr>
        <w:pStyle w:val="Heading4"/>
        <w:jc w:val="both"/>
        <w:rPr>
          <w:i/>
        </w:rPr>
      </w:pPr>
      <w:r w:rsidRPr="00472578">
        <w:t>UFD-O</w:t>
      </w:r>
      <w:r w:rsidR="00417301" w:rsidRPr="00472578">
        <w:t xml:space="preserve">5 – Urban development and </w:t>
      </w:r>
      <w:r w:rsidR="00417301" w:rsidRPr="00472578">
        <w:rPr>
          <w:i/>
        </w:rPr>
        <w:t>climate change</w:t>
      </w:r>
    </w:p>
    <w:p w14:paraId="2AC56636" w14:textId="77777777" w:rsidR="00417301" w:rsidRPr="00472578" w:rsidRDefault="00417301" w:rsidP="00E92686">
      <w:pPr>
        <w:widowControl w:val="0"/>
        <w:autoSpaceDE w:val="0"/>
        <w:autoSpaceDN w:val="0"/>
        <w:jc w:val="both"/>
        <w:rPr>
          <w:rFonts w:ascii="Calibri" w:eastAsia="Calibri" w:hAnsi="Calibri" w:cs="Calibri"/>
          <w:i/>
        </w:rPr>
      </w:pPr>
      <w:r w:rsidRPr="00472578">
        <w:rPr>
          <w:rFonts w:ascii="Calibri" w:eastAsia="Calibri" w:hAnsi="Calibri" w:cs="Calibri"/>
        </w:rPr>
        <w:t xml:space="preserve">The impacts of </w:t>
      </w:r>
      <w:r w:rsidRPr="00472578">
        <w:rPr>
          <w:rFonts w:ascii="Calibri" w:eastAsia="Calibri" w:hAnsi="Calibri" w:cs="Calibri"/>
          <w:i/>
        </w:rPr>
        <w:t xml:space="preserve">climate change </w:t>
      </w:r>
      <w:r w:rsidRPr="00472578">
        <w:rPr>
          <w:rFonts w:ascii="Calibri" w:eastAsia="Calibri" w:hAnsi="Calibri" w:cs="Calibri"/>
        </w:rPr>
        <w:t>are</w:t>
      </w:r>
      <w:r w:rsidRPr="00472578">
        <w:rPr>
          <w:rFonts w:ascii="Calibri" w:eastAsia="Calibri" w:hAnsi="Calibri" w:cs="Calibri"/>
          <w:u w:val="single"/>
        </w:rPr>
        <w:t xml:space="preserve"> </w:t>
      </w:r>
      <w:r w:rsidRPr="00472578">
        <w:rPr>
          <w:rFonts w:ascii="Calibri" w:eastAsia="Calibri" w:hAnsi="Calibri" w:cs="Calibri"/>
        </w:rPr>
        <w:t xml:space="preserve">responded to in the development and change of Otago’s </w:t>
      </w:r>
      <w:r w:rsidRPr="00472578">
        <w:rPr>
          <w:rFonts w:ascii="Calibri" w:eastAsia="Calibri" w:hAnsi="Calibri" w:cs="Calibri"/>
          <w:i/>
        </w:rPr>
        <w:t xml:space="preserve">urban areas </w:t>
      </w:r>
      <w:r w:rsidRPr="00472578">
        <w:rPr>
          <w:rFonts w:ascii="Calibri" w:eastAsia="Calibri" w:hAnsi="Calibri" w:cs="Calibri"/>
        </w:rPr>
        <w:t>so that:</w:t>
      </w:r>
    </w:p>
    <w:p w14:paraId="71EEE202" w14:textId="5A6FFB0A" w:rsidR="00417301" w:rsidRPr="00472578" w:rsidRDefault="00FC511A"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the contributions of current communities and future generations to </w:t>
      </w:r>
      <w:r w:rsidR="00417301" w:rsidRPr="00472578">
        <w:rPr>
          <w:rFonts w:ascii="Calibri" w:eastAsia="Calibri" w:hAnsi="Calibri" w:cs="Calibri"/>
          <w:i/>
        </w:rPr>
        <w:t xml:space="preserve">climate change </w:t>
      </w:r>
      <w:r w:rsidR="00417301" w:rsidRPr="00472578">
        <w:rPr>
          <w:rFonts w:ascii="Calibri" w:eastAsia="Calibri" w:hAnsi="Calibri" w:cs="Calibri"/>
        </w:rPr>
        <w:t xml:space="preserve">impacts </w:t>
      </w:r>
      <w:r w:rsidR="00417301" w:rsidRPr="00472578">
        <w:rPr>
          <w:rFonts w:ascii="Calibri" w:eastAsia="Calibri" w:hAnsi="Calibri" w:cs="Calibri"/>
        </w:rPr>
        <w:lastRenderedPageBreak/>
        <w:t>are reduced,</w:t>
      </w:r>
    </w:p>
    <w:p w14:paraId="74614FFF" w14:textId="469E547C"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community resilience increases,</w:t>
      </w:r>
    </w:p>
    <w:p w14:paraId="5446F1C8" w14:textId="69AFBB5A"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adaptation to the effects of </w:t>
      </w:r>
      <w:r w:rsidR="00417301" w:rsidRPr="00472578">
        <w:rPr>
          <w:rFonts w:ascii="Calibri" w:eastAsia="Calibri" w:hAnsi="Calibri" w:cs="Calibri"/>
          <w:i/>
        </w:rPr>
        <w:t xml:space="preserve">climate change </w:t>
      </w:r>
      <w:r w:rsidR="00417301" w:rsidRPr="00472578">
        <w:rPr>
          <w:rFonts w:ascii="Calibri" w:eastAsia="Calibri" w:hAnsi="Calibri" w:cs="Calibri"/>
        </w:rPr>
        <w:t>is facilitated,</w:t>
      </w:r>
    </w:p>
    <w:p w14:paraId="40B66125" w14:textId="259A6083"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energy use is minimised, and energy efficiency improves, and</w:t>
      </w:r>
    </w:p>
    <w:p w14:paraId="2FB999F7" w14:textId="0685A38D"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establishment and use of </w:t>
      </w:r>
      <w:bookmarkStart w:id="363" w:name="_Hlk94559771"/>
      <w:r w:rsidR="00417301" w:rsidRPr="00472578">
        <w:rPr>
          <w:rFonts w:ascii="Calibri" w:eastAsia="Calibri" w:hAnsi="Calibri" w:cs="Calibri"/>
          <w:i/>
        </w:rPr>
        <w:t>small and community-scale distributed electricity generation</w:t>
      </w:r>
      <w:bookmarkEnd w:id="363"/>
      <w:r w:rsidR="00417301" w:rsidRPr="00472578">
        <w:rPr>
          <w:rFonts w:ascii="Calibri" w:eastAsia="Calibri" w:hAnsi="Calibri" w:cs="Calibri"/>
          <w:i/>
        </w:rPr>
        <w:t xml:space="preserve"> </w:t>
      </w:r>
      <w:r w:rsidR="00417301" w:rsidRPr="00472578">
        <w:rPr>
          <w:rFonts w:ascii="Calibri" w:eastAsia="Calibri" w:hAnsi="Calibri" w:cs="Calibri"/>
        </w:rPr>
        <w:t>is enabled.</w:t>
      </w:r>
    </w:p>
    <w:p w14:paraId="7ED6E0A5" w14:textId="77777777" w:rsidR="00417301" w:rsidRPr="00472578" w:rsidRDefault="00417301" w:rsidP="00E92686">
      <w:pPr>
        <w:pStyle w:val="Heading3"/>
        <w:jc w:val="both"/>
      </w:pPr>
      <w:r w:rsidRPr="00472578">
        <w:t>Policies</w:t>
      </w:r>
    </w:p>
    <w:p w14:paraId="6C89E2FA" w14:textId="1D6464F9" w:rsidR="00417301" w:rsidRPr="00472578" w:rsidRDefault="009A45CE" w:rsidP="00E92686">
      <w:pPr>
        <w:pStyle w:val="Heading4"/>
        <w:jc w:val="both"/>
      </w:pPr>
      <w:r w:rsidRPr="00472578">
        <w:t>UFD-P</w:t>
      </w:r>
      <w:r w:rsidR="00417301" w:rsidRPr="00472578">
        <w:t>1 – Strategic planning</w:t>
      </w:r>
    </w:p>
    <w:p w14:paraId="00D57048" w14:textId="7E50E7E5"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Strategic planning processes, undertaken at an appropriate scale and detail, precede urban growth and development and:</w:t>
      </w:r>
    </w:p>
    <w:p w14:paraId="17413D85" w14:textId="5AD50A83"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ensure integration of </w:t>
      </w:r>
      <w:r w:rsidR="00417301" w:rsidRPr="00472578">
        <w:rPr>
          <w:rFonts w:ascii="Calibri" w:eastAsia="Calibri" w:hAnsi="Calibri" w:cs="Calibri"/>
          <w:i/>
        </w:rPr>
        <w:t xml:space="preserve">land </w:t>
      </w:r>
      <w:r w:rsidR="00417301" w:rsidRPr="00472578">
        <w:rPr>
          <w:rFonts w:ascii="Calibri" w:eastAsia="Calibri" w:hAnsi="Calibri" w:cs="Calibri"/>
        </w:rPr>
        <w:t xml:space="preserve">use and </w:t>
      </w:r>
      <w:r w:rsidR="00417301" w:rsidRPr="00472578">
        <w:rPr>
          <w:rFonts w:ascii="Calibri" w:eastAsia="Calibri" w:hAnsi="Calibri" w:cs="Calibri"/>
          <w:i/>
        </w:rPr>
        <w:t>infrastructure</w:t>
      </w:r>
      <w:r w:rsidR="00417301" w:rsidRPr="00472578">
        <w:rPr>
          <w:rFonts w:ascii="Calibri" w:eastAsia="Calibri" w:hAnsi="Calibri" w:cs="Calibri"/>
        </w:rPr>
        <w:t xml:space="preserve">, including how, where and when necessary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 xml:space="preserve">and </w:t>
      </w:r>
      <w:r w:rsidR="00417301" w:rsidRPr="00472578">
        <w:rPr>
          <w:rFonts w:ascii="Calibri" w:eastAsia="Calibri" w:hAnsi="Calibri" w:cs="Calibri"/>
          <w:i/>
        </w:rPr>
        <w:t xml:space="preserve">additional infrastructure </w:t>
      </w:r>
      <w:r w:rsidR="00417301" w:rsidRPr="00472578">
        <w:rPr>
          <w:rFonts w:ascii="Calibri" w:eastAsia="Calibri" w:hAnsi="Calibri" w:cs="Calibri"/>
        </w:rPr>
        <w:t>will be provided, and by whom,</w:t>
      </w:r>
      <w:r w:rsidR="00417301" w:rsidRPr="00472578">
        <w:rPr>
          <w:rFonts w:ascii="Calibri" w:eastAsia="Calibri" w:hAnsi="Calibri" w:cs="Calibri"/>
          <w:u w:val="single"/>
        </w:rPr>
        <w:t xml:space="preserve"> </w:t>
      </w:r>
    </w:p>
    <w:p w14:paraId="3EDFB764" w14:textId="12693548"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u w:val="single"/>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 xml:space="preserve">demonstrate at least sufficient </w:t>
      </w:r>
      <w:r w:rsidR="00417301" w:rsidRPr="00472578">
        <w:rPr>
          <w:rFonts w:ascii="Calibri" w:eastAsia="Calibri" w:hAnsi="Calibri" w:cs="Calibri"/>
          <w:i/>
        </w:rPr>
        <w:t xml:space="preserve">development capacity </w:t>
      </w:r>
      <w:r w:rsidR="00417301" w:rsidRPr="00472578">
        <w:rPr>
          <w:rFonts w:ascii="Calibri" w:eastAsia="Calibri" w:hAnsi="Calibri" w:cs="Calibri"/>
        </w:rPr>
        <w:t xml:space="preserve">supported by integrated </w:t>
      </w:r>
      <w:r w:rsidR="00417301" w:rsidRPr="00472578">
        <w:rPr>
          <w:rFonts w:ascii="Calibri" w:eastAsia="Calibri" w:hAnsi="Calibri" w:cs="Calibri"/>
          <w:i/>
        </w:rPr>
        <w:t>infrastructure</w:t>
      </w:r>
      <w:r w:rsidRPr="00472578">
        <w:rPr>
          <w:rFonts w:ascii="Calibri" w:eastAsia="Calibri" w:hAnsi="Calibri" w:cs="Calibri"/>
          <w:i/>
        </w:rPr>
        <w:t xml:space="preserve"> </w:t>
      </w:r>
      <w:r w:rsidR="00417301" w:rsidRPr="00472578">
        <w:rPr>
          <w:rFonts w:ascii="Calibri" w:eastAsia="Calibri" w:hAnsi="Calibri" w:cs="Calibri"/>
        </w:rPr>
        <w:t xml:space="preserve">provision for Otago’s housing and business needs in the short, medium and long term, </w:t>
      </w:r>
    </w:p>
    <w:p w14:paraId="278B56F0" w14:textId="32AC8B2B" w:rsidR="00417301" w:rsidRPr="00472578" w:rsidRDefault="00FC511A" w:rsidP="00E92686">
      <w:pPr>
        <w:widowControl w:val="0"/>
        <w:tabs>
          <w:tab w:val="left" w:pos="865"/>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maximise current and future opportunities for increasing resilience, and facilitating adaptation to changing demand, needs, preferences and </w:t>
      </w:r>
      <w:r w:rsidR="00417301" w:rsidRPr="00472578">
        <w:rPr>
          <w:rFonts w:ascii="Calibri" w:eastAsia="Calibri" w:hAnsi="Calibri" w:cs="Calibri"/>
          <w:i/>
        </w:rPr>
        <w:t>climate change</w:t>
      </w:r>
      <w:r w:rsidR="00417301" w:rsidRPr="00472578">
        <w:rPr>
          <w:rFonts w:ascii="Calibri" w:eastAsia="Calibri" w:hAnsi="Calibri" w:cs="Calibri"/>
        </w:rPr>
        <w:t>,</w:t>
      </w:r>
    </w:p>
    <w:p w14:paraId="27930656" w14:textId="31182CAB"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 xml:space="preserve">minimise </w:t>
      </w:r>
      <w:r w:rsidR="00417301" w:rsidRPr="00472578">
        <w:rPr>
          <w:rFonts w:ascii="Calibri" w:eastAsia="Calibri" w:hAnsi="Calibri" w:cs="Calibri"/>
          <w:i/>
        </w:rPr>
        <w:t xml:space="preserve">risks </w:t>
      </w:r>
      <w:r w:rsidR="00417301" w:rsidRPr="00472578">
        <w:rPr>
          <w:rFonts w:ascii="Calibri" w:eastAsia="Calibri" w:hAnsi="Calibri" w:cs="Calibri"/>
        </w:rPr>
        <w:t xml:space="preserve">from and improve resilience to </w:t>
      </w:r>
      <w:r w:rsidR="00417301" w:rsidRPr="00472578">
        <w:rPr>
          <w:rFonts w:ascii="Calibri" w:eastAsia="Calibri" w:hAnsi="Calibri" w:cs="Calibri"/>
          <w:i/>
        </w:rPr>
        <w:t>natural hazards</w:t>
      </w:r>
      <w:r w:rsidR="00417301" w:rsidRPr="00472578">
        <w:rPr>
          <w:rFonts w:ascii="Calibri" w:eastAsia="Calibri" w:hAnsi="Calibri" w:cs="Calibri"/>
        </w:rPr>
        <w:t xml:space="preserve">, including those exacerbated by </w:t>
      </w:r>
      <w:r w:rsidR="00417301" w:rsidRPr="00472578">
        <w:rPr>
          <w:rFonts w:ascii="Calibri" w:eastAsia="Calibri" w:hAnsi="Calibri" w:cs="Calibri"/>
          <w:i/>
        </w:rPr>
        <w:t xml:space="preserve">climate change, </w:t>
      </w:r>
      <w:r w:rsidR="00417301" w:rsidRPr="00472578">
        <w:rPr>
          <w:rFonts w:ascii="Calibri" w:eastAsia="Calibri" w:hAnsi="Calibri" w:cs="Calibri"/>
        </w:rPr>
        <w:t xml:space="preserve">while not increasing </w:t>
      </w:r>
      <w:r w:rsidR="00417301" w:rsidRPr="00472578">
        <w:rPr>
          <w:rFonts w:ascii="Calibri" w:eastAsia="Calibri" w:hAnsi="Calibri" w:cs="Calibri"/>
          <w:i/>
        </w:rPr>
        <w:t xml:space="preserve">risk </w:t>
      </w:r>
      <w:r w:rsidR="00417301" w:rsidRPr="00472578">
        <w:rPr>
          <w:rFonts w:ascii="Calibri" w:eastAsia="Calibri" w:hAnsi="Calibri" w:cs="Calibri"/>
        </w:rPr>
        <w:t xml:space="preserve">for other development, </w:t>
      </w:r>
    </w:p>
    <w:p w14:paraId="4E66E037" w14:textId="758390BD"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indicate how connectivity will be improved and connections will be provided within </w:t>
      </w:r>
      <w:r w:rsidR="00417301" w:rsidRPr="00472578">
        <w:rPr>
          <w:rFonts w:ascii="Calibri" w:eastAsia="Calibri" w:hAnsi="Calibri" w:cs="Calibri"/>
          <w:i/>
        </w:rPr>
        <w:t>urban areas</w:t>
      </w:r>
      <w:r w:rsidR="00417301" w:rsidRPr="00472578">
        <w:rPr>
          <w:rFonts w:ascii="Calibri" w:eastAsia="Calibri" w:hAnsi="Calibri" w:cs="Calibri"/>
        </w:rPr>
        <w:t xml:space="preserve">, </w:t>
      </w:r>
    </w:p>
    <w:p w14:paraId="5BB4890D" w14:textId="0F0C7C26" w:rsidR="00417301" w:rsidRPr="00472578" w:rsidRDefault="00FC511A"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provide opportunities for iwi, hapū and whānau involvement in planning processes, including in decision making, to ensure provision is made for their needs and aspirations, and cultural practices and values,</w:t>
      </w:r>
    </w:p>
    <w:p w14:paraId="052F5B0C" w14:textId="73C4D820" w:rsidR="00417301" w:rsidRPr="00472578" w:rsidRDefault="00FC511A" w:rsidP="00E92686">
      <w:pPr>
        <w:widowControl w:val="0"/>
        <w:tabs>
          <w:tab w:val="left" w:pos="867"/>
        </w:tabs>
        <w:autoSpaceDE w:val="0"/>
        <w:autoSpaceDN w:val="0"/>
        <w:spacing w:before="159" w:after="0" w:line="240" w:lineRule="auto"/>
        <w:ind w:left="567" w:right="113" w:hanging="567"/>
        <w:jc w:val="both"/>
        <w:rPr>
          <w:rFonts w:ascii="Calibri" w:eastAsia="Calibri" w:hAnsi="Calibri" w:cs="Calibri"/>
        </w:rPr>
      </w:pPr>
      <w:r w:rsidRPr="00472578">
        <w:rPr>
          <w:rFonts w:ascii="Calibri" w:eastAsia="Calibri" w:hAnsi="Calibri" w:cs="Calibri"/>
        </w:rPr>
        <w:t>(7)</w:t>
      </w:r>
      <w:r w:rsidRPr="00472578">
        <w:rPr>
          <w:rFonts w:ascii="Calibri" w:eastAsia="Calibri" w:hAnsi="Calibri" w:cs="Calibri"/>
        </w:rPr>
        <w:tab/>
      </w:r>
      <w:r w:rsidR="00417301" w:rsidRPr="00472578">
        <w:rPr>
          <w:rFonts w:ascii="Calibri" w:eastAsia="Calibri" w:hAnsi="Calibri" w:cs="Calibri"/>
        </w:rPr>
        <w:t xml:space="preserve">facilitate involvement of the current community and respond to the reasonably foreseeable needs of future communities, </w:t>
      </w:r>
      <w:r w:rsidR="00417301" w:rsidRPr="00472578">
        <w:rPr>
          <w:rFonts w:ascii="Calibri" w:eastAsia="Calibri" w:hAnsi="Calibri" w:cs="Calibri"/>
          <w:strike/>
        </w:rPr>
        <w:t>and</w:t>
      </w:r>
    </w:p>
    <w:p w14:paraId="04C488D8" w14:textId="45DAD602" w:rsidR="00417301" w:rsidRPr="00472578" w:rsidRDefault="00FC511A" w:rsidP="00E92686">
      <w:pPr>
        <w:widowControl w:val="0"/>
        <w:tabs>
          <w:tab w:val="left" w:pos="867"/>
        </w:tabs>
        <w:autoSpaceDE w:val="0"/>
        <w:autoSpaceDN w:val="0"/>
        <w:spacing w:before="159" w:after="0" w:line="240" w:lineRule="auto"/>
        <w:ind w:left="567" w:right="116" w:hanging="567"/>
        <w:jc w:val="both"/>
        <w:rPr>
          <w:rFonts w:ascii="Calibri" w:eastAsia="Calibri" w:hAnsi="Calibri" w:cs="Calibri"/>
        </w:rPr>
      </w:pPr>
      <w:r w:rsidRPr="00472578">
        <w:rPr>
          <w:rFonts w:ascii="Calibri" w:eastAsia="Calibri" w:hAnsi="Calibri" w:cs="Calibri"/>
        </w:rPr>
        <w:t>(8)</w:t>
      </w:r>
      <w:r w:rsidRPr="00472578">
        <w:rPr>
          <w:rFonts w:ascii="Calibri" w:eastAsia="Calibri" w:hAnsi="Calibri" w:cs="Calibri"/>
        </w:rPr>
        <w:tab/>
      </w:r>
      <w:r w:rsidR="00417301" w:rsidRPr="00472578">
        <w:rPr>
          <w:rFonts w:ascii="Calibri" w:eastAsia="Calibri" w:hAnsi="Calibri" w:cs="Calibri"/>
        </w:rPr>
        <w:t>identify, maintain and where possible, enhance important features and values identified by this RPS</w:t>
      </w:r>
      <w:r w:rsidR="00417301" w:rsidRPr="00472578">
        <w:rPr>
          <w:rFonts w:ascii="Calibri" w:eastAsia="Calibri" w:hAnsi="Calibri" w:cs="Calibri"/>
          <w:strike/>
        </w:rPr>
        <w:t>.</w:t>
      </w:r>
      <w:r w:rsidR="00417301" w:rsidRPr="00472578">
        <w:rPr>
          <w:rFonts w:ascii="Calibri" w:eastAsia="Calibri" w:hAnsi="Calibri" w:cs="Calibri"/>
          <w:u w:val="single"/>
        </w:rPr>
        <w:t>,</w:t>
      </w:r>
      <w:r w:rsidR="00602387" w:rsidRPr="00472578">
        <w:rPr>
          <w:rFonts w:ascii="Calibri" w:eastAsia="Calibri" w:hAnsi="Calibri" w:cs="Calibri"/>
          <w:u w:val="single"/>
        </w:rPr>
        <w:t xml:space="preserve"> </w:t>
      </w:r>
      <w:r w:rsidR="00417301" w:rsidRPr="00472578">
        <w:rPr>
          <w:rFonts w:ascii="Calibri" w:eastAsia="Calibri" w:hAnsi="Calibri" w:cs="Calibri"/>
          <w:u w:val="single"/>
        </w:rPr>
        <w:t>and</w:t>
      </w:r>
    </w:p>
    <w:p w14:paraId="02C283C4" w14:textId="0E604E96" w:rsidR="0005588A" w:rsidRPr="00472578" w:rsidRDefault="0005588A" w:rsidP="00E92686">
      <w:pPr>
        <w:widowControl w:val="0"/>
        <w:autoSpaceDE w:val="0"/>
        <w:autoSpaceDN w:val="0"/>
        <w:spacing w:before="159" w:after="0" w:line="240" w:lineRule="auto"/>
        <w:ind w:left="567" w:right="116" w:hanging="567"/>
        <w:jc w:val="both"/>
        <w:rPr>
          <w:rFonts w:ascii="Calibri" w:eastAsia="Calibri" w:hAnsi="Calibri" w:cs="Calibri"/>
          <w:u w:val="single"/>
        </w:rPr>
      </w:pPr>
      <w:r w:rsidRPr="00472578">
        <w:rPr>
          <w:rFonts w:ascii="Calibri" w:eastAsia="Calibri" w:hAnsi="Calibri" w:cs="Calibri"/>
          <w:u w:val="single"/>
        </w:rPr>
        <w:t xml:space="preserve">(8A) </w:t>
      </w:r>
      <w:r w:rsidRPr="00472578">
        <w:rPr>
          <w:rFonts w:ascii="Calibri" w:eastAsia="Calibri" w:hAnsi="Calibri" w:cs="Calibri"/>
          <w:u w:val="single"/>
        </w:rPr>
        <w:tab/>
        <w:t xml:space="preserve">identifies areas of potential conflict between incompatible activities </w:t>
      </w:r>
      <w:r w:rsidRPr="00472578">
        <w:rPr>
          <w:u w:val="single"/>
        </w:rPr>
        <w:t>and sets out the methods by which these are to be resolved.</w:t>
      </w:r>
      <w:r w:rsidRPr="00472578">
        <w:rPr>
          <w:rStyle w:val="FootnoteReference"/>
          <w:rFonts w:ascii="Calibri" w:eastAsia="Calibri" w:hAnsi="Calibri" w:cs="Calibri"/>
        </w:rPr>
        <w:footnoteReference w:id="1356"/>
      </w:r>
      <w:r w:rsidRPr="00472578">
        <w:rPr>
          <w:rFonts w:ascii="Calibri" w:eastAsia="Calibri" w:hAnsi="Calibri" w:cs="Calibri"/>
        </w:rPr>
        <w:t xml:space="preserve"> </w:t>
      </w:r>
    </w:p>
    <w:p w14:paraId="1A0936E7" w14:textId="39AA5882" w:rsidR="00417301" w:rsidRPr="00472578" w:rsidRDefault="009A45CE" w:rsidP="00E92686">
      <w:pPr>
        <w:pStyle w:val="Heading4"/>
        <w:jc w:val="both"/>
        <w:rPr>
          <w:i/>
        </w:rPr>
      </w:pPr>
      <w:r w:rsidRPr="00472578">
        <w:t>UFD-P</w:t>
      </w:r>
      <w:r w:rsidR="00417301" w:rsidRPr="00472578">
        <w:t xml:space="preserve">2 – Sufficiency of </w:t>
      </w:r>
      <w:r w:rsidR="00417301" w:rsidRPr="00472578">
        <w:rPr>
          <w:i/>
        </w:rPr>
        <w:t>development capacity</w:t>
      </w:r>
    </w:p>
    <w:p w14:paraId="6E8BFF47" w14:textId="4584A3F6"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u w:val="single"/>
        </w:rPr>
        <w:t>At least</w:t>
      </w:r>
      <w:r w:rsidR="00FC511A" w:rsidRPr="00472578">
        <w:rPr>
          <w:rFonts w:ascii="Calibri" w:eastAsia="Calibri" w:hAnsi="Calibri" w:cs="Calibri"/>
          <w:u w:val="single"/>
        </w:rPr>
        <w:t xml:space="preserve"> </w:t>
      </w:r>
      <w:r w:rsidR="00FC511A" w:rsidRPr="00472578">
        <w:rPr>
          <w:rFonts w:ascii="Calibri" w:eastAsia="Calibri" w:hAnsi="Calibri" w:cs="Calibri"/>
          <w:strike/>
        </w:rPr>
        <w:t>S</w:t>
      </w:r>
      <w:r w:rsidR="00AB25C8" w:rsidRPr="00472578">
        <w:rPr>
          <w:rFonts w:ascii="Calibri" w:eastAsia="Calibri" w:hAnsi="Calibri" w:cs="Calibri"/>
          <w:u w:val="single"/>
        </w:rPr>
        <w:t>s</w:t>
      </w:r>
      <w:r w:rsidRPr="00472578">
        <w:rPr>
          <w:rFonts w:ascii="Calibri" w:eastAsia="Calibri" w:hAnsi="Calibri" w:cs="Calibri"/>
        </w:rPr>
        <w:t>ufficient</w:t>
      </w:r>
      <w:r w:rsidR="00AB25C8" w:rsidRPr="00472578">
        <w:rPr>
          <w:rStyle w:val="FootnoteReference"/>
          <w:rFonts w:ascii="Calibri" w:eastAsia="Calibri" w:hAnsi="Calibri" w:cs="Calibri"/>
        </w:rPr>
        <w:footnoteReference w:id="1357"/>
      </w:r>
      <w:r w:rsidR="00AB25C8" w:rsidRPr="00472578">
        <w:rPr>
          <w:rFonts w:ascii="Calibri" w:eastAsia="Calibri" w:hAnsi="Calibri" w:cs="Calibri"/>
        </w:rPr>
        <w:t xml:space="preserve"> </w:t>
      </w:r>
      <w:r w:rsidRPr="00472578">
        <w:rPr>
          <w:rFonts w:ascii="Calibri" w:eastAsia="Calibri" w:hAnsi="Calibri" w:cs="Calibri"/>
        </w:rPr>
        <w:t xml:space="preserve">urban area housing and business </w:t>
      </w:r>
      <w:r w:rsidRPr="00472578">
        <w:rPr>
          <w:rFonts w:ascii="Calibri" w:eastAsia="Calibri" w:hAnsi="Calibri" w:cs="Calibri"/>
          <w:i/>
        </w:rPr>
        <w:t xml:space="preserve">development capacity </w:t>
      </w:r>
      <w:r w:rsidRPr="00472578">
        <w:rPr>
          <w:rFonts w:ascii="Calibri" w:eastAsia="Calibri" w:hAnsi="Calibri" w:cs="Calibri"/>
        </w:rPr>
        <w:t xml:space="preserve">in </w:t>
      </w:r>
      <w:r w:rsidRPr="00472578">
        <w:rPr>
          <w:rFonts w:ascii="Calibri" w:eastAsia="Calibri" w:hAnsi="Calibri" w:cs="Calibri"/>
          <w:i/>
        </w:rPr>
        <w:t xml:space="preserve">urban areas, </w:t>
      </w:r>
      <w:r w:rsidRPr="00472578">
        <w:rPr>
          <w:rFonts w:ascii="Calibri" w:eastAsia="Calibri" w:hAnsi="Calibri" w:cs="Calibri"/>
        </w:rPr>
        <w:t xml:space="preserve">including </w:t>
      </w:r>
      <w:r w:rsidRPr="00472578">
        <w:rPr>
          <w:rFonts w:ascii="Calibri" w:eastAsia="Calibri" w:hAnsi="Calibri" w:cs="Calibri"/>
        </w:rPr>
        <w:lastRenderedPageBreak/>
        <w:t xml:space="preserve">any </w:t>
      </w:r>
      <w:r w:rsidR="00AD4231" w:rsidRPr="00472578">
        <w:rPr>
          <w:rFonts w:ascii="Calibri" w:eastAsia="Calibri" w:hAnsi="Calibri" w:cs="Calibri"/>
        </w:rPr>
        <w:t>required competitiveness</w:t>
      </w:r>
      <w:r w:rsidRPr="00472578">
        <w:rPr>
          <w:rFonts w:ascii="Calibri" w:eastAsia="Calibri" w:hAnsi="Calibri" w:cs="Calibri"/>
        </w:rPr>
        <w:t xml:space="preserve"> margin, is provided in the short, medium and long term by:</w:t>
      </w:r>
    </w:p>
    <w:p w14:paraId="0BCD2BF3" w14:textId="75AA4542"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undertaking strategic planning in accordance with </w:t>
      </w:r>
      <w:r w:rsidR="009A45CE" w:rsidRPr="00472578">
        <w:rPr>
          <w:rFonts w:ascii="Calibri" w:eastAsia="Calibri" w:hAnsi="Calibri" w:cs="Calibri"/>
        </w:rPr>
        <w:t>UFD-P</w:t>
      </w:r>
      <w:r w:rsidR="00417301" w:rsidRPr="00472578">
        <w:rPr>
          <w:rFonts w:ascii="Calibri" w:eastAsia="Calibri" w:hAnsi="Calibri" w:cs="Calibri"/>
        </w:rPr>
        <w:t>1</w:t>
      </w:r>
    </w:p>
    <w:p w14:paraId="591BC525" w14:textId="674BA095"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 xml:space="preserve">identifying areas for urban intensification in accordance with </w:t>
      </w:r>
      <w:r w:rsidR="009A45CE" w:rsidRPr="00472578">
        <w:rPr>
          <w:rFonts w:ascii="Calibri" w:eastAsia="Calibri" w:hAnsi="Calibri" w:cs="Calibri"/>
        </w:rPr>
        <w:t>UFD-P</w:t>
      </w:r>
      <w:r w:rsidR="00417301" w:rsidRPr="00472578">
        <w:rPr>
          <w:rFonts w:ascii="Calibri" w:eastAsia="Calibri" w:hAnsi="Calibri" w:cs="Calibri"/>
        </w:rPr>
        <w:t>3,</w:t>
      </w:r>
    </w:p>
    <w:p w14:paraId="1966FB4E" w14:textId="010DBEEA"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identifying areas for urban expansion in accordance with </w:t>
      </w:r>
      <w:r w:rsidR="009A45CE" w:rsidRPr="00472578">
        <w:rPr>
          <w:rFonts w:ascii="Calibri" w:eastAsia="Calibri" w:hAnsi="Calibri" w:cs="Calibri"/>
        </w:rPr>
        <w:t>UFD-P</w:t>
      </w:r>
      <w:r w:rsidR="00417301" w:rsidRPr="00472578">
        <w:rPr>
          <w:rFonts w:ascii="Calibri" w:eastAsia="Calibri" w:hAnsi="Calibri" w:cs="Calibri"/>
        </w:rPr>
        <w:t>4,</w:t>
      </w:r>
    </w:p>
    <w:p w14:paraId="392814AB" w14:textId="3E1E2C29" w:rsidR="008522D1" w:rsidRPr="00472578" w:rsidRDefault="008522D1" w:rsidP="00E92686">
      <w:pPr>
        <w:widowControl w:val="0"/>
        <w:tabs>
          <w:tab w:val="left" w:pos="865"/>
          <w:tab w:val="left" w:pos="867"/>
        </w:tabs>
        <w:autoSpaceDE w:val="0"/>
        <w:autoSpaceDN w:val="0"/>
        <w:ind w:left="567" w:hanging="567"/>
        <w:jc w:val="both"/>
        <w:rPr>
          <w:rFonts w:ascii="Calibri" w:eastAsia="Calibri" w:hAnsi="Calibri" w:cs="Calibri"/>
        </w:rPr>
      </w:pPr>
      <w:bookmarkStart w:id="364" w:name="_Hlk95313985"/>
      <w:r w:rsidRPr="00472578">
        <w:rPr>
          <w:rFonts w:ascii="Calibri" w:eastAsia="Calibri" w:hAnsi="Calibri" w:cs="Calibri"/>
        </w:rPr>
        <w:t>(4)</w:t>
      </w:r>
      <w:r w:rsidRPr="00472578">
        <w:rPr>
          <w:rFonts w:ascii="Calibri" w:eastAsia="Calibri" w:hAnsi="Calibri" w:cs="Calibri"/>
        </w:rPr>
        <w:tab/>
        <w:t>providing for commercial and industrial activities in accordance with UFD–P5 and UFD–P6,</w:t>
      </w:r>
    </w:p>
    <w:bookmarkEnd w:id="364"/>
    <w:p w14:paraId="51ADBABD" w14:textId="08779ED4" w:rsidR="00417301" w:rsidRPr="00472578" w:rsidRDefault="00FC511A" w:rsidP="00E92686">
      <w:pPr>
        <w:widowControl w:val="0"/>
        <w:tabs>
          <w:tab w:val="left" w:pos="867"/>
        </w:tabs>
        <w:autoSpaceDE w:val="0"/>
        <w:autoSpaceDN w:val="0"/>
        <w:ind w:left="567" w:right="111"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responding to any demonstrated insufficiency in housing or business </w:t>
      </w:r>
      <w:r w:rsidR="00417301" w:rsidRPr="00472578">
        <w:rPr>
          <w:rFonts w:ascii="Calibri" w:eastAsia="Calibri" w:hAnsi="Calibri" w:cs="Calibri"/>
          <w:i/>
        </w:rPr>
        <w:t xml:space="preserve">development capacity </w:t>
      </w:r>
      <w:r w:rsidR="00417301" w:rsidRPr="00472578">
        <w:rPr>
          <w:rFonts w:ascii="Calibri" w:eastAsia="Calibri" w:hAnsi="Calibri" w:cs="Calibri"/>
        </w:rPr>
        <w:t xml:space="preserve">by increasing </w:t>
      </w:r>
      <w:r w:rsidR="00417301" w:rsidRPr="00472578">
        <w:rPr>
          <w:rFonts w:ascii="Calibri" w:eastAsia="Calibri" w:hAnsi="Calibri" w:cs="Calibri"/>
          <w:i/>
        </w:rPr>
        <w:t xml:space="preserve">development capacity </w:t>
      </w:r>
      <w:r w:rsidR="00417301" w:rsidRPr="00472578">
        <w:rPr>
          <w:rFonts w:ascii="Calibri" w:eastAsia="Calibri" w:hAnsi="Calibri" w:cs="Calibri"/>
        </w:rPr>
        <w:t xml:space="preserve">or providing more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 xml:space="preserve">as required, as soon as practicable, </w:t>
      </w:r>
      <w:r w:rsidR="00417301" w:rsidRPr="00472578">
        <w:rPr>
          <w:rFonts w:ascii="Calibri" w:eastAsia="Calibri" w:hAnsi="Calibri" w:cs="Calibri"/>
          <w:u w:val="single"/>
        </w:rPr>
        <w:t>including by being responsive to plan changes that demonstrate compliance with UFD-P10</w:t>
      </w:r>
      <w:r w:rsidRPr="00472578">
        <w:rPr>
          <w:rFonts w:ascii="Calibri" w:eastAsia="Calibri" w:hAnsi="Calibri" w:cs="Calibri"/>
          <w:u w:val="single"/>
        </w:rPr>
        <w:t>,</w:t>
      </w:r>
      <w:r w:rsidR="00417301" w:rsidRPr="00472578">
        <w:rPr>
          <w:rStyle w:val="FootnoteReference"/>
          <w:rFonts w:ascii="Calibri" w:eastAsia="Calibri" w:hAnsi="Calibri" w:cs="Calibri"/>
        </w:rPr>
        <w:footnoteReference w:id="1358"/>
      </w:r>
      <w:r w:rsidR="00417301" w:rsidRPr="00472578">
        <w:rPr>
          <w:rFonts w:ascii="Calibri" w:eastAsia="Calibri" w:hAnsi="Calibri" w:cs="Calibri"/>
        </w:rPr>
        <w:t xml:space="preserve"> and</w:t>
      </w:r>
    </w:p>
    <w:p w14:paraId="7FE94897" w14:textId="2A3D8155" w:rsidR="00417301" w:rsidRPr="00472578" w:rsidRDefault="00FC511A" w:rsidP="00E92686">
      <w:pPr>
        <w:widowControl w:val="0"/>
        <w:tabs>
          <w:tab w:val="left" w:pos="853"/>
          <w:tab w:val="left" w:pos="855"/>
        </w:tabs>
        <w:autoSpaceDE w:val="0"/>
        <w:autoSpaceDN w:val="0"/>
        <w:ind w:left="567"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 xml:space="preserve">requiring Tier 2 </w:t>
      </w:r>
      <w:r w:rsidR="00417301" w:rsidRPr="00472578">
        <w:rPr>
          <w:rFonts w:ascii="Calibri" w:eastAsia="Calibri" w:hAnsi="Calibri" w:cs="Calibri"/>
          <w:i/>
        </w:rPr>
        <w:t xml:space="preserve">urban environments </w:t>
      </w:r>
      <w:r w:rsidR="00417301" w:rsidRPr="00472578">
        <w:rPr>
          <w:rFonts w:ascii="Calibri" w:eastAsia="Calibri" w:hAnsi="Calibri" w:cs="Calibri"/>
        </w:rPr>
        <w:t>to meet, at least, the relevant housing bottom lines in APP10.</w:t>
      </w:r>
    </w:p>
    <w:p w14:paraId="1E3E588B" w14:textId="190A2503" w:rsidR="00417301" w:rsidRPr="00472578" w:rsidRDefault="009A45CE" w:rsidP="00E92686">
      <w:pPr>
        <w:pStyle w:val="Heading4"/>
        <w:jc w:val="both"/>
      </w:pPr>
      <w:r w:rsidRPr="00472578">
        <w:t>UFD-P</w:t>
      </w:r>
      <w:r w:rsidR="00417301" w:rsidRPr="00472578">
        <w:t>3 – Urban intensification</w:t>
      </w:r>
    </w:p>
    <w:p w14:paraId="58D79F5E"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Within </w:t>
      </w:r>
      <w:r w:rsidRPr="00472578">
        <w:rPr>
          <w:rFonts w:ascii="Calibri" w:eastAsia="Calibri" w:hAnsi="Calibri" w:cs="Calibri"/>
          <w:i/>
        </w:rPr>
        <w:t xml:space="preserve">urban areas </w:t>
      </w:r>
      <w:r w:rsidRPr="00472578">
        <w:rPr>
          <w:rFonts w:ascii="Calibri" w:eastAsia="Calibri" w:hAnsi="Calibri" w:cs="Calibri"/>
        </w:rPr>
        <w:t>intensification is enabled where it:</w:t>
      </w:r>
    </w:p>
    <w:p w14:paraId="6309AEF1" w14:textId="444B8C62"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contributes to establishing or maintaining the qualities of a </w:t>
      </w:r>
      <w:r w:rsidR="00417301" w:rsidRPr="00472578">
        <w:rPr>
          <w:rFonts w:ascii="Calibri" w:eastAsia="Calibri" w:hAnsi="Calibri" w:cs="Calibri"/>
          <w:i/>
        </w:rPr>
        <w:t>well-functioning urban environment</w:t>
      </w:r>
      <w:r w:rsidR="00417301" w:rsidRPr="00472578">
        <w:rPr>
          <w:rFonts w:ascii="Calibri" w:eastAsia="Calibri" w:hAnsi="Calibri" w:cs="Calibri"/>
        </w:rPr>
        <w:t>,</w:t>
      </w:r>
    </w:p>
    <w:p w14:paraId="05892C92" w14:textId="16B13DB4"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 xml:space="preserve">is well-served by existing or planned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 xml:space="preserve">and </w:t>
      </w:r>
      <w:r w:rsidR="00417301" w:rsidRPr="00472578">
        <w:rPr>
          <w:rFonts w:ascii="Calibri" w:eastAsia="Calibri" w:hAnsi="Calibri" w:cs="Calibri"/>
          <w:i/>
        </w:rPr>
        <w:t>additional infrastructure</w:t>
      </w:r>
      <w:r w:rsidR="00417301" w:rsidRPr="00472578">
        <w:rPr>
          <w:rFonts w:ascii="Calibri" w:eastAsia="Calibri" w:hAnsi="Calibri" w:cs="Calibri"/>
        </w:rPr>
        <w:t>,</w:t>
      </w:r>
      <w:r w:rsidR="00417301" w:rsidRPr="00472578">
        <w:rPr>
          <w:rFonts w:eastAsia="Times New Roman" w:cstheme="minorHAnsi"/>
          <w:bCs/>
          <w:u w:val="single" w:color="000000" w:themeColor="text1"/>
        </w:rPr>
        <w:t xml:space="preserve"> </w:t>
      </w:r>
    </w:p>
    <w:p w14:paraId="7B73170C" w14:textId="24C35EB4" w:rsidR="005901AA" w:rsidRPr="00472578" w:rsidRDefault="005901AA" w:rsidP="00E92686">
      <w:pPr>
        <w:widowControl w:val="0"/>
        <w:autoSpaceDE w:val="0"/>
        <w:autoSpaceDN w:val="0"/>
        <w:ind w:left="567" w:hanging="567"/>
        <w:jc w:val="both"/>
        <w:rPr>
          <w:rFonts w:ascii="Calibri" w:eastAsia="Calibri" w:hAnsi="Calibri" w:cs="Calibri"/>
        </w:rPr>
      </w:pPr>
      <w:r w:rsidRPr="00472578">
        <w:rPr>
          <w:rFonts w:eastAsia="Times New Roman"/>
          <w:u w:val="single" w:color="000000" w:themeColor="text1"/>
        </w:rPr>
        <w:t xml:space="preserve">(2A) </w:t>
      </w:r>
      <w:r w:rsidRPr="00472578">
        <w:rPr>
          <w:rFonts w:eastAsia="Times New Roman" w:cstheme="minorHAnsi"/>
          <w:bCs/>
          <w:u w:val="single" w:color="000000" w:themeColor="text1"/>
        </w:rPr>
        <w:tab/>
      </w:r>
      <w:r w:rsidRPr="00472578">
        <w:rPr>
          <w:rFonts w:eastAsia="Times New Roman"/>
          <w:u w:val="single" w:color="000000" w:themeColor="text1"/>
        </w:rPr>
        <w:t xml:space="preserve">does not compromise the safe and efficient ongoing use of </w:t>
      </w:r>
      <w:r w:rsidRPr="00472578">
        <w:rPr>
          <w:rFonts w:eastAsia="Times New Roman"/>
          <w:i/>
          <w:u w:val="single" w:color="000000" w:themeColor="text1"/>
        </w:rPr>
        <w:t xml:space="preserve">nationally significant infrastructure </w:t>
      </w:r>
      <w:r w:rsidRPr="00472578">
        <w:rPr>
          <w:rFonts w:eastAsia="Times New Roman"/>
          <w:u w:val="single" w:color="000000" w:themeColor="text1"/>
        </w:rPr>
        <w:t xml:space="preserve">or </w:t>
      </w:r>
      <w:r w:rsidRPr="00472578">
        <w:rPr>
          <w:rFonts w:eastAsia="Times New Roman"/>
          <w:i/>
          <w:u w:val="single" w:color="000000" w:themeColor="text1"/>
        </w:rPr>
        <w:t>regionally significant infrastructure</w:t>
      </w:r>
      <w:r w:rsidRPr="00472578">
        <w:rPr>
          <w:rFonts w:eastAsia="Times New Roman"/>
          <w:u w:val="single" w:color="000000" w:themeColor="text1"/>
        </w:rPr>
        <w:t>,</w:t>
      </w:r>
      <w:r w:rsidRPr="00472578">
        <w:rPr>
          <w:rStyle w:val="FootnoteReference"/>
          <w:rFonts w:eastAsia="Times New Roman"/>
        </w:rPr>
        <w:footnoteReference w:id="1359"/>
      </w:r>
      <w:r w:rsidRPr="00472578">
        <w:rPr>
          <w:rFonts w:eastAsia="Times New Roman"/>
        </w:rPr>
        <w:t> </w:t>
      </w:r>
    </w:p>
    <w:p w14:paraId="09A17799" w14:textId="1F9C5B24" w:rsidR="00417301" w:rsidRPr="00472578" w:rsidRDefault="00FC511A" w:rsidP="00E92686">
      <w:pPr>
        <w:widowControl w:val="0"/>
        <w:tabs>
          <w:tab w:val="left" w:pos="867"/>
        </w:tabs>
        <w:autoSpaceDE w:val="0"/>
        <w:autoSpaceDN w:val="0"/>
        <w:ind w:left="567" w:right="114"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meets the greater of demonstrated demand for housing and/or business use or the level of accessibility provided for by existing or planned </w:t>
      </w:r>
      <w:r w:rsidR="00417301" w:rsidRPr="00472578">
        <w:rPr>
          <w:rFonts w:ascii="Calibri" w:eastAsia="Calibri" w:hAnsi="Calibri" w:cs="Calibri"/>
          <w:i/>
        </w:rPr>
        <w:t xml:space="preserve">active transport </w:t>
      </w:r>
      <w:r w:rsidR="00417301" w:rsidRPr="00472578">
        <w:rPr>
          <w:rFonts w:ascii="Calibri" w:eastAsia="Calibri" w:hAnsi="Calibri" w:cs="Calibri"/>
        </w:rPr>
        <w:t xml:space="preserve">or </w:t>
      </w:r>
      <w:r w:rsidR="00417301" w:rsidRPr="00472578">
        <w:rPr>
          <w:rFonts w:ascii="Calibri" w:eastAsia="Calibri" w:hAnsi="Calibri" w:cs="Calibri"/>
          <w:i/>
        </w:rPr>
        <w:t>public transport</w:t>
      </w:r>
      <w:r w:rsidR="00417301" w:rsidRPr="00472578">
        <w:rPr>
          <w:rFonts w:ascii="Calibri" w:eastAsia="Calibri" w:hAnsi="Calibri" w:cs="Calibri"/>
        </w:rPr>
        <w:t>,</w:t>
      </w:r>
    </w:p>
    <w:p w14:paraId="1275CC7A" w14:textId="2484BF76"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 xml:space="preserve">addresses an identified shortfall for housing or business space, in accordance with </w:t>
      </w:r>
      <w:r w:rsidR="009A45CE" w:rsidRPr="00472578">
        <w:rPr>
          <w:rFonts w:ascii="Calibri" w:eastAsia="Calibri" w:hAnsi="Calibri" w:cs="Calibri"/>
        </w:rPr>
        <w:t>UFD-P</w:t>
      </w:r>
      <w:r w:rsidR="00417301" w:rsidRPr="00472578">
        <w:rPr>
          <w:rFonts w:ascii="Calibri" w:eastAsia="Calibri" w:hAnsi="Calibri" w:cs="Calibri"/>
        </w:rPr>
        <w:t>2,</w:t>
      </w:r>
    </w:p>
    <w:p w14:paraId="38D05E65" w14:textId="6C481E2D" w:rsidR="00417301" w:rsidRPr="00472578" w:rsidRDefault="00FC511A"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addresses issues of concern to iwi and hapū, including those identified in any relevant iwi planning</w:t>
      </w:r>
      <w:r w:rsidRPr="00472578">
        <w:rPr>
          <w:rFonts w:ascii="Calibri" w:eastAsia="Calibri" w:hAnsi="Calibri" w:cs="Calibri"/>
        </w:rPr>
        <w:t xml:space="preserve"> </w:t>
      </w:r>
      <w:r w:rsidR="00417301" w:rsidRPr="00472578">
        <w:rPr>
          <w:rFonts w:ascii="Calibri" w:eastAsia="Calibri" w:hAnsi="Calibri" w:cs="Calibri"/>
        </w:rPr>
        <w:t>documents, and</w:t>
      </w:r>
    </w:p>
    <w:p w14:paraId="2CC215B8" w14:textId="78E9A90B" w:rsidR="00417301" w:rsidRPr="00472578" w:rsidRDefault="00FC511A" w:rsidP="00E92686">
      <w:pPr>
        <w:widowControl w:val="0"/>
        <w:tabs>
          <w:tab w:val="left" w:pos="867"/>
        </w:tabs>
        <w:autoSpaceDE w:val="0"/>
        <w:autoSpaceDN w:val="0"/>
        <w:ind w:left="567" w:right="117"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 xml:space="preserve">manages adverse </w:t>
      </w:r>
      <w:r w:rsidR="00417301" w:rsidRPr="00472578">
        <w:rPr>
          <w:rFonts w:ascii="Calibri" w:eastAsia="Calibri" w:hAnsi="Calibri" w:cs="Calibri"/>
          <w:i/>
        </w:rPr>
        <w:t xml:space="preserve">effects </w:t>
      </w:r>
      <w:r w:rsidR="00417301" w:rsidRPr="00472578">
        <w:rPr>
          <w:rFonts w:ascii="Calibri" w:eastAsia="Calibri" w:hAnsi="Calibri" w:cs="Calibri"/>
        </w:rPr>
        <w:t xml:space="preserve">on values or resources identified by this RPS that require specific management or protection. </w:t>
      </w:r>
    </w:p>
    <w:p w14:paraId="102F565B" w14:textId="286D95CD" w:rsidR="00417301" w:rsidRPr="00472578" w:rsidRDefault="009A45CE" w:rsidP="00E92686">
      <w:pPr>
        <w:pStyle w:val="Heading4"/>
        <w:jc w:val="both"/>
      </w:pPr>
      <w:r w:rsidRPr="00472578">
        <w:t>UFD-P</w:t>
      </w:r>
      <w:r w:rsidR="00417301" w:rsidRPr="00472578">
        <w:t>4 – Urban expansion</w:t>
      </w:r>
    </w:p>
    <w:p w14:paraId="03109596"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Expansion of existing </w:t>
      </w:r>
      <w:r w:rsidRPr="00472578">
        <w:rPr>
          <w:rFonts w:ascii="Calibri" w:eastAsia="Calibri" w:hAnsi="Calibri" w:cs="Calibri"/>
          <w:i/>
        </w:rPr>
        <w:t xml:space="preserve">urban areas </w:t>
      </w:r>
      <w:r w:rsidRPr="00472578">
        <w:rPr>
          <w:rFonts w:ascii="Calibri" w:eastAsia="Calibri" w:hAnsi="Calibri" w:cs="Calibri"/>
        </w:rPr>
        <w:t>is facilitated where the expansion:</w:t>
      </w:r>
    </w:p>
    <w:p w14:paraId="2E475BA2" w14:textId="3AA858DC" w:rsidR="00417301" w:rsidRPr="00472578" w:rsidRDefault="00460493" w:rsidP="00E92686">
      <w:pPr>
        <w:widowControl w:val="0"/>
        <w:tabs>
          <w:tab w:val="left" w:pos="865"/>
          <w:tab w:val="left" w:pos="867"/>
        </w:tabs>
        <w:autoSpaceDE w:val="0"/>
        <w:autoSpaceDN w:val="0"/>
        <w:ind w:left="567" w:hanging="567"/>
        <w:jc w:val="both"/>
        <w:rPr>
          <w:rFonts w:ascii="Calibri" w:eastAsia="Calibri" w:hAnsi="Calibri" w:cs="Calibri"/>
          <w: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contributes to establishing or maintaining the qualities of a </w:t>
      </w:r>
      <w:r w:rsidR="00417301" w:rsidRPr="00472578">
        <w:rPr>
          <w:rFonts w:ascii="Calibri" w:eastAsia="Calibri" w:hAnsi="Calibri" w:cs="Calibri"/>
          <w:i/>
        </w:rPr>
        <w:t>well-functioning urban environment,</w:t>
      </w:r>
    </w:p>
    <w:p w14:paraId="5136E64D" w14:textId="77777777" w:rsidR="002D0688" w:rsidRPr="00472578" w:rsidRDefault="002D0688" w:rsidP="00E92686">
      <w:pPr>
        <w:widowControl w:val="0"/>
        <w:autoSpaceDE w:val="0"/>
        <w:autoSpaceDN w:val="0"/>
        <w:ind w:left="567" w:hanging="567"/>
        <w:jc w:val="both"/>
        <w:rPr>
          <w:rFonts w:ascii="Calibri" w:eastAsia="Calibri" w:hAnsi="Calibri" w:cs="Calibri"/>
        </w:rPr>
      </w:pPr>
      <w:r w:rsidRPr="00472578">
        <w:rPr>
          <w:rFonts w:ascii="Calibri" w:eastAsia="Calibri" w:hAnsi="Calibri" w:cs="Calibri"/>
        </w:rPr>
        <w:t>(</w:t>
      </w:r>
      <w:r w:rsidRPr="00472578">
        <w:rPr>
          <w:rFonts w:ascii="Calibri" w:eastAsia="Calibri" w:hAnsi="Calibri" w:cs="Calibri"/>
          <w:u w:val="single"/>
        </w:rPr>
        <w:t>1A)</w:t>
      </w:r>
      <w:r w:rsidRPr="00472578">
        <w:rPr>
          <w:rFonts w:ascii="Calibri" w:eastAsia="Calibri" w:hAnsi="Calibri" w:cs="Calibri"/>
          <w:u w:val="single"/>
        </w:rPr>
        <w:tab/>
        <w:t>is identified by and undertaken consistent with strategic plans prepared in accordance with UFD-P1, or is required to address a shortfall identified in accordance with UFD-P2</w:t>
      </w:r>
      <w:r w:rsidRPr="00472578">
        <w:rPr>
          <w:rFonts w:ascii="Calibri" w:eastAsia="Calibri" w:hAnsi="Calibri" w:cs="Calibri"/>
        </w:rPr>
        <w:t>,</w:t>
      </w:r>
      <w:r w:rsidRPr="00472578">
        <w:rPr>
          <w:rStyle w:val="FootnoteReference"/>
          <w:rFonts w:ascii="Calibri" w:eastAsia="Calibri" w:hAnsi="Calibri" w:cs="Calibri"/>
        </w:rPr>
        <w:footnoteReference w:id="1360"/>
      </w:r>
    </w:p>
    <w:p w14:paraId="76E1F2E5" w14:textId="5C9DE113" w:rsidR="00417301" w:rsidRPr="00472578" w:rsidRDefault="00460493"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6468D" w:rsidRPr="00472578">
        <w:rPr>
          <w:rFonts w:ascii="Calibri" w:eastAsia="Calibri" w:hAnsi="Calibri" w:cs="Calibri"/>
          <w:u w:val="single"/>
        </w:rPr>
        <w:t>is</w:t>
      </w:r>
      <w:r w:rsidR="00417301" w:rsidRPr="00472578">
        <w:rPr>
          <w:rFonts w:ascii="Calibri" w:eastAsia="Calibri" w:hAnsi="Calibri" w:cs="Calibri"/>
          <w:u w:val="single"/>
        </w:rPr>
        <w:t xml:space="preserve"> logical</w:t>
      </w:r>
      <w:r w:rsidR="0046468D" w:rsidRPr="00472578">
        <w:rPr>
          <w:rFonts w:ascii="Calibri" w:eastAsia="Calibri" w:hAnsi="Calibri" w:cs="Calibri"/>
          <w:u w:val="single"/>
        </w:rPr>
        <w:t>ly</w:t>
      </w:r>
      <w:r w:rsidR="00417301" w:rsidRPr="00472578">
        <w:rPr>
          <w:rFonts w:ascii="Calibri" w:eastAsia="Calibri" w:hAnsi="Calibri" w:cs="Calibri"/>
          <w:u w:val="single"/>
        </w:rPr>
        <w:t xml:space="preserve"> and appropriately staged</w:t>
      </w:r>
      <w:r w:rsidR="0046468D" w:rsidRPr="00472578">
        <w:rPr>
          <w:rFonts w:ascii="Calibri" w:eastAsia="Calibri" w:hAnsi="Calibri" w:cs="Calibri"/>
          <w:u w:val="single"/>
        </w:rPr>
        <w:t>,</w:t>
      </w:r>
      <w:r w:rsidR="00417301" w:rsidRPr="00472578">
        <w:rPr>
          <w:rFonts w:ascii="Calibri" w:eastAsia="Calibri" w:hAnsi="Calibri" w:cs="Calibri"/>
          <w:u w:val="single"/>
        </w:rPr>
        <w:t xml:space="preserve"> and</w:t>
      </w:r>
      <w:r w:rsidR="00417301" w:rsidRPr="00472578">
        <w:rPr>
          <w:rStyle w:val="FootnoteReference"/>
          <w:rFonts w:ascii="Calibri" w:eastAsia="Calibri" w:hAnsi="Calibri" w:cs="Calibri"/>
        </w:rPr>
        <w:footnoteReference w:id="1361"/>
      </w:r>
      <w:r w:rsidR="006B5D5E" w:rsidRPr="00472578">
        <w:rPr>
          <w:rFonts w:ascii="Calibri" w:eastAsia="Calibri" w:hAnsi="Calibri" w:cs="Calibri"/>
        </w:rPr>
        <w:t xml:space="preserve"> </w:t>
      </w:r>
      <w:r w:rsidR="00417301" w:rsidRPr="00472578">
        <w:rPr>
          <w:rFonts w:ascii="Calibri" w:eastAsia="Calibri" w:hAnsi="Calibri" w:cs="Calibri"/>
        </w:rPr>
        <w:t xml:space="preserve">will not result in inefficient or sporadic patterns of settlement and residential growth, </w:t>
      </w:r>
    </w:p>
    <w:p w14:paraId="55304283" w14:textId="06132FAD" w:rsidR="00417301" w:rsidRPr="00472578" w:rsidRDefault="00460493" w:rsidP="00E92686">
      <w:pPr>
        <w:widowControl w:val="0"/>
        <w:autoSpaceDE w:val="0"/>
        <w:autoSpaceDN w:val="0"/>
        <w:ind w:left="567" w:hanging="567"/>
        <w:jc w:val="both"/>
        <w:rPr>
          <w:u w:val="single"/>
        </w:rPr>
      </w:pPr>
      <w:r w:rsidRPr="00472578">
        <w:lastRenderedPageBreak/>
        <w:t>(3)</w:t>
      </w:r>
      <w:r w:rsidRPr="00472578">
        <w:tab/>
      </w:r>
      <w:r w:rsidR="00417301" w:rsidRPr="00472578">
        <w:t xml:space="preserve">is integrated efficiently and effectively with </w:t>
      </w:r>
      <w:r w:rsidR="00417301" w:rsidRPr="00472578">
        <w:rPr>
          <w:i/>
        </w:rPr>
        <w:t xml:space="preserve">development infrastructure </w:t>
      </w:r>
      <w:r w:rsidR="00417301" w:rsidRPr="00472578">
        <w:t xml:space="preserve">and </w:t>
      </w:r>
      <w:r w:rsidR="00417301" w:rsidRPr="00472578">
        <w:rPr>
          <w:i/>
        </w:rPr>
        <w:t xml:space="preserve">additional infrastructure </w:t>
      </w:r>
      <w:r w:rsidR="00417301" w:rsidRPr="00472578">
        <w:t xml:space="preserve">in a strategic, timely and co-ordinated way, </w:t>
      </w:r>
    </w:p>
    <w:p w14:paraId="3774773A" w14:textId="5ABB22D2" w:rsidR="002D0688" w:rsidRPr="00472578" w:rsidRDefault="002D0688" w:rsidP="00E92686">
      <w:pPr>
        <w:ind w:left="567" w:hanging="567"/>
        <w:jc w:val="both"/>
        <w:rPr>
          <w:u w:val="single"/>
        </w:rPr>
      </w:pPr>
      <w:r w:rsidRPr="00472578">
        <w:rPr>
          <w:u w:val="single"/>
        </w:rPr>
        <w:t xml:space="preserve">(3A) </w:t>
      </w:r>
      <w:r w:rsidRPr="00472578">
        <w:rPr>
          <w:u w:val="single"/>
        </w:rPr>
        <w:tab/>
        <w:t xml:space="preserve">does not compromise the safe and efficient ongoing use of </w:t>
      </w:r>
      <w:r w:rsidRPr="00472578">
        <w:rPr>
          <w:i/>
          <w:iCs/>
          <w:u w:val="single"/>
        </w:rPr>
        <w:t xml:space="preserve">nationally significant infrastructure </w:t>
      </w:r>
      <w:r w:rsidRPr="00472578">
        <w:rPr>
          <w:u w:val="single"/>
        </w:rPr>
        <w:t>and</w:t>
      </w:r>
      <w:r w:rsidRPr="00472578">
        <w:rPr>
          <w:i/>
          <w:iCs/>
          <w:u w:val="single"/>
        </w:rPr>
        <w:t xml:space="preserve"> regionally significant infrastructure</w:t>
      </w:r>
      <w:r w:rsidRPr="00472578">
        <w:rPr>
          <w:u w:val="single"/>
        </w:rPr>
        <w:t>,</w:t>
      </w:r>
      <w:r w:rsidRPr="00472578">
        <w:rPr>
          <w:rStyle w:val="FootnoteReference"/>
        </w:rPr>
        <w:footnoteReference w:id="1362"/>
      </w:r>
      <w:r w:rsidRPr="00472578">
        <w:t xml:space="preserve"> </w:t>
      </w:r>
    </w:p>
    <w:p w14:paraId="2FA7C248" w14:textId="67AD3C17" w:rsidR="00417301" w:rsidRPr="00472578" w:rsidRDefault="00460493"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addresses issues of concern to iwi and hapū, including those identified in any relevant iwi planning documents,</w:t>
      </w:r>
    </w:p>
    <w:p w14:paraId="51D517ED" w14:textId="6468A895" w:rsidR="00417301" w:rsidRPr="00472578" w:rsidRDefault="00460493"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manages adverse </w:t>
      </w:r>
      <w:r w:rsidR="00417301" w:rsidRPr="00472578">
        <w:rPr>
          <w:rFonts w:ascii="Calibri" w:eastAsia="Calibri" w:hAnsi="Calibri" w:cs="Calibri"/>
          <w:i/>
        </w:rPr>
        <w:t xml:space="preserve">effects </w:t>
      </w:r>
      <w:r w:rsidR="00417301" w:rsidRPr="00472578">
        <w:rPr>
          <w:rFonts w:ascii="Calibri" w:eastAsia="Calibri" w:hAnsi="Calibri" w:cs="Calibri"/>
        </w:rPr>
        <w:t>on other values or resources identified by this RPS that require specific management or protection,</w:t>
      </w:r>
    </w:p>
    <w:p w14:paraId="7703BBC8" w14:textId="27ACC83E" w:rsidR="00417301" w:rsidRPr="00472578" w:rsidRDefault="00460493"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avoids, as the first priority, highly productive land identified in accordance with LF</w:t>
      </w:r>
      <w:r w:rsidR="00F14037" w:rsidRPr="00472578">
        <w:rPr>
          <w:rFonts w:ascii="Calibri" w:eastAsia="Calibri" w:hAnsi="Calibri" w:cs="Calibri"/>
        </w:rPr>
        <w:t>-</w:t>
      </w:r>
      <w:r w:rsidR="00417301" w:rsidRPr="00472578">
        <w:rPr>
          <w:rFonts w:ascii="Calibri" w:eastAsia="Calibri" w:hAnsi="Calibri" w:cs="Calibri"/>
        </w:rPr>
        <w:t>LS</w:t>
      </w:r>
      <w:r w:rsidR="00F14037" w:rsidRPr="00472578">
        <w:rPr>
          <w:rFonts w:ascii="Calibri" w:eastAsia="Calibri" w:hAnsi="Calibri" w:cs="Calibri"/>
        </w:rPr>
        <w:t>-</w:t>
      </w:r>
      <w:r w:rsidR="00417301" w:rsidRPr="00472578">
        <w:rPr>
          <w:rFonts w:ascii="Calibri" w:eastAsia="Calibri" w:hAnsi="Calibri" w:cs="Calibri"/>
        </w:rPr>
        <w:t>P19,</w:t>
      </w:r>
    </w:p>
    <w:p w14:paraId="6547DBF1" w14:textId="37AAB244" w:rsidR="00417301" w:rsidRPr="00472578" w:rsidRDefault="00460493"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(7)</w:t>
      </w:r>
      <w:r w:rsidRPr="00472578">
        <w:rPr>
          <w:rFonts w:ascii="Calibri" w:eastAsia="Calibri" w:hAnsi="Calibri" w:cs="Calibri"/>
        </w:rPr>
        <w:tab/>
      </w:r>
      <w:r w:rsidR="00417301" w:rsidRPr="00472578">
        <w:rPr>
          <w:rFonts w:ascii="Calibri" w:eastAsia="Calibri" w:hAnsi="Calibri" w:cs="Calibri"/>
        </w:rPr>
        <w:t>locates the new urban/rural zone boundary interface by considering:</w:t>
      </w:r>
    </w:p>
    <w:p w14:paraId="715B2D36" w14:textId="0BF7AD45" w:rsidR="00417301" w:rsidRPr="00472578" w:rsidRDefault="00460493" w:rsidP="00E92686">
      <w:pPr>
        <w:widowControl w:val="0"/>
        <w:tabs>
          <w:tab w:val="left" w:pos="1433"/>
        </w:tabs>
        <w:autoSpaceDE w:val="0"/>
        <w:autoSpaceDN w:val="0"/>
        <w:ind w:left="1134" w:right="114"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r>
      <w:r w:rsidR="00417301" w:rsidRPr="00472578">
        <w:rPr>
          <w:rFonts w:ascii="Calibri" w:eastAsia="Calibri" w:hAnsi="Calibri" w:cs="Calibri"/>
        </w:rPr>
        <w:t xml:space="preserve">adverse </w:t>
      </w:r>
      <w:r w:rsidR="00417301" w:rsidRPr="00472578">
        <w:rPr>
          <w:rFonts w:ascii="Calibri" w:eastAsia="Calibri" w:hAnsi="Calibri" w:cs="Calibri"/>
          <w:i/>
        </w:rPr>
        <w:t>effects</w:t>
      </w:r>
      <w:r w:rsidR="00417301" w:rsidRPr="00472578">
        <w:rPr>
          <w:rFonts w:ascii="Calibri" w:eastAsia="Calibri" w:hAnsi="Calibri" w:cs="Calibri"/>
        </w:rPr>
        <w:t>, particularly</w:t>
      </w:r>
      <w:r w:rsidR="003A1C15" w:rsidRPr="00472578">
        <w:rPr>
          <w:rFonts w:ascii="Calibri" w:eastAsia="Calibri" w:hAnsi="Calibri" w:cs="Calibri"/>
        </w:rPr>
        <w:t xml:space="preserve"> </w:t>
      </w:r>
      <w:r w:rsidR="00417301" w:rsidRPr="00472578">
        <w:rPr>
          <w:rFonts w:ascii="Calibri" w:eastAsia="Calibri" w:hAnsi="Calibri" w:cs="Calibri"/>
          <w:i/>
          <w:iCs/>
        </w:rPr>
        <w:t>reverse sensitivity</w:t>
      </w:r>
      <w:r w:rsidR="003A1C15" w:rsidRPr="00472578">
        <w:rPr>
          <w:rFonts w:ascii="Calibri" w:eastAsia="Calibri" w:hAnsi="Calibri" w:cs="Calibri"/>
        </w:rPr>
        <w:t>,</w:t>
      </w:r>
      <w:r w:rsidR="00417301" w:rsidRPr="00472578">
        <w:rPr>
          <w:rFonts w:ascii="Calibri" w:eastAsia="Calibri" w:hAnsi="Calibri" w:cs="Calibri"/>
        </w:rPr>
        <w:t xml:space="preserve"> on </w:t>
      </w:r>
      <w:r w:rsidR="00417301" w:rsidRPr="00472578">
        <w:rPr>
          <w:rFonts w:ascii="Calibri" w:eastAsia="Calibri" w:hAnsi="Calibri" w:cs="Calibri"/>
          <w:i/>
        </w:rPr>
        <w:t xml:space="preserve">rural areas </w:t>
      </w:r>
      <w:r w:rsidR="00417301" w:rsidRPr="00472578">
        <w:rPr>
          <w:rFonts w:ascii="Calibri" w:eastAsia="Calibri" w:hAnsi="Calibri" w:cs="Calibri"/>
        </w:rPr>
        <w:t xml:space="preserve">and existing or potential </w:t>
      </w:r>
      <w:r w:rsidR="00417301" w:rsidRPr="00472578">
        <w:rPr>
          <w:rFonts w:ascii="Calibri" w:eastAsia="Calibri" w:hAnsi="Calibri" w:cs="Calibri"/>
          <w:i/>
          <w:iCs/>
          <w:u w:val="single"/>
        </w:rPr>
        <w:t>primary production</w:t>
      </w:r>
      <w:r w:rsidR="00417301" w:rsidRPr="00472578">
        <w:rPr>
          <w:rStyle w:val="FootnoteReference"/>
          <w:rFonts w:ascii="Calibri" w:eastAsia="Calibri" w:hAnsi="Calibri" w:cs="Calibri"/>
          <w:i/>
        </w:rPr>
        <w:footnoteReference w:id="1363"/>
      </w:r>
      <w:r w:rsidR="00417301" w:rsidRPr="00472578">
        <w:rPr>
          <w:rFonts w:ascii="Calibri" w:eastAsia="Calibri" w:hAnsi="Calibri" w:cs="Calibri"/>
        </w:rPr>
        <w:t xml:space="preserve"> </w:t>
      </w:r>
      <w:r w:rsidR="00417301" w:rsidRPr="00472578">
        <w:rPr>
          <w:rFonts w:ascii="Calibri" w:eastAsia="Calibri" w:hAnsi="Calibri" w:cs="Calibri"/>
          <w:strike/>
        </w:rPr>
        <w:t>productive</w:t>
      </w:r>
      <w:r w:rsidR="00417301" w:rsidRPr="00C077BB">
        <w:rPr>
          <w:rFonts w:ascii="Calibri" w:eastAsia="Calibri" w:hAnsi="Calibri" w:cs="Calibri"/>
        </w:rPr>
        <w:t xml:space="preserve"> </w:t>
      </w:r>
      <w:r w:rsidR="00417301" w:rsidRPr="00472578">
        <w:rPr>
          <w:rFonts w:ascii="Calibri" w:eastAsia="Calibri" w:hAnsi="Calibri" w:cs="Calibri"/>
          <w:u w:val="single"/>
        </w:rPr>
        <w:t>or</w:t>
      </w:r>
      <w:r w:rsidR="00417301" w:rsidRPr="008E7116">
        <w:rPr>
          <w:rFonts w:ascii="Calibri" w:eastAsia="Calibri" w:hAnsi="Calibri" w:cs="Calibri"/>
        </w:rPr>
        <w:t xml:space="preserve"> </w:t>
      </w:r>
      <w:r w:rsidR="00417301" w:rsidRPr="00472578">
        <w:rPr>
          <w:rFonts w:ascii="Calibri" w:eastAsia="Calibri" w:hAnsi="Calibri" w:cs="Calibri"/>
          <w:i/>
          <w:iCs/>
        </w:rPr>
        <w:t xml:space="preserve">rural </w:t>
      </w:r>
      <w:r w:rsidR="00417301" w:rsidRPr="00472578">
        <w:rPr>
          <w:rFonts w:ascii="Calibri" w:eastAsia="Calibri" w:hAnsi="Calibri" w:cs="Calibri"/>
          <w:i/>
          <w:iCs/>
          <w:u w:val="single"/>
        </w:rPr>
        <w:t>industry</w:t>
      </w:r>
      <w:r w:rsidR="00417301" w:rsidRPr="00472578">
        <w:rPr>
          <w:rStyle w:val="FootnoteReference"/>
          <w:rFonts w:ascii="Calibri" w:eastAsia="Calibri" w:hAnsi="Calibri" w:cs="Calibri"/>
          <w:i/>
        </w:rPr>
        <w:footnoteReference w:id="1364"/>
      </w:r>
      <w:r w:rsidR="00417301" w:rsidRPr="00472578">
        <w:rPr>
          <w:rFonts w:ascii="Calibri" w:eastAsia="Calibri" w:hAnsi="Calibri" w:cs="Calibri"/>
          <w:i/>
          <w:iCs/>
        </w:rPr>
        <w:t xml:space="preserve"> </w:t>
      </w:r>
      <w:r w:rsidR="00417301" w:rsidRPr="00472578">
        <w:rPr>
          <w:rFonts w:ascii="Calibri" w:eastAsia="Calibri" w:hAnsi="Calibri" w:cs="Calibri"/>
        </w:rPr>
        <w:t>activities beyond the new boundary, and</w:t>
      </w:r>
    </w:p>
    <w:p w14:paraId="51E273E4" w14:textId="2E93B8CE" w:rsidR="00417301" w:rsidRPr="00472578" w:rsidRDefault="00460493" w:rsidP="00E92686">
      <w:pPr>
        <w:widowControl w:val="0"/>
        <w:tabs>
          <w:tab w:val="left" w:pos="1433"/>
        </w:tabs>
        <w:autoSpaceDE w:val="0"/>
        <w:autoSpaceDN w:val="0"/>
        <w:ind w:left="1134" w:right="113"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r>
      <w:r w:rsidR="00417301" w:rsidRPr="00472578">
        <w:rPr>
          <w:rFonts w:ascii="Calibri" w:eastAsia="Calibri" w:hAnsi="Calibri" w:cs="Calibri"/>
          <w:u w:val="single"/>
        </w:rPr>
        <w:t>utilising</w:t>
      </w:r>
      <w:r w:rsidR="00417301" w:rsidRPr="00472578">
        <w:rPr>
          <w:rStyle w:val="FootnoteReference"/>
          <w:rFonts w:ascii="Calibri" w:eastAsia="Calibri" w:hAnsi="Calibri" w:cs="Calibri"/>
        </w:rPr>
        <w:footnoteReference w:id="1365"/>
      </w:r>
      <w:r w:rsidR="00417301" w:rsidRPr="00472578">
        <w:rPr>
          <w:rFonts w:ascii="Calibri" w:eastAsia="Calibri" w:hAnsi="Calibri" w:cs="Calibri"/>
        </w:rPr>
        <w:t xml:space="preserve"> key natural or built barriers or physical features, significant values or features identified in this RPS, or cadastral boundaries that will result in a permanent, logical and defendable long- term limit beyond which further urban expansion is demonstrably inappropriate and unlikely, such that provision for future </w:t>
      </w:r>
      <w:r w:rsidR="00417301" w:rsidRPr="00472578">
        <w:rPr>
          <w:rFonts w:ascii="Calibri" w:eastAsia="Calibri" w:hAnsi="Calibri" w:cs="Calibri"/>
          <w:i/>
          <w:iCs/>
        </w:rPr>
        <w:t>development infrastructure</w:t>
      </w:r>
      <w:r w:rsidR="00417301" w:rsidRPr="00472578">
        <w:rPr>
          <w:rFonts w:ascii="Calibri" w:eastAsia="Calibri" w:hAnsi="Calibri" w:cs="Calibri"/>
        </w:rPr>
        <w:t xml:space="preserve"> expansion and connectivity beyond the new boundary does not need to be provided for, or</w:t>
      </w:r>
    </w:p>
    <w:p w14:paraId="7784D4A8" w14:textId="75669E5C" w:rsidR="00417301" w:rsidRPr="00472578" w:rsidRDefault="00460493" w:rsidP="00E92686">
      <w:pPr>
        <w:widowControl w:val="0"/>
        <w:tabs>
          <w:tab w:val="left" w:pos="1433"/>
        </w:tabs>
        <w:autoSpaceDE w:val="0"/>
        <w:autoSpaceDN w:val="0"/>
        <w:ind w:left="1134" w:right="113" w:hanging="567"/>
        <w:jc w:val="both"/>
        <w:rPr>
          <w:rFonts w:ascii="Calibri" w:eastAsia="Calibri" w:hAnsi="Calibri" w:cs="Calibri"/>
        </w:rPr>
      </w:pPr>
      <w:r w:rsidRPr="00472578">
        <w:rPr>
          <w:rFonts w:ascii="Calibri" w:eastAsia="Calibri" w:hAnsi="Calibri" w:cs="Calibri"/>
        </w:rPr>
        <w:t>(c)</w:t>
      </w:r>
      <w:r w:rsidRPr="00472578">
        <w:rPr>
          <w:rFonts w:ascii="Calibri" w:eastAsia="Calibri" w:hAnsi="Calibri" w:cs="Calibri"/>
        </w:rPr>
        <w:tab/>
      </w:r>
      <w:r w:rsidR="00417301" w:rsidRPr="00472578">
        <w:rPr>
          <w:rFonts w:ascii="Calibri" w:eastAsia="Calibri" w:hAnsi="Calibri" w:cs="Calibri"/>
          <w:strike/>
        </w:rPr>
        <w:t xml:space="preserve">reflects a short or medium term, intermediate or temporary </w:t>
      </w:r>
      <w:r w:rsidR="00417301" w:rsidRPr="00472578">
        <w:rPr>
          <w:rFonts w:ascii="Calibri" w:eastAsia="Calibri" w:hAnsi="Calibri" w:cs="Calibri"/>
          <w:u w:val="single"/>
        </w:rPr>
        <w:t>utilising</w:t>
      </w:r>
      <w:r w:rsidR="00417301" w:rsidRPr="00472578">
        <w:rPr>
          <w:rStyle w:val="FootnoteReference"/>
          <w:rFonts w:ascii="Calibri" w:eastAsia="Calibri" w:hAnsi="Calibri" w:cs="Calibri"/>
        </w:rPr>
        <w:footnoteReference w:id="1366"/>
      </w:r>
      <w:r w:rsidR="00417301" w:rsidRPr="00472578">
        <w:rPr>
          <w:rFonts w:ascii="Calibri" w:eastAsia="Calibri" w:hAnsi="Calibri" w:cs="Calibri"/>
        </w:rPr>
        <w:t xml:space="preserve"> zoning or infrastructure servicing boundary </w:t>
      </w:r>
      <w:r w:rsidR="00417301" w:rsidRPr="00472578">
        <w:rPr>
          <w:rFonts w:ascii="Calibri" w:eastAsia="Calibri" w:hAnsi="Calibri" w:cs="Calibri"/>
          <w:u w:val="single"/>
        </w:rPr>
        <w:t>that reflects a short or medium term, intermediate or temporary limit</w:t>
      </w:r>
      <w:r w:rsidRPr="00472578">
        <w:rPr>
          <w:rFonts w:ascii="Calibri" w:eastAsia="Calibri" w:hAnsi="Calibri" w:cs="Calibri"/>
          <w:u w:val="single"/>
        </w:rPr>
        <w:t>,</w:t>
      </w:r>
      <w:r w:rsidR="00417301" w:rsidRPr="00472578">
        <w:rPr>
          <w:rStyle w:val="FootnoteReference"/>
          <w:rFonts w:ascii="Calibri" w:eastAsia="Calibri" w:hAnsi="Calibri" w:cs="Calibri"/>
        </w:rPr>
        <w:footnoteReference w:id="1367"/>
      </w:r>
      <w:r w:rsidR="00417301" w:rsidRPr="00472578">
        <w:rPr>
          <w:rFonts w:ascii="Calibri" w:eastAsia="Calibri" w:hAnsi="Calibri" w:cs="Calibri"/>
        </w:rPr>
        <w:t xml:space="preserve"> where provision for future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expansion and connectivity should not be foreclosed, even if further expansion is not currently anticipated.</w:t>
      </w:r>
    </w:p>
    <w:p w14:paraId="6B379D8D" w14:textId="41D4B389" w:rsidR="00417301" w:rsidRPr="00472578" w:rsidRDefault="009A45CE" w:rsidP="00E92686">
      <w:pPr>
        <w:pStyle w:val="Heading4"/>
        <w:jc w:val="both"/>
      </w:pPr>
      <w:r w:rsidRPr="00472578">
        <w:t>UFD-P</w:t>
      </w:r>
      <w:r w:rsidR="00417301" w:rsidRPr="00472578">
        <w:t xml:space="preserve">5 – </w:t>
      </w:r>
      <w:r w:rsidR="00417301" w:rsidRPr="00472578">
        <w:rPr>
          <w:i/>
          <w:iCs w:val="0"/>
        </w:rPr>
        <w:t>Commercial activities</w:t>
      </w:r>
    </w:p>
    <w:p w14:paraId="4FA4142C"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Provide for </w:t>
      </w:r>
      <w:r w:rsidRPr="00472578">
        <w:rPr>
          <w:rFonts w:ascii="Calibri" w:eastAsia="Calibri" w:hAnsi="Calibri" w:cs="Calibri"/>
          <w:i/>
        </w:rPr>
        <w:t xml:space="preserve">commercial activities </w:t>
      </w:r>
      <w:r w:rsidRPr="00472578">
        <w:rPr>
          <w:rFonts w:ascii="Calibri" w:eastAsia="Calibri" w:hAnsi="Calibri" w:cs="Calibri"/>
        </w:rPr>
        <w:t xml:space="preserve">in </w:t>
      </w:r>
      <w:r w:rsidRPr="00472578">
        <w:rPr>
          <w:rFonts w:ascii="Calibri" w:eastAsia="Calibri" w:hAnsi="Calibri" w:cs="Calibri"/>
          <w:i/>
        </w:rPr>
        <w:t xml:space="preserve">urban areas </w:t>
      </w:r>
      <w:r w:rsidRPr="00472578">
        <w:rPr>
          <w:rFonts w:ascii="Calibri" w:eastAsia="Calibri" w:hAnsi="Calibri" w:cs="Calibri"/>
        </w:rPr>
        <w:t>by:</w:t>
      </w:r>
    </w:p>
    <w:p w14:paraId="6FAA8307" w14:textId="1D754094" w:rsidR="00417301" w:rsidRPr="00472578" w:rsidRDefault="00460493" w:rsidP="00E92686">
      <w:pPr>
        <w:widowControl w:val="0"/>
        <w:tabs>
          <w:tab w:val="left" w:pos="867"/>
        </w:tabs>
        <w:autoSpaceDE w:val="0"/>
        <w:autoSpaceDN w:val="0"/>
        <w:ind w:left="567" w:right="115" w:hanging="567"/>
        <w:jc w:val="both"/>
        <w:rPr>
          <w:rFonts w:ascii="Calibri" w:eastAsia="Calibri" w:hAnsi="Calibri" w:cs="Calibri"/>
          <w: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enabling a wide variety and scale of </w:t>
      </w:r>
      <w:r w:rsidR="00417301" w:rsidRPr="00472578">
        <w:rPr>
          <w:rFonts w:ascii="Calibri" w:eastAsia="Calibri" w:hAnsi="Calibri" w:cs="Calibri"/>
          <w:i/>
        </w:rPr>
        <w:t>commercial activities</w:t>
      </w:r>
      <w:r w:rsidR="00417301" w:rsidRPr="00472578">
        <w:rPr>
          <w:rFonts w:ascii="Calibri" w:eastAsia="Calibri" w:hAnsi="Calibri" w:cs="Calibri"/>
        </w:rPr>
        <w:t xml:space="preserve">, social </w:t>
      </w:r>
      <w:r w:rsidR="00417301" w:rsidRPr="00472578">
        <w:rPr>
          <w:rFonts w:ascii="Calibri" w:eastAsia="Calibri" w:hAnsi="Calibri" w:cs="Calibri"/>
          <w:strike/>
        </w:rPr>
        <w:t>activities</w:t>
      </w:r>
      <w:r w:rsidR="00417301" w:rsidRPr="00472578">
        <w:rPr>
          <w:rFonts w:ascii="Calibri" w:eastAsia="Calibri" w:hAnsi="Calibri" w:cs="Calibri"/>
          <w:u w:val="single"/>
        </w:rPr>
        <w:t>, recreational</w:t>
      </w:r>
      <w:r w:rsidR="00417301" w:rsidRPr="00472578">
        <w:rPr>
          <w:rStyle w:val="FootnoteReference"/>
          <w:rFonts w:ascii="Calibri" w:eastAsia="Calibri" w:hAnsi="Calibri" w:cs="Calibri"/>
        </w:rPr>
        <w:footnoteReference w:id="1368"/>
      </w:r>
      <w:r w:rsidR="00417301" w:rsidRPr="00472578">
        <w:rPr>
          <w:rFonts w:ascii="Calibri" w:eastAsia="Calibri" w:hAnsi="Calibri" w:cs="Calibri"/>
        </w:rPr>
        <w:t xml:space="preserve">and cultural activities </w:t>
      </w:r>
      <w:r w:rsidR="00417301" w:rsidRPr="00472578">
        <w:rPr>
          <w:rFonts w:ascii="Calibri" w:eastAsia="Calibri" w:hAnsi="Calibri" w:cs="Calibri"/>
          <w:u w:val="single"/>
        </w:rPr>
        <w:t>to concentrate in</w:t>
      </w:r>
      <w:r w:rsidR="00417301" w:rsidRPr="00472578">
        <w:rPr>
          <w:rFonts w:ascii="Calibri" w:eastAsia="Calibri" w:hAnsi="Calibri" w:cs="Calibri"/>
        </w:rPr>
        <w:t xml:space="preserve"> </w:t>
      </w:r>
      <w:r w:rsidR="00417301" w:rsidRPr="00472578">
        <w:rPr>
          <w:rFonts w:ascii="Calibri" w:eastAsia="Calibri" w:hAnsi="Calibri" w:cs="Calibri"/>
          <w:strike/>
        </w:rPr>
        <w:t>central business districts</w:t>
      </w:r>
      <w:r w:rsidR="00417301" w:rsidRPr="00472578">
        <w:rPr>
          <w:rFonts w:ascii="Calibri" w:eastAsia="Calibri" w:hAnsi="Calibri" w:cs="Calibri"/>
        </w:rPr>
        <w:t xml:space="preserve"> </w:t>
      </w:r>
      <w:r w:rsidR="00417301" w:rsidRPr="00472578">
        <w:rPr>
          <w:rFonts w:ascii="Calibri" w:eastAsia="Calibri" w:hAnsi="Calibri" w:cs="Calibri"/>
          <w:u w:val="single"/>
        </w:rPr>
        <w:t>city, metropolitan,</w:t>
      </w:r>
      <w:r w:rsidR="00417301" w:rsidRPr="00472578">
        <w:rPr>
          <w:rStyle w:val="FootnoteReference"/>
          <w:rFonts w:ascii="Calibri" w:eastAsia="Calibri" w:hAnsi="Calibri" w:cs="Calibri"/>
        </w:rPr>
        <w:footnoteReference w:id="1369"/>
      </w:r>
      <w:r w:rsidR="00417301" w:rsidRPr="00472578">
        <w:rPr>
          <w:rFonts w:ascii="Calibri" w:eastAsia="Calibri" w:hAnsi="Calibri" w:cs="Calibri"/>
        </w:rPr>
        <w:t xml:space="preserve"> town centre</w:t>
      </w:r>
      <w:r w:rsidR="00473A8B" w:rsidRPr="00472578">
        <w:rPr>
          <w:rFonts w:ascii="Calibri" w:eastAsia="Calibri" w:hAnsi="Calibri" w:cs="Calibri"/>
          <w:strike/>
        </w:rPr>
        <w:t>s</w:t>
      </w:r>
      <w:r w:rsidR="00417301" w:rsidRPr="00472578">
        <w:rPr>
          <w:rFonts w:ascii="Calibri" w:eastAsia="Calibri" w:hAnsi="Calibri" w:cs="Calibri"/>
        </w:rPr>
        <w:t xml:space="preserve"> and commercial </w:t>
      </w:r>
      <w:r w:rsidR="00417301" w:rsidRPr="00472578">
        <w:rPr>
          <w:rFonts w:ascii="Calibri" w:eastAsia="Calibri" w:hAnsi="Calibri" w:cs="Calibri"/>
          <w:u w:val="single"/>
        </w:rPr>
        <w:t>zoned</w:t>
      </w:r>
      <w:r w:rsidR="00417301" w:rsidRPr="00472578">
        <w:rPr>
          <w:rStyle w:val="FootnoteReference"/>
          <w:rFonts w:ascii="Calibri" w:eastAsia="Calibri" w:hAnsi="Calibri" w:cs="Calibri"/>
        </w:rPr>
        <w:footnoteReference w:id="1370"/>
      </w:r>
      <w:r w:rsidRPr="00472578">
        <w:rPr>
          <w:rFonts w:ascii="Calibri" w:eastAsia="Calibri" w:hAnsi="Calibri" w:cs="Calibri"/>
        </w:rPr>
        <w:t xml:space="preserve"> </w:t>
      </w:r>
      <w:r w:rsidR="00417301" w:rsidRPr="00472578">
        <w:rPr>
          <w:rFonts w:ascii="Calibri" w:eastAsia="Calibri" w:hAnsi="Calibri" w:cs="Calibri"/>
        </w:rPr>
        <w:t xml:space="preserve">areas, especially if they are highly accessible by </w:t>
      </w:r>
      <w:r w:rsidR="00417301" w:rsidRPr="00472578">
        <w:rPr>
          <w:rFonts w:ascii="Calibri" w:eastAsia="Calibri" w:hAnsi="Calibri" w:cs="Calibri"/>
          <w:i/>
        </w:rPr>
        <w:t xml:space="preserve">public transport </w:t>
      </w:r>
      <w:r w:rsidR="00417301" w:rsidRPr="00472578">
        <w:rPr>
          <w:rFonts w:ascii="Calibri" w:eastAsia="Calibri" w:hAnsi="Calibri" w:cs="Calibri"/>
          <w:strike/>
        </w:rPr>
        <w:t>and</w:t>
      </w:r>
      <w:r w:rsidR="00417301" w:rsidRPr="00472578">
        <w:rPr>
          <w:rFonts w:ascii="Calibri" w:eastAsia="Calibri" w:hAnsi="Calibri" w:cs="Calibri"/>
        </w:rPr>
        <w:t xml:space="preserve"> </w:t>
      </w:r>
      <w:r w:rsidR="00417301" w:rsidRPr="00472578">
        <w:rPr>
          <w:rFonts w:ascii="Calibri" w:eastAsia="Calibri" w:hAnsi="Calibri" w:cs="Calibri"/>
          <w:u w:val="single"/>
        </w:rPr>
        <w:t>or</w:t>
      </w:r>
      <w:r w:rsidR="00417301" w:rsidRPr="00472578">
        <w:rPr>
          <w:rStyle w:val="FootnoteReference"/>
          <w:rFonts w:ascii="Calibri" w:eastAsia="Calibri" w:hAnsi="Calibri" w:cs="Calibri"/>
        </w:rPr>
        <w:footnoteReference w:id="1371"/>
      </w:r>
      <w:r w:rsidR="00417301" w:rsidRPr="00472578">
        <w:rPr>
          <w:rFonts w:ascii="Calibri" w:eastAsia="Calibri" w:hAnsi="Calibri" w:cs="Calibri"/>
        </w:rPr>
        <w:t xml:space="preserve"> </w:t>
      </w:r>
      <w:r w:rsidR="00417301" w:rsidRPr="00472578">
        <w:rPr>
          <w:rFonts w:ascii="Calibri" w:eastAsia="Calibri" w:hAnsi="Calibri" w:cs="Calibri"/>
          <w:i/>
        </w:rPr>
        <w:t>active transport,</w:t>
      </w:r>
    </w:p>
    <w:p w14:paraId="7B718ED6" w14:textId="05C404F4" w:rsidR="00417301" w:rsidRPr="00472578" w:rsidRDefault="00460493"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lastRenderedPageBreak/>
        <w:t>(2)</w:t>
      </w:r>
      <w:r w:rsidRPr="00472578">
        <w:rPr>
          <w:rFonts w:ascii="Calibri" w:eastAsia="Calibri" w:hAnsi="Calibri" w:cs="Calibri"/>
        </w:rPr>
        <w:tab/>
      </w:r>
      <w:r w:rsidR="00417301" w:rsidRPr="00472578">
        <w:rPr>
          <w:rFonts w:ascii="Calibri" w:eastAsia="Calibri" w:hAnsi="Calibri" w:cs="Calibri"/>
        </w:rPr>
        <w:t>enabling smaller local and neighbourhood centres</w:t>
      </w:r>
      <w:r w:rsidR="00417301" w:rsidRPr="00472578">
        <w:rPr>
          <w:rFonts w:ascii="Calibri" w:eastAsia="Calibri" w:hAnsi="Calibri" w:cs="Calibri"/>
          <w:u w:val="single"/>
        </w:rPr>
        <w:t>, mixed use zones</w:t>
      </w:r>
      <w:r w:rsidR="00417301" w:rsidRPr="00472578">
        <w:rPr>
          <w:rStyle w:val="FootnoteReference"/>
          <w:rFonts w:ascii="Calibri" w:eastAsia="Calibri" w:hAnsi="Calibri" w:cs="Calibri"/>
        </w:rPr>
        <w:footnoteReference w:id="1372"/>
      </w:r>
      <w:r w:rsidR="00417301" w:rsidRPr="00472578">
        <w:rPr>
          <w:rFonts w:ascii="Calibri" w:eastAsia="Calibri" w:hAnsi="Calibri" w:cs="Calibri"/>
        </w:rPr>
        <w:t xml:space="preserve"> and rural settlements to accommodate a variety of </w:t>
      </w:r>
      <w:r w:rsidR="00417301" w:rsidRPr="00472578">
        <w:rPr>
          <w:rFonts w:ascii="Calibri" w:eastAsia="Calibri" w:hAnsi="Calibri" w:cs="Calibri"/>
          <w:i/>
        </w:rPr>
        <w:t>commercial activities</w:t>
      </w:r>
      <w:r w:rsidR="00417301" w:rsidRPr="00472578">
        <w:rPr>
          <w:rFonts w:ascii="Calibri" w:eastAsia="Calibri" w:hAnsi="Calibri" w:cs="Calibri"/>
        </w:rPr>
        <w:t>, social</w:t>
      </w:r>
      <w:r w:rsidR="00417301" w:rsidRPr="00472578">
        <w:rPr>
          <w:rFonts w:ascii="Calibri" w:eastAsia="Calibri" w:hAnsi="Calibri" w:cs="Calibri"/>
          <w:u w:val="single"/>
        </w:rPr>
        <w:t xml:space="preserve">, </w:t>
      </w:r>
      <w:r w:rsidRPr="00472578">
        <w:rPr>
          <w:rFonts w:ascii="Calibri" w:eastAsia="Calibri" w:hAnsi="Calibri" w:cs="Calibri"/>
          <w:u w:val="single"/>
        </w:rPr>
        <w:t>recreational</w:t>
      </w:r>
      <w:r w:rsidR="00417301" w:rsidRPr="00472578">
        <w:rPr>
          <w:rFonts w:ascii="Calibri" w:eastAsia="Calibri" w:hAnsi="Calibri" w:cs="Calibri"/>
          <w:u w:val="single"/>
        </w:rPr>
        <w:t xml:space="preserve"> </w:t>
      </w:r>
      <w:r w:rsidR="00417301" w:rsidRPr="00472578">
        <w:rPr>
          <w:rFonts w:ascii="Calibri" w:eastAsia="Calibri" w:hAnsi="Calibri" w:cs="Calibri"/>
          <w:strike/>
        </w:rPr>
        <w:t>activities</w:t>
      </w:r>
      <w:r w:rsidR="00417301" w:rsidRPr="00472578">
        <w:rPr>
          <w:rStyle w:val="FootnoteReference"/>
          <w:rFonts w:ascii="Calibri" w:eastAsia="Calibri" w:hAnsi="Calibri" w:cs="Calibri"/>
        </w:rPr>
        <w:footnoteReference w:id="1373"/>
      </w:r>
      <w:r w:rsidR="00417301" w:rsidRPr="00472578">
        <w:rPr>
          <w:rFonts w:ascii="Calibri" w:eastAsia="Calibri" w:hAnsi="Calibri" w:cs="Calibri"/>
        </w:rPr>
        <w:t xml:space="preserve"> and cultural activities of a scale appropriate to service local community needs,</w:t>
      </w:r>
    </w:p>
    <w:p w14:paraId="4261FF4A" w14:textId="7A132779" w:rsidR="00417301" w:rsidRPr="00472578" w:rsidRDefault="00460493" w:rsidP="00E92686">
      <w:pPr>
        <w:widowControl w:val="0"/>
        <w:tabs>
          <w:tab w:val="left" w:pos="867"/>
        </w:tabs>
        <w:autoSpaceDE w:val="0"/>
        <w:autoSpaceDN w:val="0"/>
        <w:ind w:left="567" w:right="114"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providing for the expansion of existing areas or establishment of new areas identified in (1) and </w:t>
      </w:r>
      <w:r w:rsidRPr="00472578">
        <w:rPr>
          <w:rFonts w:ascii="Calibri" w:eastAsia="Calibri" w:hAnsi="Calibri" w:cs="Calibri"/>
        </w:rPr>
        <w:t>(2) by first</w:t>
      </w:r>
      <w:r w:rsidR="00417301" w:rsidRPr="00472578">
        <w:rPr>
          <w:rFonts w:ascii="Calibri" w:eastAsia="Calibri" w:hAnsi="Calibri" w:cs="Calibri"/>
        </w:rPr>
        <w:t xml:space="preserve"> applying </w:t>
      </w:r>
      <w:r w:rsidR="009A45CE" w:rsidRPr="00472578">
        <w:rPr>
          <w:rFonts w:ascii="Calibri" w:eastAsia="Calibri" w:hAnsi="Calibri" w:cs="Calibri"/>
        </w:rPr>
        <w:t>UFD-P</w:t>
      </w:r>
      <w:r w:rsidR="00417301" w:rsidRPr="00472578">
        <w:rPr>
          <w:rFonts w:ascii="Calibri" w:eastAsia="Calibri" w:hAnsi="Calibri" w:cs="Calibri"/>
        </w:rPr>
        <w:t xml:space="preserve">1 and </w:t>
      </w:r>
      <w:r w:rsidR="009A45CE" w:rsidRPr="00472578">
        <w:rPr>
          <w:rFonts w:ascii="Calibri" w:eastAsia="Calibri" w:hAnsi="Calibri" w:cs="Calibri"/>
        </w:rPr>
        <w:t>UFD-P</w:t>
      </w:r>
      <w:r w:rsidR="00417301" w:rsidRPr="00472578">
        <w:rPr>
          <w:rFonts w:ascii="Calibri" w:eastAsia="Calibri" w:hAnsi="Calibri" w:cs="Calibri"/>
        </w:rPr>
        <w:t>2, and</w:t>
      </w:r>
    </w:p>
    <w:p w14:paraId="448B9080" w14:textId="2064E4EE" w:rsidR="00417301" w:rsidRPr="00472578" w:rsidRDefault="00460493"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 xml:space="preserve">outside the areas described in (1) and (2), allow for small scale retail and service activities, home occupations and </w:t>
      </w:r>
      <w:r w:rsidR="00417301" w:rsidRPr="00472578">
        <w:rPr>
          <w:rFonts w:ascii="Calibri" w:eastAsia="Calibri" w:hAnsi="Calibri" w:cs="Calibri"/>
          <w:i/>
        </w:rPr>
        <w:t xml:space="preserve">community services </w:t>
      </w:r>
      <w:r w:rsidR="00417301" w:rsidRPr="00472578">
        <w:rPr>
          <w:rFonts w:ascii="Calibri" w:eastAsia="Calibri" w:hAnsi="Calibri" w:cs="Calibri"/>
        </w:rPr>
        <w:t>to establish within or close to the communities they serve.</w:t>
      </w:r>
    </w:p>
    <w:p w14:paraId="01AE54D5" w14:textId="2A570ED0" w:rsidR="00417301" w:rsidRPr="00472578" w:rsidRDefault="009A45CE" w:rsidP="00E92686">
      <w:pPr>
        <w:pStyle w:val="Heading4"/>
        <w:jc w:val="both"/>
      </w:pPr>
      <w:r w:rsidRPr="00472578">
        <w:t>UFD-P</w:t>
      </w:r>
      <w:r w:rsidR="00417301" w:rsidRPr="00472578">
        <w:t xml:space="preserve">6 – </w:t>
      </w:r>
      <w:r w:rsidR="00417301" w:rsidRPr="00472578">
        <w:rPr>
          <w:i/>
          <w:iCs w:val="0"/>
        </w:rPr>
        <w:t>Industrial activities</w:t>
      </w:r>
    </w:p>
    <w:p w14:paraId="17F92D7F"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Provide for </w:t>
      </w:r>
      <w:r w:rsidRPr="00472578">
        <w:rPr>
          <w:rFonts w:ascii="Calibri" w:eastAsia="Calibri" w:hAnsi="Calibri" w:cs="Calibri"/>
          <w:i/>
        </w:rPr>
        <w:t xml:space="preserve">industrial activities </w:t>
      </w:r>
      <w:r w:rsidRPr="00472578">
        <w:rPr>
          <w:rFonts w:ascii="Calibri" w:eastAsia="Calibri" w:hAnsi="Calibri" w:cs="Calibri"/>
        </w:rPr>
        <w:t xml:space="preserve">in </w:t>
      </w:r>
      <w:r w:rsidRPr="00472578">
        <w:rPr>
          <w:rFonts w:ascii="Calibri" w:eastAsia="Calibri" w:hAnsi="Calibri" w:cs="Calibri"/>
          <w:i/>
        </w:rPr>
        <w:t xml:space="preserve">urban areas </w:t>
      </w:r>
      <w:r w:rsidRPr="00472578">
        <w:rPr>
          <w:rFonts w:ascii="Calibri" w:eastAsia="Calibri" w:hAnsi="Calibri" w:cs="Calibri"/>
        </w:rPr>
        <w:t>by:</w:t>
      </w:r>
    </w:p>
    <w:p w14:paraId="4D532ADE" w14:textId="435A9460" w:rsidR="00417301" w:rsidRPr="00472578" w:rsidRDefault="00460493" w:rsidP="00E92686">
      <w:pPr>
        <w:widowControl w:val="0"/>
        <w:tabs>
          <w:tab w:val="left" w:pos="865"/>
          <w:tab w:val="left" w:pos="867"/>
        </w:tabs>
        <w:autoSpaceDE w:val="0"/>
        <w:autoSpaceDN w:val="0"/>
        <w:ind w:left="567" w:hanging="567"/>
        <w:jc w:val="both"/>
        <w:rPr>
          <w:rFonts w:ascii="Calibri" w:eastAsia="Calibri" w:hAnsi="Calibri" w:cs="Calibri"/>
          <w: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identifying specific locations and applying zoning suitable for accommodating </w:t>
      </w:r>
      <w:r w:rsidR="00417301" w:rsidRPr="00472578">
        <w:rPr>
          <w:rFonts w:ascii="Calibri" w:eastAsia="Calibri" w:hAnsi="Calibri" w:cs="Calibri"/>
          <w:i/>
        </w:rPr>
        <w:t xml:space="preserve">industrial activities </w:t>
      </w:r>
      <w:r w:rsidR="00417301" w:rsidRPr="00472578">
        <w:rPr>
          <w:rFonts w:ascii="Calibri" w:eastAsia="Calibri" w:hAnsi="Calibri" w:cs="Calibri"/>
        </w:rPr>
        <w:t xml:space="preserve">and their reasonable needs and </w:t>
      </w:r>
      <w:r w:rsidR="00417301" w:rsidRPr="00472578">
        <w:rPr>
          <w:rFonts w:ascii="Calibri" w:eastAsia="Calibri" w:hAnsi="Calibri" w:cs="Calibri"/>
          <w:i/>
        </w:rPr>
        <w:t xml:space="preserve">effects </w:t>
      </w:r>
      <w:r w:rsidR="00417301" w:rsidRPr="00472578">
        <w:rPr>
          <w:rFonts w:ascii="Calibri" w:eastAsia="Calibri" w:hAnsi="Calibri" w:cs="Calibri"/>
        </w:rPr>
        <w:t xml:space="preserve">including supporting or </w:t>
      </w:r>
      <w:r w:rsidR="00417301" w:rsidRPr="00472578">
        <w:rPr>
          <w:rFonts w:ascii="Calibri" w:eastAsia="Calibri" w:hAnsi="Calibri" w:cs="Calibri"/>
          <w:i/>
        </w:rPr>
        <w:t>ancillary activities</w:t>
      </w:r>
      <w:r w:rsidR="00417301" w:rsidRPr="00472578">
        <w:rPr>
          <w:rFonts w:ascii="Calibri" w:eastAsia="Calibri" w:hAnsi="Calibri" w:cs="Calibri"/>
        </w:rPr>
        <w:t>,</w:t>
      </w:r>
    </w:p>
    <w:p w14:paraId="0AA06D4E" w14:textId="6F7DD98F" w:rsidR="00417301" w:rsidRPr="00472578" w:rsidRDefault="00460493"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 xml:space="preserve">identifying a range of </w:t>
      </w:r>
      <w:r w:rsidR="00417301" w:rsidRPr="00472578">
        <w:rPr>
          <w:rFonts w:ascii="Calibri" w:eastAsia="Calibri" w:hAnsi="Calibri" w:cs="Calibri"/>
          <w:i/>
        </w:rPr>
        <w:t xml:space="preserve">land </w:t>
      </w:r>
      <w:r w:rsidR="00417301" w:rsidRPr="00472578">
        <w:rPr>
          <w:rFonts w:ascii="Calibri" w:eastAsia="Calibri" w:hAnsi="Calibri" w:cs="Calibri"/>
        </w:rPr>
        <w:t xml:space="preserve">sizes and locations suitable for different </w:t>
      </w:r>
      <w:r w:rsidR="00417301" w:rsidRPr="00472578">
        <w:rPr>
          <w:rFonts w:ascii="Calibri" w:eastAsia="Calibri" w:hAnsi="Calibri" w:cs="Calibri"/>
          <w:i/>
        </w:rPr>
        <w:t>industrial activities</w:t>
      </w:r>
      <w:r w:rsidR="00417301" w:rsidRPr="00472578">
        <w:rPr>
          <w:rFonts w:ascii="Calibri" w:eastAsia="Calibri" w:hAnsi="Calibri" w:cs="Calibri"/>
        </w:rPr>
        <w:t xml:space="preserve">, and their </w:t>
      </w:r>
      <w:r w:rsidR="00417301" w:rsidRPr="00472578">
        <w:rPr>
          <w:rFonts w:ascii="Calibri" w:eastAsia="Calibri" w:hAnsi="Calibri" w:cs="Calibri"/>
          <w:i/>
        </w:rPr>
        <w:t xml:space="preserve">operational needs </w:t>
      </w:r>
      <w:r w:rsidR="00417301" w:rsidRPr="00472578">
        <w:rPr>
          <w:rFonts w:ascii="Calibri" w:eastAsia="Calibri" w:hAnsi="Calibri" w:cs="Calibri"/>
        </w:rPr>
        <w:t>including land-extensive activities,</w:t>
      </w:r>
    </w:p>
    <w:p w14:paraId="6FFBFED6" w14:textId="47B6FC6D" w:rsidR="00BE7391" w:rsidRPr="00472578" w:rsidRDefault="00BE7391" w:rsidP="00E92686">
      <w:pPr>
        <w:widowControl w:val="0"/>
        <w:autoSpaceDE w:val="0"/>
        <w:autoSpaceDN w:val="0"/>
        <w:ind w:left="567" w:right="115"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Pr="00472578">
        <w:rPr>
          <w:rFonts w:ascii="Calibri" w:eastAsia="Calibri" w:hAnsi="Calibri" w:cs="Calibri"/>
          <w:strike/>
        </w:rPr>
        <w:t>managing the establishment of non-industrial activities</w:t>
      </w:r>
      <w:r w:rsidRPr="00472578">
        <w:rPr>
          <w:rFonts w:ascii="Calibri" w:eastAsia="Calibri" w:hAnsi="Calibri" w:cs="Calibri"/>
          <w:i/>
          <w:strike/>
        </w:rPr>
        <w:t xml:space="preserve">, </w:t>
      </w:r>
      <w:r w:rsidRPr="00472578">
        <w:rPr>
          <w:rFonts w:ascii="Calibri" w:eastAsia="Calibri" w:hAnsi="Calibri" w:cs="Calibri"/>
          <w:strike/>
        </w:rPr>
        <w:t>in industrial zones, by</w:t>
      </w:r>
      <w:r w:rsidRPr="00472578">
        <w:rPr>
          <w:rStyle w:val="FootnoteReference"/>
          <w:rFonts w:ascii="Calibri" w:eastAsia="Calibri" w:hAnsi="Calibri" w:cs="Calibri"/>
        </w:rPr>
        <w:footnoteReference w:id="1374"/>
      </w:r>
      <w:r w:rsidRPr="00472578">
        <w:rPr>
          <w:rFonts w:ascii="Calibri" w:eastAsia="Calibri" w:hAnsi="Calibri" w:cs="Calibri"/>
        </w:rPr>
        <w:t xml:space="preserve"> avoiding activities likely to result in </w:t>
      </w:r>
      <w:r w:rsidRPr="00472578">
        <w:rPr>
          <w:rFonts w:ascii="Calibri" w:eastAsia="Calibri" w:hAnsi="Calibri" w:cs="Calibri"/>
          <w:i/>
          <w:iCs/>
        </w:rPr>
        <w:t>reverse sensitivity</w:t>
      </w:r>
      <w:r w:rsidRPr="00472578">
        <w:rPr>
          <w:rFonts w:ascii="Calibri" w:eastAsia="Calibri" w:hAnsi="Calibri" w:cs="Calibri"/>
        </w:rPr>
        <w:t xml:space="preserve"> </w:t>
      </w:r>
      <w:r w:rsidRPr="00472578">
        <w:rPr>
          <w:rFonts w:ascii="Calibri" w:eastAsia="Calibri" w:hAnsi="Calibri" w:cs="Calibri"/>
          <w:i/>
        </w:rPr>
        <w:t xml:space="preserve">effects </w:t>
      </w:r>
      <w:r w:rsidRPr="00472578">
        <w:rPr>
          <w:rFonts w:ascii="Calibri" w:eastAsia="Calibri" w:hAnsi="Calibri" w:cs="Calibri"/>
        </w:rPr>
        <w:t xml:space="preserve">on </w:t>
      </w:r>
      <w:r w:rsidRPr="00472578">
        <w:rPr>
          <w:rFonts w:ascii="Calibri" w:eastAsia="Calibri" w:hAnsi="Calibri" w:cs="Calibri"/>
          <w:iCs/>
          <w:u w:val="single"/>
        </w:rPr>
        <w:t>existing or potential</w:t>
      </w:r>
      <w:r w:rsidRPr="00472578">
        <w:rPr>
          <w:rStyle w:val="FootnoteReference"/>
          <w:rFonts w:ascii="Calibri" w:eastAsia="Calibri" w:hAnsi="Calibri" w:cs="Calibri"/>
        </w:rPr>
        <w:footnoteReference w:id="1375"/>
      </w:r>
      <w:r w:rsidRPr="00472578">
        <w:rPr>
          <w:rFonts w:ascii="Calibri" w:eastAsia="Calibri" w:hAnsi="Calibri" w:cs="Calibri"/>
        </w:rPr>
        <w:t xml:space="preserve"> </w:t>
      </w:r>
      <w:r w:rsidRPr="00472578">
        <w:rPr>
          <w:rFonts w:ascii="Calibri" w:eastAsia="Calibri" w:hAnsi="Calibri" w:cs="Calibri"/>
          <w:i/>
        </w:rPr>
        <w:t xml:space="preserve">industrial activities </w:t>
      </w:r>
      <w:r w:rsidRPr="00472578">
        <w:rPr>
          <w:rFonts w:ascii="Calibri" w:eastAsia="Calibri" w:hAnsi="Calibri" w:cs="Calibri"/>
          <w:u w:val="single"/>
        </w:rPr>
        <w:t>(particularly residential or retail activities except yard</w:t>
      </w:r>
      <w:r w:rsidR="00C31F2E" w:rsidRPr="00472578">
        <w:rPr>
          <w:rFonts w:ascii="Calibri" w:eastAsia="Calibri" w:hAnsi="Calibri" w:cs="Calibri"/>
          <w:u w:val="single"/>
        </w:rPr>
        <w:t>-</w:t>
      </w:r>
      <w:r w:rsidRPr="00472578">
        <w:rPr>
          <w:rFonts w:ascii="Calibri" w:eastAsia="Calibri" w:hAnsi="Calibri" w:cs="Calibri"/>
          <w:u w:val="single"/>
        </w:rPr>
        <w:t>based retail)</w:t>
      </w:r>
      <w:r w:rsidRPr="00472578">
        <w:rPr>
          <w:rFonts w:ascii="Calibri" w:eastAsia="Calibri" w:hAnsi="Calibri" w:cs="Calibri"/>
        </w:rPr>
        <w:t>,</w:t>
      </w:r>
      <w:r w:rsidRPr="00472578">
        <w:rPr>
          <w:rStyle w:val="FootnoteReference"/>
          <w:rFonts w:ascii="Calibri" w:eastAsia="Calibri" w:hAnsi="Calibri" w:cs="Calibri"/>
        </w:rPr>
        <w:footnoteReference w:id="1376"/>
      </w:r>
      <w:r w:rsidRPr="00472578">
        <w:rPr>
          <w:rFonts w:ascii="Calibri" w:eastAsia="Calibri" w:hAnsi="Calibri" w:cs="Calibri"/>
        </w:rPr>
        <w:t xml:space="preserve"> or likely to result in an inefficient use of industrial zoned </w:t>
      </w:r>
      <w:r w:rsidRPr="00472578">
        <w:rPr>
          <w:rFonts w:ascii="Calibri" w:eastAsia="Calibri" w:hAnsi="Calibri" w:cs="Calibri"/>
          <w:i/>
        </w:rPr>
        <w:t xml:space="preserve">land </w:t>
      </w:r>
      <w:r w:rsidRPr="00472578">
        <w:rPr>
          <w:rFonts w:ascii="Calibri" w:eastAsia="Calibri" w:hAnsi="Calibri" w:cs="Calibri"/>
        </w:rPr>
        <w:t xml:space="preserve">or </w:t>
      </w:r>
      <w:r w:rsidRPr="00472578">
        <w:rPr>
          <w:rFonts w:ascii="Calibri" w:eastAsia="Calibri" w:hAnsi="Calibri" w:cs="Calibri"/>
          <w:i/>
        </w:rPr>
        <w:t>infrastructure</w:t>
      </w:r>
      <w:r w:rsidRPr="00472578">
        <w:rPr>
          <w:rFonts w:ascii="Calibri" w:eastAsia="Calibri" w:hAnsi="Calibri" w:cs="Calibri"/>
        </w:rPr>
        <w:t xml:space="preserve">, particularly where </w:t>
      </w:r>
      <w:r w:rsidRPr="00472578">
        <w:rPr>
          <w:rFonts w:ascii="Calibri" w:eastAsia="Calibri" w:hAnsi="Calibri" w:cs="Calibri"/>
          <w:u w:val="single"/>
        </w:rPr>
        <w:t>the area</w:t>
      </w:r>
      <w:r w:rsidRPr="00472578">
        <w:rPr>
          <w:rFonts w:ascii="Calibri" w:eastAsia="Calibri" w:hAnsi="Calibri" w:cs="Calibri"/>
        </w:rPr>
        <w:t>:</w:t>
      </w:r>
      <w:r w:rsidRPr="00472578">
        <w:rPr>
          <w:rStyle w:val="FootnoteReference"/>
          <w:rFonts w:ascii="Calibri" w:eastAsia="Calibri" w:hAnsi="Calibri" w:cs="Calibri"/>
        </w:rPr>
        <w:t xml:space="preserve"> </w:t>
      </w:r>
      <w:r w:rsidRPr="00472578">
        <w:rPr>
          <w:rStyle w:val="FootnoteReference"/>
          <w:rFonts w:ascii="Calibri" w:eastAsia="Calibri" w:hAnsi="Calibri" w:cs="Calibri"/>
        </w:rPr>
        <w:footnoteReference w:id="1377"/>
      </w:r>
    </w:p>
    <w:p w14:paraId="316C4477" w14:textId="5A62188C" w:rsidR="00BE7391" w:rsidRPr="00472578" w:rsidRDefault="00BE7391" w:rsidP="00E92686">
      <w:pPr>
        <w:widowControl w:val="0"/>
        <w:numPr>
          <w:ilvl w:val="1"/>
          <w:numId w:val="39"/>
        </w:numPr>
        <w:tabs>
          <w:tab w:val="left" w:pos="1433"/>
        </w:tabs>
        <w:autoSpaceDE w:val="0"/>
        <w:autoSpaceDN w:val="0"/>
        <w:ind w:right="115"/>
        <w:jc w:val="both"/>
        <w:rPr>
          <w:rFonts w:ascii="Calibri" w:eastAsia="Calibri" w:hAnsi="Calibri" w:cs="Calibri"/>
        </w:rPr>
      </w:pPr>
      <w:r w:rsidRPr="00472578">
        <w:rPr>
          <w:rFonts w:ascii="Calibri" w:eastAsia="Calibri" w:hAnsi="Calibri" w:cs="Calibri"/>
          <w:strike/>
        </w:rPr>
        <w:t>the area</w:t>
      </w:r>
      <w:r w:rsidRPr="00472578">
        <w:rPr>
          <w:rStyle w:val="FootnoteReference"/>
          <w:rFonts w:ascii="Calibri" w:eastAsia="Calibri" w:hAnsi="Calibri" w:cs="Calibri"/>
        </w:rPr>
        <w:footnoteReference w:id="1378"/>
      </w:r>
      <w:r w:rsidRPr="00472578">
        <w:rPr>
          <w:rFonts w:ascii="Calibri" w:eastAsia="Calibri" w:hAnsi="Calibri" w:cs="Calibri"/>
        </w:rPr>
        <w:t xml:space="preserve"> provides for a significant </w:t>
      </w:r>
      <w:r w:rsidRPr="00472578">
        <w:rPr>
          <w:rFonts w:ascii="Calibri" w:eastAsia="Calibri" w:hAnsi="Calibri" w:cs="Calibri"/>
          <w:i/>
        </w:rPr>
        <w:t xml:space="preserve">operational need </w:t>
      </w:r>
      <w:r w:rsidRPr="00472578">
        <w:rPr>
          <w:rFonts w:ascii="Calibri" w:eastAsia="Calibri" w:hAnsi="Calibri" w:cs="Calibri"/>
        </w:rPr>
        <w:t xml:space="preserve">for a particular </w:t>
      </w:r>
      <w:r w:rsidRPr="00472578">
        <w:rPr>
          <w:rFonts w:ascii="Calibri" w:eastAsia="Calibri" w:hAnsi="Calibri" w:cs="Calibri"/>
          <w:i/>
        </w:rPr>
        <w:t xml:space="preserve">industrial activity </w:t>
      </w:r>
      <w:r w:rsidRPr="00472578">
        <w:rPr>
          <w:rFonts w:ascii="Calibri" w:eastAsia="Calibri" w:hAnsi="Calibri" w:cs="Calibri"/>
        </w:rPr>
        <w:t xml:space="preserve">or grouping of </w:t>
      </w:r>
      <w:r w:rsidRPr="00472578">
        <w:rPr>
          <w:rFonts w:ascii="Calibri" w:eastAsia="Calibri" w:hAnsi="Calibri" w:cs="Calibri"/>
          <w:i/>
        </w:rPr>
        <w:t xml:space="preserve">industrial activities </w:t>
      </w:r>
      <w:r w:rsidRPr="00472578">
        <w:rPr>
          <w:rFonts w:ascii="Calibri" w:eastAsia="Calibri" w:hAnsi="Calibri" w:cs="Calibri"/>
        </w:rPr>
        <w:t>that are unlikely or are less efficiently able to be met in alternative locations, or</w:t>
      </w:r>
    </w:p>
    <w:p w14:paraId="218B6937" w14:textId="7D53FFBD" w:rsidR="00417301" w:rsidRPr="00472578" w:rsidRDefault="00BE7391" w:rsidP="00E92686">
      <w:pPr>
        <w:widowControl w:val="0"/>
        <w:numPr>
          <w:ilvl w:val="1"/>
          <w:numId w:val="39"/>
        </w:numPr>
        <w:tabs>
          <w:tab w:val="left" w:pos="1433"/>
        </w:tabs>
        <w:autoSpaceDE w:val="0"/>
        <w:autoSpaceDN w:val="0"/>
        <w:ind w:right="115"/>
        <w:jc w:val="both"/>
        <w:rPr>
          <w:rFonts w:ascii="Calibri" w:eastAsia="Calibri" w:hAnsi="Calibri" w:cs="Calibri"/>
        </w:rPr>
      </w:pPr>
      <w:r w:rsidRPr="00472578">
        <w:rPr>
          <w:rFonts w:ascii="Calibri" w:eastAsia="Calibri" w:hAnsi="Calibri" w:cs="Calibri"/>
          <w:strike/>
        </w:rPr>
        <w:t>the area</w:t>
      </w:r>
      <w:r w:rsidRPr="00472578">
        <w:rPr>
          <w:rStyle w:val="FootnoteReference"/>
          <w:rFonts w:ascii="Calibri" w:eastAsia="Calibri" w:hAnsi="Calibri" w:cs="Calibri"/>
        </w:rPr>
        <w:footnoteReference w:id="1379"/>
      </w:r>
      <w:r w:rsidRPr="00472578">
        <w:rPr>
          <w:rFonts w:ascii="Calibri" w:eastAsia="Calibri" w:hAnsi="Calibri" w:cs="Calibri"/>
        </w:rPr>
        <w:t xml:space="preserve"> contains </w:t>
      </w:r>
      <w:r w:rsidRPr="00472578">
        <w:rPr>
          <w:rFonts w:ascii="Calibri" w:eastAsia="Calibri" w:hAnsi="Calibri" w:cs="Calibri"/>
          <w:i/>
        </w:rPr>
        <w:t xml:space="preserve">nationally </w:t>
      </w:r>
      <w:r w:rsidRPr="00472578">
        <w:rPr>
          <w:rFonts w:ascii="Calibri" w:eastAsia="Calibri" w:hAnsi="Calibri" w:cs="Calibri"/>
          <w:i/>
          <w:u w:val="single"/>
        </w:rPr>
        <w:t>significant infrastructure</w:t>
      </w:r>
      <w:r w:rsidRPr="00472578">
        <w:rPr>
          <w:rStyle w:val="FootnoteReference"/>
          <w:rFonts w:ascii="Calibri" w:eastAsia="Calibri" w:hAnsi="Calibri" w:cs="Calibri"/>
          <w:i/>
        </w:rPr>
        <w:footnoteReference w:id="1380"/>
      </w:r>
      <w:r w:rsidR="00417301" w:rsidRPr="00472578">
        <w:rPr>
          <w:rFonts w:ascii="Calibri" w:eastAsia="Calibri" w:hAnsi="Calibri" w:cs="Calibri"/>
          <w:i/>
        </w:rPr>
        <w:t xml:space="preserve"> </w:t>
      </w:r>
      <w:r w:rsidR="00417301" w:rsidRPr="00472578">
        <w:rPr>
          <w:rFonts w:ascii="Calibri" w:eastAsia="Calibri" w:hAnsi="Calibri" w:cs="Calibri"/>
        </w:rPr>
        <w:t xml:space="preserve">or </w:t>
      </w:r>
      <w:r w:rsidR="00417301" w:rsidRPr="00472578">
        <w:rPr>
          <w:rFonts w:ascii="Calibri" w:eastAsia="Calibri" w:hAnsi="Calibri" w:cs="Calibri"/>
          <w:i/>
        </w:rPr>
        <w:t xml:space="preserve">regionally significant infrastructure </w:t>
      </w:r>
      <w:r w:rsidR="00417301" w:rsidRPr="00472578">
        <w:rPr>
          <w:rFonts w:ascii="Calibri" w:eastAsia="Calibri" w:hAnsi="Calibri" w:cs="Calibri"/>
        </w:rPr>
        <w:t>and the requirements of EIT–INF–P15 apply, and</w:t>
      </w:r>
    </w:p>
    <w:p w14:paraId="7C50309A" w14:textId="758C46DA" w:rsidR="00417301" w:rsidRPr="00472578" w:rsidRDefault="00460493" w:rsidP="00E92686">
      <w:pPr>
        <w:widowControl w:val="0"/>
        <w:autoSpaceDE w:val="0"/>
        <w:autoSpaceDN w:val="0"/>
        <w:ind w:left="567" w:right="114"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 xml:space="preserve">in areas that are experiencing or expected to experience high demand from other urban activities, and the criteria in (3)(a) or (3)(b) do not apply, managing the establishment of non-industrial activities and the transition of industrial zoned areas to other purposes, </w:t>
      </w:r>
      <w:r w:rsidR="00417301" w:rsidRPr="00472578">
        <w:rPr>
          <w:rFonts w:ascii="Calibri" w:eastAsia="Calibri" w:hAnsi="Calibri" w:cs="Calibri"/>
          <w:u w:val="single"/>
        </w:rPr>
        <w:t>and the establishment of new areas</w:t>
      </w:r>
      <w:r w:rsidR="00417301" w:rsidRPr="00472578">
        <w:rPr>
          <w:rStyle w:val="FootnoteReference"/>
          <w:rFonts w:ascii="Calibri" w:eastAsia="Calibri" w:hAnsi="Calibri" w:cs="Calibri"/>
        </w:rPr>
        <w:footnoteReference w:id="1381"/>
      </w:r>
      <w:r w:rsidR="00417301" w:rsidRPr="00472578">
        <w:rPr>
          <w:rFonts w:ascii="Calibri" w:eastAsia="Calibri" w:hAnsi="Calibri" w:cs="Calibri"/>
        </w:rPr>
        <w:t xml:space="preserve"> by first applying (1) and (2).</w:t>
      </w:r>
    </w:p>
    <w:p w14:paraId="7A64004A" w14:textId="6D9B4C5A" w:rsidR="00417301" w:rsidRPr="00472578" w:rsidRDefault="009A45CE" w:rsidP="00E92686">
      <w:pPr>
        <w:pStyle w:val="Heading4"/>
        <w:jc w:val="both"/>
      </w:pPr>
      <w:r w:rsidRPr="00472578">
        <w:t>UFD-P</w:t>
      </w:r>
      <w:r w:rsidR="00417301" w:rsidRPr="00472578">
        <w:t>7 –</w:t>
      </w:r>
      <w:r w:rsidR="00460493" w:rsidRPr="00472578">
        <w:t xml:space="preserve"> </w:t>
      </w:r>
      <w:r w:rsidR="00460493" w:rsidRPr="00472578">
        <w:rPr>
          <w:i/>
          <w:iCs w:val="0"/>
        </w:rPr>
        <w:t>Rural areas</w:t>
      </w:r>
    </w:p>
    <w:p w14:paraId="696C0AF2"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The management of </w:t>
      </w:r>
      <w:r w:rsidRPr="00472578">
        <w:rPr>
          <w:rFonts w:ascii="Calibri" w:eastAsia="Calibri" w:hAnsi="Calibri" w:cs="Calibri"/>
          <w:i/>
        </w:rPr>
        <w:t>rural areas</w:t>
      </w:r>
      <w:r w:rsidRPr="00472578">
        <w:rPr>
          <w:rFonts w:ascii="Calibri" w:eastAsia="Calibri" w:hAnsi="Calibri" w:cs="Calibri"/>
        </w:rPr>
        <w:t>:</w:t>
      </w:r>
    </w:p>
    <w:p w14:paraId="70ECCDB0" w14:textId="501FBB15" w:rsidR="00417301" w:rsidRPr="00472578" w:rsidRDefault="005B2350" w:rsidP="00E92686">
      <w:pPr>
        <w:widowControl w:val="0"/>
        <w:tabs>
          <w:tab w:val="left" w:pos="865"/>
          <w:tab w:val="left" w:pos="867"/>
        </w:tabs>
        <w:autoSpaceDE w:val="0"/>
        <w:autoSpaceDN w:val="0"/>
        <w:ind w:left="567" w:hanging="567"/>
        <w:jc w:val="both"/>
        <w:rPr>
          <w:rFonts w:ascii="Calibri" w:eastAsia="Calibri" w:hAnsi="Calibri" w:cs="Calibri"/>
          <w:u w:val="single"/>
        </w:rPr>
      </w:pPr>
      <w:r w:rsidRPr="00472578">
        <w:rPr>
          <w:rFonts w:ascii="Calibri" w:eastAsia="Calibri" w:hAnsi="Calibri" w:cs="Calibri"/>
        </w:rPr>
        <w:lastRenderedPageBreak/>
        <w:t>(1)</w:t>
      </w:r>
      <w:r w:rsidRPr="00472578">
        <w:rPr>
          <w:rFonts w:ascii="Calibri" w:eastAsia="Calibri" w:hAnsi="Calibri" w:cs="Calibri"/>
        </w:rPr>
        <w:tab/>
      </w:r>
      <w:r w:rsidR="00417301" w:rsidRPr="00472578">
        <w:rPr>
          <w:rFonts w:ascii="Calibri" w:eastAsia="Calibri" w:hAnsi="Calibri" w:cs="Calibri"/>
        </w:rPr>
        <w:t xml:space="preserve">provides for the maintenance and, wherever possible, enhancement of important </w:t>
      </w:r>
      <w:r w:rsidRPr="00472578">
        <w:rPr>
          <w:rFonts w:ascii="Calibri" w:eastAsia="Calibri" w:hAnsi="Calibri" w:cs="Calibri"/>
        </w:rPr>
        <w:t>f</w:t>
      </w:r>
      <w:r w:rsidR="00417301" w:rsidRPr="00472578">
        <w:rPr>
          <w:rFonts w:ascii="Calibri" w:eastAsia="Calibri" w:hAnsi="Calibri" w:cs="Calibri"/>
        </w:rPr>
        <w:t xml:space="preserve">eatures and values identified by this RPS, </w:t>
      </w:r>
    </w:p>
    <w:p w14:paraId="6733F3BC" w14:textId="0BE8979D" w:rsidR="004A1F01" w:rsidRPr="00472578" w:rsidRDefault="004A1F01"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t xml:space="preserve">outside areas identified in (1), maintains the productive capacity, amenity and character of </w:t>
      </w:r>
      <w:r w:rsidRPr="00472578">
        <w:rPr>
          <w:rFonts w:ascii="Calibri" w:eastAsia="Calibri" w:hAnsi="Calibri" w:cs="Calibri"/>
          <w:i/>
        </w:rPr>
        <w:t>rural areas</w:t>
      </w:r>
      <w:r w:rsidRPr="00472578">
        <w:rPr>
          <w:rFonts w:ascii="Calibri" w:eastAsia="Calibri" w:hAnsi="Calibri" w:cs="Calibri"/>
        </w:rPr>
        <w:t xml:space="preserve">, </w:t>
      </w:r>
      <w:r w:rsidRPr="00472578">
        <w:rPr>
          <w:rFonts w:ascii="Calibri" w:eastAsia="Calibri" w:hAnsi="Calibri" w:cs="Calibri"/>
          <w:u w:val="single"/>
        </w:rPr>
        <w:t>as places where people live, work and recreate and where a range of activities and services are required to support these rural functions, and provide for social and economic wellbeing within rural communities and the wider region,</w:t>
      </w:r>
      <w:r w:rsidRPr="00472578">
        <w:rPr>
          <w:rStyle w:val="FootnoteReference"/>
          <w:rFonts w:ascii="Calibri" w:eastAsia="Calibri" w:hAnsi="Calibri" w:cs="Calibri"/>
        </w:rPr>
        <w:footnoteReference w:id="1382"/>
      </w:r>
    </w:p>
    <w:p w14:paraId="4F1A6603" w14:textId="36288889" w:rsidR="004A1F01" w:rsidRPr="00472578" w:rsidRDefault="004A1F01"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Pr="00472578">
        <w:rPr>
          <w:rFonts w:ascii="Calibri" w:eastAsia="Calibri" w:hAnsi="Calibri" w:cs="Calibri"/>
          <w:strike/>
        </w:rPr>
        <w:t xml:space="preserve">enables </w:t>
      </w:r>
      <w:r w:rsidRPr="00472578">
        <w:rPr>
          <w:rFonts w:ascii="Calibri" w:eastAsia="Calibri" w:hAnsi="Calibri" w:cs="Calibri"/>
          <w:u w:val="single"/>
        </w:rPr>
        <w:t>prioritises</w:t>
      </w:r>
      <w:r w:rsidRPr="00472578">
        <w:rPr>
          <w:rStyle w:val="FootnoteReference"/>
          <w:rFonts w:ascii="Calibri" w:eastAsia="Calibri" w:hAnsi="Calibri" w:cs="Calibri"/>
        </w:rPr>
        <w:footnoteReference w:id="1383"/>
      </w:r>
      <w:r w:rsidRPr="00472578">
        <w:rPr>
          <w:rFonts w:ascii="Calibri" w:eastAsia="Calibri" w:hAnsi="Calibri" w:cs="Calibri"/>
          <w:i/>
          <w:iCs/>
          <w:u w:val="single"/>
        </w:rPr>
        <w:t xml:space="preserve"> food and fibre</w:t>
      </w:r>
      <w:r w:rsidRPr="00472578">
        <w:rPr>
          <w:rFonts w:ascii="Calibri" w:eastAsia="Calibri" w:hAnsi="Calibri" w:cs="Calibri"/>
          <w:i/>
          <w:u w:val="single"/>
        </w:rPr>
        <w:t xml:space="preserve"> production </w:t>
      </w:r>
      <w:r w:rsidRPr="00472578">
        <w:rPr>
          <w:rFonts w:ascii="Calibri" w:eastAsia="Calibri" w:hAnsi="Calibri" w:cs="Calibri"/>
          <w:i/>
          <w:strike/>
        </w:rPr>
        <w:t>primary production</w:t>
      </w:r>
      <w:r w:rsidRPr="00472578">
        <w:rPr>
          <w:rStyle w:val="FootnoteReference"/>
          <w:rFonts w:ascii="Calibri" w:eastAsia="Calibri" w:hAnsi="Calibri" w:cs="Calibri"/>
          <w:i/>
          <w:iCs/>
        </w:rPr>
        <w:footnoteReference w:id="1384"/>
      </w:r>
      <w:r w:rsidRPr="00472578">
        <w:rPr>
          <w:rFonts w:ascii="Calibri" w:eastAsia="Calibri" w:hAnsi="Calibri" w:cs="Calibri"/>
          <w:i/>
        </w:rPr>
        <w:t xml:space="preserve"> </w:t>
      </w:r>
      <w:r w:rsidRPr="00472578">
        <w:rPr>
          <w:rFonts w:ascii="Calibri" w:eastAsia="Calibri" w:hAnsi="Calibri" w:cs="Calibri"/>
          <w:strike/>
        </w:rPr>
        <w:t>particularly on</w:t>
      </w:r>
      <w:r w:rsidRPr="0073535A">
        <w:rPr>
          <w:rFonts w:ascii="Calibri" w:eastAsia="Calibri" w:hAnsi="Calibri" w:cs="Calibri"/>
          <w:strike/>
        </w:rPr>
        <w:t xml:space="preserve"> land</w:t>
      </w:r>
      <w:r w:rsidRPr="00472578">
        <w:rPr>
          <w:rFonts w:ascii="Calibri" w:eastAsia="Calibri" w:hAnsi="Calibri" w:cs="Calibri"/>
        </w:rPr>
        <w:t xml:space="preserve"> </w:t>
      </w:r>
      <w:r w:rsidRPr="00472578">
        <w:rPr>
          <w:rFonts w:ascii="Calibri" w:eastAsia="Calibri" w:hAnsi="Calibri" w:cs="Calibri"/>
          <w:strike/>
        </w:rPr>
        <w:t>or soils</w:t>
      </w:r>
      <w:r w:rsidR="00FC772F" w:rsidRPr="006D65EB">
        <w:rPr>
          <w:rFonts w:ascii="Calibri" w:eastAsia="Calibri" w:hAnsi="Calibri" w:cs="Calibri"/>
          <w:u w:val="single"/>
        </w:rPr>
        <w:t xml:space="preserve"> </w:t>
      </w:r>
      <w:r w:rsidR="006101FD" w:rsidRPr="006D65EB">
        <w:rPr>
          <w:rFonts w:ascii="Calibri" w:eastAsia="Calibri" w:hAnsi="Calibri" w:cs="Calibri"/>
          <w:u w:val="single"/>
        </w:rPr>
        <w:t>within areas</w:t>
      </w:r>
      <w:r w:rsidRPr="00472578">
        <w:rPr>
          <w:rStyle w:val="FootnoteReference"/>
          <w:rFonts w:ascii="Calibri" w:eastAsia="Calibri" w:hAnsi="Calibri" w:cs="Calibri"/>
        </w:rPr>
        <w:footnoteReference w:id="1385"/>
      </w:r>
      <w:r w:rsidRPr="00472578">
        <w:rPr>
          <w:rFonts w:ascii="Calibri" w:eastAsia="Calibri" w:hAnsi="Calibri" w:cs="Calibri"/>
        </w:rPr>
        <w:t xml:space="preserve"> identified as </w:t>
      </w:r>
      <w:r w:rsidRPr="00553F75">
        <w:rPr>
          <w:rFonts w:ascii="Calibri" w:eastAsia="Calibri" w:hAnsi="Calibri" w:cs="Calibri"/>
          <w:i/>
        </w:rPr>
        <w:t>highly productive</w:t>
      </w:r>
      <w:r w:rsidR="00EF1656" w:rsidRPr="00553F75">
        <w:rPr>
          <w:rFonts w:ascii="Calibri" w:eastAsia="Calibri" w:hAnsi="Calibri" w:cs="Calibri"/>
          <w:i/>
          <w:iCs/>
        </w:rPr>
        <w:t xml:space="preserve"> </w:t>
      </w:r>
      <w:r w:rsidR="00B7759C" w:rsidRPr="00553F75">
        <w:rPr>
          <w:rFonts w:ascii="Calibri" w:eastAsia="Calibri" w:hAnsi="Calibri" w:cs="Calibri"/>
          <w:i/>
          <w:iCs/>
          <w:u w:val="single"/>
        </w:rPr>
        <w:t>lan</w:t>
      </w:r>
      <w:r w:rsidR="00871C01" w:rsidRPr="00553F75">
        <w:rPr>
          <w:rFonts w:ascii="Calibri" w:eastAsia="Calibri" w:hAnsi="Calibri" w:cs="Calibri"/>
          <w:i/>
          <w:iCs/>
          <w:u w:val="single"/>
        </w:rPr>
        <w:t>d</w:t>
      </w:r>
      <w:r w:rsidR="00871C01" w:rsidRPr="00472578">
        <w:rPr>
          <w:rStyle w:val="FootnoteReference"/>
          <w:rFonts w:ascii="Calibri" w:eastAsia="Calibri" w:hAnsi="Calibri" w:cs="Calibri"/>
        </w:rPr>
        <w:footnoteReference w:id="1386"/>
      </w:r>
      <w:r w:rsidR="00EF1656">
        <w:rPr>
          <w:rFonts w:ascii="Calibri" w:eastAsia="Calibri" w:hAnsi="Calibri" w:cs="Calibri"/>
        </w:rPr>
        <w:t xml:space="preserve"> i</w:t>
      </w:r>
      <w:r w:rsidRPr="00472578">
        <w:rPr>
          <w:rFonts w:ascii="Calibri" w:eastAsia="Calibri" w:hAnsi="Calibri" w:cs="Calibri"/>
        </w:rPr>
        <w:t>n accordance with LF–LS–P19,</w:t>
      </w:r>
    </w:p>
    <w:p w14:paraId="42C85E73" w14:textId="4EA5E00C" w:rsidR="004A1F01" w:rsidRPr="00472578" w:rsidRDefault="004A1F01"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t xml:space="preserve">facilitates </w:t>
      </w:r>
      <w:r w:rsidRPr="00472578">
        <w:rPr>
          <w:rFonts w:ascii="Calibri" w:eastAsia="Calibri" w:hAnsi="Calibri" w:cs="Calibri"/>
          <w:i/>
          <w:iCs/>
          <w:u w:val="single"/>
        </w:rPr>
        <w:t>primary production,</w:t>
      </w:r>
      <w:r w:rsidR="009E660B" w:rsidRPr="00472578">
        <w:rPr>
          <w:rStyle w:val="FootnoteReference"/>
          <w:rFonts w:ascii="Calibri" w:eastAsia="Calibri" w:hAnsi="Calibri" w:cs="Calibri"/>
        </w:rPr>
        <w:footnoteReference w:id="1387"/>
      </w:r>
      <w:r w:rsidRPr="00472578">
        <w:rPr>
          <w:rFonts w:ascii="Calibri" w:eastAsia="Calibri" w:hAnsi="Calibri" w:cs="Calibri"/>
          <w:i/>
          <w:iCs/>
        </w:rPr>
        <w:t xml:space="preserve"> </w:t>
      </w:r>
      <w:r w:rsidRPr="00472578">
        <w:rPr>
          <w:rFonts w:ascii="Calibri" w:eastAsia="Calibri" w:hAnsi="Calibri" w:cs="Calibri"/>
          <w:i/>
        </w:rPr>
        <w:t xml:space="preserve">rural industry </w:t>
      </w:r>
      <w:r w:rsidRPr="00472578">
        <w:rPr>
          <w:rFonts w:ascii="Calibri" w:eastAsia="Calibri" w:hAnsi="Calibri" w:cs="Calibri"/>
        </w:rPr>
        <w:t xml:space="preserve">and supporting activities, </w:t>
      </w:r>
    </w:p>
    <w:p w14:paraId="1BDC480F" w14:textId="3FBF35F1" w:rsidR="00417301" w:rsidRPr="00472578" w:rsidRDefault="005B2350"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directs rural residential and rural lifestyle development to areas zoned for that purpose in accordance with </w:t>
      </w:r>
      <w:r w:rsidR="009A45CE" w:rsidRPr="00472578">
        <w:rPr>
          <w:rFonts w:ascii="Calibri" w:eastAsia="Calibri" w:hAnsi="Calibri" w:cs="Calibri"/>
        </w:rPr>
        <w:t>UFD-P</w:t>
      </w:r>
      <w:r w:rsidR="00417301" w:rsidRPr="00472578">
        <w:rPr>
          <w:rFonts w:ascii="Calibri" w:eastAsia="Calibri" w:hAnsi="Calibri" w:cs="Calibri"/>
        </w:rPr>
        <w:t>8,</w:t>
      </w:r>
    </w:p>
    <w:p w14:paraId="6CC5189A" w14:textId="4D20BDA6" w:rsidR="00417301" w:rsidRPr="00472578" w:rsidRDefault="004A1F01" w:rsidP="00E92686">
      <w:pPr>
        <w:widowControl w:val="0"/>
        <w:autoSpaceDE w:val="0"/>
        <w:autoSpaceDN w:val="0"/>
        <w:ind w:left="567" w:right="115" w:hanging="567"/>
        <w:jc w:val="both"/>
        <w:rPr>
          <w:rFonts w:ascii="Calibri" w:eastAsia="Calibri" w:hAnsi="Calibri" w:cs="Calibri"/>
        </w:rPr>
      </w:pPr>
      <w:r w:rsidRPr="00472578">
        <w:rPr>
          <w:rFonts w:ascii="Calibri" w:eastAsia="Calibri" w:hAnsi="Calibri" w:cs="Calibri"/>
          <w:u w:val="single"/>
        </w:rPr>
        <w:t>(5A</w:t>
      </w:r>
      <w:r w:rsidR="00417301" w:rsidRPr="00472578">
        <w:rPr>
          <w:rFonts w:ascii="Calibri" w:eastAsia="Calibri" w:hAnsi="Calibri" w:cs="Calibri"/>
          <w:u w:val="single"/>
        </w:rPr>
        <w:t>)</w:t>
      </w:r>
      <w:r w:rsidR="00417301" w:rsidRPr="00472578">
        <w:rPr>
          <w:rFonts w:ascii="Calibri" w:eastAsia="Calibri" w:hAnsi="Calibri" w:cs="Calibri"/>
          <w:u w:val="single"/>
        </w:rPr>
        <w:tab/>
        <w:t xml:space="preserve">provides for the use by Kai Tahu of Native Reserves and </w:t>
      </w:r>
      <w:r w:rsidR="00417301" w:rsidRPr="00472578">
        <w:rPr>
          <w:rFonts w:ascii="Calibri" w:eastAsia="Calibri" w:hAnsi="Calibri" w:cs="Calibri"/>
          <w:i/>
          <w:u w:val="single"/>
        </w:rPr>
        <w:t xml:space="preserve">Te Ture Whenua Maori land, </w:t>
      </w:r>
      <w:r w:rsidR="00417301" w:rsidRPr="00472578">
        <w:rPr>
          <w:rFonts w:ascii="Calibri" w:eastAsia="Calibri" w:hAnsi="Calibri" w:cs="Calibri"/>
          <w:u w:val="single"/>
        </w:rPr>
        <w:t xml:space="preserve">for </w:t>
      </w:r>
      <w:r w:rsidR="00417301" w:rsidRPr="00472578">
        <w:rPr>
          <w:rFonts w:ascii="Calibri" w:eastAsia="Calibri" w:hAnsi="Calibri" w:cs="Calibri"/>
          <w:i/>
          <w:u w:val="single"/>
        </w:rPr>
        <w:t>papakāika, kāika, nohoaka,</w:t>
      </w:r>
      <w:r w:rsidR="00417301" w:rsidRPr="00472578">
        <w:rPr>
          <w:rFonts w:ascii="Calibri" w:eastAsia="Calibri" w:hAnsi="Calibri" w:cs="Calibri"/>
          <w:u w:val="single"/>
        </w:rPr>
        <w:t xml:space="preserve"> </w:t>
      </w:r>
      <w:r w:rsidR="00417301" w:rsidRPr="00472578">
        <w:rPr>
          <w:rFonts w:ascii="Calibri" w:eastAsia="Calibri" w:hAnsi="Calibri" w:cs="Calibri"/>
          <w:i/>
          <w:u w:val="single"/>
        </w:rPr>
        <w:t xml:space="preserve">marae </w:t>
      </w:r>
      <w:r w:rsidR="00417301" w:rsidRPr="00472578">
        <w:rPr>
          <w:rFonts w:ascii="Calibri" w:eastAsia="Calibri" w:hAnsi="Calibri" w:cs="Calibri"/>
          <w:u w:val="single"/>
        </w:rPr>
        <w:t xml:space="preserve">and </w:t>
      </w:r>
      <w:r w:rsidR="00417301" w:rsidRPr="00472578">
        <w:rPr>
          <w:rFonts w:ascii="Calibri" w:eastAsia="Calibri" w:hAnsi="Calibri" w:cs="Calibri"/>
          <w:i/>
          <w:u w:val="single"/>
        </w:rPr>
        <w:t xml:space="preserve">marae </w:t>
      </w:r>
      <w:r w:rsidR="00417301" w:rsidRPr="00472578">
        <w:rPr>
          <w:rFonts w:ascii="Calibri" w:eastAsia="Calibri" w:hAnsi="Calibri" w:cs="Calibri"/>
          <w:u w:val="single"/>
        </w:rPr>
        <w:t>related activities, and otherwise provides for Kai Tahu use of rural areas and the resources and values they contain</w:t>
      </w:r>
      <w:r w:rsidR="00120562" w:rsidRPr="00472578">
        <w:rPr>
          <w:rFonts w:ascii="Calibri" w:eastAsia="Calibri" w:hAnsi="Calibri" w:cs="Calibri"/>
          <w:u w:val="single"/>
        </w:rPr>
        <w:t>,</w:t>
      </w:r>
      <w:r w:rsidR="00417301" w:rsidRPr="00472578">
        <w:rPr>
          <w:rStyle w:val="FootnoteReference"/>
        </w:rPr>
        <w:footnoteReference w:id="1388"/>
      </w:r>
    </w:p>
    <w:p w14:paraId="604DABC7" w14:textId="412E8712" w:rsidR="00417301" w:rsidRPr="00472578" w:rsidRDefault="005B2350"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 xml:space="preserve">restricts the establishment of residential activities, </w:t>
      </w:r>
      <w:r w:rsidR="00417301" w:rsidRPr="00472578">
        <w:rPr>
          <w:rFonts w:ascii="Calibri" w:eastAsia="Calibri" w:hAnsi="Calibri" w:cs="Calibri"/>
          <w:i/>
        </w:rPr>
        <w:t>sensitive activities</w:t>
      </w:r>
      <w:r w:rsidR="00417301" w:rsidRPr="00472578">
        <w:rPr>
          <w:rFonts w:ascii="Calibri" w:eastAsia="Calibri" w:hAnsi="Calibri" w:cs="Calibri"/>
        </w:rPr>
        <w:t>, and non-rural businesses which could adversely affect, including by way of reverse sensitivity</w:t>
      </w:r>
      <w:r w:rsidR="00417301" w:rsidRPr="00282929">
        <w:rPr>
          <w:rFonts w:ascii="Calibri" w:eastAsia="Calibri" w:hAnsi="Calibri" w:cs="Calibri"/>
          <w:strike/>
        </w:rPr>
        <w:t>,</w:t>
      </w:r>
      <w:r w:rsidR="00417301" w:rsidRPr="00472578">
        <w:rPr>
          <w:rFonts w:ascii="Calibri" w:eastAsia="Calibri" w:hAnsi="Calibri" w:cs="Calibri"/>
        </w:rPr>
        <w:t xml:space="preserve"> </w:t>
      </w:r>
      <w:r w:rsidR="00282929">
        <w:rPr>
          <w:rFonts w:ascii="Calibri" w:eastAsia="Calibri" w:hAnsi="Calibri" w:cs="Calibri"/>
        </w:rPr>
        <w:t xml:space="preserve">or </w:t>
      </w:r>
      <w:r w:rsidR="00417301" w:rsidRPr="00472578">
        <w:rPr>
          <w:rFonts w:ascii="Calibri" w:eastAsia="Calibri" w:hAnsi="Calibri" w:cs="Calibri"/>
          <w:u w:val="single"/>
        </w:rPr>
        <w:t>fragmentation</w:t>
      </w:r>
      <w:r w:rsidR="00417301" w:rsidRPr="00472578">
        <w:rPr>
          <w:rFonts w:ascii="Calibri" w:eastAsia="Calibri" w:hAnsi="Calibri" w:cs="Calibri"/>
          <w:iCs/>
          <w:u w:val="single"/>
        </w:rPr>
        <w:t>,</w:t>
      </w:r>
      <w:r w:rsidR="00417301" w:rsidRPr="00282929">
        <w:rPr>
          <w:rFonts w:ascii="Calibri" w:eastAsia="Calibri" w:hAnsi="Calibri" w:cs="Calibri"/>
          <w:iCs/>
        </w:rPr>
        <w:t xml:space="preserve"> </w:t>
      </w:r>
      <w:r w:rsidR="00417301" w:rsidRPr="00472578">
        <w:rPr>
          <w:rFonts w:ascii="Calibri" w:eastAsia="Calibri" w:hAnsi="Calibri" w:cs="Calibri"/>
        </w:rPr>
        <w:t xml:space="preserve">the productive capacity of highly productive </w:t>
      </w:r>
      <w:r w:rsidR="00417301" w:rsidRPr="00472578">
        <w:rPr>
          <w:rFonts w:ascii="Calibri" w:eastAsia="Calibri" w:hAnsi="Calibri" w:cs="Calibri"/>
          <w:iCs/>
        </w:rPr>
        <w:t>land or</w:t>
      </w:r>
      <w:r w:rsidR="00417301" w:rsidRPr="00472578">
        <w:rPr>
          <w:rFonts w:ascii="Calibri" w:eastAsia="Calibri" w:hAnsi="Calibri" w:cs="Calibri"/>
          <w:u w:val="single"/>
        </w:rPr>
        <w:t xml:space="preserve"> existing or potential</w:t>
      </w:r>
      <w:r w:rsidR="00417301" w:rsidRPr="00472578">
        <w:rPr>
          <w:rStyle w:val="FootnoteReference"/>
          <w:rFonts w:ascii="Calibri" w:eastAsia="Calibri" w:hAnsi="Calibri" w:cs="Calibri"/>
        </w:rPr>
        <w:footnoteReference w:id="1389"/>
      </w:r>
      <w:r w:rsidR="00417301" w:rsidRPr="00472578">
        <w:rPr>
          <w:rFonts w:ascii="Calibri" w:eastAsia="Calibri" w:hAnsi="Calibri" w:cs="Calibri"/>
        </w:rPr>
        <w:t xml:space="preserve"> </w:t>
      </w:r>
      <w:r w:rsidR="00417301" w:rsidRPr="00472578">
        <w:rPr>
          <w:rFonts w:ascii="Calibri" w:eastAsia="Calibri" w:hAnsi="Calibri" w:cs="Calibri"/>
          <w:i/>
        </w:rPr>
        <w:t xml:space="preserve">primary production </w:t>
      </w:r>
      <w:r w:rsidR="00417301" w:rsidRPr="00472578">
        <w:rPr>
          <w:rFonts w:ascii="Calibri" w:eastAsia="Calibri" w:hAnsi="Calibri" w:cs="Calibri"/>
        </w:rPr>
        <w:t xml:space="preserve">and </w:t>
      </w:r>
      <w:r w:rsidR="00417301" w:rsidRPr="00472578">
        <w:rPr>
          <w:rFonts w:ascii="Calibri" w:eastAsia="Calibri" w:hAnsi="Calibri" w:cs="Calibri"/>
          <w:i/>
        </w:rPr>
        <w:t xml:space="preserve">rural industry </w:t>
      </w:r>
      <w:r w:rsidR="00417301" w:rsidRPr="00472578">
        <w:rPr>
          <w:rFonts w:ascii="Calibri" w:eastAsia="Calibri" w:hAnsi="Calibri" w:cs="Calibri"/>
        </w:rPr>
        <w:t xml:space="preserve">activities, </w:t>
      </w:r>
      <w:r w:rsidR="00417301" w:rsidRPr="00472578">
        <w:rPr>
          <w:rFonts w:ascii="Calibri" w:eastAsia="Calibri" w:hAnsi="Calibri" w:cs="Calibri"/>
          <w:u w:val="single"/>
        </w:rPr>
        <w:t xml:space="preserve">unless those </w:t>
      </w:r>
      <w:r w:rsidR="00417301" w:rsidRPr="00472578">
        <w:rPr>
          <w:rFonts w:ascii="Calibri" w:eastAsia="Calibri" w:hAnsi="Calibri" w:cs="Calibri"/>
          <w:i/>
          <w:iCs/>
          <w:u w:val="single"/>
        </w:rPr>
        <w:t>sensitive activities</w:t>
      </w:r>
      <w:r w:rsidR="00417301" w:rsidRPr="00472578">
        <w:rPr>
          <w:rFonts w:ascii="Calibri" w:eastAsia="Calibri" w:hAnsi="Calibri" w:cs="Calibri"/>
          <w:u w:val="single"/>
        </w:rPr>
        <w:t xml:space="preserve"> are undertaken in accordance with UFD-P4, UFD-P8 or UFD-P9 as relevant</w:t>
      </w:r>
      <w:r w:rsidR="00775B32" w:rsidRPr="00472578">
        <w:rPr>
          <w:rFonts w:ascii="Calibri" w:eastAsia="Calibri" w:hAnsi="Calibri" w:cs="Calibri"/>
          <w:u w:val="single"/>
        </w:rPr>
        <w:t>,</w:t>
      </w:r>
      <w:r w:rsidR="00417301" w:rsidRPr="00472578">
        <w:rPr>
          <w:rStyle w:val="FootnoteReference"/>
          <w:rFonts w:ascii="Calibri" w:eastAsia="Calibri" w:hAnsi="Calibri" w:cs="Calibri"/>
        </w:rPr>
        <w:footnoteReference w:id="1390"/>
      </w:r>
      <w:r w:rsidR="00174745" w:rsidRPr="00472578">
        <w:rPr>
          <w:rFonts w:ascii="Calibri" w:eastAsia="Calibri" w:hAnsi="Calibri" w:cs="Calibri"/>
        </w:rPr>
        <w:t xml:space="preserve"> </w:t>
      </w:r>
      <w:r w:rsidR="00775B32" w:rsidRPr="00472578">
        <w:rPr>
          <w:rFonts w:ascii="Calibri" w:eastAsia="Calibri" w:hAnsi="Calibri" w:cs="Calibri"/>
        </w:rPr>
        <w:t>and</w:t>
      </w:r>
    </w:p>
    <w:p w14:paraId="1EC3D76C" w14:textId="5D0878D3" w:rsidR="00417301" w:rsidRPr="00472578" w:rsidRDefault="005B2350"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(7)</w:t>
      </w:r>
      <w:r w:rsidRPr="00472578">
        <w:rPr>
          <w:rFonts w:ascii="Calibri" w:eastAsia="Calibri" w:hAnsi="Calibri" w:cs="Calibri"/>
        </w:rPr>
        <w:tab/>
      </w:r>
      <w:r w:rsidR="00417301" w:rsidRPr="00472578">
        <w:rPr>
          <w:rFonts w:ascii="Calibri" w:eastAsia="Calibri" w:hAnsi="Calibri" w:cs="Calibri"/>
        </w:rPr>
        <w:t xml:space="preserve">otherwise limits the establishment of residential activities, </w:t>
      </w:r>
      <w:r w:rsidR="00417301" w:rsidRPr="00472578">
        <w:rPr>
          <w:rFonts w:ascii="Calibri" w:eastAsia="Calibri" w:hAnsi="Calibri" w:cs="Calibri"/>
          <w:i/>
        </w:rPr>
        <w:t>sensitive activities</w:t>
      </w:r>
      <w:r w:rsidR="00417301" w:rsidRPr="00472578">
        <w:rPr>
          <w:rFonts w:ascii="Calibri" w:eastAsia="Calibri" w:hAnsi="Calibri" w:cs="Calibri"/>
        </w:rPr>
        <w:t>, and non-rural businesses to those that can demonstrate</w:t>
      </w:r>
      <w:r w:rsidR="00081780" w:rsidRPr="00472578">
        <w:rPr>
          <w:rFonts w:ascii="Calibri" w:eastAsia="Calibri" w:hAnsi="Calibri" w:cs="Calibri"/>
          <w:u w:val="single"/>
        </w:rPr>
        <w:t>:</w:t>
      </w:r>
    </w:p>
    <w:p w14:paraId="5A2C13D0" w14:textId="7E4A3C15" w:rsidR="004A1F01" w:rsidRPr="00472578" w:rsidRDefault="004A1F01" w:rsidP="00E92686">
      <w:pPr>
        <w:widowControl w:val="0"/>
        <w:autoSpaceDE w:val="0"/>
        <w:autoSpaceDN w:val="0"/>
        <w:ind w:left="1134" w:right="113" w:hanging="567"/>
        <w:jc w:val="both"/>
        <w:rPr>
          <w:rFonts w:ascii="Calibri" w:eastAsia="Calibri" w:hAnsi="Calibri" w:cs="Calibri"/>
        </w:rPr>
      </w:pPr>
      <w:r w:rsidRPr="00472578">
        <w:rPr>
          <w:rFonts w:ascii="Calibri" w:eastAsia="Calibri" w:hAnsi="Calibri" w:cs="Calibri"/>
          <w:u w:val="single"/>
        </w:rPr>
        <w:t xml:space="preserve">(a) </w:t>
      </w:r>
      <w:r w:rsidR="00094F9C" w:rsidRPr="00472578">
        <w:rPr>
          <w:rFonts w:ascii="Calibri" w:eastAsia="Calibri" w:hAnsi="Calibri" w:cs="Calibri"/>
          <w:u w:val="single"/>
        </w:rPr>
        <w:tab/>
      </w:r>
      <w:r w:rsidRPr="00472578">
        <w:rPr>
          <w:rFonts w:ascii="Calibri" w:eastAsia="Calibri" w:hAnsi="Calibri" w:cs="Calibri"/>
        </w:rPr>
        <w:t>a</w:t>
      </w:r>
      <w:r w:rsidRPr="00472578">
        <w:rPr>
          <w:rFonts w:ascii="Calibri" w:eastAsia="Calibri" w:hAnsi="Calibri" w:cs="Calibri"/>
          <w:strike/>
        </w:rPr>
        <w:t>n</w:t>
      </w:r>
      <w:r w:rsidRPr="00472578">
        <w:rPr>
          <w:rFonts w:ascii="Calibri" w:eastAsia="Calibri" w:hAnsi="Calibri" w:cs="Calibri"/>
          <w:iCs/>
        </w:rPr>
        <w:t xml:space="preserve"> </w:t>
      </w:r>
      <w:r w:rsidRPr="00472578">
        <w:rPr>
          <w:rFonts w:ascii="Calibri" w:eastAsia="Calibri" w:hAnsi="Calibri" w:cs="Calibri"/>
          <w:i/>
          <w:u w:val="single"/>
        </w:rPr>
        <w:t xml:space="preserve">functional need </w:t>
      </w:r>
      <w:r w:rsidRPr="00472578">
        <w:rPr>
          <w:rFonts w:ascii="Calibri" w:eastAsia="Calibri" w:hAnsi="Calibri" w:cs="Calibri"/>
          <w:iCs/>
          <w:u w:val="single"/>
        </w:rPr>
        <w:t>or</w:t>
      </w:r>
      <w:r w:rsidRPr="00472578">
        <w:rPr>
          <w:rStyle w:val="FootnoteReference"/>
          <w:rFonts w:ascii="Calibri" w:eastAsia="Calibri" w:hAnsi="Calibri" w:cs="Calibri"/>
          <w:iCs/>
        </w:rPr>
        <w:footnoteReference w:id="1391"/>
      </w:r>
      <w:r w:rsidRPr="00472578">
        <w:rPr>
          <w:rFonts w:ascii="Calibri" w:eastAsia="Calibri" w:hAnsi="Calibri" w:cs="Calibri"/>
          <w:i/>
        </w:rPr>
        <w:t xml:space="preserve"> operational need </w:t>
      </w:r>
      <w:r w:rsidRPr="00472578">
        <w:rPr>
          <w:rFonts w:ascii="Calibri" w:eastAsia="Calibri" w:hAnsi="Calibri" w:cs="Calibri"/>
        </w:rPr>
        <w:t xml:space="preserve">to be located in </w:t>
      </w:r>
      <w:r w:rsidRPr="00472578">
        <w:rPr>
          <w:rFonts w:ascii="Calibri" w:eastAsia="Calibri" w:hAnsi="Calibri" w:cs="Calibri"/>
          <w:i/>
        </w:rPr>
        <w:t>rural areas</w:t>
      </w:r>
      <w:r w:rsidR="00081780" w:rsidRPr="00472578">
        <w:rPr>
          <w:rFonts w:ascii="Calibri" w:eastAsia="Calibri" w:hAnsi="Calibri" w:cs="Calibri"/>
          <w:i/>
          <w:strike/>
        </w:rPr>
        <w:t>.</w:t>
      </w:r>
      <w:r w:rsidRPr="00472578">
        <w:rPr>
          <w:rFonts w:ascii="Calibri" w:eastAsia="Calibri" w:hAnsi="Calibri" w:cs="Calibri"/>
          <w:i/>
          <w:u w:val="single"/>
        </w:rPr>
        <w:t>,</w:t>
      </w:r>
      <w:r w:rsidRPr="00472578">
        <w:rPr>
          <w:iCs/>
          <w:u w:val="single"/>
        </w:rPr>
        <w:t xml:space="preserve"> and</w:t>
      </w:r>
      <w:r w:rsidRPr="00472578">
        <w:rPr>
          <w:rStyle w:val="FootnoteReference"/>
          <w:iCs/>
        </w:rPr>
        <w:footnoteReference w:id="1392"/>
      </w:r>
    </w:p>
    <w:p w14:paraId="6800FAA3" w14:textId="27503B4D" w:rsidR="004A1F01" w:rsidRPr="00472578" w:rsidRDefault="004A1F01" w:rsidP="00E92686">
      <w:pPr>
        <w:widowControl w:val="0"/>
        <w:autoSpaceDE w:val="0"/>
        <w:autoSpaceDN w:val="0"/>
        <w:ind w:left="1134" w:right="113" w:hanging="567"/>
        <w:jc w:val="both"/>
        <w:rPr>
          <w:rFonts w:ascii="Calibri" w:eastAsia="Calibri" w:hAnsi="Calibri" w:cs="Calibri"/>
        </w:rPr>
      </w:pPr>
      <w:r w:rsidRPr="00472578">
        <w:rPr>
          <w:iCs/>
          <w:u w:val="single"/>
        </w:rPr>
        <w:t xml:space="preserve">(b) </w:t>
      </w:r>
      <w:r w:rsidR="00094F9C" w:rsidRPr="00472578">
        <w:rPr>
          <w:iCs/>
          <w:u w:val="single"/>
        </w:rPr>
        <w:tab/>
      </w:r>
      <w:r w:rsidRPr="00472578">
        <w:rPr>
          <w:iCs/>
          <w:u w:val="single"/>
        </w:rPr>
        <w:t xml:space="preserve">methods to </w:t>
      </w:r>
      <w:r w:rsidR="007A389A" w:rsidRPr="00472578">
        <w:rPr>
          <w:iCs/>
          <w:u w:val="single"/>
        </w:rPr>
        <w:t xml:space="preserve">avoid </w:t>
      </w:r>
      <w:r w:rsidRPr="00472578">
        <w:rPr>
          <w:iCs/>
          <w:u w:val="single"/>
        </w:rPr>
        <w:t>adverse effects, including by way of reverse sensitivity, on rural productive capacity and amenity values, or where avoidance is not practicable, remediation or mitigation</w:t>
      </w:r>
      <w:r w:rsidR="00094F9C" w:rsidRPr="00472578">
        <w:rPr>
          <w:iCs/>
          <w:u w:val="single"/>
        </w:rPr>
        <w:t>, and</w:t>
      </w:r>
      <w:r w:rsidRPr="00472578">
        <w:rPr>
          <w:rStyle w:val="FootnoteReference"/>
          <w:iCs/>
        </w:rPr>
        <w:footnoteReference w:id="1393"/>
      </w:r>
    </w:p>
    <w:p w14:paraId="089C2486" w14:textId="00C21D04" w:rsidR="004A1F01" w:rsidRPr="00472578" w:rsidRDefault="004A1F01" w:rsidP="00E92686">
      <w:pPr>
        <w:ind w:left="567" w:right="113" w:hanging="552"/>
        <w:jc w:val="both"/>
        <w:rPr>
          <w:iCs/>
          <w:u w:val="single"/>
        </w:rPr>
      </w:pPr>
      <w:r w:rsidRPr="00472578">
        <w:rPr>
          <w:iCs/>
          <w:u w:val="single"/>
        </w:rPr>
        <w:t>(7A)</w:t>
      </w:r>
      <w:r w:rsidRPr="00472578">
        <w:rPr>
          <w:iCs/>
          <w:u w:val="single"/>
        </w:rPr>
        <w:tab/>
      </w:r>
      <w:r w:rsidRPr="00472578">
        <w:rPr>
          <w:rFonts w:ascii="Calibri" w:eastAsia="Calibri" w:hAnsi="Calibri" w:cs="Calibri"/>
          <w:iCs/>
          <w:u w:val="single"/>
        </w:rPr>
        <w:t xml:space="preserve">may place constraints on certain rural activities where necessary for the </w:t>
      </w:r>
      <w:r w:rsidRPr="00472578">
        <w:rPr>
          <w:u w:val="single"/>
        </w:rPr>
        <w:t>effective</w:t>
      </w:r>
      <w:r w:rsidRPr="00472578">
        <w:rPr>
          <w:rFonts w:ascii="Calibri" w:eastAsia="Calibri" w:hAnsi="Calibri" w:cs="Calibri"/>
          <w:iCs/>
          <w:u w:val="single"/>
        </w:rPr>
        <w:t xml:space="preserve"> management of </w:t>
      </w:r>
      <w:r w:rsidRPr="00472578">
        <w:rPr>
          <w:rFonts w:ascii="Calibri" w:eastAsia="Calibri" w:hAnsi="Calibri" w:cs="Calibri"/>
          <w:i/>
          <w:u w:val="single"/>
        </w:rPr>
        <w:t xml:space="preserve">nationally </w:t>
      </w:r>
      <w:r w:rsidR="00081780" w:rsidRPr="00472578">
        <w:rPr>
          <w:rFonts w:ascii="Calibri" w:eastAsia="Calibri" w:hAnsi="Calibri" w:cs="Calibri"/>
          <w:i/>
          <w:u w:val="single"/>
        </w:rPr>
        <w:t xml:space="preserve">significant infrastructure </w:t>
      </w:r>
      <w:r w:rsidRPr="00472578">
        <w:rPr>
          <w:rFonts w:ascii="Calibri" w:eastAsia="Calibri" w:hAnsi="Calibri" w:cs="Calibri"/>
          <w:iCs/>
          <w:u w:val="single"/>
        </w:rPr>
        <w:t>or</w:t>
      </w:r>
      <w:r w:rsidRPr="00472578">
        <w:rPr>
          <w:rFonts w:ascii="Calibri" w:eastAsia="Calibri" w:hAnsi="Calibri" w:cs="Calibri"/>
          <w:i/>
          <w:u w:val="single"/>
        </w:rPr>
        <w:t xml:space="preserve"> regionally significant infrastructure</w:t>
      </w:r>
      <w:r w:rsidR="00081780" w:rsidRPr="00472578">
        <w:rPr>
          <w:rFonts w:ascii="Calibri" w:eastAsia="Calibri" w:hAnsi="Calibri" w:cs="Calibri"/>
          <w:iCs/>
          <w:u w:val="single"/>
        </w:rPr>
        <w:t>.</w:t>
      </w:r>
      <w:r w:rsidRPr="00472578">
        <w:rPr>
          <w:rStyle w:val="FootnoteReference"/>
          <w:rFonts w:ascii="Calibri" w:eastAsia="Calibri" w:hAnsi="Calibri" w:cs="Calibri"/>
          <w:iCs/>
        </w:rPr>
        <w:footnoteReference w:id="1394"/>
      </w:r>
    </w:p>
    <w:p w14:paraId="4DFAE83D" w14:textId="5CD602D2" w:rsidR="00417301" w:rsidRPr="00472578" w:rsidRDefault="009A45CE" w:rsidP="00E92686">
      <w:pPr>
        <w:pStyle w:val="Heading4"/>
        <w:jc w:val="both"/>
      </w:pPr>
      <w:r w:rsidRPr="00472578">
        <w:lastRenderedPageBreak/>
        <w:t>UFD-P</w:t>
      </w:r>
      <w:r w:rsidR="00417301" w:rsidRPr="00472578">
        <w:t>8 – Rural lifestyle and rural residential zones</w:t>
      </w:r>
    </w:p>
    <w:p w14:paraId="2DAC38BD" w14:textId="77777777" w:rsidR="00417301" w:rsidRPr="00472578" w:rsidRDefault="00417301" w:rsidP="00E92686">
      <w:pPr>
        <w:widowControl w:val="0"/>
        <w:autoSpaceDE w:val="0"/>
        <w:autoSpaceDN w:val="0"/>
        <w:spacing w:before="161" w:after="0"/>
        <w:ind w:right="361"/>
        <w:jc w:val="both"/>
        <w:rPr>
          <w:rFonts w:ascii="Calibri" w:eastAsia="Calibri" w:hAnsi="Calibri" w:cs="Calibri"/>
        </w:rPr>
      </w:pPr>
      <w:r w:rsidRPr="00472578">
        <w:rPr>
          <w:rFonts w:ascii="Calibri" w:eastAsia="Calibri" w:hAnsi="Calibri" w:cs="Calibri"/>
        </w:rPr>
        <w:t>The establishment, development or expansion of rural lifestyle and rural residential zones only occurs where:</w:t>
      </w:r>
    </w:p>
    <w:p w14:paraId="43097690" w14:textId="6C67C97A" w:rsidR="00417301" w:rsidRPr="00472578" w:rsidRDefault="005B2350" w:rsidP="00E92686">
      <w:pPr>
        <w:widowControl w:val="0"/>
        <w:tabs>
          <w:tab w:val="left" w:pos="867"/>
        </w:tabs>
        <w:autoSpaceDE w:val="0"/>
        <w:autoSpaceDN w:val="0"/>
        <w:spacing w:before="159" w:after="0" w:line="240" w:lineRule="auto"/>
        <w:ind w:left="567" w:right="115"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the </w:t>
      </w:r>
      <w:r w:rsidR="00417301" w:rsidRPr="00472578">
        <w:rPr>
          <w:rFonts w:ascii="Calibri" w:eastAsia="Calibri" w:hAnsi="Calibri" w:cs="Calibri"/>
          <w:i/>
        </w:rPr>
        <w:t xml:space="preserve">land </w:t>
      </w:r>
      <w:r w:rsidR="00417301" w:rsidRPr="00472578">
        <w:rPr>
          <w:rFonts w:ascii="Calibri" w:eastAsia="Calibri" w:hAnsi="Calibri" w:cs="Calibri"/>
        </w:rPr>
        <w:t xml:space="preserve">is adjacent to existing or planned </w:t>
      </w:r>
      <w:r w:rsidR="00417301" w:rsidRPr="00472578">
        <w:rPr>
          <w:rFonts w:ascii="Calibri" w:eastAsia="Calibri" w:hAnsi="Calibri" w:cs="Calibri"/>
          <w:i/>
        </w:rPr>
        <w:t xml:space="preserve">urban areas </w:t>
      </w:r>
      <w:r w:rsidR="00417301" w:rsidRPr="00472578">
        <w:rPr>
          <w:rFonts w:ascii="Calibri" w:eastAsia="Calibri" w:hAnsi="Calibri" w:cs="Calibri"/>
        </w:rPr>
        <w:t>and ready access to employment and services is available,</w:t>
      </w:r>
    </w:p>
    <w:p w14:paraId="5D164C3A" w14:textId="2AED2536" w:rsidR="00417301" w:rsidRPr="00472578" w:rsidRDefault="005B2350" w:rsidP="00E92686">
      <w:pPr>
        <w:widowControl w:val="0"/>
        <w:tabs>
          <w:tab w:val="left" w:pos="867"/>
        </w:tabs>
        <w:autoSpaceDE w:val="0"/>
        <w:autoSpaceDN w:val="0"/>
        <w:spacing w:before="162" w:after="0" w:line="240" w:lineRule="auto"/>
        <w:ind w:left="567" w:right="112"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 xml:space="preserve">despite the direction in (1), </w:t>
      </w:r>
      <w:r w:rsidR="009B59D9" w:rsidRPr="00472578">
        <w:rPr>
          <w:rFonts w:ascii="Calibri" w:eastAsia="Calibri" w:hAnsi="Calibri" w:cs="Calibri"/>
          <w:u w:val="single"/>
        </w:rPr>
        <w:t>it</w:t>
      </w:r>
      <w:r w:rsidR="009B59D9" w:rsidRPr="00472578">
        <w:rPr>
          <w:rStyle w:val="FootnoteReference"/>
          <w:rFonts w:ascii="Calibri" w:eastAsia="Calibri" w:hAnsi="Calibri" w:cs="Calibri"/>
        </w:rPr>
        <w:footnoteReference w:id="1395"/>
      </w:r>
      <w:r w:rsidR="00417301" w:rsidRPr="00472578">
        <w:rPr>
          <w:rFonts w:ascii="Calibri" w:eastAsia="Calibri" w:hAnsi="Calibri" w:cs="Calibri"/>
        </w:rPr>
        <w:t xml:space="preserve"> also avoids </w:t>
      </w:r>
      <w:r w:rsidR="00417301" w:rsidRPr="00472578">
        <w:rPr>
          <w:rFonts w:ascii="Calibri" w:eastAsia="Calibri" w:hAnsi="Calibri" w:cs="Calibri"/>
          <w:i/>
        </w:rPr>
        <w:t xml:space="preserve">land </w:t>
      </w:r>
      <w:r w:rsidR="00417301" w:rsidRPr="00472578">
        <w:rPr>
          <w:rFonts w:ascii="Calibri" w:eastAsia="Calibri" w:hAnsi="Calibri" w:cs="Calibri"/>
        </w:rPr>
        <w:t xml:space="preserve">identified for future urban development in a relevant plan or </w:t>
      </w:r>
      <w:r w:rsidR="00417301" w:rsidRPr="00472578">
        <w:rPr>
          <w:rFonts w:ascii="Calibri" w:eastAsia="Calibri" w:hAnsi="Calibri" w:cs="Calibri"/>
          <w:i/>
        </w:rPr>
        <w:t xml:space="preserve">land </w:t>
      </w:r>
      <w:r w:rsidR="00417301" w:rsidRPr="00472578">
        <w:rPr>
          <w:rFonts w:ascii="Calibri" w:eastAsia="Calibri" w:hAnsi="Calibri" w:cs="Calibri"/>
        </w:rPr>
        <w:t>reasonably likely to be required for its future urban development potential, where the rural lifestyle or rural residential development would foreclose or reduce efficient realisation of that urban development potential,</w:t>
      </w:r>
    </w:p>
    <w:p w14:paraId="48AED900" w14:textId="5FDBFA84" w:rsidR="000B41B2" w:rsidRPr="00472578" w:rsidRDefault="000B41B2" w:rsidP="00E92686">
      <w:pPr>
        <w:widowControl w:val="0"/>
        <w:tabs>
          <w:tab w:val="left" w:pos="867"/>
        </w:tabs>
        <w:autoSpaceDE w:val="0"/>
        <w:autoSpaceDN w:val="0"/>
        <w:spacing w:before="159" w:after="0" w:line="240" w:lineRule="auto"/>
        <w:ind w:left="567" w:right="114"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t xml:space="preserve">minimises impacts on </w:t>
      </w:r>
      <w:r w:rsidRPr="00472578">
        <w:rPr>
          <w:rFonts w:ascii="Calibri" w:eastAsia="Calibri" w:hAnsi="Calibri" w:cs="Calibri"/>
          <w:u w:val="single"/>
        </w:rPr>
        <w:t xml:space="preserve">existing </w:t>
      </w:r>
      <w:r w:rsidRPr="00472578">
        <w:rPr>
          <w:rFonts w:ascii="Calibri" w:eastAsia="Calibri" w:hAnsi="Calibri" w:cs="Calibri"/>
          <w:i/>
          <w:iCs/>
          <w:u w:val="single"/>
        </w:rPr>
        <w:t>primary production</w:t>
      </w:r>
      <w:r w:rsidRPr="00472578">
        <w:rPr>
          <w:rFonts w:ascii="Calibri" w:eastAsia="Calibri" w:hAnsi="Calibri" w:cs="Calibri"/>
          <w:u w:val="single"/>
        </w:rPr>
        <w:t xml:space="preserve"> and </w:t>
      </w:r>
      <w:r w:rsidRPr="00472578">
        <w:rPr>
          <w:rFonts w:ascii="Calibri" w:eastAsia="Calibri" w:hAnsi="Calibri" w:cs="Calibri"/>
          <w:i/>
          <w:iCs/>
          <w:u w:val="single"/>
        </w:rPr>
        <w:t>rural industry</w:t>
      </w:r>
      <w:r w:rsidRPr="00472578">
        <w:rPr>
          <w:rFonts w:ascii="Calibri" w:eastAsia="Calibri" w:hAnsi="Calibri" w:cs="Calibri"/>
          <w:u w:val="single"/>
        </w:rPr>
        <w:t xml:space="preserve"> and other rural activities</w:t>
      </w:r>
      <w:r w:rsidR="0000339A" w:rsidRPr="00472578">
        <w:rPr>
          <w:rFonts w:ascii="Calibri" w:eastAsia="Calibri" w:hAnsi="Calibri" w:cs="Calibri"/>
        </w:rPr>
        <w:t>,</w:t>
      </w:r>
      <w:r w:rsidRPr="00472578">
        <w:rPr>
          <w:rStyle w:val="FootnoteReference"/>
          <w:rFonts w:ascii="Calibri" w:eastAsia="Calibri" w:hAnsi="Calibri" w:cs="Calibri"/>
        </w:rPr>
        <w:footnoteReference w:id="1396"/>
      </w:r>
      <w:r w:rsidRPr="00472578">
        <w:rPr>
          <w:rFonts w:ascii="Calibri" w:eastAsia="Calibri" w:hAnsi="Calibri" w:cs="Calibri"/>
        </w:rPr>
        <w:t xml:space="preserve"> rural production potential, </w:t>
      </w:r>
      <w:r w:rsidRPr="00472578">
        <w:rPr>
          <w:rFonts w:ascii="Calibri" w:eastAsia="Calibri" w:hAnsi="Calibri" w:cs="Calibri"/>
          <w:i/>
        </w:rPr>
        <w:t xml:space="preserve">amenity values </w:t>
      </w:r>
      <w:r w:rsidRPr="00472578">
        <w:rPr>
          <w:rFonts w:ascii="Calibri" w:eastAsia="Calibri" w:hAnsi="Calibri" w:cs="Calibri"/>
        </w:rPr>
        <w:t xml:space="preserve">and the potential for </w:t>
      </w:r>
      <w:r w:rsidRPr="00472578">
        <w:rPr>
          <w:rFonts w:ascii="Calibri" w:eastAsia="Calibri" w:hAnsi="Calibri" w:cs="Calibri"/>
          <w:i/>
          <w:iCs/>
        </w:rPr>
        <w:t>reverse sensitivity</w:t>
      </w:r>
      <w:r w:rsidRPr="00AE1C28">
        <w:rPr>
          <w:rFonts w:ascii="Calibri" w:eastAsia="Calibri" w:hAnsi="Calibri" w:cs="Calibri"/>
        </w:rPr>
        <w:t xml:space="preserve"> </w:t>
      </w:r>
      <w:r w:rsidRPr="00472578">
        <w:rPr>
          <w:rFonts w:ascii="Calibri" w:eastAsia="Calibri" w:hAnsi="Calibri" w:cs="Calibri"/>
          <w:i/>
        </w:rPr>
        <w:t xml:space="preserve">effects </w:t>
      </w:r>
      <w:r w:rsidRPr="00472578">
        <w:rPr>
          <w:rFonts w:ascii="Calibri" w:eastAsia="Calibri" w:hAnsi="Calibri" w:cs="Calibri"/>
        </w:rPr>
        <w:t xml:space="preserve">to arise </w:t>
      </w:r>
      <w:r w:rsidRPr="00472578">
        <w:rPr>
          <w:rFonts w:ascii="Calibri" w:eastAsia="Calibri" w:hAnsi="Calibri" w:cs="Calibri"/>
          <w:u w:val="single"/>
        </w:rPr>
        <w:t>in adjoining rural production zones</w:t>
      </w:r>
      <w:r w:rsidR="0008324A" w:rsidRPr="00472578">
        <w:rPr>
          <w:rFonts w:ascii="Calibri" w:eastAsia="Calibri" w:hAnsi="Calibri" w:cs="Calibri"/>
        </w:rPr>
        <w:t>,</w:t>
      </w:r>
      <w:r w:rsidRPr="00472578">
        <w:rPr>
          <w:rStyle w:val="FootnoteReference"/>
          <w:rFonts w:ascii="Calibri" w:eastAsia="Calibri" w:hAnsi="Calibri" w:cs="Calibri"/>
        </w:rPr>
        <w:footnoteReference w:id="1397"/>
      </w:r>
    </w:p>
    <w:p w14:paraId="76C7B0DC" w14:textId="570CA72F" w:rsidR="000B41B2" w:rsidRPr="00472578" w:rsidRDefault="000B41B2" w:rsidP="00E92686">
      <w:pPr>
        <w:widowControl w:val="0"/>
        <w:tabs>
          <w:tab w:val="left" w:pos="865"/>
          <w:tab w:val="left" w:pos="867"/>
        </w:tabs>
        <w:autoSpaceDE w:val="0"/>
        <w:autoSpaceDN w:val="0"/>
        <w:spacing w:before="161" w:after="0" w:line="240" w:lineRule="auto"/>
        <w:ind w:left="567" w:hanging="567"/>
        <w:jc w:val="both"/>
        <w:rPr>
          <w:rFonts w:ascii="Calibri" w:eastAsia="Calibri" w:hAnsi="Calibri" w:cs="Calibri"/>
        </w:rPr>
      </w:pPr>
      <w:r w:rsidRPr="00472578">
        <w:rPr>
          <w:rFonts w:ascii="Calibri" w:eastAsia="Calibri" w:hAnsi="Calibri" w:cs="Calibri"/>
        </w:rPr>
        <w:t>(</w:t>
      </w:r>
      <w:r w:rsidR="002D3521" w:rsidRPr="00472578">
        <w:rPr>
          <w:rFonts w:ascii="Calibri" w:eastAsia="Calibri" w:hAnsi="Calibri" w:cs="Calibri"/>
        </w:rPr>
        <w:t>4)</w:t>
      </w:r>
      <w:r w:rsidR="002D3521" w:rsidRPr="00472578">
        <w:rPr>
          <w:rFonts w:ascii="Calibri" w:eastAsia="Calibri" w:hAnsi="Calibri" w:cs="Calibri"/>
        </w:rPr>
        <w:tab/>
      </w:r>
      <w:r w:rsidRPr="00472578">
        <w:rPr>
          <w:rFonts w:ascii="Calibri" w:eastAsia="Calibri" w:hAnsi="Calibri" w:cs="Calibri"/>
        </w:rPr>
        <w:t>avoids</w:t>
      </w:r>
      <w:r w:rsidR="00913F58" w:rsidRPr="00472578">
        <w:rPr>
          <w:rFonts w:ascii="Calibri" w:eastAsia="Calibri" w:hAnsi="Calibri" w:cs="Calibri"/>
          <w:strike/>
        </w:rPr>
        <w:t>,</w:t>
      </w:r>
      <w:r w:rsidRPr="00472578">
        <w:rPr>
          <w:rFonts w:ascii="Calibri" w:eastAsia="Calibri" w:hAnsi="Calibri" w:cs="Calibri"/>
          <w:strike/>
        </w:rPr>
        <w:t xml:space="preserve"> as the first priority,</w:t>
      </w:r>
      <w:r w:rsidRPr="00472578">
        <w:rPr>
          <w:rStyle w:val="FootnoteReference"/>
          <w:rFonts w:ascii="Calibri" w:eastAsia="Calibri" w:hAnsi="Calibri" w:cs="Calibri"/>
        </w:rPr>
        <w:footnoteReference w:id="1398"/>
      </w:r>
      <w:r w:rsidRPr="00472578">
        <w:rPr>
          <w:rFonts w:ascii="Calibri" w:eastAsia="Calibri" w:hAnsi="Calibri" w:cs="Calibri"/>
        </w:rPr>
        <w:t xml:space="preserve"> highly productive land identified in accordance with LF</w:t>
      </w:r>
      <w:r w:rsidR="002D3521" w:rsidRPr="00472578">
        <w:rPr>
          <w:rFonts w:ascii="Calibri" w:eastAsia="Calibri" w:hAnsi="Calibri" w:cs="Calibri"/>
        </w:rPr>
        <w:t>-</w:t>
      </w:r>
      <w:r w:rsidRPr="00472578">
        <w:rPr>
          <w:rFonts w:ascii="Calibri" w:eastAsia="Calibri" w:hAnsi="Calibri" w:cs="Calibri"/>
        </w:rPr>
        <w:t>LS</w:t>
      </w:r>
      <w:r w:rsidR="002D3521" w:rsidRPr="00472578">
        <w:rPr>
          <w:rFonts w:ascii="Calibri" w:eastAsia="Calibri" w:hAnsi="Calibri" w:cs="Calibri"/>
        </w:rPr>
        <w:t>-</w:t>
      </w:r>
      <w:r w:rsidRPr="00472578">
        <w:rPr>
          <w:rFonts w:ascii="Calibri" w:eastAsia="Calibri" w:hAnsi="Calibri" w:cs="Calibri"/>
        </w:rPr>
        <w:t>P1</w:t>
      </w:r>
      <w:r w:rsidRPr="00472578">
        <w:rPr>
          <w:rFonts w:ascii="Calibri" w:eastAsia="Calibri" w:hAnsi="Calibri" w:cs="Calibri"/>
          <w:strike/>
        </w:rPr>
        <w:t>6</w:t>
      </w:r>
      <w:r w:rsidRPr="00472578">
        <w:rPr>
          <w:rFonts w:ascii="Calibri" w:eastAsia="Calibri" w:hAnsi="Calibri" w:cs="Calibri"/>
          <w:u w:val="single"/>
        </w:rPr>
        <w:t>9</w:t>
      </w:r>
      <w:r w:rsidRPr="00472578">
        <w:rPr>
          <w:rFonts w:ascii="Calibri" w:eastAsia="Calibri" w:hAnsi="Calibri" w:cs="Calibri"/>
        </w:rPr>
        <w:t>,</w:t>
      </w:r>
      <w:r w:rsidR="002D3521" w:rsidRPr="00472578">
        <w:rPr>
          <w:rStyle w:val="FootnoteReference"/>
          <w:rFonts w:ascii="Calibri" w:eastAsia="Calibri" w:hAnsi="Calibri" w:cs="Calibri"/>
        </w:rPr>
        <w:footnoteReference w:id="1399"/>
      </w:r>
      <w:r w:rsidRPr="00472578">
        <w:rPr>
          <w:rFonts w:ascii="Calibri" w:eastAsia="Calibri" w:hAnsi="Calibri" w:cs="Calibri"/>
        </w:rPr>
        <w:t xml:space="preserve"> </w:t>
      </w:r>
    </w:p>
    <w:p w14:paraId="65D8DC49" w14:textId="77777777" w:rsidR="00417301" w:rsidRPr="00472578" w:rsidRDefault="00417301" w:rsidP="00E92686">
      <w:pPr>
        <w:widowControl w:val="0"/>
        <w:autoSpaceDE w:val="0"/>
        <w:autoSpaceDN w:val="0"/>
        <w:spacing w:after="0" w:line="240" w:lineRule="auto"/>
        <w:ind w:left="567" w:hanging="567"/>
        <w:jc w:val="both"/>
        <w:rPr>
          <w:rFonts w:ascii="Calibri" w:eastAsia="Calibri" w:hAnsi="Calibri" w:cs="Calibri"/>
        </w:rPr>
      </w:pPr>
    </w:p>
    <w:p w14:paraId="4B87B9CE" w14:textId="25BB7121" w:rsidR="00417301" w:rsidRPr="00472578" w:rsidRDefault="005B2350" w:rsidP="00E92686">
      <w:pPr>
        <w:widowControl w:val="0"/>
        <w:tabs>
          <w:tab w:val="left" w:pos="865"/>
          <w:tab w:val="left" w:pos="867"/>
        </w:tabs>
        <w:autoSpaceDE w:val="0"/>
        <w:autoSpaceDN w:val="0"/>
        <w:spacing w:before="37" w:after="0" w:line="240" w:lineRule="auto"/>
        <w:ind w:left="567"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the suitability of the area to accommodate the proposed development is demonstrated, including</w:t>
      </w:r>
    </w:p>
    <w:p w14:paraId="30EFF325" w14:textId="40242372" w:rsidR="00417301" w:rsidRPr="00472578" w:rsidRDefault="005B2350" w:rsidP="00E92686">
      <w:pPr>
        <w:widowControl w:val="0"/>
        <w:autoSpaceDE w:val="0"/>
        <w:autoSpaceDN w:val="0"/>
        <w:spacing w:before="162" w:after="0" w:line="240" w:lineRule="auto"/>
        <w:ind w:left="1134" w:right="116"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r>
      <w:r w:rsidR="00417301" w:rsidRPr="00472578">
        <w:rPr>
          <w:rFonts w:ascii="Calibri" w:eastAsia="Calibri" w:hAnsi="Calibri" w:cs="Calibri"/>
        </w:rPr>
        <w:t xml:space="preserve">capacity for servicing by existing or planned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(including self- servicing requirements),</w:t>
      </w:r>
    </w:p>
    <w:p w14:paraId="004FAE15" w14:textId="504D483D" w:rsidR="00417301" w:rsidRPr="00472578" w:rsidRDefault="005B2350" w:rsidP="00E92686">
      <w:pPr>
        <w:widowControl w:val="0"/>
        <w:autoSpaceDE w:val="0"/>
        <w:autoSpaceDN w:val="0"/>
        <w:spacing w:before="159" w:after="0" w:line="240" w:lineRule="auto"/>
        <w:ind w:left="1134" w:right="115"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r>
      <w:r w:rsidR="00417301" w:rsidRPr="00472578">
        <w:rPr>
          <w:rFonts w:ascii="Calibri" w:eastAsia="Calibri" w:hAnsi="Calibri" w:cs="Calibri"/>
        </w:rPr>
        <w:t xml:space="preserve">particular regard is given to the individual and cumulative impacts of </w:t>
      </w:r>
      <w:r w:rsidR="00417301" w:rsidRPr="00472578">
        <w:rPr>
          <w:rFonts w:ascii="Calibri" w:eastAsia="Calibri" w:hAnsi="Calibri" w:cs="Calibri"/>
          <w:strike/>
        </w:rPr>
        <w:t>domestic</w:t>
      </w:r>
      <w:r w:rsidR="00417301" w:rsidRPr="00472578">
        <w:rPr>
          <w:rStyle w:val="FootnoteReference"/>
          <w:rFonts w:ascii="Calibri" w:eastAsia="Calibri" w:hAnsi="Calibri" w:cs="Calibri"/>
        </w:rPr>
        <w:footnoteReference w:id="1400"/>
      </w:r>
      <w:r w:rsidR="00E73A66" w:rsidRPr="00A55D0A">
        <w:rPr>
          <w:rFonts w:ascii="Calibri" w:eastAsia="Calibri" w:hAnsi="Calibri" w:cs="Calibri"/>
        </w:rPr>
        <w:t xml:space="preserve"> </w:t>
      </w:r>
      <w:r w:rsidR="00417301" w:rsidRPr="00472578">
        <w:rPr>
          <w:rFonts w:ascii="Calibri" w:eastAsia="Calibri" w:hAnsi="Calibri" w:cs="Calibri"/>
          <w:i/>
        </w:rPr>
        <w:t xml:space="preserve">water </w:t>
      </w:r>
      <w:r w:rsidR="00FD65BF" w:rsidRPr="00472578">
        <w:rPr>
          <w:rFonts w:ascii="Calibri" w:eastAsia="Calibri" w:hAnsi="Calibri" w:cs="Calibri"/>
        </w:rPr>
        <w:t>supply, wastewater</w:t>
      </w:r>
      <w:r w:rsidR="00417301" w:rsidRPr="00472578">
        <w:rPr>
          <w:rFonts w:ascii="Calibri" w:eastAsia="Calibri" w:hAnsi="Calibri" w:cs="Calibri"/>
          <w:i/>
        </w:rPr>
        <w:t xml:space="preserve"> </w:t>
      </w:r>
      <w:r w:rsidR="00417301" w:rsidRPr="00472578">
        <w:rPr>
          <w:rFonts w:ascii="Calibri" w:eastAsia="Calibri" w:hAnsi="Calibri" w:cs="Calibri"/>
        </w:rPr>
        <w:t xml:space="preserve">disposal, and </w:t>
      </w:r>
      <w:r w:rsidR="00417301" w:rsidRPr="00472578">
        <w:rPr>
          <w:rFonts w:ascii="Calibri" w:eastAsia="Calibri" w:hAnsi="Calibri" w:cs="Calibri"/>
          <w:i/>
        </w:rPr>
        <w:t xml:space="preserve">stormwater </w:t>
      </w:r>
      <w:r w:rsidR="00417301" w:rsidRPr="00472578">
        <w:rPr>
          <w:rFonts w:ascii="Calibri" w:eastAsia="Calibri" w:hAnsi="Calibri" w:cs="Calibri"/>
        </w:rPr>
        <w:t xml:space="preserve">management including self-servicing, on the receiving or supplying environment and impacts on capacity of </w:t>
      </w:r>
      <w:r w:rsidR="00417301" w:rsidRPr="00472578">
        <w:rPr>
          <w:rFonts w:ascii="Calibri" w:eastAsia="Calibri" w:hAnsi="Calibri" w:cs="Calibri"/>
          <w:i/>
        </w:rPr>
        <w:t>development infrastructure</w:t>
      </w:r>
      <w:r w:rsidR="00417301" w:rsidRPr="00472578">
        <w:rPr>
          <w:rFonts w:ascii="Calibri" w:eastAsia="Calibri" w:hAnsi="Calibri" w:cs="Calibri"/>
        </w:rPr>
        <w:t xml:space="preserve">, if provided, to meet other planned urban area demand, </w:t>
      </w:r>
      <w:r w:rsidR="00417301" w:rsidRPr="00472578">
        <w:rPr>
          <w:rFonts w:ascii="Calibri" w:eastAsia="Calibri" w:hAnsi="Calibri" w:cs="Calibri"/>
          <w:strike/>
        </w:rPr>
        <w:t>and</w:t>
      </w:r>
    </w:p>
    <w:p w14:paraId="0BD614BA" w14:textId="26865CDD" w:rsidR="00417301" w:rsidRPr="00472578" w:rsidRDefault="005B2350" w:rsidP="00E92686">
      <w:pPr>
        <w:widowControl w:val="0"/>
        <w:autoSpaceDE w:val="0"/>
        <w:autoSpaceDN w:val="0"/>
        <w:spacing w:before="162" w:after="0" w:line="240" w:lineRule="auto"/>
        <w:ind w:left="1134" w:right="118" w:hanging="567"/>
        <w:jc w:val="both"/>
        <w:rPr>
          <w:rFonts w:ascii="Calibri" w:eastAsia="Calibri" w:hAnsi="Calibri" w:cs="Calibri"/>
        </w:rPr>
      </w:pPr>
      <w:r w:rsidRPr="00472578">
        <w:rPr>
          <w:rFonts w:ascii="Calibri" w:eastAsia="Calibri" w:hAnsi="Calibri" w:cs="Calibri"/>
        </w:rPr>
        <w:t>(c)</w:t>
      </w:r>
      <w:r w:rsidRPr="00472578">
        <w:rPr>
          <w:rFonts w:ascii="Calibri" w:eastAsia="Calibri" w:hAnsi="Calibri" w:cs="Calibri"/>
        </w:rPr>
        <w:tab/>
      </w:r>
      <w:r w:rsidR="00417301" w:rsidRPr="00472578">
        <w:rPr>
          <w:rFonts w:ascii="Calibri" w:eastAsia="Calibri" w:hAnsi="Calibri" w:cs="Calibri"/>
        </w:rPr>
        <w:t xml:space="preserve">likely future demands or implications for publicly funded services </w:t>
      </w:r>
      <w:r w:rsidR="00417301" w:rsidRPr="00472578">
        <w:rPr>
          <w:rFonts w:ascii="Calibri" w:eastAsia="Calibri" w:hAnsi="Calibri" w:cs="Calibri"/>
          <w:u w:val="single"/>
        </w:rPr>
        <w:t>including emergency services</w:t>
      </w:r>
      <w:r w:rsidR="00417301" w:rsidRPr="00472578">
        <w:rPr>
          <w:rStyle w:val="FootnoteReference"/>
          <w:rFonts w:ascii="Calibri" w:eastAsia="Calibri" w:hAnsi="Calibri" w:cs="Calibri"/>
        </w:rPr>
        <w:footnoteReference w:id="1401"/>
      </w:r>
      <w:r w:rsidR="00417301" w:rsidRPr="00472578">
        <w:rPr>
          <w:rFonts w:ascii="Calibri" w:eastAsia="Calibri" w:hAnsi="Calibri" w:cs="Calibri"/>
        </w:rPr>
        <w:t xml:space="preserve"> and </w:t>
      </w:r>
      <w:r w:rsidR="00417301" w:rsidRPr="00472578">
        <w:rPr>
          <w:rFonts w:ascii="Calibri" w:eastAsia="Calibri" w:hAnsi="Calibri" w:cs="Calibri"/>
          <w:i/>
        </w:rPr>
        <w:t>additional infrastructure</w:t>
      </w:r>
      <w:r w:rsidR="00417301" w:rsidRPr="00472578">
        <w:rPr>
          <w:rFonts w:ascii="Calibri" w:eastAsia="Calibri" w:hAnsi="Calibri" w:cs="Calibri"/>
        </w:rPr>
        <w:t xml:space="preserve">, </w:t>
      </w:r>
      <w:r w:rsidR="009B4CF2" w:rsidRPr="00472578">
        <w:rPr>
          <w:rFonts w:ascii="Calibri" w:eastAsia="Calibri" w:hAnsi="Calibri" w:cs="Calibri"/>
        </w:rPr>
        <w:t>and</w:t>
      </w:r>
    </w:p>
    <w:p w14:paraId="2EE5E6C9" w14:textId="4EDDE664" w:rsidR="00417301" w:rsidRPr="00472578" w:rsidRDefault="005B2350" w:rsidP="00E92686">
      <w:pPr>
        <w:widowControl w:val="0"/>
        <w:autoSpaceDE w:val="0"/>
        <w:autoSpaceDN w:val="0"/>
        <w:spacing w:before="162" w:after="0" w:line="240" w:lineRule="auto"/>
        <w:ind w:left="1134" w:right="118" w:hanging="567"/>
        <w:jc w:val="both"/>
        <w:rPr>
          <w:rFonts w:ascii="Calibri" w:eastAsia="Calibri" w:hAnsi="Calibri" w:cs="Calibri"/>
        </w:rPr>
      </w:pPr>
      <w:r w:rsidRPr="00472578">
        <w:rPr>
          <w:rFonts w:eastAsia="Times New Roman"/>
          <w:u w:val="single" w:color="000000" w:themeColor="text1"/>
        </w:rPr>
        <w:t>(</w:t>
      </w:r>
      <w:r w:rsidR="00F06E2C" w:rsidRPr="00472578">
        <w:rPr>
          <w:rFonts w:eastAsia="Times New Roman"/>
          <w:u w:val="single" w:color="000000" w:themeColor="text1"/>
        </w:rPr>
        <w:t>d</w:t>
      </w:r>
      <w:r w:rsidRPr="00472578">
        <w:rPr>
          <w:rFonts w:eastAsia="Times New Roman"/>
          <w:u w:val="single" w:color="000000" w:themeColor="text1"/>
        </w:rPr>
        <w:t>)</w:t>
      </w:r>
      <w:r w:rsidRPr="00472578">
        <w:rPr>
          <w:rFonts w:eastAsia="Times New Roman"/>
          <w:u w:val="single" w:color="000000" w:themeColor="text1"/>
        </w:rPr>
        <w:tab/>
      </w:r>
      <w:r w:rsidR="00417301" w:rsidRPr="00472578">
        <w:rPr>
          <w:rFonts w:eastAsia="Times New Roman"/>
          <w:u w:val="single" w:color="000000" w:themeColor="text1"/>
        </w:rPr>
        <w:t xml:space="preserve">does not compromise the safe and efficient ongoing use of </w:t>
      </w:r>
      <w:r w:rsidR="00417301" w:rsidRPr="00472578">
        <w:rPr>
          <w:rFonts w:eastAsia="Times New Roman"/>
          <w:i/>
          <w:u w:val="single" w:color="000000" w:themeColor="text1"/>
        </w:rPr>
        <w:t xml:space="preserve">nationally </w:t>
      </w:r>
      <w:r w:rsidR="009B4CF2" w:rsidRPr="00472578">
        <w:rPr>
          <w:rFonts w:eastAsia="Times New Roman"/>
          <w:i/>
          <w:u w:val="single" w:color="000000" w:themeColor="text1"/>
        </w:rPr>
        <w:t xml:space="preserve">significant infrastructure </w:t>
      </w:r>
      <w:r w:rsidR="00417301" w:rsidRPr="00472578">
        <w:rPr>
          <w:rFonts w:eastAsia="Times New Roman"/>
          <w:u w:val="single" w:color="000000" w:themeColor="text1"/>
        </w:rPr>
        <w:t xml:space="preserve">or </w:t>
      </w:r>
      <w:r w:rsidR="00417301" w:rsidRPr="00472578">
        <w:rPr>
          <w:rFonts w:eastAsia="Times New Roman"/>
          <w:i/>
          <w:u w:val="single" w:color="000000" w:themeColor="text1"/>
        </w:rPr>
        <w:t>regionally significant infrastructure</w:t>
      </w:r>
      <w:r w:rsidR="009B4CF2" w:rsidRPr="00472578">
        <w:rPr>
          <w:rFonts w:eastAsia="Times New Roman"/>
          <w:u w:val="single" w:color="000000" w:themeColor="text1"/>
        </w:rPr>
        <w:t>,</w:t>
      </w:r>
      <w:r w:rsidR="0020517A" w:rsidRPr="00472578">
        <w:rPr>
          <w:rFonts w:ascii="Calibri" w:eastAsia="Calibri" w:hAnsi="Calibri" w:cs="Calibri"/>
          <w:u w:val="single"/>
        </w:rPr>
        <w:t xml:space="preserve"> </w:t>
      </w:r>
      <w:r w:rsidR="000B41B2" w:rsidRPr="00472578">
        <w:rPr>
          <w:rFonts w:ascii="Calibri" w:eastAsia="Calibri" w:hAnsi="Calibri" w:cs="Calibri"/>
          <w:u w:val="single"/>
        </w:rPr>
        <w:t>and</w:t>
      </w:r>
      <w:r w:rsidR="0020517A" w:rsidRPr="00472578">
        <w:rPr>
          <w:rStyle w:val="FootnoteReference"/>
          <w:i/>
        </w:rPr>
        <w:footnoteReference w:id="1402"/>
      </w:r>
    </w:p>
    <w:p w14:paraId="7694CC01" w14:textId="064E176D" w:rsidR="00417301" w:rsidRPr="00472578" w:rsidRDefault="009B4CF2" w:rsidP="00E92686">
      <w:pPr>
        <w:widowControl w:val="0"/>
        <w:tabs>
          <w:tab w:val="left" w:pos="867"/>
        </w:tabs>
        <w:autoSpaceDE w:val="0"/>
        <w:autoSpaceDN w:val="0"/>
        <w:spacing w:before="158" w:after="0" w:line="240" w:lineRule="auto"/>
        <w:ind w:left="567" w:right="114"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provides for the maintenance and wherever possible, enhancement, of important features and values identified by this RPS.</w:t>
      </w:r>
    </w:p>
    <w:p w14:paraId="0C8D3FF6" w14:textId="705D59B5" w:rsidR="00417301" w:rsidRPr="00472578" w:rsidRDefault="009A45CE" w:rsidP="00E92686">
      <w:pPr>
        <w:pStyle w:val="Heading4"/>
        <w:jc w:val="both"/>
      </w:pPr>
      <w:r w:rsidRPr="00472578">
        <w:t>UFD-P</w:t>
      </w:r>
      <w:r w:rsidR="00417301" w:rsidRPr="00472578">
        <w:t>9 – Iwi, hapū and whānau</w:t>
      </w:r>
    </w:p>
    <w:p w14:paraId="21DB6C21" w14:textId="5DB1EC01" w:rsidR="00417301" w:rsidRPr="00472578" w:rsidRDefault="00417301" w:rsidP="00E92686">
      <w:pPr>
        <w:widowControl w:val="0"/>
        <w:autoSpaceDE w:val="0"/>
        <w:autoSpaceDN w:val="0"/>
        <w:ind w:right="114"/>
        <w:jc w:val="both"/>
        <w:rPr>
          <w:rFonts w:ascii="Calibri" w:eastAsia="Calibri" w:hAnsi="Calibri" w:cs="Calibri"/>
        </w:rPr>
      </w:pPr>
      <w:r w:rsidRPr="00472578">
        <w:rPr>
          <w:rFonts w:ascii="Calibri" w:eastAsia="Calibri" w:hAnsi="Calibri" w:cs="Calibri"/>
        </w:rPr>
        <w:t>Facilitate the development</w:t>
      </w:r>
      <w:r w:rsidR="004D3790" w:rsidRPr="00472578">
        <w:rPr>
          <w:rFonts w:ascii="Calibri" w:eastAsia="Calibri" w:hAnsi="Calibri" w:cs="Calibri"/>
          <w:u w:val="single"/>
        </w:rPr>
        <w:t>,</w:t>
      </w:r>
      <w:r w:rsidRPr="00472578">
        <w:rPr>
          <w:rFonts w:ascii="Calibri" w:eastAsia="Calibri" w:hAnsi="Calibri" w:cs="Calibri"/>
          <w:u w:val="single"/>
        </w:rPr>
        <w:t xml:space="preserve"> </w:t>
      </w:r>
      <w:r w:rsidRPr="639E38F9">
        <w:rPr>
          <w:u w:val="single" w:color="000000" w:themeColor="text1"/>
        </w:rPr>
        <w:t>by mana whenua</w:t>
      </w:r>
      <w:r w:rsidR="004D3790" w:rsidRPr="639E38F9">
        <w:rPr>
          <w:u w:val="single" w:color="000000" w:themeColor="text1"/>
        </w:rPr>
        <w:t>,</w:t>
      </w:r>
      <w:r w:rsidRPr="639E38F9">
        <w:rPr>
          <w:rStyle w:val="FootnoteReference"/>
        </w:rPr>
        <w:footnoteReference w:id="1403"/>
      </w:r>
      <w:r w:rsidRPr="00472578">
        <w:rPr>
          <w:rFonts w:ascii="Calibri" w:eastAsia="Calibri" w:hAnsi="Calibri" w:cs="Calibri"/>
        </w:rPr>
        <w:t xml:space="preserve"> of Native Reserves and </w:t>
      </w:r>
      <w:r w:rsidRPr="00472578">
        <w:rPr>
          <w:rFonts w:ascii="Calibri" w:eastAsia="Calibri" w:hAnsi="Calibri" w:cs="Calibri"/>
          <w:i/>
        </w:rPr>
        <w:t xml:space="preserve">Te Ture Whenua Maori land, </w:t>
      </w:r>
      <w:r w:rsidRPr="00472578">
        <w:rPr>
          <w:rFonts w:ascii="Calibri" w:eastAsia="Calibri" w:hAnsi="Calibri" w:cs="Calibri"/>
        </w:rPr>
        <w:t xml:space="preserve">for </w:t>
      </w:r>
      <w:r w:rsidRPr="00472578">
        <w:rPr>
          <w:rFonts w:ascii="Calibri" w:eastAsia="Calibri" w:hAnsi="Calibri" w:cs="Calibri"/>
          <w:i/>
        </w:rPr>
        <w:t>papakāika, kāika, nohoaka</w:t>
      </w:r>
      <w:r w:rsidRPr="00472578">
        <w:rPr>
          <w:rFonts w:ascii="Calibri" w:eastAsia="Calibri" w:hAnsi="Calibri" w:cs="Calibri"/>
        </w:rPr>
        <w:t>,</w:t>
      </w:r>
      <w:r w:rsidRPr="00472578">
        <w:rPr>
          <w:rFonts w:ascii="Calibri" w:eastAsia="Calibri" w:hAnsi="Calibri" w:cs="Calibri"/>
          <w:i/>
        </w:rPr>
        <w:t xml:space="preserve"> </w:t>
      </w:r>
      <w:r w:rsidRPr="00472578">
        <w:rPr>
          <w:rFonts w:ascii="Calibri" w:eastAsia="Calibri" w:hAnsi="Calibri" w:cs="Calibri"/>
          <w:strike/>
        </w:rPr>
        <w:t>and</w:t>
      </w:r>
      <w:r w:rsidRPr="00472578">
        <w:rPr>
          <w:rStyle w:val="FootnoteReference"/>
          <w:rFonts w:ascii="Calibri" w:eastAsia="Calibri" w:hAnsi="Calibri" w:cs="Calibri"/>
        </w:rPr>
        <w:footnoteReference w:id="1404"/>
      </w:r>
      <w:r w:rsidRPr="00472578">
        <w:rPr>
          <w:rFonts w:ascii="Calibri" w:eastAsia="Calibri" w:hAnsi="Calibri" w:cs="Calibri"/>
        </w:rPr>
        <w:t xml:space="preserve"> </w:t>
      </w:r>
      <w:r w:rsidRPr="00472578">
        <w:rPr>
          <w:rFonts w:ascii="Calibri" w:eastAsia="Calibri" w:hAnsi="Calibri" w:cs="Calibri"/>
          <w:i/>
        </w:rPr>
        <w:t>marae</w:t>
      </w:r>
      <w:r w:rsidRPr="00472578">
        <w:rPr>
          <w:rFonts w:ascii="Calibri" w:eastAsia="Calibri" w:hAnsi="Calibri" w:cs="Calibri"/>
        </w:rPr>
        <w:t xml:space="preserve">, </w:t>
      </w:r>
      <w:r w:rsidRPr="00472578">
        <w:rPr>
          <w:rFonts w:ascii="Calibri" w:eastAsia="Calibri" w:hAnsi="Calibri" w:cs="Calibri"/>
          <w:u w:val="single"/>
        </w:rPr>
        <w:t xml:space="preserve">and </w:t>
      </w:r>
      <w:r w:rsidRPr="00472578">
        <w:rPr>
          <w:rFonts w:ascii="Calibri" w:eastAsia="Calibri" w:hAnsi="Calibri" w:cs="Calibri"/>
          <w:i/>
          <w:iCs/>
          <w:u w:val="single"/>
        </w:rPr>
        <w:t xml:space="preserve">marae </w:t>
      </w:r>
      <w:r w:rsidRPr="00472578">
        <w:rPr>
          <w:rFonts w:ascii="Calibri" w:eastAsia="Calibri" w:hAnsi="Calibri" w:cs="Calibri"/>
          <w:u w:val="single"/>
        </w:rPr>
        <w:t>related activities</w:t>
      </w:r>
      <w:r w:rsidRPr="00472578">
        <w:rPr>
          <w:rStyle w:val="FootnoteReference"/>
          <w:rFonts w:ascii="Calibri" w:eastAsia="Calibri" w:hAnsi="Calibri" w:cs="Calibri"/>
        </w:rPr>
        <w:footnoteReference w:id="1405"/>
      </w:r>
      <w:r w:rsidRPr="00472578">
        <w:rPr>
          <w:rFonts w:ascii="Calibri" w:eastAsia="Calibri" w:hAnsi="Calibri" w:cs="Calibri"/>
        </w:rPr>
        <w:t xml:space="preserve"> where existing or </w:t>
      </w:r>
      <w:r w:rsidRPr="00472578">
        <w:rPr>
          <w:rFonts w:ascii="Calibri" w:eastAsia="Calibri" w:hAnsi="Calibri" w:cs="Calibri"/>
        </w:rPr>
        <w:lastRenderedPageBreak/>
        <w:t xml:space="preserve">planned </w:t>
      </w:r>
      <w:r w:rsidRPr="00472578">
        <w:rPr>
          <w:rFonts w:ascii="Calibri" w:eastAsia="Calibri" w:hAnsi="Calibri" w:cs="Calibri"/>
          <w:i/>
        </w:rPr>
        <w:t xml:space="preserve">development infrastructure </w:t>
      </w:r>
      <w:r w:rsidRPr="00472578">
        <w:rPr>
          <w:rFonts w:ascii="Calibri" w:eastAsia="Calibri" w:hAnsi="Calibri" w:cs="Calibri"/>
        </w:rPr>
        <w:t>of sufficient capacity is or can be provided (including allowance for self-servicing systems).</w:t>
      </w:r>
    </w:p>
    <w:p w14:paraId="377C5EBB" w14:textId="78A3A9A5" w:rsidR="00417301" w:rsidRPr="00472578" w:rsidRDefault="009A45CE" w:rsidP="00E92686">
      <w:pPr>
        <w:pStyle w:val="Heading4"/>
        <w:jc w:val="both"/>
      </w:pPr>
      <w:r w:rsidRPr="00472578">
        <w:t>UFD-P</w:t>
      </w:r>
      <w:r w:rsidR="00417301" w:rsidRPr="00472578">
        <w:t>10 – Criteria for significant development capacity</w:t>
      </w:r>
    </w:p>
    <w:p w14:paraId="0C68E2C8" w14:textId="55AE32AF"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‘Significant development capacity’ is provided for where a proposed plan change affecting an </w:t>
      </w:r>
      <w:r w:rsidRPr="00472578">
        <w:rPr>
          <w:rFonts w:ascii="Calibri" w:eastAsia="Calibri" w:hAnsi="Calibri" w:cs="Calibri"/>
          <w:i/>
        </w:rPr>
        <w:t xml:space="preserve">urban environment </w:t>
      </w:r>
      <w:r w:rsidRPr="00472578">
        <w:rPr>
          <w:rFonts w:ascii="Calibri" w:eastAsia="Calibri" w:hAnsi="Calibri" w:cs="Calibri"/>
        </w:rPr>
        <w:t>meets all of the following criteria</w:t>
      </w:r>
      <w:r w:rsidR="00DC285C" w:rsidRPr="00472578">
        <w:rPr>
          <w:rFonts w:ascii="Calibri" w:eastAsia="Calibri" w:hAnsi="Calibri" w:cs="Calibri"/>
        </w:rPr>
        <w:t>:</w:t>
      </w:r>
    </w:p>
    <w:p w14:paraId="2ED0BC65" w14:textId="1E7D900F" w:rsidR="00417301" w:rsidRPr="00472578" w:rsidRDefault="009B4CF2" w:rsidP="00E92686">
      <w:pPr>
        <w:widowControl w:val="0"/>
        <w:tabs>
          <w:tab w:val="left" w:pos="867"/>
        </w:tabs>
        <w:autoSpaceDE w:val="0"/>
        <w:autoSpaceDN w:val="0"/>
        <w:ind w:left="567" w:right="114"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the location, design and layout of the proposal will positively contribute to achieving a </w:t>
      </w:r>
      <w:r w:rsidR="00417301" w:rsidRPr="00472578">
        <w:rPr>
          <w:rFonts w:ascii="Calibri" w:eastAsia="Calibri" w:hAnsi="Calibri" w:cs="Calibri"/>
          <w:i/>
        </w:rPr>
        <w:t>well- functioning urban environment</w:t>
      </w:r>
      <w:r w:rsidR="00417301" w:rsidRPr="00472578">
        <w:rPr>
          <w:rFonts w:ascii="Calibri" w:eastAsia="Calibri" w:hAnsi="Calibri" w:cs="Calibri"/>
        </w:rPr>
        <w:t>,</w:t>
      </w:r>
    </w:p>
    <w:p w14:paraId="18D828D7" w14:textId="2DE9E175" w:rsidR="00417301" w:rsidRPr="00472578" w:rsidRDefault="009B4CF2" w:rsidP="00E92686">
      <w:pPr>
        <w:widowControl w:val="0"/>
        <w:tabs>
          <w:tab w:val="left" w:pos="867"/>
        </w:tabs>
        <w:autoSpaceDE w:val="0"/>
        <w:autoSpaceDN w:val="0"/>
        <w:ind w:left="567" w:right="118"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the proposal is well-connected to the existing or planned urban area, particularly if it is located along existing or planned transport corridors,</w:t>
      </w:r>
    </w:p>
    <w:p w14:paraId="37A371C9" w14:textId="575AEC4C" w:rsidR="00417301" w:rsidRPr="00472578" w:rsidRDefault="009B4CF2"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required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 xml:space="preserve">can be provided effectively and efficiently for the proposal, and without material impact on planned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 xml:space="preserve">provision to, or reduction in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capacity available for, other feasible, likely to be realised developments, in the short-medium term,</w:t>
      </w:r>
    </w:p>
    <w:p w14:paraId="1450EFE8" w14:textId="1D9695FD" w:rsidR="00417301" w:rsidRPr="00472578" w:rsidRDefault="009B4CF2" w:rsidP="00E92686">
      <w:pPr>
        <w:widowControl w:val="0"/>
        <w:tabs>
          <w:tab w:val="left" w:pos="867"/>
        </w:tabs>
        <w:autoSpaceDE w:val="0"/>
        <w:autoSpaceDN w:val="0"/>
        <w:ind w:left="567" w:right="116"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 xml:space="preserve">the proposal makes a significant contribution to meeting a need identified in a </w:t>
      </w:r>
      <w:r w:rsidR="00417301" w:rsidRPr="00472578">
        <w:rPr>
          <w:rFonts w:ascii="Calibri" w:eastAsia="Calibri" w:hAnsi="Calibri" w:cs="Calibri"/>
          <w:i/>
        </w:rPr>
        <w:t>Housing and Business Development Capacity Assessment</w:t>
      </w:r>
      <w:r w:rsidR="00417301" w:rsidRPr="00472578">
        <w:rPr>
          <w:rFonts w:ascii="Calibri" w:eastAsia="Calibri" w:hAnsi="Calibri" w:cs="Calibri"/>
        </w:rPr>
        <w:t>, or a shortage identified in monitoring</w:t>
      </w:r>
      <w:r w:rsidR="00417301" w:rsidRPr="00472578">
        <w:rPr>
          <w:rFonts w:ascii="Calibri" w:eastAsia="Calibri" w:hAnsi="Calibri" w:cs="Calibri"/>
          <w:u w:val="single"/>
        </w:rPr>
        <w:t xml:space="preserve"> </w:t>
      </w:r>
      <w:r w:rsidR="00417301" w:rsidRPr="00472578">
        <w:rPr>
          <w:rFonts w:ascii="Calibri" w:eastAsia="Calibri" w:hAnsi="Calibri" w:cs="Calibri"/>
        </w:rPr>
        <w:t>for:</w:t>
      </w:r>
    </w:p>
    <w:p w14:paraId="0010607E" w14:textId="4D81A1D1"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r>
      <w:r w:rsidR="00417301" w:rsidRPr="00472578">
        <w:rPr>
          <w:rFonts w:ascii="Calibri" w:eastAsia="Calibri" w:hAnsi="Calibri" w:cs="Calibri"/>
        </w:rPr>
        <w:t>housing of a particular price range or typology, particularly more affordable housing,</w:t>
      </w:r>
    </w:p>
    <w:p w14:paraId="0F5260A6" w14:textId="29283F2F"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r>
      <w:r w:rsidR="00417301" w:rsidRPr="00472578">
        <w:rPr>
          <w:rFonts w:ascii="Calibri" w:eastAsia="Calibri" w:hAnsi="Calibri" w:cs="Calibri"/>
        </w:rPr>
        <w:t xml:space="preserve">business space or </w:t>
      </w:r>
      <w:r w:rsidR="00417301" w:rsidRPr="00472578">
        <w:rPr>
          <w:rFonts w:ascii="Calibri" w:eastAsia="Calibri" w:hAnsi="Calibri" w:cs="Calibri"/>
          <w:i/>
        </w:rPr>
        <w:t xml:space="preserve">land </w:t>
      </w:r>
      <w:r w:rsidR="00417301" w:rsidRPr="00472578">
        <w:rPr>
          <w:rFonts w:ascii="Calibri" w:eastAsia="Calibri" w:hAnsi="Calibri" w:cs="Calibri"/>
        </w:rPr>
        <w:t>of a particular size or locational type, or</w:t>
      </w:r>
    </w:p>
    <w:p w14:paraId="66526D7C" w14:textId="314EF248"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(c)</w:t>
      </w:r>
      <w:r w:rsidRPr="00472578">
        <w:rPr>
          <w:rFonts w:ascii="Calibri" w:eastAsia="Calibri" w:hAnsi="Calibri" w:cs="Calibri"/>
        </w:rPr>
        <w:tab/>
      </w:r>
      <w:r w:rsidR="00417301" w:rsidRPr="00472578">
        <w:rPr>
          <w:rFonts w:ascii="Calibri" w:eastAsia="Calibri" w:hAnsi="Calibri" w:cs="Calibri"/>
        </w:rPr>
        <w:t>community or educational facilities, and</w:t>
      </w:r>
    </w:p>
    <w:p w14:paraId="033F29DA" w14:textId="2BDC0EB6" w:rsidR="00417301" w:rsidRPr="00472578" w:rsidRDefault="009B4CF2" w:rsidP="00E92686">
      <w:pPr>
        <w:widowControl w:val="0"/>
        <w:tabs>
          <w:tab w:val="left" w:pos="867"/>
        </w:tabs>
        <w:autoSpaceDE w:val="0"/>
        <w:autoSpaceDN w:val="0"/>
        <w:ind w:left="567" w:right="115"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when considering the significance of the proposal’s contribution to a matter in (4), this means that the proposal’s contribution:</w:t>
      </w:r>
    </w:p>
    <w:p w14:paraId="29353E81" w14:textId="44EEAFF5"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r>
      <w:r w:rsidR="00417301" w:rsidRPr="00472578">
        <w:rPr>
          <w:rFonts w:ascii="Calibri" w:eastAsia="Calibri" w:hAnsi="Calibri" w:cs="Calibri"/>
        </w:rPr>
        <w:t>is of high yield relative to either the forecast demand or the identified shortfall,</w:t>
      </w:r>
    </w:p>
    <w:p w14:paraId="7AAB9814" w14:textId="537F7EAB"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r>
      <w:r w:rsidR="00417301" w:rsidRPr="00472578">
        <w:rPr>
          <w:rFonts w:ascii="Calibri" w:eastAsia="Calibri" w:hAnsi="Calibri" w:cs="Calibri"/>
        </w:rPr>
        <w:t>will be realised in a timely (i.e. rapid) manner,</w:t>
      </w:r>
    </w:p>
    <w:p w14:paraId="23F63778" w14:textId="76AF4CEF"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(c)</w:t>
      </w:r>
      <w:r w:rsidRPr="00472578">
        <w:rPr>
          <w:rFonts w:ascii="Calibri" w:eastAsia="Calibri" w:hAnsi="Calibri" w:cs="Calibri"/>
        </w:rPr>
        <w:tab/>
      </w:r>
      <w:r w:rsidR="00417301" w:rsidRPr="00472578">
        <w:rPr>
          <w:rFonts w:ascii="Calibri" w:eastAsia="Calibri" w:hAnsi="Calibri" w:cs="Calibri"/>
        </w:rPr>
        <w:t>is likely to be taken up, and</w:t>
      </w:r>
    </w:p>
    <w:p w14:paraId="37BAC857" w14:textId="3290000F" w:rsidR="00417301" w:rsidRPr="00472578" w:rsidRDefault="009B4CF2" w:rsidP="00E92686">
      <w:pPr>
        <w:widowControl w:val="0"/>
        <w:tabs>
          <w:tab w:val="left" w:pos="1432"/>
          <w:tab w:val="left" w:pos="1433"/>
        </w:tabs>
        <w:autoSpaceDE w:val="0"/>
        <w:autoSpaceDN w:val="0"/>
        <w:ind w:left="1134" w:hanging="567"/>
        <w:jc w:val="both"/>
        <w:rPr>
          <w:rFonts w:ascii="Calibri" w:eastAsia="Calibri" w:hAnsi="Calibri" w:cs="Calibri"/>
        </w:rPr>
      </w:pPr>
      <w:r w:rsidRPr="00472578">
        <w:rPr>
          <w:rFonts w:ascii="Calibri" w:eastAsia="Calibri" w:hAnsi="Calibri" w:cs="Calibri"/>
        </w:rPr>
        <w:t>(d)</w:t>
      </w:r>
      <w:r w:rsidRPr="00472578">
        <w:rPr>
          <w:rFonts w:ascii="Calibri" w:eastAsia="Calibri" w:hAnsi="Calibri" w:cs="Calibri"/>
        </w:rPr>
        <w:tab/>
      </w:r>
      <w:r w:rsidR="00417301" w:rsidRPr="00472578">
        <w:rPr>
          <w:rFonts w:ascii="Calibri" w:eastAsia="Calibri" w:hAnsi="Calibri" w:cs="Calibri"/>
        </w:rPr>
        <w:t>will facilitate a net increase in district-wide up-take in the short to medium term.</w:t>
      </w:r>
    </w:p>
    <w:p w14:paraId="2B807AD6" w14:textId="77777777" w:rsidR="00417301" w:rsidRPr="00472578" w:rsidRDefault="00417301" w:rsidP="00E92686">
      <w:pPr>
        <w:pStyle w:val="Heading3"/>
        <w:jc w:val="both"/>
      </w:pPr>
      <w:r w:rsidRPr="00472578">
        <w:t>Methods</w:t>
      </w:r>
    </w:p>
    <w:p w14:paraId="2B3A4678" w14:textId="0F052242" w:rsidR="00417301" w:rsidRPr="00472578" w:rsidRDefault="009A45CE" w:rsidP="00E92686">
      <w:pPr>
        <w:pStyle w:val="Heading4"/>
        <w:jc w:val="both"/>
      </w:pPr>
      <w:r w:rsidRPr="00472578">
        <w:t>UFD-M</w:t>
      </w:r>
      <w:r w:rsidR="00417301" w:rsidRPr="00472578">
        <w:t>1 – Strategic planning</w:t>
      </w:r>
    </w:p>
    <w:p w14:paraId="75AE35F1"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rPr>
        <w:t xml:space="preserve">Otago Regional Council and </w:t>
      </w:r>
      <w:r w:rsidRPr="00472578">
        <w:rPr>
          <w:rFonts w:ascii="Calibri" w:eastAsia="Calibri" w:hAnsi="Calibri" w:cs="Calibri"/>
          <w:i/>
        </w:rPr>
        <w:t>territorial authorities</w:t>
      </w:r>
      <w:r w:rsidRPr="00472578">
        <w:rPr>
          <w:rFonts w:ascii="Calibri" w:eastAsia="Calibri" w:hAnsi="Calibri" w:cs="Calibri"/>
        </w:rPr>
        <w:t>:</w:t>
      </w:r>
    </w:p>
    <w:p w14:paraId="37586247" w14:textId="2705F1B0" w:rsidR="00417301" w:rsidRPr="00472578" w:rsidRDefault="009B4CF2" w:rsidP="00E92686">
      <w:pPr>
        <w:widowControl w:val="0"/>
        <w:tabs>
          <w:tab w:val="left" w:pos="867"/>
        </w:tabs>
        <w:autoSpaceDE w:val="0"/>
        <w:autoSpaceDN w:val="0"/>
        <w:ind w:left="567" w:right="114"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 xml:space="preserve">must, where they are Tier 2 local authorities, jointly determine housing </w:t>
      </w:r>
      <w:r w:rsidR="00417301" w:rsidRPr="00472578">
        <w:rPr>
          <w:rFonts w:ascii="Calibri" w:eastAsia="Calibri" w:hAnsi="Calibri" w:cs="Calibri"/>
          <w:i/>
        </w:rPr>
        <w:t xml:space="preserve">development capacity </w:t>
      </w:r>
      <w:r w:rsidR="00417301" w:rsidRPr="00472578">
        <w:rPr>
          <w:rFonts w:ascii="Calibri" w:eastAsia="Calibri" w:hAnsi="Calibri" w:cs="Calibri"/>
        </w:rPr>
        <w:t xml:space="preserve">that is feasible and likely to be taken up in the medium and long terms through </w:t>
      </w:r>
      <w:r w:rsidR="00417301" w:rsidRPr="00472578">
        <w:rPr>
          <w:rFonts w:ascii="Calibri" w:eastAsia="Calibri" w:hAnsi="Calibri" w:cs="Calibri"/>
          <w:i/>
        </w:rPr>
        <w:t>Housing and Business Development Capacity Assessments</w:t>
      </w:r>
      <w:r w:rsidR="00417301" w:rsidRPr="00472578">
        <w:rPr>
          <w:rFonts w:ascii="Calibri" w:eastAsia="Calibri" w:hAnsi="Calibri" w:cs="Calibri"/>
        </w:rPr>
        <w:t>,</w:t>
      </w:r>
    </w:p>
    <w:p w14:paraId="54BEFDDB" w14:textId="53BF6D57" w:rsidR="00417301" w:rsidRPr="00472578" w:rsidRDefault="009B4CF2"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r>
      <w:r w:rsidR="00417301" w:rsidRPr="00472578">
        <w:rPr>
          <w:rFonts w:ascii="Calibri" w:eastAsia="Calibri" w:hAnsi="Calibri" w:cs="Calibri"/>
        </w:rPr>
        <w:t>should, for other districts, jointly determine demand and potential supply responses through similar, but appropriately scaled strategic planning approaches,</w:t>
      </w:r>
    </w:p>
    <w:p w14:paraId="3E1DA003" w14:textId="59FA034C" w:rsidR="00417301" w:rsidRPr="00472578" w:rsidRDefault="009B4CF2"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(3)</w:t>
      </w:r>
      <w:r w:rsidRPr="00472578">
        <w:rPr>
          <w:rFonts w:ascii="Calibri" w:eastAsia="Calibri" w:hAnsi="Calibri" w:cs="Calibri"/>
        </w:rPr>
        <w:tab/>
      </w:r>
      <w:r w:rsidR="00417301" w:rsidRPr="00472578">
        <w:rPr>
          <w:rFonts w:ascii="Calibri" w:eastAsia="Calibri" w:hAnsi="Calibri" w:cs="Calibri"/>
        </w:rPr>
        <w:t xml:space="preserve">must, where they are Tier 2 and Tier 3 local authorities, monitor and regularly assess and report on the supply of, and demand for, residential, commercial and industrial zoned </w:t>
      </w:r>
      <w:r w:rsidR="00417301" w:rsidRPr="00472578">
        <w:rPr>
          <w:rFonts w:ascii="Calibri" w:eastAsia="Calibri" w:hAnsi="Calibri" w:cs="Calibri"/>
          <w:i/>
        </w:rPr>
        <w:t xml:space="preserve">land </w:t>
      </w:r>
      <w:r w:rsidR="00417301" w:rsidRPr="00472578">
        <w:rPr>
          <w:rFonts w:ascii="Calibri" w:eastAsia="Calibri" w:hAnsi="Calibri" w:cs="Calibri"/>
          <w:i/>
        </w:rPr>
        <w:lastRenderedPageBreak/>
        <w:t xml:space="preserve">development capacity </w:t>
      </w:r>
      <w:r w:rsidR="00417301" w:rsidRPr="00472578">
        <w:rPr>
          <w:rFonts w:ascii="Calibri" w:eastAsia="Calibri" w:hAnsi="Calibri" w:cs="Calibri"/>
        </w:rPr>
        <w:t xml:space="preserve">available at the regional, district and </w:t>
      </w:r>
      <w:r w:rsidR="00417301" w:rsidRPr="00472578">
        <w:rPr>
          <w:rFonts w:ascii="Calibri" w:eastAsia="Calibri" w:hAnsi="Calibri" w:cs="Calibri"/>
          <w:i/>
        </w:rPr>
        <w:t xml:space="preserve">urban environment </w:t>
      </w:r>
      <w:r w:rsidR="00417301" w:rsidRPr="00472578">
        <w:rPr>
          <w:rFonts w:ascii="Calibri" w:eastAsia="Calibri" w:hAnsi="Calibri" w:cs="Calibri"/>
        </w:rPr>
        <w:t>scales, and other local authorities are encouraged to do so,</w:t>
      </w:r>
    </w:p>
    <w:p w14:paraId="52EB70F4" w14:textId="325F888F" w:rsidR="00AB5F68" w:rsidRPr="00472578" w:rsidRDefault="00AB5F68" w:rsidP="00E92686">
      <w:pPr>
        <w:widowControl w:val="0"/>
        <w:autoSpaceDE w:val="0"/>
        <w:autoSpaceDN w:val="0"/>
        <w:ind w:left="567" w:right="113"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t xml:space="preserve">must coordinate the redevelopment and intensification of urban areas and the development of extensions to urban areas with </w:t>
      </w:r>
      <w:r w:rsidRPr="00472578">
        <w:rPr>
          <w:rFonts w:ascii="Calibri" w:eastAsia="Calibri" w:hAnsi="Calibri" w:cs="Calibri"/>
          <w:i/>
        </w:rPr>
        <w:t xml:space="preserve">infrastructure </w:t>
      </w:r>
      <w:r w:rsidRPr="00472578">
        <w:rPr>
          <w:rFonts w:ascii="Calibri" w:eastAsia="Calibri" w:hAnsi="Calibri" w:cs="Calibri"/>
        </w:rPr>
        <w:t xml:space="preserve">planning and development programmes, to provide the required </w:t>
      </w:r>
      <w:r w:rsidRPr="00472578">
        <w:rPr>
          <w:rFonts w:ascii="Calibri" w:eastAsia="Calibri" w:hAnsi="Calibri" w:cs="Calibri"/>
          <w:i/>
        </w:rPr>
        <w:t xml:space="preserve">development infrastructure </w:t>
      </w:r>
      <w:r w:rsidRPr="00472578">
        <w:rPr>
          <w:rFonts w:ascii="Calibri" w:eastAsia="Calibri" w:hAnsi="Calibri" w:cs="Calibri"/>
        </w:rPr>
        <w:t xml:space="preserve">and </w:t>
      </w:r>
      <w:r w:rsidRPr="00472578">
        <w:rPr>
          <w:rFonts w:ascii="Calibri" w:eastAsia="Calibri" w:hAnsi="Calibri" w:cs="Calibri"/>
          <w:i/>
        </w:rPr>
        <w:t xml:space="preserve">additional infrastructure </w:t>
      </w:r>
      <w:r w:rsidRPr="00472578">
        <w:rPr>
          <w:rFonts w:ascii="Calibri" w:eastAsia="Calibri" w:hAnsi="Calibri" w:cs="Calibri"/>
        </w:rPr>
        <w:t xml:space="preserve">in an integrated, timely, efficient and effective way, and to identify </w:t>
      </w:r>
      <w:r w:rsidRPr="00472578">
        <w:rPr>
          <w:rFonts w:ascii="Calibri" w:eastAsia="Calibri" w:hAnsi="Calibri" w:cs="Calibri"/>
          <w:u w:val="single"/>
        </w:rPr>
        <w:t>major existing and future activities, constraints and opportunities</w:t>
      </w:r>
      <w:r w:rsidRPr="00472578">
        <w:rPr>
          <w:rStyle w:val="FootnoteReference"/>
          <w:rFonts w:ascii="Calibri" w:eastAsia="Calibri" w:hAnsi="Calibri" w:cs="Calibri"/>
        </w:rPr>
        <w:footnoteReference w:id="1406"/>
      </w:r>
      <w:r w:rsidRPr="00472578">
        <w:rPr>
          <w:rFonts w:ascii="Calibri" w:eastAsia="Calibri" w:hAnsi="Calibri" w:cs="Calibri"/>
        </w:rPr>
        <w:t xml:space="preserve"> and manage impacts on key values and resources, identified by this RPS, and for Tier 2 local authorities to achieve this through jointly developed </w:t>
      </w:r>
      <w:r w:rsidRPr="00472578">
        <w:rPr>
          <w:rFonts w:ascii="Calibri" w:eastAsia="Calibri" w:hAnsi="Calibri" w:cs="Calibri"/>
          <w:i/>
        </w:rPr>
        <w:t xml:space="preserve">Future Development Strategies </w:t>
      </w:r>
      <w:r w:rsidRPr="00472578">
        <w:rPr>
          <w:rFonts w:ascii="Calibri" w:eastAsia="Calibri" w:hAnsi="Calibri" w:cs="Calibri"/>
        </w:rPr>
        <w:t xml:space="preserve">and/or strategic planning, and for all other </w:t>
      </w:r>
      <w:r w:rsidRPr="00472578">
        <w:rPr>
          <w:rFonts w:ascii="Calibri" w:eastAsia="Calibri" w:hAnsi="Calibri" w:cs="Calibri"/>
          <w:i/>
        </w:rPr>
        <w:t xml:space="preserve">local authorities </w:t>
      </w:r>
      <w:r w:rsidRPr="00472578">
        <w:rPr>
          <w:rFonts w:ascii="Calibri" w:eastAsia="Calibri" w:hAnsi="Calibri" w:cs="Calibri"/>
        </w:rPr>
        <w:t>through strategic planning in accordance with UFD–P1,</w:t>
      </w:r>
    </w:p>
    <w:p w14:paraId="6C597C03" w14:textId="0F3F9F7C" w:rsidR="00417301" w:rsidRPr="00472578" w:rsidRDefault="009B4CF2" w:rsidP="00E92686">
      <w:pPr>
        <w:widowControl w:val="0"/>
        <w:autoSpaceDE w:val="0"/>
        <w:autoSpaceDN w:val="0"/>
        <w:ind w:left="567" w:right="115"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must, where they are Tier 2 local authorities, develop housing bottom lines for urban environments and include those bottom lines in APP10 and in the relevant </w:t>
      </w:r>
      <w:r w:rsidR="00417301" w:rsidRPr="00472578">
        <w:rPr>
          <w:rFonts w:ascii="Calibri" w:eastAsia="Calibri" w:hAnsi="Calibri" w:cs="Calibri"/>
          <w:i/>
        </w:rPr>
        <w:t>district plans</w:t>
      </w:r>
      <w:r w:rsidR="00417301" w:rsidRPr="00472578">
        <w:rPr>
          <w:rFonts w:ascii="Calibri" w:eastAsia="Calibri" w:hAnsi="Calibri" w:cs="Calibri"/>
        </w:rPr>
        <w:t>,</w:t>
      </w:r>
    </w:p>
    <w:p w14:paraId="3FF76105" w14:textId="31DE0911" w:rsidR="00417301" w:rsidRPr="00472578" w:rsidRDefault="009B4CF2" w:rsidP="00E92686">
      <w:pPr>
        <w:widowControl w:val="0"/>
        <w:tabs>
          <w:tab w:val="left" w:pos="867"/>
        </w:tabs>
        <w:autoSpaceDE w:val="0"/>
        <w:autoSpaceDN w:val="0"/>
        <w:ind w:left="567" w:right="114"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must individually or jointly develop further regulatory or non-regulatory methods and actions to implement strategic and spatial plans, including to guide the detail of how, when and where development occurs, including matters of urban design, requirements around the timing, provision, and responsibilities for open space, connections and infrastructure, including by third parties, and the ongoing management of effects of urban development on matters of local importance</w:t>
      </w:r>
      <w:r w:rsidR="00417301" w:rsidRPr="00472578">
        <w:rPr>
          <w:rFonts w:ascii="Calibri" w:eastAsia="Calibri" w:hAnsi="Calibri" w:cs="Calibri"/>
          <w:i/>
        </w:rPr>
        <w:t xml:space="preserve">, </w:t>
      </w:r>
      <w:r w:rsidR="00417301" w:rsidRPr="00472578">
        <w:rPr>
          <w:rFonts w:ascii="Calibri" w:eastAsia="Calibri" w:hAnsi="Calibri" w:cs="Calibri"/>
        </w:rPr>
        <w:t>and</w:t>
      </w:r>
    </w:p>
    <w:p w14:paraId="1051E63E" w14:textId="481155E1" w:rsidR="00417301" w:rsidRPr="00472578" w:rsidRDefault="009B4CF2"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(7)</w:t>
      </w:r>
      <w:r w:rsidRPr="00472578">
        <w:rPr>
          <w:rFonts w:ascii="Calibri" w:eastAsia="Calibri" w:hAnsi="Calibri" w:cs="Calibri"/>
        </w:rPr>
        <w:tab/>
      </w:r>
      <w:r w:rsidR="00417301" w:rsidRPr="00472578">
        <w:rPr>
          <w:rFonts w:ascii="Calibri" w:eastAsia="Calibri" w:hAnsi="Calibri" w:cs="Calibri"/>
        </w:rPr>
        <w:t xml:space="preserve">must involve </w:t>
      </w:r>
      <w:r w:rsidR="00417301" w:rsidRPr="00472578">
        <w:rPr>
          <w:rFonts w:ascii="Calibri" w:eastAsia="Calibri" w:hAnsi="Calibri" w:cs="Calibri"/>
          <w:i/>
        </w:rPr>
        <w:t xml:space="preserve">mana whenua, </w:t>
      </w:r>
      <w:r w:rsidR="00417301" w:rsidRPr="00472578">
        <w:rPr>
          <w:rFonts w:ascii="Calibri" w:eastAsia="Calibri" w:hAnsi="Calibri" w:cs="Calibri"/>
        </w:rPr>
        <w:t>and provide opportunities for iwi, hapū and whānau involvement in planning processes, including in decision making, to ensure provision is made for their needs and aspirations, and cultural practices and values and to ensure the requirements of the MW chapter are met, and the issues and values identified in RMIA are recognised and provided for.</w:t>
      </w:r>
    </w:p>
    <w:p w14:paraId="1A1E280A" w14:textId="40AAD7A1" w:rsidR="00417301" w:rsidRPr="00472578" w:rsidRDefault="009A45CE" w:rsidP="00E92686">
      <w:pPr>
        <w:pStyle w:val="Heading4"/>
        <w:jc w:val="both"/>
      </w:pPr>
      <w:r w:rsidRPr="00472578">
        <w:t>UFD-M</w:t>
      </w:r>
      <w:r w:rsidR="00417301" w:rsidRPr="00472578">
        <w:t xml:space="preserve">2 – </w:t>
      </w:r>
      <w:r w:rsidR="00417301" w:rsidRPr="00472578">
        <w:rPr>
          <w:i/>
          <w:iCs w:val="0"/>
        </w:rPr>
        <w:t>District plans</w:t>
      </w:r>
    </w:p>
    <w:p w14:paraId="11F2D70F" w14:textId="77777777" w:rsidR="00417301" w:rsidRPr="00472578" w:rsidRDefault="00417301" w:rsidP="00E92686">
      <w:pPr>
        <w:widowControl w:val="0"/>
        <w:autoSpaceDE w:val="0"/>
        <w:autoSpaceDN w:val="0"/>
        <w:jc w:val="both"/>
        <w:rPr>
          <w:rFonts w:ascii="Calibri" w:eastAsia="Calibri" w:hAnsi="Calibri" w:cs="Calibri"/>
        </w:rPr>
      </w:pPr>
      <w:r w:rsidRPr="00472578">
        <w:rPr>
          <w:rFonts w:ascii="Calibri" w:eastAsia="Calibri" w:hAnsi="Calibri" w:cs="Calibri"/>
          <w:i/>
        </w:rPr>
        <w:t xml:space="preserve">Territorial authorities </w:t>
      </w:r>
      <w:r w:rsidRPr="00472578">
        <w:rPr>
          <w:rFonts w:ascii="Calibri" w:eastAsia="Calibri" w:hAnsi="Calibri" w:cs="Calibri"/>
        </w:rPr>
        <w:t xml:space="preserve">must prepare or amend their </w:t>
      </w:r>
      <w:r w:rsidRPr="00472578">
        <w:rPr>
          <w:rFonts w:ascii="Calibri" w:eastAsia="Calibri" w:hAnsi="Calibri" w:cs="Calibri"/>
          <w:i/>
        </w:rPr>
        <w:t xml:space="preserve">district plans </w:t>
      </w:r>
      <w:r w:rsidRPr="00472578">
        <w:rPr>
          <w:rFonts w:ascii="Calibri" w:eastAsia="Calibri" w:hAnsi="Calibri" w:cs="Calibri"/>
        </w:rPr>
        <w:t>as soon as practicable, and maintain thereafter, to:</w:t>
      </w:r>
    </w:p>
    <w:p w14:paraId="2C31229B" w14:textId="143A9D36" w:rsidR="00417301" w:rsidRPr="00472578" w:rsidRDefault="009B4CF2"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w:t>
      </w:r>
      <w:r w:rsidRPr="00472578">
        <w:rPr>
          <w:rFonts w:ascii="Calibri" w:eastAsia="Calibri" w:hAnsi="Calibri" w:cs="Calibri"/>
        </w:rPr>
        <w:tab/>
      </w:r>
      <w:r w:rsidR="00417301" w:rsidRPr="00472578">
        <w:rPr>
          <w:rFonts w:ascii="Calibri" w:eastAsia="Calibri" w:hAnsi="Calibri" w:cs="Calibri"/>
        </w:rPr>
        <w:t>identify and provide for urban expansion and intensification, to occur in accordance with:</w:t>
      </w:r>
    </w:p>
    <w:p w14:paraId="74096B13" w14:textId="6C128694" w:rsidR="00417301" w:rsidRPr="00472578" w:rsidRDefault="009B4CF2" w:rsidP="00E92686">
      <w:pPr>
        <w:widowControl w:val="0"/>
        <w:tabs>
          <w:tab w:val="left" w:pos="1432"/>
          <w:tab w:val="left" w:pos="1433"/>
        </w:tabs>
        <w:autoSpaceDE w:val="0"/>
        <w:autoSpaceDN w:val="0"/>
        <w:ind w:left="1134" w:right="117"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r>
      <w:r w:rsidR="00417301" w:rsidRPr="00472578">
        <w:rPr>
          <w:rFonts w:ascii="Calibri" w:eastAsia="Calibri" w:hAnsi="Calibri" w:cs="Calibri"/>
        </w:rPr>
        <w:t xml:space="preserve">any adopted </w:t>
      </w:r>
      <w:r w:rsidR="00417301" w:rsidRPr="00472578">
        <w:rPr>
          <w:rFonts w:ascii="Calibri" w:eastAsia="Calibri" w:hAnsi="Calibri" w:cs="Calibri"/>
          <w:i/>
        </w:rPr>
        <w:t xml:space="preserve">future development strategy </w:t>
      </w:r>
      <w:r w:rsidR="00417301" w:rsidRPr="00472578">
        <w:rPr>
          <w:rFonts w:ascii="Calibri" w:eastAsia="Calibri" w:hAnsi="Calibri" w:cs="Calibri"/>
        </w:rPr>
        <w:t>for the relevant district or region, which must be completed in time to inform the 2024 Long Term Plan, or</w:t>
      </w:r>
    </w:p>
    <w:p w14:paraId="285D9EC8" w14:textId="624C8095" w:rsidR="00417301" w:rsidRPr="00472578" w:rsidRDefault="009B4CF2" w:rsidP="00E92686">
      <w:pPr>
        <w:widowControl w:val="0"/>
        <w:tabs>
          <w:tab w:val="left" w:pos="1432"/>
          <w:tab w:val="left" w:pos="1433"/>
        </w:tabs>
        <w:autoSpaceDE w:val="0"/>
        <w:autoSpaceDN w:val="0"/>
        <w:ind w:left="1134" w:right="115"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r>
      <w:r w:rsidR="00417301" w:rsidRPr="00472578">
        <w:rPr>
          <w:rFonts w:ascii="Calibri" w:eastAsia="Calibri" w:hAnsi="Calibri" w:cs="Calibri"/>
        </w:rPr>
        <w:t xml:space="preserve">where there is no </w:t>
      </w:r>
      <w:r w:rsidR="00417301" w:rsidRPr="00472578">
        <w:rPr>
          <w:rFonts w:ascii="Calibri" w:eastAsia="Calibri" w:hAnsi="Calibri" w:cs="Calibri"/>
          <w:i/>
        </w:rPr>
        <w:t xml:space="preserve">future development strategy, </w:t>
      </w:r>
      <w:r w:rsidR="00417301" w:rsidRPr="00472578">
        <w:rPr>
          <w:rFonts w:ascii="Calibri" w:eastAsia="Calibri" w:hAnsi="Calibri" w:cs="Calibri"/>
        </w:rPr>
        <w:t xml:space="preserve">a </w:t>
      </w:r>
      <w:r w:rsidR="00417301" w:rsidRPr="00472578">
        <w:rPr>
          <w:rFonts w:ascii="Calibri" w:eastAsia="Calibri" w:hAnsi="Calibri" w:cs="Calibri"/>
          <w:i/>
        </w:rPr>
        <w:t xml:space="preserve">local authority </w:t>
      </w:r>
      <w:r w:rsidR="00417301" w:rsidRPr="00472578">
        <w:rPr>
          <w:rFonts w:ascii="Calibri" w:eastAsia="Calibri" w:hAnsi="Calibri" w:cs="Calibri"/>
        </w:rPr>
        <w:t>adopted strategic plan developed in accordance with UFD-P1, for the relevant area, district or region,</w:t>
      </w:r>
    </w:p>
    <w:p w14:paraId="54AD44E2" w14:textId="76D096D3" w:rsidR="00A85827" w:rsidRPr="00472578" w:rsidRDefault="00A85827" w:rsidP="00E92686">
      <w:pPr>
        <w:widowControl w:val="0"/>
        <w:tabs>
          <w:tab w:val="left" w:pos="867"/>
        </w:tabs>
        <w:autoSpaceDE w:val="0"/>
        <w:autoSpaceDN w:val="0"/>
        <w:ind w:left="567" w:right="113" w:hanging="567"/>
        <w:jc w:val="both"/>
        <w:rPr>
          <w:rFonts w:ascii="Calibri" w:eastAsia="Calibri" w:hAnsi="Calibri" w:cs="Calibri"/>
        </w:rPr>
      </w:pPr>
      <w:r w:rsidRPr="00472578">
        <w:rPr>
          <w:rFonts w:ascii="Calibri" w:eastAsia="Calibri" w:hAnsi="Calibri" w:cs="Calibri"/>
        </w:rPr>
        <w:t>(2)</w:t>
      </w:r>
      <w:r w:rsidRPr="00472578">
        <w:rPr>
          <w:rFonts w:ascii="Calibri" w:eastAsia="Calibri" w:hAnsi="Calibri" w:cs="Calibri"/>
        </w:rPr>
        <w:tab/>
        <w:t xml:space="preserve">in accordance with any required </w:t>
      </w:r>
      <w:r w:rsidRPr="00472578">
        <w:rPr>
          <w:rFonts w:ascii="Calibri" w:eastAsia="Calibri" w:hAnsi="Calibri" w:cs="Calibri"/>
          <w:i/>
        </w:rPr>
        <w:t xml:space="preserve">Housing and Business Development Capacity Assessments </w:t>
      </w:r>
      <w:r w:rsidRPr="00472578">
        <w:rPr>
          <w:rFonts w:ascii="Calibri" w:eastAsia="Calibri" w:hAnsi="Calibri" w:cs="Calibri"/>
        </w:rPr>
        <w:t xml:space="preserve">or monitoring, including any </w:t>
      </w:r>
      <w:r w:rsidRPr="00472578">
        <w:rPr>
          <w:rFonts w:ascii="Calibri" w:eastAsia="Calibri" w:hAnsi="Calibri" w:cs="Calibri"/>
          <w:i/>
        </w:rPr>
        <w:t>competitiveness margin</w:t>
      </w:r>
      <w:r w:rsidRPr="00472578">
        <w:rPr>
          <w:rFonts w:ascii="Calibri" w:eastAsia="Calibri" w:hAnsi="Calibri" w:cs="Calibri"/>
        </w:rPr>
        <w:t xml:space="preserve">, ensure there is always </w:t>
      </w:r>
      <w:r w:rsidRPr="00472578">
        <w:rPr>
          <w:rFonts w:ascii="Calibri" w:eastAsia="Calibri" w:hAnsi="Calibri" w:cs="Calibri"/>
          <w:u w:val="single"/>
        </w:rPr>
        <w:t>at least</w:t>
      </w:r>
      <w:r w:rsidRPr="00472578">
        <w:rPr>
          <w:rStyle w:val="FootnoteReference"/>
          <w:rFonts w:ascii="Calibri" w:eastAsia="Calibri" w:hAnsi="Calibri" w:cs="Calibri"/>
        </w:rPr>
        <w:footnoteReference w:id="1407"/>
      </w:r>
      <w:r w:rsidRPr="00472578">
        <w:rPr>
          <w:rFonts w:ascii="Calibri" w:eastAsia="Calibri" w:hAnsi="Calibri" w:cs="Calibri"/>
        </w:rPr>
        <w:t xml:space="preserve"> sufficient </w:t>
      </w:r>
      <w:r w:rsidRPr="00472578">
        <w:rPr>
          <w:rFonts w:ascii="Calibri" w:eastAsia="Calibri" w:hAnsi="Calibri" w:cs="Calibri"/>
          <w:i/>
        </w:rPr>
        <w:t xml:space="preserve">development capacity </w:t>
      </w:r>
      <w:r w:rsidRPr="00472578">
        <w:rPr>
          <w:rFonts w:ascii="Calibri" w:eastAsia="Calibri" w:hAnsi="Calibri" w:cs="Calibri"/>
        </w:rPr>
        <w:t xml:space="preserve">that is feasible and likely to be taken up and, for Tier 2 urban environments, at a minimum meets the bottom lines for housing in APP-10, and meets the identified </w:t>
      </w:r>
      <w:r w:rsidRPr="00472578">
        <w:rPr>
          <w:rFonts w:ascii="Calibri" w:eastAsia="Calibri" w:hAnsi="Calibri" w:cs="Calibri"/>
          <w:i/>
        </w:rPr>
        <w:t xml:space="preserve">land </w:t>
      </w:r>
      <w:r w:rsidRPr="00472578">
        <w:rPr>
          <w:rFonts w:ascii="Calibri" w:eastAsia="Calibri" w:hAnsi="Calibri" w:cs="Calibri"/>
        </w:rPr>
        <w:t xml:space="preserve">size and locational needs of the commercial and industrial sectors, </w:t>
      </w:r>
      <w:r w:rsidRPr="00472578">
        <w:rPr>
          <w:rFonts w:ascii="Calibri" w:eastAsia="Calibri" w:hAnsi="Calibri" w:cs="Calibri"/>
          <w:u w:val="single"/>
        </w:rPr>
        <w:t>and where there is a shortage, respond in accordance with UFD-P2</w:t>
      </w:r>
      <w:r w:rsidR="009508C7" w:rsidRPr="00472578">
        <w:rPr>
          <w:rFonts w:ascii="Calibri" w:eastAsia="Calibri" w:hAnsi="Calibri" w:cs="Calibri"/>
          <w:u w:val="single"/>
        </w:rPr>
        <w:t>,</w:t>
      </w:r>
      <w:r w:rsidRPr="00472578">
        <w:rPr>
          <w:rStyle w:val="FootnoteReference"/>
          <w:rFonts w:ascii="Calibri" w:eastAsia="Calibri" w:hAnsi="Calibri" w:cs="Calibri"/>
        </w:rPr>
        <w:footnoteReference w:id="1408"/>
      </w:r>
    </w:p>
    <w:p w14:paraId="028619E7" w14:textId="4F0B46D5" w:rsidR="00417301" w:rsidRPr="00472578" w:rsidRDefault="009B4CF2"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lastRenderedPageBreak/>
        <w:t>(3)</w:t>
      </w:r>
      <w:r w:rsidRPr="00472578">
        <w:rPr>
          <w:rFonts w:ascii="Calibri" w:eastAsia="Calibri" w:hAnsi="Calibri" w:cs="Calibri"/>
        </w:rPr>
        <w:tab/>
      </w:r>
      <w:r w:rsidR="00417301" w:rsidRPr="00472578">
        <w:rPr>
          <w:rFonts w:ascii="Calibri" w:eastAsia="Calibri" w:hAnsi="Calibri" w:cs="Calibri"/>
        </w:rPr>
        <w:t>ensure that urban development is designed to:</w:t>
      </w:r>
    </w:p>
    <w:p w14:paraId="5F37F030" w14:textId="64260A0A" w:rsidR="00660E13" w:rsidRPr="00472578" w:rsidRDefault="00660E13" w:rsidP="00E92686">
      <w:pPr>
        <w:widowControl w:val="0"/>
        <w:tabs>
          <w:tab w:val="left" w:pos="1433"/>
        </w:tabs>
        <w:autoSpaceDE w:val="0"/>
        <w:autoSpaceDN w:val="0"/>
        <w:ind w:left="1134" w:right="113" w:hanging="567"/>
        <w:jc w:val="both"/>
        <w:rPr>
          <w:rFonts w:ascii="Calibri" w:eastAsia="Calibri" w:hAnsi="Calibri" w:cs="Calibri"/>
        </w:rPr>
      </w:pPr>
      <w:r w:rsidRPr="00472578">
        <w:rPr>
          <w:rFonts w:ascii="Calibri" w:eastAsia="Calibri" w:hAnsi="Calibri" w:cs="Calibri"/>
        </w:rPr>
        <w:t>(a)</w:t>
      </w:r>
      <w:r w:rsidRPr="00472578">
        <w:rPr>
          <w:rFonts w:ascii="Calibri" w:eastAsia="Calibri" w:hAnsi="Calibri" w:cs="Calibri"/>
        </w:rPr>
        <w:tab/>
        <w:t xml:space="preserve">achieve a built form that relates well to its surrounding </w:t>
      </w:r>
      <w:r w:rsidRPr="00472578">
        <w:rPr>
          <w:rFonts w:ascii="Calibri" w:eastAsia="Calibri" w:hAnsi="Calibri" w:cs="Calibri"/>
          <w:i/>
        </w:rPr>
        <w:t>environment</w:t>
      </w:r>
      <w:r w:rsidRPr="00472578">
        <w:rPr>
          <w:rFonts w:ascii="Calibri" w:eastAsia="Calibri" w:hAnsi="Calibri" w:cs="Calibri"/>
        </w:rPr>
        <w:t xml:space="preserve">, including by </w:t>
      </w:r>
      <w:r w:rsidR="00FD65BF" w:rsidRPr="00472578">
        <w:rPr>
          <w:rFonts w:ascii="Calibri" w:eastAsia="Calibri" w:hAnsi="Calibri" w:cs="Calibri"/>
        </w:rPr>
        <w:t>identifying and</w:t>
      </w:r>
      <w:r w:rsidRPr="00472578">
        <w:rPr>
          <w:rFonts w:ascii="Calibri" w:eastAsia="Calibri" w:hAnsi="Calibri" w:cs="Calibri"/>
        </w:rPr>
        <w:t xml:space="preserve"> managing impacts of </w:t>
      </w:r>
      <w:r w:rsidRPr="00FD6EC6">
        <w:rPr>
          <w:rFonts w:ascii="Calibri" w:eastAsia="Calibri" w:hAnsi="Calibri" w:cs="Calibri"/>
        </w:rPr>
        <w:t>urban</w:t>
      </w:r>
      <w:r w:rsidRPr="00FD6EC6">
        <w:rPr>
          <w:rFonts w:ascii="Calibri" w:eastAsia="Calibri" w:hAnsi="Calibri" w:cs="Calibri"/>
          <w:spacing w:val="-1"/>
        </w:rPr>
        <w:t xml:space="preserve"> </w:t>
      </w:r>
      <w:r w:rsidRPr="00472578">
        <w:rPr>
          <w:rFonts w:ascii="Calibri" w:eastAsia="Calibri" w:hAnsi="Calibri" w:cs="Calibri"/>
        </w:rPr>
        <w:t>development on values and resources identified in this RPS,</w:t>
      </w:r>
    </w:p>
    <w:p w14:paraId="25BA6F3A" w14:textId="754AE57E" w:rsidR="00417301" w:rsidRPr="00472578" w:rsidRDefault="009B4CF2" w:rsidP="00E92686">
      <w:pPr>
        <w:widowControl w:val="0"/>
        <w:tabs>
          <w:tab w:val="left" w:pos="1433"/>
        </w:tabs>
        <w:autoSpaceDE w:val="0"/>
        <w:autoSpaceDN w:val="0"/>
        <w:ind w:left="1134" w:right="116" w:hanging="567"/>
        <w:jc w:val="both"/>
        <w:rPr>
          <w:rFonts w:ascii="Calibri" w:eastAsia="Calibri" w:hAnsi="Calibri" w:cs="Calibri"/>
        </w:rPr>
      </w:pPr>
      <w:r w:rsidRPr="00472578">
        <w:rPr>
          <w:rFonts w:ascii="Calibri" w:eastAsia="Calibri" w:hAnsi="Calibri" w:cs="Calibri"/>
        </w:rPr>
        <w:t>(b)</w:t>
      </w:r>
      <w:r w:rsidRPr="00472578">
        <w:rPr>
          <w:rFonts w:ascii="Calibri" w:eastAsia="Calibri" w:hAnsi="Calibri" w:cs="Calibri"/>
        </w:rPr>
        <w:tab/>
      </w:r>
      <w:r w:rsidR="00417301" w:rsidRPr="00472578">
        <w:rPr>
          <w:rFonts w:ascii="Calibri" w:eastAsia="Calibri" w:hAnsi="Calibri" w:cs="Calibri"/>
        </w:rPr>
        <w:t xml:space="preserve">provide for a diverse range of housing, </w:t>
      </w:r>
      <w:r w:rsidR="00417301" w:rsidRPr="00472578">
        <w:rPr>
          <w:rFonts w:ascii="Calibri" w:eastAsia="Calibri" w:hAnsi="Calibri" w:cs="Calibri"/>
          <w:i/>
        </w:rPr>
        <w:t>commercial activities</w:t>
      </w:r>
      <w:r w:rsidR="00417301" w:rsidRPr="00472578">
        <w:rPr>
          <w:rFonts w:ascii="Calibri" w:eastAsia="Calibri" w:hAnsi="Calibri" w:cs="Calibri"/>
        </w:rPr>
        <w:t>, industrial and service activities, social and cultural opportunities,</w:t>
      </w:r>
    </w:p>
    <w:p w14:paraId="7C49D211" w14:textId="5DCB1064" w:rsidR="00417301" w:rsidRPr="00472578" w:rsidRDefault="009B4CF2" w:rsidP="00E92686">
      <w:pPr>
        <w:widowControl w:val="0"/>
        <w:tabs>
          <w:tab w:val="left" w:pos="1433"/>
        </w:tabs>
        <w:autoSpaceDE w:val="0"/>
        <w:autoSpaceDN w:val="0"/>
        <w:ind w:left="1134" w:right="116" w:hanging="567"/>
        <w:jc w:val="both"/>
        <w:rPr>
          <w:rFonts w:ascii="Calibri" w:eastAsia="Calibri" w:hAnsi="Calibri" w:cs="Calibri"/>
        </w:rPr>
      </w:pPr>
      <w:r w:rsidRPr="00472578">
        <w:rPr>
          <w:rFonts w:ascii="Calibri" w:eastAsia="Calibri" w:hAnsi="Calibri" w:cs="Calibri"/>
        </w:rPr>
        <w:t>(c)</w:t>
      </w:r>
      <w:r w:rsidRPr="00472578">
        <w:rPr>
          <w:rFonts w:ascii="Calibri" w:eastAsia="Calibri" w:hAnsi="Calibri" w:cs="Calibri"/>
        </w:rPr>
        <w:tab/>
      </w:r>
      <w:r w:rsidR="00417301" w:rsidRPr="00472578">
        <w:rPr>
          <w:rFonts w:ascii="Calibri" w:eastAsia="Calibri" w:hAnsi="Calibri" w:cs="Calibri"/>
        </w:rPr>
        <w:t xml:space="preserve">achieve an efficient use of </w:t>
      </w:r>
      <w:r w:rsidR="00417301" w:rsidRPr="00472578">
        <w:rPr>
          <w:rFonts w:ascii="Calibri" w:eastAsia="Calibri" w:hAnsi="Calibri" w:cs="Calibri"/>
          <w:i/>
          <w:iCs/>
        </w:rPr>
        <w:t>land, energy</w:t>
      </w:r>
      <w:r w:rsidR="00417301" w:rsidRPr="00472578">
        <w:rPr>
          <w:rFonts w:ascii="Calibri" w:eastAsia="Calibri" w:hAnsi="Calibri" w:cs="Calibri"/>
        </w:rPr>
        <w:t xml:space="preserve">, </w:t>
      </w:r>
      <w:r w:rsidR="00417301" w:rsidRPr="00472578">
        <w:rPr>
          <w:rFonts w:ascii="Calibri" w:eastAsia="Calibri" w:hAnsi="Calibri" w:cs="Calibri"/>
          <w:i/>
          <w:iCs/>
        </w:rPr>
        <w:t>water</w:t>
      </w:r>
      <w:r w:rsidR="00417301" w:rsidRPr="00472578">
        <w:rPr>
          <w:rFonts w:ascii="Calibri" w:eastAsia="Calibri" w:hAnsi="Calibri" w:cs="Calibri"/>
        </w:rPr>
        <w:t xml:space="preserve"> and infrastructure,</w:t>
      </w:r>
    </w:p>
    <w:p w14:paraId="370CD9C0" w14:textId="0AABAADA" w:rsidR="00417301" w:rsidRPr="00472578" w:rsidRDefault="009B4CF2" w:rsidP="00E92686">
      <w:pPr>
        <w:widowControl w:val="0"/>
        <w:tabs>
          <w:tab w:val="left" w:pos="1433"/>
        </w:tabs>
        <w:autoSpaceDE w:val="0"/>
        <w:autoSpaceDN w:val="0"/>
        <w:ind w:left="1134" w:right="116" w:hanging="567"/>
        <w:jc w:val="both"/>
        <w:rPr>
          <w:rFonts w:ascii="Calibri" w:eastAsia="Calibri" w:hAnsi="Calibri" w:cs="Calibri"/>
        </w:rPr>
      </w:pPr>
      <w:r w:rsidRPr="00472578">
        <w:rPr>
          <w:rFonts w:ascii="Calibri" w:eastAsia="Calibri" w:hAnsi="Calibri" w:cs="Calibri"/>
        </w:rPr>
        <w:t>(d)</w:t>
      </w:r>
      <w:r w:rsidRPr="00472578">
        <w:rPr>
          <w:rFonts w:ascii="Calibri" w:eastAsia="Calibri" w:hAnsi="Calibri" w:cs="Calibri"/>
        </w:rPr>
        <w:tab/>
      </w:r>
      <w:r w:rsidR="00417301" w:rsidRPr="00472578">
        <w:rPr>
          <w:rFonts w:ascii="Calibri" w:eastAsia="Calibri" w:hAnsi="Calibri" w:cs="Calibri"/>
        </w:rPr>
        <w:t>promote the use of water sensitive design wherever practicable,</w:t>
      </w:r>
    </w:p>
    <w:p w14:paraId="030A7318" w14:textId="49A6B944" w:rsidR="00417301" w:rsidRPr="00472578" w:rsidRDefault="009B4CF2" w:rsidP="00E92686">
      <w:pPr>
        <w:widowControl w:val="0"/>
        <w:tabs>
          <w:tab w:val="left" w:pos="1433"/>
        </w:tabs>
        <w:autoSpaceDE w:val="0"/>
        <w:autoSpaceDN w:val="0"/>
        <w:ind w:left="1134" w:right="118" w:hanging="567"/>
        <w:jc w:val="both"/>
        <w:rPr>
          <w:rFonts w:ascii="Calibri" w:eastAsia="Calibri" w:hAnsi="Calibri" w:cs="Calibri"/>
        </w:rPr>
      </w:pPr>
      <w:r w:rsidRPr="00472578">
        <w:rPr>
          <w:rFonts w:ascii="Calibri" w:eastAsia="Calibri" w:hAnsi="Calibri" w:cs="Calibri"/>
        </w:rPr>
        <w:t>(e)</w:t>
      </w:r>
      <w:r w:rsidRPr="00472578">
        <w:rPr>
          <w:rFonts w:ascii="Calibri" w:eastAsia="Calibri" w:hAnsi="Calibri" w:cs="Calibri"/>
        </w:rPr>
        <w:tab/>
      </w:r>
      <w:r w:rsidR="00417301" w:rsidRPr="00472578">
        <w:rPr>
          <w:rFonts w:ascii="Calibri" w:eastAsia="Calibri" w:hAnsi="Calibri" w:cs="Calibri"/>
        </w:rPr>
        <w:t xml:space="preserve">minimise the potential for reverse sensitivity </w:t>
      </w:r>
      <w:r w:rsidR="00417301" w:rsidRPr="00472578">
        <w:rPr>
          <w:rFonts w:ascii="Calibri" w:eastAsia="Calibri" w:hAnsi="Calibri" w:cs="Calibri"/>
          <w:i/>
        </w:rPr>
        <w:t xml:space="preserve">effects </w:t>
      </w:r>
      <w:r w:rsidR="00417301" w:rsidRPr="00472578">
        <w:rPr>
          <w:rFonts w:ascii="Calibri" w:eastAsia="Calibri" w:hAnsi="Calibri" w:cs="Calibri"/>
        </w:rPr>
        <w:t xml:space="preserve">to arise, by managing the location of incompatible activities, </w:t>
      </w:r>
      <w:r w:rsidR="00417301" w:rsidRPr="639E38F9">
        <w:rPr>
          <w:u w:val="single" w:color="000000" w:themeColor="text1"/>
        </w:rPr>
        <w:t>within the urban area, at the rural</w:t>
      </w:r>
      <w:r w:rsidR="00FC56FC" w:rsidRPr="639E38F9">
        <w:rPr>
          <w:u w:val="single" w:color="000000" w:themeColor="text1"/>
        </w:rPr>
        <w:t>-</w:t>
      </w:r>
      <w:r w:rsidR="00417301" w:rsidRPr="639E38F9">
        <w:rPr>
          <w:u w:val="single" w:color="000000" w:themeColor="text1"/>
        </w:rPr>
        <w:t xml:space="preserve">urban interface, and in rural areas , </w:t>
      </w:r>
      <w:r w:rsidR="00417301" w:rsidRPr="639E38F9">
        <w:rPr>
          <w:strike/>
        </w:rPr>
        <w:t>and</w:t>
      </w:r>
      <w:r w:rsidR="00417301" w:rsidRPr="639E38F9">
        <w:rPr>
          <w:rStyle w:val="FootnoteReference"/>
        </w:rPr>
        <w:footnoteReference w:id="1409"/>
      </w:r>
    </w:p>
    <w:p w14:paraId="42EE191D" w14:textId="5D73BD91" w:rsidR="00417301" w:rsidRPr="00472578" w:rsidRDefault="00417301" w:rsidP="00E92686">
      <w:pPr>
        <w:widowControl w:val="0"/>
        <w:tabs>
          <w:tab w:val="left" w:pos="1433"/>
        </w:tabs>
        <w:autoSpaceDE w:val="0"/>
        <w:autoSpaceDN w:val="0"/>
        <w:ind w:left="1134" w:right="118" w:hanging="567"/>
        <w:jc w:val="both"/>
        <w:rPr>
          <w:rFonts w:ascii="Calibri" w:eastAsia="Calibri" w:hAnsi="Calibri" w:cs="Calibri"/>
        </w:rPr>
      </w:pPr>
      <w:r w:rsidRPr="639E38F9">
        <w:rPr>
          <w:u w:val="single" w:color="000000" w:themeColor="text1"/>
        </w:rPr>
        <w:t xml:space="preserve">(ea) </w:t>
      </w:r>
      <w:r w:rsidRPr="00472578">
        <w:rPr>
          <w:rFonts w:cstheme="minorHAnsi"/>
          <w:u w:val="single" w:color="000000" w:themeColor="text1"/>
        </w:rPr>
        <w:tab/>
      </w:r>
      <w:r w:rsidRPr="639E38F9">
        <w:rPr>
          <w:u w:val="single" w:color="000000" w:themeColor="text1"/>
        </w:rPr>
        <w:t xml:space="preserve">avoid the potential for reverse sensitivity effects on </w:t>
      </w:r>
      <w:r w:rsidR="00FE3C5A" w:rsidRPr="639E38F9">
        <w:rPr>
          <w:i/>
          <w:u w:val="single" w:color="000000" w:themeColor="text1"/>
        </w:rPr>
        <w:t xml:space="preserve">nationally significant infrastructure </w:t>
      </w:r>
      <w:r w:rsidR="00FE3C5A" w:rsidRPr="639E38F9">
        <w:rPr>
          <w:u w:val="single" w:color="000000" w:themeColor="text1"/>
        </w:rPr>
        <w:t xml:space="preserve">and </w:t>
      </w:r>
      <w:r w:rsidRPr="639E38F9">
        <w:rPr>
          <w:i/>
          <w:u w:val="single" w:color="000000" w:themeColor="text1"/>
        </w:rPr>
        <w:t>regionally</w:t>
      </w:r>
      <w:r w:rsidR="00FE3C5A" w:rsidRPr="639E38F9">
        <w:rPr>
          <w:i/>
          <w:u w:val="single" w:color="000000" w:themeColor="text1"/>
        </w:rPr>
        <w:t xml:space="preserve"> significant infrastructure</w:t>
      </w:r>
      <w:r w:rsidRPr="639E38F9">
        <w:rPr>
          <w:u w:val="single" w:color="000000" w:themeColor="text1"/>
        </w:rPr>
        <w:t xml:space="preserve">, </w:t>
      </w:r>
      <w:r w:rsidRPr="00472578">
        <w:rPr>
          <w:rFonts w:ascii="Calibri" w:eastAsia="Calibri" w:hAnsi="Calibri" w:cs="Calibri"/>
          <w:u w:val="single"/>
        </w:rPr>
        <w:t>and</w:t>
      </w:r>
      <w:r w:rsidRPr="00472578">
        <w:rPr>
          <w:rStyle w:val="FootnoteReference"/>
          <w:rFonts w:ascii="Calibri" w:eastAsia="Calibri" w:hAnsi="Calibri" w:cs="Calibri"/>
        </w:rPr>
        <w:footnoteReference w:id="1410"/>
      </w:r>
    </w:p>
    <w:p w14:paraId="43464C9F" w14:textId="116BFD1E" w:rsidR="00417301" w:rsidRPr="00472578" w:rsidRDefault="009B4CF2" w:rsidP="00E92686">
      <w:pPr>
        <w:widowControl w:val="0"/>
        <w:tabs>
          <w:tab w:val="left" w:pos="1433"/>
        </w:tabs>
        <w:autoSpaceDE w:val="0"/>
        <w:autoSpaceDN w:val="0"/>
        <w:ind w:left="1134" w:right="118" w:hanging="567"/>
        <w:jc w:val="both"/>
        <w:rPr>
          <w:rFonts w:ascii="Calibri" w:eastAsia="Calibri" w:hAnsi="Calibri" w:cs="Calibri"/>
        </w:rPr>
      </w:pPr>
      <w:r w:rsidRPr="00472578">
        <w:rPr>
          <w:rFonts w:ascii="Calibri" w:eastAsia="Calibri" w:hAnsi="Calibri" w:cs="Calibri"/>
        </w:rPr>
        <w:t>(f)</w:t>
      </w:r>
      <w:r w:rsidRPr="00472578">
        <w:rPr>
          <w:rFonts w:ascii="Calibri" w:eastAsia="Calibri" w:hAnsi="Calibri" w:cs="Calibri"/>
        </w:rPr>
        <w:tab/>
      </w:r>
      <w:r w:rsidR="00417301" w:rsidRPr="00472578">
        <w:rPr>
          <w:rFonts w:ascii="Calibri" w:eastAsia="Calibri" w:hAnsi="Calibri" w:cs="Calibri"/>
        </w:rPr>
        <w:t xml:space="preserve">reduce the adverse </w:t>
      </w:r>
      <w:r w:rsidR="00417301" w:rsidRPr="00472578">
        <w:rPr>
          <w:rFonts w:ascii="Calibri" w:eastAsia="Calibri" w:hAnsi="Calibri" w:cs="Calibri"/>
          <w:i/>
        </w:rPr>
        <w:t xml:space="preserve">effects </w:t>
      </w:r>
      <w:r w:rsidR="00417301" w:rsidRPr="00472578">
        <w:rPr>
          <w:rFonts w:ascii="Calibri" w:eastAsia="Calibri" w:hAnsi="Calibri" w:cs="Calibri"/>
        </w:rPr>
        <w:t>of Otago’s cooler winter climate through designing new subdivision and development to maximise passive winter solar gain and winter heat retention, including through roading, lot size, dimensions, layout and orientation,</w:t>
      </w:r>
    </w:p>
    <w:p w14:paraId="4E0FA96F" w14:textId="2F144531" w:rsidR="00417301" w:rsidRPr="00472578" w:rsidRDefault="009B4CF2" w:rsidP="00E92686">
      <w:pPr>
        <w:widowControl w:val="0"/>
        <w:autoSpaceDE w:val="0"/>
        <w:autoSpaceDN w:val="0"/>
        <w:spacing w:line="254" w:lineRule="auto"/>
        <w:ind w:left="567" w:right="119" w:hanging="567"/>
        <w:jc w:val="both"/>
        <w:rPr>
          <w:rFonts w:ascii="Calibri" w:eastAsia="Calibri" w:hAnsi="Calibri" w:cs="Calibri"/>
        </w:rPr>
      </w:pPr>
      <w:r w:rsidRPr="00472578">
        <w:rPr>
          <w:rFonts w:ascii="Calibri" w:eastAsia="Calibri" w:hAnsi="Calibri" w:cs="Calibri"/>
        </w:rPr>
        <w:t>(4)</w:t>
      </w:r>
      <w:r w:rsidRPr="00472578">
        <w:rPr>
          <w:rFonts w:ascii="Calibri" w:eastAsia="Calibri" w:hAnsi="Calibri" w:cs="Calibri"/>
        </w:rPr>
        <w:tab/>
      </w:r>
      <w:r w:rsidR="00417301" w:rsidRPr="00472578">
        <w:rPr>
          <w:rFonts w:ascii="Calibri" w:eastAsia="Calibri" w:hAnsi="Calibri" w:cs="Calibri"/>
        </w:rPr>
        <w:t xml:space="preserve">identify and provide for locations that are suitable for urban intensification in accordance with </w:t>
      </w:r>
      <w:r w:rsidR="009A45CE" w:rsidRPr="00472578">
        <w:rPr>
          <w:rFonts w:ascii="Calibri" w:eastAsia="Calibri" w:hAnsi="Calibri" w:cs="Calibri"/>
        </w:rPr>
        <w:t>UFD-P</w:t>
      </w:r>
      <w:r w:rsidR="00417301" w:rsidRPr="00472578">
        <w:rPr>
          <w:rFonts w:ascii="Calibri" w:eastAsia="Calibri" w:hAnsi="Calibri" w:cs="Calibri"/>
          <w:strike/>
        </w:rPr>
        <w:t>2</w:t>
      </w:r>
      <w:r w:rsidR="00417301" w:rsidRPr="00472578">
        <w:rPr>
          <w:rFonts w:ascii="Calibri" w:eastAsia="Calibri" w:hAnsi="Calibri" w:cs="Calibri"/>
          <w:u w:val="single"/>
        </w:rPr>
        <w:t>3</w:t>
      </w:r>
      <w:r w:rsidR="00417301" w:rsidRPr="00472578">
        <w:rPr>
          <w:rFonts w:ascii="Calibri" w:eastAsia="Calibri" w:hAnsi="Calibri" w:cs="Calibri"/>
        </w:rPr>
        <w:t>,</w:t>
      </w:r>
      <w:r w:rsidR="00417301" w:rsidRPr="00472578">
        <w:rPr>
          <w:rStyle w:val="FootnoteReference"/>
          <w:rFonts w:ascii="Calibri" w:eastAsia="Calibri" w:hAnsi="Calibri" w:cs="Calibri"/>
        </w:rPr>
        <w:footnoteReference w:id="1411"/>
      </w:r>
    </w:p>
    <w:p w14:paraId="49E3E2A9" w14:textId="13B241A6" w:rsidR="00417301" w:rsidRPr="00472578" w:rsidRDefault="009B4CF2" w:rsidP="00E92686">
      <w:pPr>
        <w:widowControl w:val="0"/>
        <w:autoSpaceDE w:val="0"/>
        <w:autoSpaceDN w:val="0"/>
        <w:spacing w:line="254" w:lineRule="auto"/>
        <w:ind w:left="567" w:right="116" w:hanging="567"/>
        <w:jc w:val="both"/>
        <w:rPr>
          <w:rFonts w:ascii="Calibri" w:eastAsia="Calibri" w:hAnsi="Calibri" w:cs="Calibri"/>
        </w:rPr>
      </w:pPr>
      <w:r w:rsidRPr="00472578">
        <w:rPr>
          <w:rFonts w:ascii="Calibri" w:eastAsia="Calibri" w:hAnsi="Calibri" w:cs="Calibri"/>
        </w:rPr>
        <w:t>(5)</w:t>
      </w:r>
      <w:r w:rsidRPr="00472578">
        <w:rPr>
          <w:rFonts w:ascii="Calibri" w:eastAsia="Calibri" w:hAnsi="Calibri" w:cs="Calibri"/>
        </w:rPr>
        <w:tab/>
      </w:r>
      <w:r w:rsidR="00417301" w:rsidRPr="00472578">
        <w:rPr>
          <w:rFonts w:ascii="Calibri" w:eastAsia="Calibri" w:hAnsi="Calibri" w:cs="Calibri"/>
        </w:rPr>
        <w:t xml:space="preserve">identify and provide for locations that are suitable for urban expansion, if any, in accordance with </w:t>
      </w:r>
      <w:r w:rsidR="009A45CE" w:rsidRPr="00472578">
        <w:rPr>
          <w:rFonts w:ascii="Calibri" w:eastAsia="Calibri" w:hAnsi="Calibri" w:cs="Calibri"/>
        </w:rPr>
        <w:t>UFD-P</w:t>
      </w:r>
      <w:r w:rsidR="00417301" w:rsidRPr="00472578">
        <w:rPr>
          <w:rFonts w:ascii="Calibri" w:eastAsia="Calibri" w:hAnsi="Calibri" w:cs="Calibri"/>
          <w:strike/>
        </w:rPr>
        <w:t>3</w:t>
      </w:r>
      <w:r w:rsidR="00417301" w:rsidRPr="00472578">
        <w:rPr>
          <w:rFonts w:ascii="Calibri" w:eastAsia="Calibri" w:hAnsi="Calibri" w:cs="Calibri"/>
          <w:u w:val="single"/>
        </w:rPr>
        <w:t>4</w:t>
      </w:r>
      <w:r w:rsidR="00417301" w:rsidRPr="00472578">
        <w:rPr>
          <w:rFonts w:ascii="Calibri" w:eastAsia="Calibri" w:hAnsi="Calibri" w:cs="Calibri"/>
        </w:rPr>
        <w:t>,</w:t>
      </w:r>
      <w:r w:rsidR="00417301" w:rsidRPr="00472578">
        <w:rPr>
          <w:rStyle w:val="FootnoteReference"/>
          <w:rFonts w:ascii="Calibri" w:eastAsia="Calibri" w:hAnsi="Calibri" w:cs="Calibri"/>
        </w:rPr>
        <w:footnoteReference w:id="1412"/>
      </w:r>
    </w:p>
    <w:p w14:paraId="07BE8B42" w14:textId="1CDC79D3" w:rsidR="00417301" w:rsidRPr="00472578" w:rsidRDefault="009B4CF2"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(6)</w:t>
      </w:r>
      <w:r w:rsidRPr="00472578">
        <w:rPr>
          <w:rFonts w:ascii="Calibri" w:eastAsia="Calibri" w:hAnsi="Calibri" w:cs="Calibri"/>
        </w:rPr>
        <w:tab/>
      </w:r>
      <w:r w:rsidR="00417301" w:rsidRPr="00472578">
        <w:rPr>
          <w:rFonts w:ascii="Calibri" w:eastAsia="Calibri" w:hAnsi="Calibri" w:cs="Calibri"/>
        </w:rPr>
        <w:t xml:space="preserve">identify and provide for </w:t>
      </w:r>
      <w:r w:rsidR="00417301" w:rsidRPr="00472578">
        <w:rPr>
          <w:rFonts w:ascii="Calibri" w:eastAsia="Calibri" w:hAnsi="Calibri" w:cs="Calibri"/>
          <w:i/>
        </w:rPr>
        <w:t xml:space="preserve">commercial activities </w:t>
      </w:r>
      <w:r w:rsidR="00417301" w:rsidRPr="00472578">
        <w:rPr>
          <w:rFonts w:ascii="Calibri" w:eastAsia="Calibri" w:hAnsi="Calibri" w:cs="Calibri"/>
        </w:rPr>
        <w:t xml:space="preserve">in accordance with </w:t>
      </w:r>
      <w:r w:rsidR="009A45CE" w:rsidRPr="00472578">
        <w:rPr>
          <w:rFonts w:ascii="Calibri" w:eastAsia="Calibri" w:hAnsi="Calibri" w:cs="Calibri"/>
        </w:rPr>
        <w:t>UFD-P</w:t>
      </w:r>
      <w:r w:rsidR="00417301" w:rsidRPr="00472578">
        <w:rPr>
          <w:rFonts w:ascii="Calibri" w:eastAsia="Calibri" w:hAnsi="Calibri" w:cs="Calibri"/>
        </w:rPr>
        <w:t>5,</w:t>
      </w:r>
    </w:p>
    <w:p w14:paraId="33F105E5" w14:textId="453A5DFA" w:rsidR="00417301" w:rsidRPr="00472578" w:rsidRDefault="009B4CF2" w:rsidP="00E92686">
      <w:pPr>
        <w:widowControl w:val="0"/>
        <w:tabs>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(7)</w:t>
      </w:r>
      <w:r w:rsidRPr="00472578">
        <w:rPr>
          <w:rFonts w:ascii="Calibri" w:eastAsia="Calibri" w:hAnsi="Calibri" w:cs="Calibri"/>
        </w:rPr>
        <w:tab/>
      </w:r>
      <w:r w:rsidR="00417301" w:rsidRPr="00472578">
        <w:rPr>
          <w:rFonts w:ascii="Calibri" w:eastAsia="Calibri" w:hAnsi="Calibri" w:cs="Calibri"/>
        </w:rPr>
        <w:t xml:space="preserve">identify and provide for </w:t>
      </w:r>
      <w:r w:rsidR="00417301" w:rsidRPr="00472578">
        <w:rPr>
          <w:rFonts w:ascii="Calibri" w:eastAsia="Calibri" w:hAnsi="Calibri" w:cs="Calibri"/>
          <w:i/>
          <w:iCs/>
        </w:rPr>
        <w:t>industrial activities</w:t>
      </w:r>
      <w:r w:rsidR="00417301" w:rsidRPr="00472578">
        <w:rPr>
          <w:rFonts w:ascii="Calibri" w:eastAsia="Calibri" w:hAnsi="Calibri" w:cs="Calibri"/>
        </w:rPr>
        <w:t xml:space="preserve"> in accordance with </w:t>
      </w:r>
      <w:r w:rsidR="009A45CE" w:rsidRPr="00472578">
        <w:rPr>
          <w:rFonts w:ascii="Calibri" w:eastAsia="Calibri" w:hAnsi="Calibri" w:cs="Calibri"/>
        </w:rPr>
        <w:t>UFD-P</w:t>
      </w:r>
      <w:r w:rsidR="00417301" w:rsidRPr="00472578">
        <w:rPr>
          <w:rFonts w:ascii="Calibri" w:eastAsia="Calibri" w:hAnsi="Calibri" w:cs="Calibri"/>
        </w:rPr>
        <w:t>6,</w:t>
      </w:r>
    </w:p>
    <w:p w14:paraId="407BEE65" w14:textId="4989D167" w:rsidR="00417301" w:rsidRPr="00472578" w:rsidRDefault="009B4CF2"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(8)</w:t>
      </w:r>
      <w:r w:rsidRPr="00472578">
        <w:rPr>
          <w:rFonts w:ascii="Calibri" w:eastAsia="Calibri" w:hAnsi="Calibri" w:cs="Calibri"/>
        </w:rPr>
        <w:tab/>
      </w:r>
      <w:r w:rsidR="00417301" w:rsidRPr="00472578">
        <w:rPr>
          <w:rFonts w:ascii="Calibri" w:eastAsia="Calibri" w:hAnsi="Calibri" w:cs="Calibri"/>
        </w:rPr>
        <w:t xml:space="preserve">manage development in </w:t>
      </w:r>
      <w:r w:rsidR="00417301" w:rsidRPr="00472578">
        <w:rPr>
          <w:rFonts w:ascii="Calibri" w:eastAsia="Calibri" w:hAnsi="Calibri" w:cs="Calibri"/>
          <w:i/>
        </w:rPr>
        <w:t xml:space="preserve">rural areas </w:t>
      </w:r>
      <w:r w:rsidR="00417301" w:rsidRPr="00472578">
        <w:rPr>
          <w:rFonts w:ascii="Calibri" w:eastAsia="Calibri" w:hAnsi="Calibri" w:cs="Calibri"/>
        </w:rPr>
        <w:t xml:space="preserve">in accordance with </w:t>
      </w:r>
      <w:r w:rsidR="009A45CE" w:rsidRPr="00472578">
        <w:rPr>
          <w:rFonts w:ascii="Calibri" w:eastAsia="Calibri" w:hAnsi="Calibri" w:cs="Calibri"/>
        </w:rPr>
        <w:t>UFD-P</w:t>
      </w:r>
      <w:r w:rsidR="00417301" w:rsidRPr="00472578">
        <w:rPr>
          <w:rFonts w:ascii="Calibri" w:eastAsia="Calibri" w:hAnsi="Calibri" w:cs="Calibri"/>
        </w:rPr>
        <w:t>7,</w:t>
      </w:r>
    </w:p>
    <w:p w14:paraId="470C2177" w14:textId="2CDEEE27" w:rsidR="00EA4BD5" w:rsidRPr="00472578" w:rsidRDefault="00EA4BD5"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(9)</w:t>
      </w:r>
      <w:r w:rsidRPr="00472578">
        <w:rPr>
          <w:rFonts w:ascii="Calibri" w:eastAsia="Calibri" w:hAnsi="Calibri" w:cs="Calibri"/>
        </w:rPr>
        <w:tab/>
        <w:t xml:space="preserve">manage rural residential and rural lifestyle activities </w:t>
      </w:r>
      <w:r w:rsidRPr="00472578">
        <w:rPr>
          <w:rFonts w:ascii="Calibri" w:eastAsia="Calibri" w:hAnsi="Calibri" w:cs="Calibri"/>
          <w:strike/>
        </w:rPr>
        <w:t xml:space="preserve">in </w:t>
      </w:r>
      <w:r w:rsidRPr="00472578">
        <w:rPr>
          <w:rFonts w:ascii="Calibri" w:eastAsia="Calibri" w:hAnsi="Calibri" w:cs="Calibri"/>
          <w:i/>
          <w:strike/>
        </w:rPr>
        <w:t>rural areas</w:t>
      </w:r>
      <w:r w:rsidRPr="00472578">
        <w:rPr>
          <w:rStyle w:val="FootnoteReference"/>
          <w:rFonts w:ascii="Calibri" w:eastAsia="Calibri" w:hAnsi="Calibri" w:cs="Calibri"/>
          <w:i/>
        </w:rPr>
        <w:footnoteReference w:id="1413"/>
      </w:r>
      <w:r w:rsidRPr="00472578">
        <w:rPr>
          <w:rFonts w:ascii="Calibri" w:eastAsia="Calibri" w:hAnsi="Calibri" w:cs="Calibri"/>
          <w:i/>
        </w:rPr>
        <w:t xml:space="preserve"> </w:t>
      </w:r>
      <w:r w:rsidRPr="00472578">
        <w:rPr>
          <w:rFonts w:ascii="Calibri" w:eastAsia="Calibri" w:hAnsi="Calibri" w:cs="Calibri"/>
        </w:rPr>
        <w:t>in accordance with UFD–P8,</w:t>
      </w:r>
    </w:p>
    <w:p w14:paraId="376C9B96" w14:textId="79BFBDCF" w:rsidR="00EA4BD5" w:rsidRPr="00472578" w:rsidRDefault="00EA4BD5" w:rsidP="00E92686">
      <w:pPr>
        <w:widowControl w:val="0"/>
        <w:tabs>
          <w:tab w:val="left" w:pos="865"/>
          <w:tab w:val="left" w:pos="867"/>
        </w:tabs>
        <w:autoSpaceDE w:val="0"/>
        <w:autoSpaceDN w:val="0"/>
        <w:ind w:left="567" w:hanging="567"/>
        <w:jc w:val="both"/>
        <w:rPr>
          <w:rFonts w:ascii="Calibri" w:eastAsia="Calibri" w:hAnsi="Calibri" w:cs="Calibri"/>
        </w:rPr>
      </w:pPr>
      <w:r w:rsidRPr="00472578">
        <w:rPr>
          <w:rFonts w:ascii="Calibri" w:eastAsia="Calibri" w:hAnsi="Calibri" w:cs="Calibri"/>
        </w:rPr>
        <w:t>(10)</w:t>
      </w:r>
      <w:r w:rsidRPr="00472578">
        <w:rPr>
          <w:rFonts w:ascii="Calibri" w:eastAsia="Calibri" w:hAnsi="Calibri" w:cs="Calibri"/>
        </w:rPr>
        <w:tab/>
        <w:t xml:space="preserve">provide for </w:t>
      </w:r>
      <w:r w:rsidRPr="00472578">
        <w:rPr>
          <w:rFonts w:ascii="Calibri" w:eastAsia="Calibri" w:hAnsi="Calibri" w:cs="Calibri"/>
          <w:i/>
        </w:rPr>
        <w:t>papakāika, kāika, nohoaka,</w:t>
      </w:r>
      <w:r w:rsidRPr="00472578">
        <w:rPr>
          <w:rFonts w:ascii="Calibri" w:eastAsia="Calibri" w:hAnsi="Calibri" w:cs="Calibri"/>
          <w:i/>
          <w:strike/>
        </w:rPr>
        <w:t xml:space="preserve"> </w:t>
      </w:r>
      <w:r w:rsidRPr="00472578">
        <w:rPr>
          <w:rFonts w:ascii="Calibri" w:eastAsia="Calibri" w:hAnsi="Calibri" w:cs="Calibri"/>
          <w:strike/>
        </w:rPr>
        <w:t>and</w:t>
      </w:r>
      <w:r w:rsidRPr="00472578">
        <w:rPr>
          <w:rFonts w:ascii="Calibri" w:eastAsia="Calibri" w:hAnsi="Calibri" w:cs="Calibri"/>
        </w:rPr>
        <w:t xml:space="preserve"> </w:t>
      </w:r>
      <w:r w:rsidRPr="00472578">
        <w:rPr>
          <w:rFonts w:ascii="Calibri" w:eastAsia="Calibri" w:hAnsi="Calibri" w:cs="Calibri"/>
          <w:i/>
        </w:rPr>
        <w:t xml:space="preserve">marae </w:t>
      </w:r>
      <w:r w:rsidRPr="00472578">
        <w:rPr>
          <w:rFonts w:ascii="Calibri" w:eastAsia="Calibri" w:hAnsi="Calibri" w:cs="Calibri"/>
          <w:iCs/>
        </w:rPr>
        <w:t xml:space="preserve">and </w:t>
      </w:r>
      <w:r w:rsidRPr="00472578">
        <w:rPr>
          <w:rFonts w:ascii="Calibri" w:eastAsia="Calibri" w:hAnsi="Calibri" w:cs="Calibri"/>
          <w:i/>
          <w:u w:val="single"/>
        </w:rPr>
        <w:t>marae</w:t>
      </w:r>
      <w:r w:rsidRPr="00472578">
        <w:rPr>
          <w:rFonts w:ascii="Calibri" w:eastAsia="Calibri" w:hAnsi="Calibri" w:cs="Calibri"/>
          <w:iCs/>
          <w:u w:val="single"/>
        </w:rPr>
        <w:t xml:space="preserve"> related activities</w:t>
      </w:r>
      <w:r w:rsidRPr="00472578">
        <w:rPr>
          <w:rStyle w:val="FootnoteReference"/>
          <w:rFonts w:ascii="Calibri" w:eastAsia="Calibri" w:hAnsi="Calibri" w:cs="Calibri"/>
          <w:iCs/>
        </w:rPr>
        <w:footnoteReference w:id="1414"/>
      </w:r>
      <w:r w:rsidRPr="00472578">
        <w:rPr>
          <w:rFonts w:ascii="Calibri" w:eastAsia="Calibri" w:hAnsi="Calibri" w:cs="Calibri"/>
        </w:rPr>
        <w:t>, in accordance with UFD–P9, and</w:t>
      </w:r>
    </w:p>
    <w:p w14:paraId="5C999CA9" w14:textId="2C8ABDAC" w:rsidR="00417301" w:rsidRPr="00472578" w:rsidRDefault="009B4CF2" w:rsidP="00E92686">
      <w:pPr>
        <w:widowControl w:val="0"/>
        <w:tabs>
          <w:tab w:val="left" w:pos="865"/>
          <w:tab w:val="left" w:pos="867"/>
        </w:tabs>
        <w:autoSpaceDE w:val="0"/>
        <w:autoSpaceDN w:val="0"/>
        <w:ind w:left="567" w:right="184" w:hanging="567"/>
        <w:jc w:val="both"/>
        <w:rPr>
          <w:rFonts w:ascii="Calibri" w:eastAsia="Calibri" w:hAnsi="Calibri" w:cs="Calibri"/>
        </w:rPr>
      </w:pPr>
      <w:r w:rsidRPr="00472578">
        <w:rPr>
          <w:rFonts w:ascii="Calibri" w:eastAsia="Calibri" w:hAnsi="Calibri" w:cs="Calibri"/>
        </w:rPr>
        <w:t>(11)</w:t>
      </w:r>
      <w:r w:rsidRPr="00472578">
        <w:rPr>
          <w:rFonts w:ascii="Calibri" w:eastAsia="Calibri" w:hAnsi="Calibri" w:cs="Calibri"/>
        </w:rPr>
        <w:tab/>
      </w:r>
      <w:r w:rsidR="00417301" w:rsidRPr="00472578">
        <w:rPr>
          <w:rFonts w:ascii="Calibri" w:eastAsia="Calibri" w:hAnsi="Calibri" w:cs="Calibri"/>
        </w:rPr>
        <w:t xml:space="preserve">must involve </w:t>
      </w:r>
      <w:r w:rsidR="00417301" w:rsidRPr="00472578">
        <w:rPr>
          <w:rFonts w:ascii="Calibri" w:eastAsia="Calibri" w:hAnsi="Calibri" w:cs="Calibri"/>
          <w:i/>
        </w:rPr>
        <w:t xml:space="preserve">mana whenua </w:t>
      </w:r>
      <w:r w:rsidR="00417301" w:rsidRPr="00472578">
        <w:rPr>
          <w:rFonts w:ascii="Calibri" w:eastAsia="Calibri" w:hAnsi="Calibri" w:cs="Calibri"/>
        </w:rPr>
        <w:t>and provide opportunities for iwi, hapū and whānau involvement in planning processes, including in decision making, to ensure provision is made for their needs and aspirations, and cultural practices and values and ensure the requirements of the MW chapter are met, and the issues and values identified in RMIA are recognised and provided for at the local level</w:t>
      </w:r>
      <w:r w:rsidR="00FD687D" w:rsidRPr="00472578">
        <w:rPr>
          <w:rFonts w:ascii="Calibri" w:eastAsia="Calibri" w:hAnsi="Calibri" w:cs="Calibri"/>
          <w:strike/>
        </w:rPr>
        <w:t>.</w:t>
      </w:r>
      <w:r w:rsidR="00FD687D" w:rsidRPr="00472578">
        <w:rPr>
          <w:rFonts w:ascii="Calibri" w:eastAsia="Calibri" w:hAnsi="Calibri" w:cs="Calibri"/>
          <w:u w:val="single"/>
        </w:rPr>
        <w:t>, and</w:t>
      </w:r>
    </w:p>
    <w:p w14:paraId="0C1BF110" w14:textId="4BA5835F" w:rsidR="00EA4BD5" w:rsidRPr="00472578" w:rsidRDefault="00EA4BD5" w:rsidP="00E92686">
      <w:pPr>
        <w:widowControl w:val="0"/>
        <w:tabs>
          <w:tab w:val="left" w:pos="865"/>
        </w:tabs>
        <w:autoSpaceDE w:val="0"/>
        <w:autoSpaceDN w:val="0"/>
        <w:ind w:left="567" w:right="184" w:hanging="567"/>
        <w:jc w:val="both"/>
        <w:rPr>
          <w:rFonts w:ascii="Calibri" w:eastAsia="Calibri" w:hAnsi="Calibri" w:cs="Calibri"/>
        </w:rPr>
      </w:pPr>
      <w:r w:rsidRPr="00472578">
        <w:rPr>
          <w:rFonts w:ascii="Calibri" w:eastAsia="Calibri" w:hAnsi="Calibri" w:cs="Calibri"/>
          <w:iCs/>
          <w:u w:val="single"/>
        </w:rPr>
        <w:t xml:space="preserve">(11A) </w:t>
      </w:r>
      <w:r w:rsidRPr="00472578">
        <w:rPr>
          <w:rFonts w:ascii="Calibri" w:eastAsia="Calibri" w:hAnsi="Calibri" w:cs="Calibri"/>
          <w:iCs/>
        </w:rPr>
        <w:tab/>
      </w:r>
      <w:r w:rsidRPr="00472578">
        <w:rPr>
          <w:rFonts w:ascii="Calibri" w:eastAsia="Calibri" w:hAnsi="Calibri" w:cs="Calibri"/>
          <w:u w:val="single"/>
        </w:rPr>
        <w:t>ensure the design and maintenance of places and spaces, including streets, open spaces,</w:t>
      </w:r>
      <w:r w:rsidRPr="0031130C">
        <w:rPr>
          <w:rFonts w:ascii="Calibri" w:eastAsia="Calibri" w:hAnsi="Calibri" w:cs="Calibri"/>
          <w:spacing w:val="-47"/>
          <w:u w:val="single"/>
        </w:rPr>
        <w:t xml:space="preserve"> </w:t>
      </w:r>
      <w:r w:rsidRPr="00472578">
        <w:rPr>
          <w:rFonts w:ascii="Calibri" w:eastAsia="Calibri" w:hAnsi="Calibri" w:cs="Calibri"/>
          <w:u w:val="single"/>
        </w:rPr>
        <w:t xml:space="preserve">public </w:t>
      </w:r>
      <w:r w:rsidRPr="00472578">
        <w:rPr>
          <w:rFonts w:ascii="Calibri" w:eastAsia="Calibri" w:hAnsi="Calibri" w:cs="Calibri"/>
          <w:i/>
          <w:u w:val="single"/>
        </w:rPr>
        <w:t xml:space="preserve">buildings </w:t>
      </w:r>
      <w:r w:rsidRPr="00472578">
        <w:rPr>
          <w:rFonts w:ascii="Calibri" w:eastAsia="Calibri" w:hAnsi="Calibri" w:cs="Calibri"/>
          <w:u w:val="single"/>
        </w:rPr>
        <w:t xml:space="preserve">and publicly accessible spaces so that they  are safe, attractive, accessible and </w:t>
      </w:r>
      <w:r w:rsidRPr="00472578">
        <w:rPr>
          <w:rFonts w:ascii="Calibri" w:eastAsia="Calibri" w:hAnsi="Calibri" w:cs="Calibri"/>
          <w:u w:val="single"/>
        </w:rPr>
        <w:lastRenderedPageBreak/>
        <w:t>usable by everyone in the community.</w:t>
      </w:r>
      <w:r w:rsidRPr="00472578">
        <w:rPr>
          <w:rStyle w:val="FootnoteReference"/>
          <w:rFonts w:ascii="Calibri" w:eastAsia="Calibri" w:hAnsi="Calibri" w:cs="Calibri"/>
        </w:rPr>
        <w:footnoteReference w:id="1415"/>
      </w:r>
    </w:p>
    <w:p w14:paraId="64BB906E" w14:textId="26BED0D8" w:rsidR="00417301" w:rsidRPr="005E2A22" w:rsidRDefault="009A45CE" w:rsidP="00E92686">
      <w:pPr>
        <w:pStyle w:val="Heading4"/>
        <w:jc w:val="both"/>
      </w:pPr>
      <w:r w:rsidRPr="005E2A22">
        <w:t>UFD</w:t>
      </w:r>
      <w:r w:rsidR="00854769" w:rsidRPr="005E2A22">
        <w:t>–</w:t>
      </w:r>
      <w:r w:rsidRPr="005E2A22">
        <w:t>M</w:t>
      </w:r>
      <w:r w:rsidR="00417301" w:rsidRPr="005E2A22">
        <w:t>3 – Design of public spaces and surrounds</w:t>
      </w:r>
    </w:p>
    <w:p w14:paraId="0AA0ACC6" w14:textId="5C1CB800" w:rsidR="00417301" w:rsidRPr="005E2A22" w:rsidRDefault="00417301" w:rsidP="00E92686">
      <w:pPr>
        <w:widowControl w:val="0"/>
        <w:autoSpaceDE w:val="0"/>
        <w:autoSpaceDN w:val="0"/>
        <w:spacing w:before="158" w:after="0"/>
        <w:ind w:right="117"/>
        <w:jc w:val="both"/>
        <w:rPr>
          <w:rFonts w:ascii="Calibri" w:eastAsia="Calibri" w:hAnsi="Calibri" w:cs="Calibri"/>
        </w:rPr>
      </w:pPr>
      <w:r w:rsidRPr="005E2A22">
        <w:rPr>
          <w:rFonts w:ascii="Calibri" w:eastAsia="Calibri" w:hAnsi="Calibri" w:cs="Calibri"/>
          <w:i/>
        </w:rPr>
        <w:t>Territorial authorities</w:t>
      </w:r>
      <w:r w:rsidRPr="005E2A22">
        <w:rPr>
          <w:rFonts w:ascii="Calibri" w:eastAsia="Calibri" w:hAnsi="Calibri" w:cs="Calibri"/>
        </w:rPr>
        <w:t> must design and maintain public places and spaces, including streets, open spaces, public </w:t>
      </w:r>
      <w:r w:rsidRPr="005E2A22">
        <w:rPr>
          <w:rFonts w:ascii="Calibri" w:eastAsia="Calibri" w:hAnsi="Calibri" w:cs="Calibri"/>
          <w:i/>
        </w:rPr>
        <w:t>buildings</w:t>
      </w:r>
      <w:r w:rsidRPr="005E2A22">
        <w:rPr>
          <w:rFonts w:ascii="Calibri" w:eastAsia="Calibri" w:hAnsi="Calibri" w:cs="Calibri"/>
        </w:rPr>
        <w:t> and publicly accessible spaces so that they are safe, attractive, accessible and usable by everyone in the community.</w:t>
      </w:r>
    </w:p>
    <w:p w14:paraId="45C1EE90" w14:textId="77777777" w:rsidR="00417301" w:rsidRPr="00472578" w:rsidRDefault="00417301" w:rsidP="00E92686">
      <w:pPr>
        <w:pStyle w:val="Heading3"/>
        <w:jc w:val="both"/>
      </w:pPr>
      <w:r w:rsidRPr="00472578">
        <w:t>Explanation</w:t>
      </w:r>
    </w:p>
    <w:p w14:paraId="160527CD" w14:textId="4466F9C8" w:rsidR="00417301" w:rsidRPr="00472578" w:rsidRDefault="009A45CE" w:rsidP="00E92686">
      <w:pPr>
        <w:pStyle w:val="Heading4"/>
        <w:jc w:val="both"/>
      </w:pPr>
      <w:r w:rsidRPr="00472578">
        <w:t>UFD-E</w:t>
      </w:r>
      <w:r w:rsidR="00417301" w:rsidRPr="00472578">
        <w:t>1 – Ex</w:t>
      </w:r>
      <w:r w:rsidR="009B4CF2" w:rsidRPr="00472578">
        <w:t>p</w:t>
      </w:r>
      <w:r w:rsidR="00417301" w:rsidRPr="00472578">
        <w:t>lanation</w:t>
      </w:r>
    </w:p>
    <w:p w14:paraId="5ED4A0EA" w14:textId="771DE084" w:rsidR="00417301" w:rsidRPr="00472578" w:rsidRDefault="00417301" w:rsidP="00E92686">
      <w:pPr>
        <w:widowControl w:val="0"/>
        <w:autoSpaceDE w:val="0"/>
        <w:autoSpaceDN w:val="0"/>
        <w:ind w:right="117"/>
        <w:jc w:val="both"/>
        <w:rPr>
          <w:rFonts w:ascii="Calibri" w:eastAsia="Calibri" w:hAnsi="Calibri" w:cs="Calibri"/>
          <w:i/>
        </w:rPr>
      </w:pPr>
      <w:r w:rsidRPr="00472578">
        <w:rPr>
          <w:rFonts w:ascii="Calibri" w:eastAsia="Calibri" w:hAnsi="Calibri" w:cs="Calibri"/>
        </w:rPr>
        <w:t xml:space="preserve">The policies in this chapter are designed to facilitate the provision of sufficient housing and business capacity and ensure all of the region’s </w:t>
      </w:r>
      <w:r w:rsidRPr="00472578">
        <w:rPr>
          <w:rFonts w:ascii="Calibri" w:eastAsia="Calibri" w:hAnsi="Calibri" w:cs="Calibri"/>
          <w:i/>
        </w:rPr>
        <w:t xml:space="preserve">urban areas </w:t>
      </w:r>
      <w:r w:rsidRPr="00472578">
        <w:rPr>
          <w:rFonts w:ascii="Calibri" w:eastAsia="Calibri" w:hAnsi="Calibri" w:cs="Calibri"/>
        </w:rPr>
        <w:t xml:space="preserve">demonstrate the features of </w:t>
      </w:r>
      <w:r w:rsidRPr="00472578">
        <w:rPr>
          <w:rFonts w:ascii="Calibri" w:eastAsia="Calibri" w:hAnsi="Calibri" w:cs="Calibri"/>
          <w:i/>
        </w:rPr>
        <w:t xml:space="preserve">well-functioning urban environments </w:t>
      </w:r>
      <w:r w:rsidRPr="00472578">
        <w:rPr>
          <w:rFonts w:ascii="Calibri" w:eastAsia="Calibri" w:hAnsi="Calibri" w:cs="Calibri"/>
        </w:rPr>
        <w:t xml:space="preserve">and meet the needs of current and future communities. Urban intensification must be enabled, and urban expansion should be facilitated, however these important decisions should be preceded and guided by strategic planning processes that consider how best this can be achieved, while also maintaining and, wherever possible, enhancing the important values and features identified in other chapters of this RPS, and in consideration of local context, values and pressures. The strategic planning process will also consider and demonstrate where, when, how and by whom the necessary </w:t>
      </w:r>
      <w:r w:rsidRPr="00472578">
        <w:rPr>
          <w:rFonts w:ascii="Calibri" w:eastAsia="Calibri" w:hAnsi="Calibri" w:cs="Calibri"/>
          <w:i/>
        </w:rPr>
        <w:t xml:space="preserve">development infrastructure </w:t>
      </w:r>
      <w:r w:rsidRPr="00472578">
        <w:rPr>
          <w:rFonts w:ascii="Calibri" w:eastAsia="Calibri" w:hAnsi="Calibri" w:cs="Calibri"/>
        </w:rPr>
        <w:t xml:space="preserve">and </w:t>
      </w:r>
      <w:r w:rsidRPr="00472578">
        <w:rPr>
          <w:rFonts w:ascii="Calibri" w:eastAsia="Calibri" w:hAnsi="Calibri" w:cs="Calibri"/>
          <w:i/>
        </w:rPr>
        <w:t xml:space="preserve">additional infrastructure </w:t>
      </w:r>
      <w:r w:rsidRPr="00472578">
        <w:rPr>
          <w:rFonts w:ascii="Calibri" w:eastAsia="Calibri" w:hAnsi="Calibri" w:cs="Calibri"/>
        </w:rPr>
        <w:t xml:space="preserve">will be provided in order to both facilitate development and change and minimise environmental impacts from it, including avoiding impacts on the operation of </w:t>
      </w:r>
      <w:r w:rsidRPr="00472578">
        <w:rPr>
          <w:rFonts w:ascii="Calibri" w:eastAsia="Calibri" w:hAnsi="Calibri" w:cs="Calibri"/>
          <w:i/>
        </w:rPr>
        <w:t xml:space="preserve">regionally </w:t>
      </w:r>
      <w:r w:rsidR="001C4D8F" w:rsidRPr="00472578">
        <w:rPr>
          <w:rFonts w:ascii="Calibri" w:eastAsia="Calibri" w:hAnsi="Calibri" w:cs="Calibri"/>
          <w:i/>
          <w:u w:val="single"/>
        </w:rPr>
        <w:t>significant infrastructure</w:t>
      </w:r>
      <w:r w:rsidR="001C4D8F" w:rsidRPr="00472578">
        <w:rPr>
          <w:rFonts w:ascii="Calibri" w:eastAsia="Calibri" w:hAnsi="Calibri" w:cs="Calibri"/>
          <w:iCs/>
          <w:u w:val="single"/>
        </w:rPr>
        <w:t xml:space="preserve"> </w:t>
      </w:r>
      <w:r w:rsidR="0006496F" w:rsidRPr="00472578">
        <w:rPr>
          <w:rStyle w:val="FootnoteReference"/>
          <w:rFonts w:ascii="Calibri" w:eastAsia="Calibri" w:hAnsi="Calibri" w:cs="Calibri"/>
          <w:iCs/>
        </w:rPr>
        <w:footnoteReference w:id="1416"/>
      </w:r>
      <w:r w:rsidRPr="00472578">
        <w:rPr>
          <w:rFonts w:ascii="Calibri" w:eastAsia="Calibri" w:hAnsi="Calibri" w:cs="Calibri"/>
          <w:i/>
        </w:rPr>
        <w:t>and nationally significant infrastructure</w:t>
      </w:r>
      <w:r w:rsidRPr="00472578">
        <w:rPr>
          <w:rFonts w:ascii="Calibri" w:eastAsia="Calibri" w:hAnsi="Calibri" w:cs="Calibri"/>
        </w:rPr>
        <w:t>.</w:t>
      </w:r>
    </w:p>
    <w:p w14:paraId="07411DBD" w14:textId="311E48E1" w:rsidR="005E4EEF" w:rsidRPr="00472578" w:rsidRDefault="005E4EEF" w:rsidP="00E92686">
      <w:pPr>
        <w:widowControl w:val="0"/>
        <w:autoSpaceDE w:val="0"/>
        <w:autoSpaceDN w:val="0"/>
        <w:spacing w:before="160"/>
        <w:ind w:right="113"/>
        <w:jc w:val="both"/>
        <w:rPr>
          <w:rFonts w:eastAsia="Calibri"/>
        </w:rPr>
      </w:pPr>
      <w:r w:rsidRPr="00472578">
        <w:rPr>
          <w:rFonts w:eastAsia="Calibri"/>
        </w:rPr>
        <w:t xml:space="preserve">In addition, this chapter seeks to maintain the character and </w:t>
      </w:r>
      <w:r w:rsidRPr="00472578">
        <w:rPr>
          <w:rFonts w:eastAsia="Calibri"/>
          <w:i/>
        </w:rPr>
        <w:t xml:space="preserve">amenity values </w:t>
      </w:r>
      <w:r w:rsidRPr="00472578">
        <w:rPr>
          <w:rFonts w:eastAsia="Calibri"/>
        </w:rPr>
        <w:t xml:space="preserve">of Otago’s rural areas, including by facilitating the use of the </w:t>
      </w:r>
      <w:r w:rsidRPr="00472578">
        <w:rPr>
          <w:rFonts w:eastAsia="Calibri"/>
          <w:i/>
        </w:rPr>
        <w:t xml:space="preserve">natural and physical resources </w:t>
      </w:r>
      <w:r w:rsidRPr="00472578">
        <w:rPr>
          <w:rFonts w:eastAsia="Calibri"/>
        </w:rPr>
        <w:t xml:space="preserve">that support the viability of the rural sector. Otago’s rural and urban areas also contain significant natural, cultural and historic values and features as identified by other parts of this RPS. In all cases while facilitating urban development and managing rural productive activities these values must also be identified, maintained and, wherever possible, enhanced. This approach includes direction on different types of development within rural areas, managing the expansion and location of </w:t>
      </w:r>
      <w:r w:rsidRPr="00472578">
        <w:rPr>
          <w:rFonts w:eastAsia="Calibri"/>
          <w:i/>
        </w:rPr>
        <w:t>urban areas</w:t>
      </w:r>
      <w:r w:rsidRPr="00472578">
        <w:rPr>
          <w:rFonts w:eastAsia="Calibri"/>
        </w:rPr>
        <w:t xml:space="preserve">, and rural lifestyle and rural residential development, and directing that growth be enabled in </w:t>
      </w:r>
      <w:r w:rsidRPr="00472578">
        <w:rPr>
          <w:rFonts w:eastAsia="Calibri"/>
          <w:i/>
        </w:rPr>
        <w:t xml:space="preserve">urban areas </w:t>
      </w:r>
      <w:r w:rsidRPr="00472578">
        <w:rPr>
          <w:rFonts w:eastAsia="Calibri"/>
        </w:rPr>
        <w:t>to minimise the need for development to occur within rural areas, other than what is needed to facilitate rural community and rural productive</w:t>
      </w:r>
      <w:r w:rsidR="00A76FD7" w:rsidRPr="00472578">
        <w:rPr>
          <w:rFonts w:eastAsia="Calibri"/>
        </w:rPr>
        <w:t xml:space="preserve"> </w:t>
      </w:r>
      <w:r w:rsidRPr="00472578">
        <w:rPr>
          <w:rFonts w:eastAsia="Calibri"/>
        </w:rPr>
        <w:t xml:space="preserve">activities </w:t>
      </w:r>
      <w:r w:rsidRPr="00472578">
        <w:rPr>
          <w:rFonts w:eastAsia="Calibri"/>
          <w:u w:val="single"/>
        </w:rPr>
        <w:t xml:space="preserve">and particular activities that have a </w:t>
      </w:r>
      <w:r w:rsidRPr="00472578">
        <w:rPr>
          <w:rFonts w:eastAsia="Calibri"/>
          <w:i/>
          <w:iCs/>
          <w:u w:val="single"/>
        </w:rPr>
        <w:t>functional</w:t>
      </w:r>
      <w:r w:rsidR="00A76FD7" w:rsidRPr="00472578">
        <w:rPr>
          <w:rFonts w:eastAsia="Calibri"/>
          <w:i/>
          <w:iCs/>
          <w:u w:val="single"/>
        </w:rPr>
        <w:t xml:space="preserve"> need</w:t>
      </w:r>
      <w:r w:rsidRPr="00472578">
        <w:rPr>
          <w:rFonts w:eastAsia="Calibri"/>
          <w:u w:val="single"/>
        </w:rPr>
        <w:t xml:space="preserve"> or </w:t>
      </w:r>
      <w:r w:rsidRPr="00472578">
        <w:rPr>
          <w:rFonts w:eastAsia="Calibri"/>
          <w:i/>
          <w:iCs/>
          <w:u w:val="single"/>
        </w:rPr>
        <w:t>operational need</w:t>
      </w:r>
      <w:r w:rsidRPr="00472578">
        <w:rPr>
          <w:rFonts w:eastAsia="Calibri"/>
          <w:u w:val="single"/>
        </w:rPr>
        <w:t xml:space="preserve"> to locate in rural areas</w:t>
      </w:r>
      <w:r w:rsidR="00627759" w:rsidRPr="00472578">
        <w:rPr>
          <w:rFonts w:eastAsia="Calibri"/>
        </w:rPr>
        <w:t>.</w:t>
      </w:r>
      <w:r w:rsidRPr="00472578">
        <w:rPr>
          <w:rStyle w:val="FootnoteReference"/>
          <w:rFonts w:ascii="Calibri" w:eastAsia="Calibri" w:hAnsi="Calibri" w:cs="Calibri"/>
        </w:rPr>
        <w:footnoteReference w:id="1417"/>
      </w:r>
    </w:p>
    <w:p w14:paraId="681EA16B" w14:textId="77777777" w:rsidR="00417301" w:rsidRPr="00472578" w:rsidRDefault="00417301" w:rsidP="00E92686">
      <w:pPr>
        <w:widowControl w:val="0"/>
        <w:autoSpaceDE w:val="0"/>
        <w:autoSpaceDN w:val="0"/>
        <w:spacing w:before="158"/>
        <w:ind w:right="114"/>
        <w:jc w:val="both"/>
        <w:rPr>
          <w:rFonts w:eastAsia="Calibri"/>
        </w:rPr>
      </w:pPr>
      <w:r w:rsidRPr="00472578">
        <w:rPr>
          <w:rFonts w:eastAsia="Calibri"/>
        </w:rPr>
        <w:t xml:space="preserve">The policies in this chapter are primarily focused on directing where development is and is not appropriate and under what circumstances, but provides discretion for </w:t>
      </w:r>
      <w:r w:rsidRPr="00472578">
        <w:rPr>
          <w:rFonts w:eastAsia="Calibri"/>
          <w:i/>
        </w:rPr>
        <w:t xml:space="preserve">local authorities </w:t>
      </w:r>
      <w:r w:rsidRPr="00472578">
        <w:rPr>
          <w:rFonts w:eastAsia="Calibri"/>
        </w:rPr>
        <w:t xml:space="preserve">to determine the detail of how that development is managed, its ultimate density, height, bulk and location, timing and sequencing, the detail of any required </w:t>
      </w:r>
      <w:r w:rsidRPr="00472578">
        <w:rPr>
          <w:rFonts w:eastAsia="Calibri"/>
          <w:i/>
        </w:rPr>
        <w:t xml:space="preserve">development infrastructure </w:t>
      </w:r>
      <w:r w:rsidRPr="00472578">
        <w:rPr>
          <w:rFonts w:eastAsia="Calibri"/>
        </w:rPr>
        <w:t xml:space="preserve">and </w:t>
      </w:r>
      <w:r w:rsidRPr="00472578">
        <w:rPr>
          <w:rFonts w:eastAsia="Calibri"/>
          <w:i/>
        </w:rPr>
        <w:t xml:space="preserve">additional infrastructure </w:t>
      </w:r>
      <w:r w:rsidRPr="00472578">
        <w:rPr>
          <w:rFonts w:eastAsia="Calibri"/>
        </w:rPr>
        <w:t>that may be needed,</w:t>
      </w:r>
      <w:r w:rsidRPr="00472578">
        <w:rPr>
          <w:rFonts w:eastAsia="Calibri"/>
          <w:u w:val="single"/>
        </w:rPr>
        <w:t xml:space="preserve"> ,</w:t>
      </w:r>
      <w:r w:rsidRPr="00472578">
        <w:rPr>
          <w:rFonts w:eastAsia="Calibri"/>
        </w:rPr>
        <w:t xml:space="preserve"> and allows for the consideration of particular locally significant features values and needs that contribute to the attractiveness or uniqueness of the diverse communities, </w:t>
      </w:r>
      <w:r w:rsidRPr="00472578">
        <w:rPr>
          <w:rFonts w:eastAsia="Calibri"/>
        </w:rPr>
        <w:lastRenderedPageBreak/>
        <w:t>landscapes, and environments of the region.</w:t>
      </w:r>
    </w:p>
    <w:p w14:paraId="3AB9B3AD" w14:textId="676B9DCB" w:rsidR="00417301" w:rsidRPr="00472578" w:rsidRDefault="00417301" w:rsidP="00E92686">
      <w:pPr>
        <w:widowControl w:val="0"/>
        <w:autoSpaceDE w:val="0"/>
        <w:autoSpaceDN w:val="0"/>
        <w:spacing w:before="159"/>
        <w:ind w:right="114"/>
        <w:jc w:val="both"/>
        <w:rPr>
          <w:rFonts w:eastAsia="Calibri"/>
        </w:rPr>
      </w:pPr>
      <w:r w:rsidRPr="00472578">
        <w:rPr>
          <w:rFonts w:eastAsia="Calibri"/>
        </w:rPr>
        <w:t xml:space="preserve">This more detailed determination must, however, be informed by evidence and information collated through appropriately scaled </w:t>
      </w:r>
      <w:r w:rsidRPr="00472578">
        <w:rPr>
          <w:rFonts w:eastAsia="Calibri"/>
          <w:i/>
        </w:rPr>
        <w:t xml:space="preserve">strategic planning </w:t>
      </w:r>
      <w:r w:rsidRPr="00472578">
        <w:rPr>
          <w:rFonts w:eastAsia="Calibri"/>
        </w:rPr>
        <w:t xml:space="preserve">processes </w:t>
      </w:r>
      <w:r w:rsidR="001F53CC" w:rsidRPr="00472578">
        <w:rPr>
          <w:rFonts w:eastAsia="Calibri"/>
          <w:strike/>
        </w:rPr>
        <w:t xml:space="preserve">and </w:t>
      </w:r>
      <w:r w:rsidRPr="00472578">
        <w:rPr>
          <w:rFonts w:eastAsia="Calibri"/>
          <w:u w:val="single"/>
        </w:rPr>
        <w:t>which will identify how constraints to urban development</w:t>
      </w:r>
      <w:r w:rsidR="00E37AE8" w:rsidRPr="00472578">
        <w:rPr>
          <w:rFonts w:eastAsia="Calibri"/>
          <w:u w:val="single"/>
        </w:rPr>
        <w:t>,</w:t>
      </w:r>
      <w:r w:rsidRPr="00472578">
        <w:rPr>
          <w:rFonts w:eastAsia="Calibri"/>
          <w:u w:val="single"/>
        </w:rPr>
        <w:t xml:space="preserve"> such as hazards, landscapes, highly productive land, and environmental limits</w:t>
      </w:r>
      <w:r w:rsidR="00E37AE8" w:rsidRPr="00472578">
        <w:rPr>
          <w:rFonts w:eastAsia="Calibri"/>
          <w:u w:val="single"/>
        </w:rPr>
        <w:t>,</w:t>
      </w:r>
      <w:r w:rsidRPr="00472578">
        <w:rPr>
          <w:rFonts w:eastAsia="Calibri"/>
          <w:u w:val="single"/>
        </w:rPr>
        <w:t xml:space="preserve"> are responded to, and opportunities for meeting demand, integration with lifeline utilities, </w:t>
      </w:r>
      <w:r w:rsidR="00FD65BF" w:rsidRPr="00472578">
        <w:rPr>
          <w:rFonts w:eastAsia="Calibri"/>
          <w:u w:val="single"/>
        </w:rPr>
        <w:t>infrastructure and</w:t>
      </w:r>
      <w:r w:rsidRPr="00472578">
        <w:rPr>
          <w:rFonts w:eastAsia="Calibri"/>
          <w:u w:val="single"/>
        </w:rPr>
        <w:t xml:space="preserve"> other requirements may be provided for</w:t>
      </w:r>
      <w:r w:rsidR="005E4EEF" w:rsidRPr="00472578">
        <w:rPr>
          <w:rFonts w:eastAsia="Calibri"/>
          <w:u w:val="single"/>
        </w:rPr>
        <w:t>.</w:t>
      </w:r>
      <w:r w:rsidRPr="00472578">
        <w:rPr>
          <w:rFonts w:eastAsia="Calibri"/>
          <w:u w:val="single"/>
        </w:rPr>
        <w:t xml:space="preserve"> They</w:t>
      </w:r>
      <w:r w:rsidR="001F53CC" w:rsidRPr="00472578">
        <w:rPr>
          <w:rStyle w:val="FootnoteReference"/>
          <w:rFonts w:ascii="Calibri" w:eastAsia="Calibri" w:hAnsi="Calibri" w:cs="Calibri"/>
        </w:rPr>
        <w:footnoteReference w:id="1418"/>
      </w:r>
      <w:r w:rsidR="00D310A8" w:rsidRPr="00472578">
        <w:rPr>
          <w:rFonts w:eastAsia="Calibri"/>
        </w:rPr>
        <w:t xml:space="preserve"> </w:t>
      </w:r>
      <w:r w:rsidRPr="00472578">
        <w:rPr>
          <w:rFonts w:eastAsia="Calibri"/>
        </w:rPr>
        <w:t xml:space="preserve">will be implemented by a range </w:t>
      </w:r>
      <w:r w:rsidR="00FD65BF" w:rsidRPr="00472578">
        <w:rPr>
          <w:rFonts w:eastAsia="Calibri"/>
        </w:rPr>
        <w:t>of regulatory</w:t>
      </w:r>
      <w:r w:rsidRPr="00472578">
        <w:rPr>
          <w:rFonts w:eastAsia="Calibri"/>
        </w:rPr>
        <w:t xml:space="preserve"> and non-regulatory methods, including </w:t>
      </w:r>
      <w:r w:rsidRPr="00472578">
        <w:rPr>
          <w:rFonts w:eastAsia="Calibri"/>
          <w:u w:val="single"/>
        </w:rPr>
        <w:t>partnership arrangements with iwi, developers, infrastructure providers and central government,</w:t>
      </w:r>
      <w:r w:rsidRPr="00472578">
        <w:rPr>
          <w:rStyle w:val="FootnoteReference"/>
          <w:rFonts w:ascii="Calibri" w:eastAsia="Calibri" w:hAnsi="Calibri" w:cs="Calibri"/>
        </w:rPr>
        <w:footnoteReference w:id="1419"/>
      </w:r>
      <w:r w:rsidRPr="00472578">
        <w:rPr>
          <w:rFonts w:eastAsia="Calibri"/>
        </w:rPr>
        <w:t xml:space="preserve"> joint development of </w:t>
      </w:r>
      <w:r w:rsidRPr="00472578">
        <w:rPr>
          <w:rFonts w:eastAsia="Calibri"/>
          <w:i/>
        </w:rPr>
        <w:t xml:space="preserve">Housing and Business Assessments </w:t>
      </w:r>
      <w:r w:rsidRPr="00472578">
        <w:rPr>
          <w:rFonts w:eastAsia="Calibri"/>
        </w:rPr>
        <w:t xml:space="preserve">and </w:t>
      </w:r>
      <w:r w:rsidRPr="00472578">
        <w:rPr>
          <w:rFonts w:eastAsia="Calibri"/>
          <w:i/>
        </w:rPr>
        <w:t xml:space="preserve">Future Development Strategies </w:t>
      </w:r>
      <w:r w:rsidRPr="00472578">
        <w:rPr>
          <w:rFonts w:eastAsia="Calibri"/>
        </w:rPr>
        <w:t xml:space="preserve">for Tier 2 local authorities, and similar but </w:t>
      </w:r>
      <w:r w:rsidR="00FD65BF" w:rsidRPr="00472578">
        <w:rPr>
          <w:rFonts w:eastAsia="Calibri"/>
        </w:rPr>
        <w:t>appropriately scaled</w:t>
      </w:r>
      <w:r w:rsidRPr="00472578">
        <w:rPr>
          <w:rFonts w:eastAsia="Calibri"/>
        </w:rPr>
        <w:t xml:space="preserve"> processes undertaken in and for other areas, including regular regional, district and </w:t>
      </w:r>
      <w:r w:rsidRPr="00472578">
        <w:rPr>
          <w:rFonts w:eastAsia="Calibri"/>
          <w:i/>
        </w:rPr>
        <w:t xml:space="preserve">urban environment </w:t>
      </w:r>
      <w:r w:rsidRPr="00472578">
        <w:rPr>
          <w:rFonts w:eastAsia="Calibri"/>
        </w:rPr>
        <w:t xml:space="preserve">scale monitoring, analysis and evaluation. </w:t>
      </w:r>
    </w:p>
    <w:p w14:paraId="012ED0D6" w14:textId="0DBED84F" w:rsidR="00417301" w:rsidRPr="00472578" w:rsidRDefault="00417301" w:rsidP="00E92686">
      <w:pPr>
        <w:widowControl w:val="0"/>
        <w:autoSpaceDE w:val="0"/>
        <w:autoSpaceDN w:val="0"/>
        <w:ind w:right="115"/>
        <w:jc w:val="both"/>
        <w:rPr>
          <w:rFonts w:eastAsia="Calibri"/>
        </w:rPr>
      </w:pPr>
      <w:r w:rsidRPr="00472578">
        <w:rPr>
          <w:rFonts w:eastAsia="Calibri"/>
        </w:rPr>
        <w:t xml:space="preserve">In delivering on the objectives and policies in this chapter, which relate largely to human activities and settlements, the natural, physical, and built values and features of importance to the region must be recognised and provided for. </w:t>
      </w:r>
      <w:r w:rsidRPr="00472578">
        <w:rPr>
          <w:rFonts w:eastAsia="Calibri"/>
          <w:u w:val="single"/>
        </w:rPr>
        <w:t>These values and features are largely identified within other chapters and provision of the RPS. They also provide detail on how they should be identified and managed. Achieving the objectives of this chapter requires consideration of those other relevant parts of this RPS.</w:t>
      </w:r>
      <w:r w:rsidRPr="00472578">
        <w:rPr>
          <w:rStyle w:val="FootnoteReference"/>
          <w:rFonts w:ascii="Calibri" w:eastAsia="Calibri" w:hAnsi="Calibri" w:cs="Calibri"/>
        </w:rPr>
        <w:footnoteReference w:id="1420"/>
      </w:r>
      <w:r w:rsidRPr="00472578">
        <w:rPr>
          <w:rFonts w:eastAsia="Calibri"/>
        </w:rPr>
        <w:t xml:space="preserve"> </w:t>
      </w:r>
    </w:p>
    <w:p w14:paraId="7C0E652D" w14:textId="4C2145A5" w:rsidR="00417301" w:rsidRPr="00472578" w:rsidRDefault="00417301" w:rsidP="00E92686">
      <w:pPr>
        <w:widowControl w:val="0"/>
        <w:autoSpaceDE w:val="0"/>
        <w:autoSpaceDN w:val="0"/>
        <w:spacing w:before="160"/>
        <w:ind w:right="115"/>
        <w:jc w:val="both"/>
        <w:rPr>
          <w:rFonts w:eastAsia="Calibri"/>
        </w:rPr>
      </w:pPr>
      <w:r w:rsidRPr="00472578">
        <w:rPr>
          <w:rFonts w:eastAsia="Calibri"/>
        </w:rPr>
        <w:t xml:space="preserve">The following chapters of this Regional Policy Statement have particular relevance to the achievement of the objectives of this chapter by identifying particular aspects of Domains or Topics to be managed, and where there is an apparent conflict, must be balanced in accordance with the directions outlined in the </w:t>
      </w:r>
      <w:r w:rsidRPr="00472578">
        <w:rPr>
          <w:rFonts w:eastAsia="Calibri"/>
          <w:u w:val="single"/>
        </w:rPr>
        <w:t>IM -</w:t>
      </w:r>
      <w:r w:rsidRPr="00472578">
        <w:rPr>
          <w:rStyle w:val="FootnoteReference"/>
          <w:rFonts w:ascii="Calibri" w:eastAsia="Calibri" w:hAnsi="Calibri" w:cs="Calibri"/>
        </w:rPr>
        <w:footnoteReference w:id="1421"/>
      </w:r>
      <w:r w:rsidR="00447F24" w:rsidRPr="00447F24">
        <w:rPr>
          <w:rFonts w:eastAsia="Calibri"/>
        </w:rPr>
        <w:t xml:space="preserve"> </w:t>
      </w:r>
      <w:r w:rsidRPr="00472578">
        <w:rPr>
          <w:rFonts w:eastAsia="Calibri"/>
        </w:rPr>
        <w:t>Integrated Management chapter:</w:t>
      </w:r>
    </w:p>
    <w:p w14:paraId="1F9A631D"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i/>
        </w:rPr>
      </w:pPr>
      <w:r w:rsidRPr="00472578">
        <w:rPr>
          <w:rFonts w:ascii="Calibri" w:eastAsia="Calibri" w:hAnsi="Calibri" w:cs="Calibri"/>
          <w:iCs/>
        </w:rPr>
        <w:t>MW</w:t>
      </w:r>
      <w:r w:rsidRPr="00472578">
        <w:rPr>
          <w:rFonts w:ascii="Calibri" w:eastAsia="Calibri" w:hAnsi="Calibri" w:cs="Calibri"/>
          <w:i/>
        </w:rPr>
        <w:t xml:space="preserve"> – Mana Whenua</w:t>
      </w:r>
    </w:p>
    <w:p w14:paraId="00D91E5D"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rPr>
      </w:pPr>
      <w:r w:rsidRPr="00472578">
        <w:rPr>
          <w:rFonts w:ascii="Calibri" w:eastAsia="Calibri" w:hAnsi="Calibri" w:cs="Calibri"/>
        </w:rPr>
        <w:t>AIR – Air</w:t>
      </w:r>
    </w:p>
    <w:p w14:paraId="246E8C8F"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rPr>
      </w:pPr>
      <w:r w:rsidRPr="00472578">
        <w:rPr>
          <w:rFonts w:ascii="Calibri" w:eastAsia="Calibri" w:hAnsi="Calibri" w:cs="Calibri"/>
        </w:rPr>
        <w:t>CE – Coastal environment</w:t>
      </w:r>
    </w:p>
    <w:p w14:paraId="40131B53"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i/>
        </w:rPr>
      </w:pPr>
      <w:r w:rsidRPr="00472578">
        <w:rPr>
          <w:rFonts w:ascii="Calibri" w:eastAsia="Calibri" w:hAnsi="Calibri" w:cs="Calibri"/>
        </w:rPr>
        <w:t xml:space="preserve">LF – </w:t>
      </w:r>
      <w:r w:rsidRPr="00472578">
        <w:rPr>
          <w:rFonts w:ascii="Calibri" w:eastAsia="Calibri" w:hAnsi="Calibri" w:cs="Calibri"/>
          <w:i/>
        </w:rPr>
        <w:t xml:space="preserve">Land </w:t>
      </w:r>
      <w:r w:rsidRPr="00472578">
        <w:rPr>
          <w:rFonts w:ascii="Calibri" w:eastAsia="Calibri" w:hAnsi="Calibri" w:cs="Calibri"/>
        </w:rPr>
        <w:t xml:space="preserve">and </w:t>
      </w:r>
      <w:r w:rsidRPr="00472578">
        <w:rPr>
          <w:rFonts w:ascii="Calibri" w:eastAsia="Calibri" w:hAnsi="Calibri" w:cs="Calibri"/>
          <w:i/>
        </w:rPr>
        <w:t>freshwater</w:t>
      </w:r>
    </w:p>
    <w:p w14:paraId="380C082C"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i/>
        </w:rPr>
      </w:pPr>
      <w:r w:rsidRPr="00472578">
        <w:rPr>
          <w:rFonts w:ascii="Calibri" w:eastAsia="Calibri" w:hAnsi="Calibri" w:cs="Calibri"/>
        </w:rPr>
        <w:t xml:space="preserve">ECO – Ecosystems and indigenous </w:t>
      </w:r>
      <w:r w:rsidRPr="00472578">
        <w:rPr>
          <w:rFonts w:ascii="Calibri" w:eastAsia="Calibri" w:hAnsi="Calibri" w:cs="Calibri"/>
          <w:i/>
        </w:rPr>
        <w:t>biodiversity</w:t>
      </w:r>
    </w:p>
    <w:p w14:paraId="40A24704"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rPr>
      </w:pPr>
      <w:r w:rsidRPr="00472578">
        <w:rPr>
          <w:rFonts w:ascii="Calibri" w:eastAsia="Calibri" w:hAnsi="Calibri" w:cs="Calibri"/>
        </w:rPr>
        <w:t xml:space="preserve">EIT – Energy, </w:t>
      </w:r>
      <w:r w:rsidRPr="00472578">
        <w:rPr>
          <w:rFonts w:ascii="Calibri" w:eastAsia="Calibri" w:hAnsi="Calibri" w:cs="Calibri"/>
          <w:i/>
        </w:rPr>
        <w:t xml:space="preserve">infrastructure </w:t>
      </w:r>
      <w:r w:rsidRPr="00472578">
        <w:rPr>
          <w:rFonts w:ascii="Calibri" w:eastAsia="Calibri" w:hAnsi="Calibri" w:cs="Calibri"/>
        </w:rPr>
        <w:t>and transport</w:t>
      </w:r>
    </w:p>
    <w:p w14:paraId="2C8B45C9"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i/>
        </w:rPr>
      </w:pPr>
      <w:r w:rsidRPr="00472578">
        <w:rPr>
          <w:rFonts w:ascii="Calibri" w:eastAsia="Calibri" w:hAnsi="Calibri" w:cs="Calibri"/>
        </w:rPr>
        <w:t xml:space="preserve">HAZ – Hazards and </w:t>
      </w:r>
      <w:r w:rsidRPr="00472578">
        <w:rPr>
          <w:rFonts w:ascii="Calibri" w:eastAsia="Calibri" w:hAnsi="Calibri" w:cs="Calibri"/>
          <w:i/>
        </w:rPr>
        <w:t>risks</w:t>
      </w:r>
    </w:p>
    <w:p w14:paraId="760107FB"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rPr>
      </w:pPr>
      <w:r w:rsidRPr="00472578">
        <w:rPr>
          <w:rFonts w:ascii="Calibri" w:eastAsia="Calibri" w:hAnsi="Calibri" w:cs="Calibri"/>
        </w:rPr>
        <w:t>HCV – Historical and cultural values</w:t>
      </w:r>
    </w:p>
    <w:p w14:paraId="209C31D4" w14:textId="77777777" w:rsidR="00417301" w:rsidRPr="00472578" w:rsidRDefault="00417301" w:rsidP="00E92686">
      <w:pPr>
        <w:widowControl w:val="0"/>
        <w:numPr>
          <w:ilvl w:val="0"/>
          <w:numId w:val="38"/>
        </w:numPr>
        <w:autoSpaceDE w:val="0"/>
        <w:autoSpaceDN w:val="0"/>
        <w:spacing w:after="60"/>
        <w:ind w:left="567"/>
        <w:jc w:val="both"/>
        <w:rPr>
          <w:rFonts w:ascii="Calibri" w:eastAsia="Calibri" w:hAnsi="Calibri" w:cs="Calibri"/>
        </w:rPr>
      </w:pPr>
      <w:r w:rsidRPr="00472578">
        <w:rPr>
          <w:rFonts w:ascii="Calibri" w:eastAsia="Calibri" w:hAnsi="Calibri" w:cs="Calibri"/>
        </w:rPr>
        <w:t>NFL – Natural features and landscapes</w:t>
      </w:r>
    </w:p>
    <w:p w14:paraId="11C957B4" w14:textId="77777777" w:rsidR="00417301" w:rsidRPr="00472578" w:rsidRDefault="00417301" w:rsidP="00E92686">
      <w:pPr>
        <w:pStyle w:val="Heading3"/>
        <w:jc w:val="both"/>
      </w:pPr>
      <w:r w:rsidRPr="00472578">
        <w:t>Principal reasons</w:t>
      </w:r>
    </w:p>
    <w:p w14:paraId="60676D37" w14:textId="0C21F407" w:rsidR="00417301" w:rsidRPr="00472578" w:rsidRDefault="009A45CE" w:rsidP="00E92686">
      <w:pPr>
        <w:pStyle w:val="Heading4"/>
        <w:jc w:val="both"/>
      </w:pPr>
      <w:r w:rsidRPr="00472578">
        <w:t>UFD-P</w:t>
      </w:r>
      <w:r w:rsidR="00417301" w:rsidRPr="00472578">
        <w:t>R1 – Principal reasons</w:t>
      </w:r>
    </w:p>
    <w:p w14:paraId="7AD5D262" w14:textId="13E07CF2" w:rsidR="00417301" w:rsidRPr="00472578" w:rsidRDefault="00417301" w:rsidP="00E92686">
      <w:pPr>
        <w:widowControl w:val="0"/>
        <w:autoSpaceDE w:val="0"/>
        <w:autoSpaceDN w:val="0"/>
        <w:ind w:right="112"/>
        <w:jc w:val="both"/>
        <w:rPr>
          <w:rFonts w:ascii="Calibri" w:eastAsia="Calibri" w:hAnsi="Calibri" w:cs="Calibri"/>
        </w:rPr>
      </w:pPr>
      <w:r w:rsidRPr="00472578">
        <w:rPr>
          <w:rFonts w:ascii="Calibri" w:eastAsia="Calibri" w:hAnsi="Calibri" w:cs="Calibri"/>
        </w:rPr>
        <w:t xml:space="preserve">The provisions in this chapter assist in fulfilling the functions of the regional council under section </w:t>
      </w:r>
      <w:r w:rsidRPr="00472578">
        <w:rPr>
          <w:rFonts w:ascii="Calibri" w:eastAsia="Calibri" w:hAnsi="Calibri" w:cs="Calibri"/>
        </w:rPr>
        <w:lastRenderedPageBreak/>
        <w:t xml:space="preserve">30(ba) and </w:t>
      </w:r>
      <w:r w:rsidRPr="00472578">
        <w:rPr>
          <w:rFonts w:ascii="Calibri" w:eastAsia="Calibri" w:hAnsi="Calibri" w:cs="Calibri"/>
          <w:i/>
        </w:rPr>
        <w:t xml:space="preserve">territorial authorities </w:t>
      </w:r>
      <w:r w:rsidRPr="00472578">
        <w:rPr>
          <w:rFonts w:ascii="Calibri" w:eastAsia="Calibri" w:hAnsi="Calibri" w:cs="Calibri"/>
        </w:rPr>
        <w:t>under section 31(aa) of the RMA</w:t>
      </w:r>
      <w:r w:rsidRPr="007E751C">
        <w:rPr>
          <w:rFonts w:ascii="Calibri" w:eastAsia="Calibri" w:hAnsi="Calibri" w:cs="Calibri"/>
          <w:strike/>
        </w:rPr>
        <w:t xml:space="preserve"> 1991</w:t>
      </w:r>
      <w:r w:rsidR="007E751C">
        <w:rPr>
          <w:rStyle w:val="FootnoteReference"/>
          <w:rFonts w:ascii="Calibri" w:eastAsia="Calibri" w:hAnsi="Calibri" w:cs="Calibri"/>
        </w:rPr>
        <w:footnoteReference w:id="1422"/>
      </w:r>
      <w:r w:rsidR="007E751C">
        <w:rPr>
          <w:rFonts w:ascii="Calibri" w:eastAsia="Calibri" w:hAnsi="Calibri" w:cs="Calibri"/>
        </w:rPr>
        <w:t xml:space="preserve"> </w:t>
      </w:r>
      <w:r w:rsidRPr="00472578">
        <w:rPr>
          <w:rFonts w:ascii="Calibri" w:eastAsia="Calibri" w:hAnsi="Calibri" w:cs="Calibri"/>
        </w:rPr>
        <w:t xml:space="preserve">to ensure sufficient </w:t>
      </w:r>
      <w:r w:rsidRPr="00472578">
        <w:rPr>
          <w:rFonts w:ascii="Calibri" w:eastAsia="Calibri" w:hAnsi="Calibri" w:cs="Calibri"/>
          <w:i/>
        </w:rPr>
        <w:t xml:space="preserve">development capacity </w:t>
      </w:r>
      <w:r w:rsidRPr="00472578">
        <w:rPr>
          <w:rFonts w:ascii="Calibri" w:eastAsia="Calibri" w:hAnsi="Calibri" w:cs="Calibri"/>
        </w:rPr>
        <w:t xml:space="preserve">in relation to housing and </w:t>
      </w:r>
      <w:r w:rsidRPr="00472578">
        <w:rPr>
          <w:rFonts w:ascii="Calibri" w:eastAsia="Calibri" w:hAnsi="Calibri" w:cs="Calibri"/>
          <w:i/>
        </w:rPr>
        <w:t xml:space="preserve">business land </w:t>
      </w:r>
      <w:r w:rsidRPr="00472578">
        <w:rPr>
          <w:rFonts w:ascii="Calibri" w:eastAsia="Calibri" w:hAnsi="Calibri" w:cs="Calibri"/>
        </w:rPr>
        <w:t xml:space="preserve">to meet the expected demands of the region and districts respectively. They also assist in giving effect to the similar but more detailed requirements of the </w:t>
      </w:r>
      <w:r w:rsidRPr="00472578">
        <w:rPr>
          <w:rFonts w:ascii="Calibri" w:eastAsia="Calibri" w:hAnsi="Calibri" w:cs="Calibri"/>
          <w:i/>
        </w:rPr>
        <w:t>NPSUD</w:t>
      </w:r>
      <w:r w:rsidRPr="00472578">
        <w:rPr>
          <w:rFonts w:ascii="Calibri" w:eastAsia="Calibri" w:hAnsi="Calibri" w:cs="Calibri"/>
        </w:rPr>
        <w:t>.</w:t>
      </w:r>
    </w:p>
    <w:p w14:paraId="3D788232" w14:textId="77777777" w:rsidR="00417301" w:rsidRPr="00472578" w:rsidRDefault="00417301" w:rsidP="00E92686">
      <w:pPr>
        <w:widowControl w:val="0"/>
        <w:autoSpaceDE w:val="0"/>
        <w:autoSpaceDN w:val="0"/>
        <w:ind w:right="110"/>
        <w:jc w:val="both"/>
        <w:rPr>
          <w:rFonts w:ascii="Calibri" w:eastAsia="Calibri" w:hAnsi="Calibri" w:cs="Calibri"/>
        </w:rPr>
      </w:pPr>
      <w:r w:rsidRPr="00472578">
        <w:rPr>
          <w:rFonts w:ascii="Calibri" w:eastAsia="Calibri" w:hAnsi="Calibri" w:cs="Calibri"/>
        </w:rPr>
        <w:t xml:space="preserve">Urban areas are important for community well-being and are a reflection the inherently social nature of humans. </w:t>
      </w:r>
      <w:r w:rsidRPr="00472578">
        <w:rPr>
          <w:rFonts w:ascii="Calibri" w:eastAsia="Calibri" w:hAnsi="Calibri" w:cs="Calibri"/>
          <w:i/>
          <w:iCs/>
        </w:rPr>
        <w:t>Well-functioning urban areas</w:t>
      </w:r>
      <w:r w:rsidRPr="00472578">
        <w:rPr>
          <w:rFonts w:ascii="Calibri" w:eastAsia="Calibri" w:hAnsi="Calibri" w:cs="Calibri"/>
        </w:rPr>
        <w:t xml:space="preserve"> enable social interactions and provide a wide variety (across type, location and price) of housing, employment and recreational opportunities to meet the varied and variable needs and preferences of communities, in a way that maximises the well-being of its present and future inhabitants, and respects its history, its setting and the </w:t>
      </w:r>
      <w:r w:rsidRPr="00472578">
        <w:rPr>
          <w:rFonts w:ascii="Calibri" w:eastAsia="Calibri" w:hAnsi="Calibri" w:cs="Calibri"/>
          <w:i/>
        </w:rPr>
        <w:t>environment</w:t>
      </w:r>
      <w:r w:rsidRPr="00472578">
        <w:rPr>
          <w:rFonts w:ascii="Calibri" w:eastAsia="Calibri" w:hAnsi="Calibri" w:cs="Calibri"/>
        </w:rPr>
        <w:t xml:space="preserve">. The combination of population growth and demographic change will result in changes in the quantity and qualities demanded of housing, employment, business, </w:t>
      </w:r>
      <w:r w:rsidRPr="00472578">
        <w:rPr>
          <w:rFonts w:ascii="Calibri" w:eastAsia="Calibri" w:hAnsi="Calibri" w:cs="Calibri"/>
          <w:i/>
        </w:rPr>
        <w:t>infrastructure</w:t>
      </w:r>
      <w:r w:rsidRPr="00472578">
        <w:rPr>
          <w:rFonts w:ascii="Calibri" w:eastAsia="Calibri" w:hAnsi="Calibri" w:cs="Calibri"/>
        </w:rPr>
        <w:t xml:space="preserve">, social facilities, </w:t>
      </w:r>
      <w:r w:rsidRPr="00472578">
        <w:rPr>
          <w:rFonts w:ascii="Calibri" w:eastAsia="Calibri" w:hAnsi="Calibri" w:cs="Calibri"/>
          <w:u w:val="single"/>
        </w:rPr>
        <w:t xml:space="preserve">emergency services and </w:t>
      </w:r>
      <w:r w:rsidRPr="00472578">
        <w:rPr>
          <w:rFonts w:ascii="Calibri" w:eastAsia="Calibri" w:hAnsi="Calibri" w:cs="Calibri"/>
          <w:i/>
          <w:iCs/>
          <w:u w:val="single"/>
        </w:rPr>
        <w:t>lifeline utilities</w:t>
      </w:r>
      <w:r w:rsidRPr="00472578">
        <w:rPr>
          <w:rStyle w:val="FootnoteReference"/>
          <w:rFonts w:ascii="Calibri" w:eastAsia="Calibri" w:hAnsi="Calibri" w:cs="Calibri"/>
          <w:i/>
          <w:iCs/>
        </w:rPr>
        <w:footnoteReference w:id="1423"/>
      </w:r>
      <w:r w:rsidRPr="00472578">
        <w:rPr>
          <w:rFonts w:ascii="Calibri" w:eastAsia="Calibri" w:hAnsi="Calibri" w:cs="Calibri"/>
        </w:rPr>
        <w:t xml:space="preserve"> and </w:t>
      </w:r>
      <w:r w:rsidRPr="00472578">
        <w:rPr>
          <w:rFonts w:ascii="Calibri" w:eastAsia="Calibri" w:hAnsi="Calibri" w:cs="Calibri"/>
          <w:u w:val="single"/>
        </w:rPr>
        <w:t>other</w:t>
      </w:r>
      <w:r w:rsidR="00E11250" w:rsidRPr="00472578">
        <w:rPr>
          <w:rStyle w:val="FootnoteReference"/>
          <w:rFonts w:ascii="Calibri" w:eastAsia="Calibri" w:hAnsi="Calibri" w:cs="Calibri"/>
        </w:rPr>
        <w:footnoteReference w:id="1424"/>
      </w:r>
      <w:r w:rsidR="00E11250" w:rsidRPr="00472578">
        <w:rPr>
          <w:rFonts w:ascii="Calibri" w:eastAsia="Calibri" w:hAnsi="Calibri" w:cs="Calibri"/>
        </w:rPr>
        <w:t xml:space="preserve"> services across the region.</w:t>
      </w:r>
      <w:r w:rsidRPr="00472578">
        <w:rPr>
          <w:rFonts w:ascii="Calibri" w:eastAsia="Calibri" w:hAnsi="Calibri" w:cs="Calibri"/>
        </w:rPr>
        <w:t xml:space="preserve"> Upgrade and replacement of the existing development and infrastructure will also continue to be required even where growth is limited, resulting in changes in the built environment. Some of these changes will also be driven by changes in the </w:t>
      </w:r>
      <w:r w:rsidRPr="00472578">
        <w:rPr>
          <w:rFonts w:ascii="Calibri" w:eastAsia="Calibri" w:hAnsi="Calibri" w:cs="Calibri"/>
          <w:i/>
        </w:rPr>
        <w:t>natural environment</w:t>
      </w:r>
      <w:r w:rsidRPr="00472578">
        <w:rPr>
          <w:rFonts w:ascii="Calibri" w:eastAsia="Calibri" w:hAnsi="Calibri" w:cs="Calibri"/>
        </w:rPr>
        <w:t>, including the impacts of climate change. Urban areas are highly dynamic by nature, so the provisions in this chapter seek to manage, rather than limit, the form, function, growth and development of urban areas in a way that best provides for the community’s well- being both now and into the future.</w:t>
      </w:r>
    </w:p>
    <w:p w14:paraId="53278783" w14:textId="77777777" w:rsidR="00417301" w:rsidRPr="00472578" w:rsidRDefault="00417301" w:rsidP="00E92686">
      <w:pPr>
        <w:widowControl w:val="0"/>
        <w:autoSpaceDE w:val="0"/>
        <w:autoSpaceDN w:val="0"/>
        <w:ind w:right="111"/>
        <w:jc w:val="both"/>
        <w:rPr>
          <w:rFonts w:ascii="Calibri" w:eastAsia="Calibri" w:hAnsi="Calibri" w:cs="Calibri"/>
        </w:rPr>
      </w:pPr>
      <w:r w:rsidRPr="00472578">
        <w:rPr>
          <w:rFonts w:ascii="Calibri" w:eastAsia="Calibri" w:hAnsi="Calibri" w:cs="Calibri"/>
        </w:rPr>
        <w:t xml:space="preserve">The pace and scale of growth and change, and the scale and nature of urban environments and areas in the region is variable, meaning no single response at a regional level is appropriate in all cases. Accordingly, the process identified in this RPS remains flexible and responsive (outside of Tier 2 </w:t>
      </w:r>
      <w:r w:rsidRPr="00472578">
        <w:rPr>
          <w:rFonts w:ascii="Calibri" w:eastAsia="Calibri" w:hAnsi="Calibri" w:cs="Calibri"/>
          <w:i/>
          <w:iCs/>
        </w:rPr>
        <w:t>urban environments</w:t>
      </w:r>
      <w:r w:rsidRPr="00472578">
        <w:rPr>
          <w:rFonts w:ascii="Calibri" w:eastAsia="Calibri" w:hAnsi="Calibri" w:cs="Calibri"/>
        </w:rPr>
        <w:t xml:space="preserve">, which have specific requirements under the </w:t>
      </w:r>
      <w:r w:rsidRPr="00472578">
        <w:rPr>
          <w:rFonts w:ascii="Calibri" w:eastAsia="Calibri" w:hAnsi="Calibri" w:cs="Calibri"/>
          <w:i/>
          <w:iCs/>
        </w:rPr>
        <w:t>NPSUD</w:t>
      </w:r>
      <w:r w:rsidRPr="00472578">
        <w:rPr>
          <w:rFonts w:ascii="Calibri" w:eastAsia="Calibri" w:hAnsi="Calibri" w:cs="Calibri"/>
        </w:rPr>
        <w:t>). Key requirements of strategic planning include considering and providing for reasonably expected changes in overall quantum of demand and supply as well as changes in needs and preferences that may drive or add to these changes in demand, designing to maximise the efficient use of energy, land and infrastructure (including transport infrastructure). This can best be achieved by prioritising development in and around the region’s existing urban areas as the primary focus of the region’s growth and change, by enabling development within and adjacent to those urban areas, where it generally is most suitable and most efficient to do so.</w:t>
      </w:r>
    </w:p>
    <w:p w14:paraId="2E869424" w14:textId="77777777" w:rsidR="00417301" w:rsidRPr="00472578" w:rsidRDefault="00417301" w:rsidP="00E92686">
      <w:pPr>
        <w:widowControl w:val="0"/>
        <w:autoSpaceDE w:val="0"/>
        <w:autoSpaceDN w:val="0"/>
        <w:ind w:right="111"/>
        <w:jc w:val="both"/>
        <w:rPr>
          <w:rFonts w:ascii="Calibri" w:eastAsia="Calibri" w:hAnsi="Calibri" w:cs="Calibri"/>
        </w:rPr>
      </w:pPr>
      <w:r w:rsidRPr="00472578">
        <w:rPr>
          <w:rFonts w:ascii="Calibri" w:eastAsia="Calibri" w:hAnsi="Calibri" w:cs="Calibri"/>
        </w:rPr>
        <w:t xml:space="preserve">These strategic planning processes provide the mechanism by which longer term issues can be considered, integration between land use and infrastructure can be achieved, and various constraints, opportunities and key trade-offs can be identified and appropriately resolved, while identifying and managing the values and resources identified in this RPS. These processes, and others should always involve </w:t>
      </w:r>
      <w:r w:rsidRPr="00472578">
        <w:rPr>
          <w:rFonts w:ascii="Calibri" w:eastAsia="Calibri" w:hAnsi="Calibri" w:cs="Calibri"/>
          <w:i/>
        </w:rPr>
        <w:t xml:space="preserve">mana whenua, </w:t>
      </w:r>
      <w:r w:rsidRPr="00472578">
        <w:rPr>
          <w:rFonts w:ascii="Calibri" w:eastAsia="Calibri" w:hAnsi="Calibri" w:cs="Calibri"/>
        </w:rPr>
        <w:t>at all levels of the process to ensure their views and values can be incorporated and celebrated, and their needs and aspirations appropriately provided for.</w:t>
      </w:r>
    </w:p>
    <w:p w14:paraId="7BEE03F6" w14:textId="37E7B559" w:rsidR="00417301" w:rsidRPr="00472578" w:rsidRDefault="00417301" w:rsidP="00E92686">
      <w:pPr>
        <w:widowControl w:val="0"/>
        <w:autoSpaceDE w:val="0"/>
        <w:autoSpaceDN w:val="0"/>
        <w:ind w:right="114"/>
        <w:jc w:val="both"/>
        <w:rPr>
          <w:rFonts w:ascii="Calibri" w:eastAsia="Calibri" w:hAnsi="Calibri" w:cs="Calibri"/>
        </w:rPr>
      </w:pPr>
      <w:r w:rsidRPr="00472578">
        <w:rPr>
          <w:rFonts w:ascii="Calibri" w:eastAsia="Calibri" w:hAnsi="Calibri" w:cs="Calibri"/>
        </w:rPr>
        <w:t>All development should seek to maximise efficient use of water consumption (through water efficient design) and disposal</w:t>
      </w:r>
      <w:r w:rsidR="00315EEA" w:rsidRPr="00472578">
        <w:rPr>
          <w:rFonts w:ascii="Calibri" w:eastAsia="Calibri" w:hAnsi="Calibri" w:cs="Calibri"/>
          <w:u w:val="single"/>
        </w:rPr>
        <w:t>.</w:t>
      </w:r>
      <w:r w:rsidRPr="00472578">
        <w:rPr>
          <w:rFonts w:ascii="Calibri" w:eastAsia="Calibri" w:hAnsi="Calibri" w:cs="Calibri"/>
        </w:rPr>
        <w:t xml:space="preserve"> </w:t>
      </w:r>
      <w:r w:rsidR="00315EEA" w:rsidRPr="00472578">
        <w:rPr>
          <w:rFonts w:ascii="Calibri" w:eastAsia="Calibri" w:hAnsi="Calibri" w:cs="Calibri"/>
          <w:u w:val="single"/>
        </w:rPr>
        <w:t>R</w:t>
      </w:r>
      <w:r w:rsidR="00315EEA" w:rsidRPr="00472578">
        <w:rPr>
          <w:rFonts w:ascii="Calibri" w:eastAsia="Calibri" w:hAnsi="Calibri" w:cs="Calibri"/>
          <w:strike/>
        </w:rPr>
        <w:t>r</w:t>
      </w:r>
      <w:r w:rsidRPr="00472578">
        <w:rPr>
          <w:rFonts w:ascii="Calibri" w:eastAsia="Calibri" w:hAnsi="Calibri" w:cs="Calibri"/>
        </w:rPr>
        <w:t>educed</w:t>
      </w:r>
      <w:r w:rsidR="00315EEA" w:rsidRPr="00472578">
        <w:rPr>
          <w:rStyle w:val="FootnoteReference"/>
          <w:rFonts w:ascii="Calibri" w:eastAsia="Calibri" w:hAnsi="Calibri" w:cs="Calibri"/>
        </w:rPr>
        <w:footnoteReference w:id="1425"/>
      </w:r>
      <w:r w:rsidRPr="00472578">
        <w:rPr>
          <w:rFonts w:ascii="Calibri" w:eastAsia="Calibri" w:hAnsi="Calibri" w:cs="Calibri"/>
        </w:rPr>
        <w:t xml:space="preserve"> consumption reduces sewerage loads, and </w:t>
      </w:r>
      <w:r w:rsidRPr="00472578">
        <w:rPr>
          <w:rFonts w:ascii="Calibri" w:eastAsia="Calibri" w:hAnsi="Calibri" w:cs="Calibri"/>
          <w:strike/>
        </w:rPr>
        <w:t>the</w:t>
      </w:r>
      <w:r w:rsidRPr="00472578">
        <w:rPr>
          <w:rStyle w:val="FootnoteReference"/>
          <w:rFonts w:ascii="Calibri" w:eastAsia="Calibri" w:hAnsi="Calibri" w:cs="Calibri"/>
        </w:rPr>
        <w:footnoteReference w:id="1426"/>
      </w:r>
      <w:r w:rsidRPr="00472578">
        <w:rPr>
          <w:rFonts w:ascii="Calibri" w:eastAsia="Calibri" w:hAnsi="Calibri" w:cs="Calibri"/>
        </w:rPr>
        <w:t xml:space="preserve"> water sensitive design reduces impacts on both supplying and receiving natural systems and can reduce </w:t>
      </w:r>
      <w:r w:rsidRPr="00472578">
        <w:rPr>
          <w:rFonts w:ascii="Calibri" w:eastAsia="Calibri" w:hAnsi="Calibri" w:cs="Calibri"/>
        </w:rPr>
        <w:lastRenderedPageBreak/>
        <w:t>flooding from stormwater</w:t>
      </w:r>
      <w:r w:rsidRPr="00472578">
        <w:rPr>
          <w:rFonts w:ascii="Calibri" w:eastAsia="Calibri" w:hAnsi="Calibri" w:cs="Calibri"/>
          <w:strike/>
        </w:rPr>
        <w:t>)</w:t>
      </w:r>
      <w:r w:rsidR="00A953B2" w:rsidRPr="00472578">
        <w:rPr>
          <w:rStyle w:val="FootnoteReference"/>
          <w:rFonts w:ascii="Calibri" w:eastAsia="Calibri" w:hAnsi="Calibri" w:cs="Calibri"/>
        </w:rPr>
        <w:t xml:space="preserve"> </w:t>
      </w:r>
      <w:r w:rsidR="00A953B2" w:rsidRPr="00472578">
        <w:rPr>
          <w:rStyle w:val="FootnoteReference"/>
          <w:rFonts w:ascii="Calibri" w:eastAsia="Calibri" w:hAnsi="Calibri" w:cs="Calibri"/>
        </w:rPr>
        <w:footnoteReference w:id="1427"/>
      </w:r>
      <w:r w:rsidRPr="00472578">
        <w:rPr>
          <w:rFonts w:ascii="Calibri" w:eastAsia="Calibri" w:hAnsi="Calibri" w:cs="Calibri"/>
        </w:rPr>
        <w:t>, and maximise the winter capture and retention of the sun</w:t>
      </w:r>
      <w:r w:rsidR="00680E60" w:rsidRPr="00472578">
        <w:rPr>
          <w:rFonts w:ascii="Calibri" w:eastAsia="Calibri" w:hAnsi="Calibri" w:cs="Calibri"/>
          <w:u w:val="single"/>
        </w:rPr>
        <w:t>’</w:t>
      </w:r>
      <w:r w:rsidRPr="00472578">
        <w:rPr>
          <w:rFonts w:ascii="Calibri" w:eastAsia="Calibri" w:hAnsi="Calibri" w:cs="Calibri"/>
        </w:rPr>
        <w:t>s</w:t>
      </w:r>
      <w:r w:rsidR="00680E60" w:rsidRPr="00472578">
        <w:rPr>
          <w:rStyle w:val="FootnoteReference"/>
          <w:rFonts w:ascii="Calibri" w:eastAsia="Calibri" w:hAnsi="Calibri" w:cs="Calibri"/>
        </w:rPr>
        <w:footnoteReference w:id="1428"/>
      </w:r>
      <w:r w:rsidRPr="00472578">
        <w:rPr>
          <w:rFonts w:ascii="Calibri" w:eastAsia="Calibri" w:hAnsi="Calibri" w:cs="Calibri"/>
        </w:rPr>
        <w:t xml:space="preserve"> energy, which will also assist with reducing the energy needed to heat homes in winter and can also help reduce </w:t>
      </w:r>
      <w:r w:rsidRPr="00472578">
        <w:rPr>
          <w:rFonts w:ascii="Calibri" w:eastAsia="Calibri" w:hAnsi="Calibri" w:cs="Calibri"/>
          <w:i/>
          <w:iCs/>
        </w:rPr>
        <w:t>air</w:t>
      </w:r>
      <w:r w:rsidRPr="00472578">
        <w:rPr>
          <w:rFonts w:ascii="Calibri" w:eastAsia="Calibri" w:hAnsi="Calibri" w:cs="Calibri"/>
        </w:rPr>
        <w:t xml:space="preserve"> pollution from solid fuel burning for home heating. Development in more central parts of the region also need to be designed to be cognisant of minimising excess sun capture in the summer months. Enabling the establishment and use of </w:t>
      </w:r>
      <w:r w:rsidRPr="00472578">
        <w:rPr>
          <w:rFonts w:ascii="Calibri" w:eastAsia="Calibri" w:hAnsi="Calibri" w:cs="Calibri"/>
          <w:i/>
          <w:iCs/>
        </w:rPr>
        <w:t>small-scale renewable energy generation</w:t>
      </w:r>
      <w:r w:rsidRPr="00472578">
        <w:rPr>
          <w:rFonts w:ascii="Calibri" w:eastAsia="Calibri" w:hAnsi="Calibri" w:cs="Calibri"/>
        </w:rPr>
        <w:t xml:space="preserve"> also facilitates local </w:t>
      </w:r>
      <w:r w:rsidRPr="00472578">
        <w:rPr>
          <w:rFonts w:ascii="Calibri" w:eastAsia="Calibri" w:hAnsi="Calibri" w:cs="Calibri"/>
          <w:i/>
          <w:iCs/>
        </w:rPr>
        <w:t>energy</w:t>
      </w:r>
      <w:r w:rsidRPr="00472578">
        <w:rPr>
          <w:rFonts w:ascii="Calibri" w:eastAsia="Calibri" w:hAnsi="Calibri" w:cs="Calibri"/>
        </w:rPr>
        <w:t xml:space="preserve"> resilience, contributes to national </w:t>
      </w:r>
      <w:r w:rsidRPr="00472578">
        <w:rPr>
          <w:rFonts w:ascii="Calibri" w:eastAsia="Calibri" w:hAnsi="Calibri" w:cs="Calibri"/>
          <w:i/>
          <w:iCs/>
        </w:rPr>
        <w:t>renewable energy</w:t>
      </w:r>
      <w:r w:rsidRPr="00472578">
        <w:rPr>
          <w:rFonts w:ascii="Calibri" w:eastAsia="Calibri" w:hAnsi="Calibri" w:cs="Calibri"/>
        </w:rPr>
        <w:t xml:space="preserve"> generation targets with associated </w:t>
      </w:r>
      <w:r w:rsidRPr="00472578">
        <w:rPr>
          <w:rFonts w:ascii="Calibri" w:eastAsia="Calibri" w:hAnsi="Calibri" w:cs="Calibri"/>
          <w:i/>
          <w:iCs/>
        </w:rPr>
        <w:t>climate change</w:t>
      </w:r>
      <w:r w:rsidRPr="00472578">
        <w:rPr>
          <w:rFonts w:ascii="Calibri" w:eastAsia="Calibri" w:hAnsi="Calibri" w:cs="Calibri"/>
        </w:rPr>
        <w:t xml:space="preserve"> benefits, and may reduce the need for additional large-scale generation and transmission infrastructure and associated impacts.</w:t>
      </w:r>
    </w:p>
    <w:p w14:paraId="751B013B" w14:textId="5669BE75" w:rsidR="00417301" w:rsidRPr="00472578" w:rsidRDefault="00417301" w:rsidP="00E92686">
      <w:pPr>
        <w:widowControl w:val="0"/>
        <w:autoSpaceDE w:val="0"/>
        <w:autoSpaceDN w:val="0"/>
        <w:ind w:right="112"/>
        <w:jc w:val="both"/>
        <w:rPr>
          <w:rFonts w:ascii="Calibri" w:eastAsia="Calibri" w:hAnsi="Calibri" w:cs="Calibri"/>
        </w:rPr>
      </w:pPr>
      <w:r w:rsidRPr="00472578">
        <w:rPr>
          <w:rFonts w:ascii="Calibri" w:eastAsia="Calibri" w:hAnsi="Calibri" w:cs="Calibri"/>
        </w:rPr>
        <w:t xml:space="preserve">Rural areas are attractive as residential living areas, and for other non-rural activities. However, they contain areas, activities and resources critical for rural production that can be impacted by sensitive activities. Non-urban areas also contain a wide range of other values that can be negatively impacted by the impacts of rural-residential and other activities, that do not have a </w:t>
      </w:r>
      <w:r w:rsidRPr="00472578">
        <w:rPr>
          <w:rFonts w:ascii="Calibri" w:eastAsia="Calibri" w:hAnsi="Calibri" w:cs="Calibri"/>
          <w:strike/>
        </w:rPr>
        <w:t>functional need</w:t>
      </w:r>
      <w:r w:rsidRPr="00472578">
        <w:rPr>
          <w:rFonts w:ascii="Calibri" w:eastAsia="Calibri" w:hAnsi="Calibri" w:cs="Calibri"/>
        </w:rPr>
        <w:t xml:space="preserve"> </w:t>
      </w:r>
      <w:r w:rsidR="00113E02" w:rsidRPr="00472578">
        <w:rPr>
          <w:rFonts w:ascii="Calibri" w:eastAsia="Calibri" w:hAnsi="Calibri" w:cs="Calibri"/>
          <w:i/>
          <w:iCs/>
        </w:rPr>
        <w:t>functional need</w:t>
      </w:r>
      <w:r w:rsidR="00113E02" w:rsidRPr="00472578">
        <w:rPr>
          <w:rStyle w:val="FootnoteReference"/>
          <w:rFonts w:ascii="Calibri" w:eastAsia="Calibri" w:hAnsi="Calibri" w:cs="Calibri"/>
          <w:i/>
          <w:iCs/>
        </w:rPr>
        <w:footnoteReference w:id="1429"/>
      </w:r>
      <w:r w:rsidR="00113E02" w:rsidRPr="00472578">
        <w:rPr>
          <w:rFonts w:ascii="Calibri" w:eastAsia="Calibri" w:hAnsi="Calibri" w:cs="Calibri"/>
        </w:rPr>
        <w:t xml:space="preserve"> </w:t>
      </w:r>
      <w:r w:rsidRPr="00472578">
        <w:rPr>
          <w:rFonts w:ascii="Calibri" w:eastAsia="Calibri" w:hAnsi="Calibri" w:cs="Calibri"/>
        </w:rPr>
        <w:t xml:space="preserve">to be in rural areas. The provisions in this chapter focus on managing where rural living opportunities and other non-rural activities are provided for, so that the potential </w:t>
      </w:r>
      <w:r w:rsidRPr="00472578">
        <w:rPr>
          <w:rFonts w:ascii="Calibri" w:eastAsia="Calibri" w:hAnsi="Calibri" w:cs="Calibri"/>
          <w:i/>
        </w:rPr>
        <w:t xml:space="preserve">effects </w:t>
      </w:r>
      <w:r w:rsidRPr="00472578">
        <w:rPr>
          <w:rFonts w:ascii="Calibri" w:eastAsia="Calibri" w:hAnsi="Calibri" w:cs="Calibri"/>
        </w:rPr>
        <w:t>on the rural character, productive potential and the wide range of environmental values, features and resources that rural areas also contain are appropriately managed. The supply of rural lifestyle opportunities to meet demand should be directed to suitably located and zoned areas to minimise impacts on values in rural areas. In designing and planning for rural residential and rural lifestyle development, local authorities will need to be aware of the potential future constraints on future urban expansion and development, including the cumulative impacts of infrastructure servicing irrespective of whether this is onsite, community or through connections to urban reticulated schemes.</w:t>
      </w:r>
    </w:p>
    <w:p w14:paraId="280B20DB" w14:textId="77777777" w:rsidR="00417301" w:rsidRPr="00472578" w:rsidRDefault="00417301" w:rsidP="00E92686">
      <w:pPr>
        <w:widowControl w:val="0"/>
        <w:autoSpaceDE w:val="0"/>
        <w:autoSpaceDN w:val="0"/>
        <w:ind w:right="114"/>
        <w:jc w:val="both"/>
        <w:rPr>
          <w:rFonts w:ascii="Calibri" w:eastAsia="Calibri" w:hAnsi="Calibri" w:cs="Calibri"/>
        </w:rPr>
      </w:pPr>
      <w:r w:rsidRPr="00472578">
        <w:rPr>
          <w:rFonts w:ascii="Calibri" w:eastAsia="Calibri" w:hAnsi="Calibri" w:cs="Calibri"/>
        </w:rPr>
        <w:t xml:space="preserve">Implementation of the provisions in this chapter will occur partially through </w:t>
      </w:r>
      <w:r w:rsidRPr="00472578">
        <w:rPr>
          <w:rFonts w:ascii="Calibri" w:eastAsia="Calibri" w:hAnsi="Calibri" w:cs="Calibri"/>
          <w:i/>
        </w:rPr>
        <w:t xml:space="preserve">regional plans </w:t>
      </w:r>
      <w:r w:rsidRPr="00472578">
        <w:rPr>
          <w:rFonts w:ascii="Calibri" w:eastAsia="Calibri" w:hAnsi="Calibri" w:cs="Calibri"/>
        </w:rPr>
        <w:t xml:space="preserve">but primarily </w:t>
      </w:r>
      <w:r w:rsidRPr="00472578">
        <w:rPr>
          <w:rFonts w:ascii="Calibri" w:eastAsia="Calibri" w:hAnsi="Calibri" w:cs="Calibri"/>
          <w:i/>
        </w:rPr>
        <w:t xml:space="preserve">district plan </w:t>
      </w:r>
      <w:r w:rsidRPr="00472578">
        <w:rPr>
          <w:rFonts w:ascii="Calibri" w:eastAsia="Calibri" w:hAnsi="Calibri" w:cs="Calibri"/>
        </w:rPr>
        <w:t xml:space="preserve">provisions, as well as through preparation of </w:t>
      </w:r>
      <w:r w:rsidRPr="00472578">
        <w:rPr>
          <w:rFonts w:ascii="Calibri" w:eastAsia="Calibri" w:hAnsi="Calibri" w:cs="Calibri"/>
          <w:i/>
        </w:rPr>
        <w:t xml:space="preserve">future development strategies </w:t>
      </w:r>
      <w:r w:rsidRPr="00472578">
        <w:rPr>
          <w:rFonts w:ascii="Calibri" w:eastAsia="Calibri" w:hAnsi="Calibri" w:cs="Calibri"/>
        </w:rPr>
        <w:t xml:space="preserve">and </w:t>
      </w:r>
      <w:r w:rsidRPr="00472578">
        <w:rPr>
          <w:rFonts w:ascii="Calibri" w:eastAsia="Calibri" w:hAnsi="Calibri" w:cs="Calibri"/>
          <w:i/>
        </w:rPr>
        <w:t xml:space="preserve">structure plans </w:t>
      </w:r>
      <w:r w:rsidRPr="00472578">
        <w:rPr>
          <w:u w:val="single"/>
        </w:rPr>
        <w:t>and the financial and infrastructure planning processes they inform</w:t>
      </w:r>
      <w:r w:rsidRPr="00472578">
        <w:rPr>
          <w:rFonts w:ascii="Calibri" w:eastAsia="Calibri" w:hAnsi="Calibri" w:cs="Calibri"/>
          <w:u w:val="single"/>
        </w:rPr>
        <w:t xml:space="preserve">. While the functions and duties of regional and territorial authorities are different, each brings different focus and responsibilities to the task of achieving </w:t>
      </w:r>
      <w:r w:rsidRPr="00472578">
        <w:rPr>
          <w:rFonts w:ascii="Calibri" w:eastAsia="Calibri" w:hAnsi="Calibri" w:cs="Calibri"/>
          <w:i/>
          <w:iCs/>
          <w:u w:val="single"/>
        </w:rPr>
        <w:t>well-functioning urban environments.</w:t>
      </w:r>
      <w:r w:rsidRPr="00472578">
        <w:rPr>
          <w:rFonts w:ascii="Calibri" w:eastAsia="Calibri" w:hAnsi="Calibri" w:cs="Calibri"/>
          <w:u w:val="single"/>
        </w:rPr>
        <w:t xml:space="preserve"> Working together, and with others, in accordance with specified joint responsibilities under the NPSUD, will assist with achieving the purpose of the RMA and the outcomes sought by this RPS</w:t>
      </w:r>
      <w:r w:rsidRPr="00472578">
        <w:rPr>
          <w:rFonts w:ascii="Calibri" w:eastAsia="Calibri" w:hAnsi="Calibri" w:cs="Calibri"/>
        </w:rPr>
        <w:t>.</w:t>
      </w:r>
      <w:r w:rsidRPr="00472578">
        <w:rPr>
          <w:rStyle w:val="FootnoteReference"/>
          <w:rFonts w:ascii="Calibri" w:eastAsia="Calibri" w:hAnsi="Calibri" w:cs="Calibri"/>
        </w:rPr>
        <w:footnoteReference w:id="1430"/>
      </w:r>
    </w:p>
    <w:p w14:paraId="4DF8451A" w14:textId="77777777" w:rsidR="00417301" w:rsidRPr="00472578" w:rsidRDefault="00417301" w:rsidP="00E92686">
      <w:pPr>
        <w:widowControl w:val="0"/>
        <w:autoSpaceDE w:val="0"/>
        <w:autoSpaceDN w:val="0"/>
        <w:ind w:right="114"/>
        <w:jc w:val="both"/>
        <w:rPr>
          <w:rFonts w:ascii="Calibri" w:eastAsia="Calibri" w:hAnsi="Calibri" w:cs="Calibri"/>
        </w:rPr>
      </w:pPr>
      <w:r w:rsidRPr="00472578">
        <w:rPr>
          <w:rFonts w:ascii="Calibri" w:eastAsia="Calibri" w:hAnsi="Calibri" w:cs="Calibri"/>
        </w:rPr>
        <w:t xml:space="preserve">To appropriately and efficiently achieve the objectives and policies, other non-regulatory spatial planning exercises and associated action plans, agreements and infrastructure delivery programs will be needed to complement regulatory approaches, including setting aside the necessary funding for delivery, and partnering with </w:t>
      </w:r>
      <w:r w:rsidRPr="00472578">
        <w:rPr>
          <w:rFonts w:ascii="Calibri" w:eastAsia="Calibri" w:hAnsi="Calibri" w:cs="Calibri"/>
          <w:i/>
        </w:rPr>
        <w:t xml:space="preserve">mana whenua, </w:t>
      </w:r>
      <w:r w:rsidRPr="00472578">
        <w:rPr>
          <w:rFonts w:ascii="Calibri" w:eastAsia="Calibri" w:hAnsi="Calibri" w:cs="Calibri"/>
        </w:rPr>
        <w:t>central government, communities and developers to deliver the quality and quantity of urban development needed to meet demand and provide for change, improve land and development market competitiveness, and achieve resilient, efficient and attractive urban places.</w:t>
      </w:r>
    </w:p>
    <w:p w14:paraId="33BBCC22" w14:textId="77777777" w:rsidR="00417301" w:rsidRPr="00472578" w:rsidRDefault="00417301" w:rsidP="00E92686">
      <w:pPr>
        <w:pStyle w:val="Heading3"/>
        <w:jc w:val="both"/>
      </w:pPr>
      <w:r w:rsidRPr="00472578">
        <w:t>Anticipated environmental results</w:t>
      </w:r>
    </w:p>
    <w:p w14:paraId="4692F4CA" w14:textId="187A400C" w:rsidR="00417301" w:rsidRPr="00472578" w:rsidRDefault="009A45CE" w:rsidP="00E92686">
      <w:pPr>
        <w:widowControl w:val="0"/>
        <w:tabs>
          <w:tab w:val="left" w:pos="2459"/>
        </w:tabs>
        <w:autoSpaceDE w:val="0"/>
        <w:autoSpaceDN w:val="0"/>
        <w:ind w:left="2268" w:right="115"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ER1</w:t>
      </w:r>
      <w:r w:rsidR="00417301" w:rsidRPr="00472578">
        <w:rPr>
          <w:rFonts w:ascii="Calibri" w:eastAsia="Calibri" w:hAnsi="Calibri" w:cs="Calibri"/>
          <w:b/>
          <w:color w:val="1F3863"/>
        </w:rPr>
        <w:tab/>
      </w:r>
      <w:r w:rsidR="00417301" w:rsidRPr="00472578">
        <w:rPr>
          <w:rFonts w:ascii="Calibri" w:eastAsia="Calibri" w:hAnsi="Calibri" w:cs="Calibri"/>
        </w:rPr>
        <w:t xml:space="preserve">Appropriately scaled strategic planning occurs in advance of regulatory planning, and regulatory plans are changed in a timely manner to facilitate </w:t>
      </w:r>
      <w:r w:rsidR="00417301" w:rsidRPr="00472578">
        <w:rPr>
          <w:rFonts w:ascii="Calibri" w:eastAsia="Calibri" w:hAnsi="Calibri" w:cs="Calibri"/>
        </w:rPr>
        <w:lastRenderedPageBreak/>
        <w:t>to outcomes identified in these processes.</w:t>
      </w:r>
    </w:p>
    <w:p w14:paraId="5515A569" w14:textId="4E791292" w:rsidR="00417301" w:rsidRPr="00472578" w:rsidRDefault="009A45CE" w:rsidP="00E92686">
      <w:pPr>
        <w:widowControl w:val="0"/>
        <w:tabs>
          <w:tab w:val="left" w:pos="2459"/>
        </w:tabs>
        <w:autoSpaceDE w:val="0"/>
        <w:autoSpaceDN w:val="0"/>
        <w:ind w:left="2268" w:right="114"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ER2</w:t>
      </w:r>
      <w:r w:rsidR="00417301" w:rsidRPr="00472578">
        <w:rPr>
          <w:rFonts w:ascii="Calibri" w:eastAsia="Calibri" w:hAnsi="Calibri" w:cs="Calibri"/>
          <w:b/>
          <w:color w:val="1F3863"/>
        </w:rPr>
        <w:tab/>
      </w:r>
      <w:r w:rsidR="00417301" w:rsidRPr="00472578">
        <w:rPr>
          <w:rFonts w:ascii="Calibri" w:eastAsia="Calibri" w:hAnsi="Calibri" w:cs="Calibri"/>
        </w:rPr>
        <w:t xml:space="preserve">Urban expansion only occurs when suitable and sufficient </w:t>
      </w:r>
      <w:r w:rsidR="00417301" w:rsidRPr="00472578">
        <w:rPr>
          <w:rFonts w:ascii="Calibri" w:eastAsia="Calibri" w:hAnsi="Calibri" w:cs="Calibri"/>
          <w:i/>
        </w:rPr>
        <w:t xml:space="preserve">development infrastructure </w:t>
      </w:r>
      <w:r w:rsidR="00417301" w:rsidRPr="00472578">
        <w:rPr>
          <w:rFonts w:ascii="Calibri" w:eastAsia="Calibri" w:hAnsi="Calibri" w:cs="Calibri"/>
        </w:rPr>
        <w:t xml:space="preserve">is in place or will be provided at the time of expansion and provision is made for the needs of </w:t>
      </w:r>
      <w:r w:rsidR="00417301" w:rsidRPr="00472578">
        <w:rPr>
          <w:rFonts w:ascii="Calibri" w:eastAsia="Calibri" w:hAnsi="Calibri" w:cs="Calibri"/>
          <w:i/>
        </w:rPr>
        <w:t>additional infrastructure</w:t>
      </w:r>
      <w:r w:rsidR="00417301" w:rsidRPr="00472578">
        <w:rPr>
          <w:rFonts w:ascii="Calibri" w:eastAsia="Calibri" w:hAnsi="Calibri" w:cs="Calibri"/>
        </w:rPr>
        <w:t>.</w:t>
      </w:r>
    </w:p>
    <w:p w14:paraId="18BB699D" w14:textId="0C3FB7B9" w:rsidR="00417301" w:rsidRPr="00472578" w:rsidRDefault="009A45CE" w:rsidP="00E92686">
      <w:pPr>
        <w:widowControl w:val="0"/>
        <w:tabs>
          <w:tab w:val="left" w:pos="2459"/>
        </w:tabs>
        <w:autoSpaceDE w:val="0"/>
        <w:autoSpaceDN w:val="0"/>
        <w:ind w:left="2268" w:right="113"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ER3</w:t>
      </w:r>
      <w:r w:rsidR="00417301" w:rsidRPr="00472578">
        <w:rPr>
          <w:rFonts w:ascii="Calibri" w:eastAsia="Calibri" w:hAnsi="Calibri" w:cs="Calibri"/>
          <w:b/>
          <w:color w:val="1F3863"/>
        </w:rPr>
        <w:tab/>
      </w:r>
      <w:r w:rsidR="00417301" w:rsidRPr="00472578">
        <w:rPr>
          <w:rFonts w:ascii="Calibri" w:eastAsia="Calibri" w:hAnsi="Calibri" w:cs="Calibri"/>
          <w:i/>
        </w:rPr>
        <w:t xml:space="preserve">Development infrastructure </w:t>
      </w:r>
      <w:r w:rsidR="00417301" w:rsidRPr="00472578">
        <w:rPr>
          <w:rFonts w:ascii="Calibri" w:eastAsia="Calibri" w:hAnsi="Calibri" w:cs="Calibri"/>
        </w:rPr>
        <w:t>is in place in time to facilitate reasonably expected urban intensification or planned expansion.</w:t>
      </w:r>
    </w:p>
    <w:p w14:paraId="68CF7B15" w14:textId="2B8124EB" w:rsidR="00417301" w:rsidRPr="00472578" w:rsidRDefault="009A45CE" w:rsidP="00E92686">
      <w:pPr>
        <w:widowControl w:val="0"/>
        <w:tabs>
          <w:tab w:val="left" w:pos="2459"/>
        </w:tabs>
        <w:autoSpaceDE w:val="0"/>
        <w:autoSpaceDN w:val="0"/>
        <w:ind w:left="2268" w:right="115"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ER4</w:t>
      </w:r>
      <w:r w:rsidR="00417301" w:rsidRPr="00472578">
        <w:rPr>
          <w:rFonts w:ascii="Calibri" w:eastAsia="Calibri" w:hAnsi="Calibri" w:cs="Calibri"/>
          <w:b/>
          <w:color w:val="1F3863"/>
        </w:rPr>
        <w:tab/>
      </w:r>
      <w:r w:rsidR="00417301" w:rsidRPr="00472578">
        <w:rPr>
          <w:rFonts w:ascii="Calibri" w:eastAsia="Calibri" w:hAnsi="Calibri" w:cs="Calibri"/>
        </w:rPr>
        <w:t xml:space="preserve">New developments including redevelopments are designed to maximise energy and transport efficiency and minimise impacts on </w:t>
      </w:r>
      <w:r w:rsidR="00417301" w:rsidRPr="00472578">
        <w:rPr>
          <w:rFonts w:ascii="Calibri" w:eastAsia="Calibri" w:hAnsi="Calibri" w:cs="Calibri"/>
          <w:i/>
        </w:rPr>
        <w:t xml:space="preserve">water </w:t>
      </w:r>
      <w:r w:rsidR="00417301" w:rsidRPr="00472578">
        <w:rPr>
          <w:rFonts w:ascii="Calibri" w:eastAsia="Calibri" w:hAnsi="Calibri" w:cs="Calibri"/>
        </w:rPr>
        <w:t>quality and quantity.</w:t>
      </w:r>
    </w:p>
    <w:p w14:paraId="111F797F" w14:textId="77B47530" w:rsidR="00417301" w:rsidRPr="00472578" w:rsidRDefault="009A45CE" w:rsidP="00E92686">
      <w:pPr>
        <w:widowControl w:val="0"/>
        <w:tabs>
          <w:tab w:val="left" w:pos="2459"/>
        </w:tabs>
        <w:autoSpaceDE w:val="0"/>
        <w:autoSpaceDN w:val="0"/>
        <w:ind w:left="2268" w:right="119"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ER5</w:t>
      </w:r>
      <w:r w:rsidR="00417301" w:rsidRPr="00472578">
        <w:rPr>
          <w:rFonts w:ascii="Calibri" w:eastAsia="Calibri" w:hAnsi="Calibri" w:cs="Calibri"/>
          <w:b/>
          <w:color w:val="1F3863"/>
        </w:rPr>
        <w:tab/>
      </w:r>
      <w:r w:rsidR="00417301" w:rsidRPr="00472578">
        <w:rPr>
          <w:rFonts w:ascii="Calibri" w:eastAsia="Calibri" w:hAnsi="Calibri" w:cs="Calibri"/>
        </w:rPr>
        <w:t xml:space="preserve">The majority of new development is located close to services, jobs, and other urban amenities and can access those amenities by a range of transport modes including </w:t>
      </w:r>
      <w:r w:rsidR="00417301" w:rsidRPr="00472578">
        <w:rPr>
          <w:rFonts w:ascii="Calibri" w:eastAsia="Calibri" w:hAnsi="Calibri" w:cs="Calibri"/>
          <w:i/>
        </w:rPr>
        <w:t xml:space="preserve">active transport </w:t>
      </w:r>
      <w:r w:rsidR="00417301" w:rsidRPr="00472578">
        <w:rPr>
          <w:rFonts w:ascii="Calibri" w:eastAsia="Calibri" w:hAnsi="Calibri" w:cs="Calibri"/>
        </w:rPr>
        <w:t xml:space="preserve">and, where available, </w:t>
      </w:r>
      <w:r w:rsidR="00417301" w:rsidRPr="00472578">
        <w:rPr>
          <w:rFonts w:ascii="Calibri" w:eastAsia="Calibri" w:hAnsi="Calibri" w:cs="Calibri"/>
          <w:i/>
        </w:rPr>
        <w:t>public transport</w:t>
      </w:r>
      <w:r w:rsidR="00417301" w:rsidRPr="00472578">
        <w:rPr>
          <w:rFonts w:ascii="Calibri" w:eastAsia="Calibri" w:hAnsi="Calibri" w:cs="Calibri"/>
        </w:rPr>
        <w:t>.</w:t>
      </w:r>
    </w:p>
    <w:p w14:paraId="2227754F" w14:textId="74C99AF0" w:rsidR="00417301" w:rsidRPr="00472578" w:rsidRDefault="009A45CE" w:rsidP="00E92686">
      <w:pPr>
        <w:widowControl w:val="0"/>
        <w:tabs>
          <w:tab w:val="left" w:pos="2459"/>
        </w:tabs>
        <w:autoSpaceDE w:val="0"/>
        <w:autoSpaceDN w:val="0"/>
        <w:ind w:left="2268"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ER6</w:t>
      </w:r>
      <w:r w:rsidR="00417301" w:rsidRPr="00472578">
        <w:rPr>
          <w:rFonts w:ascii="Calibri" w:eastAsia="Calibri" w:hAnsi="Calibri" w:cs="Calibri"/>
          <w:b/>
          <w:color w:val="1F3863"/>
        </w:rPr>
        <w:tab/>
      </w:r>
      <w:r w:rsidR="00417301" w:rsidRPr="00472578">
        <w:rPr>
          <w:rFonts w:ascii="Calibri" w:eastAsia="Calibri" w:hAnsi="Calibri" w:cs="Calibri"/>
        </w:rPr>
        <w:t xml:space="preserve">The mode share and use of </w:t>
      </w:r>
      <w:r w:rsidR="00417301" w:rsidRPr="00472578">
        <w:rPr>
          <w:rFonts w:ascii="Calibri" w:eastAsia="Calibri" w:hAnsi="Calibri" w:cs="Calibri"/>
          <w:i/>
        </w:rPr>
        <w:t xml:space="preserve">active transport </w:t>
      </w:r>
      <w:r w:rsidR="00417301" w:rsidRPr="00472578">
        <w:rPr>
          <w:rFonts w:ascii="Calibri" w:eastAsia="Calibri" w:hAnsi="Calibri" w:cs="Calibri"/>
        </w:rPr>
        <w:t xml:space="preserve">and </w:t>
      </w:r>
      <w:r w:rsidR="00417301" w:rsidRPr="00472578">
        <w:rPr>
          <w:rFonts w:ascii="Calibri" w:eastAsia="Calibri" w:hAnsi="Calibri" w:cs="Calibri"/>
          <w:u w:val="single"/>
        </w:rPr>
        <w:t>where available</w:t>
      </w:r>
      <w:r w:rsidR="00BE5C58" w:rsidRPr="00472578">
        <w:rPr>
          <w:rFonts w:ascii="Calibri" w:eastAsia="Calibri" w:hAnsi="Calibri" w:cs="Calibri"/>
        </w:rPr>
        <w:t>,</w:t>
      </w:r>
      <w:r w:rsidR="00417301" w:rsidRPr="00472578">
        <w:rPr>
          <w:rStyle w:val="FootnoteReference"/>
          <w:rFonts w:ascii="Calibri" w:eastAsia="Calibri" w:hAnsi="Calibri" w:cs="Calibri"/>
        </w:rPr>
        <w:footnoteReference w:id="1431"/>
      </w:r>
      <w:r w:rsidR="00417301" w:rsidRPr="00472578">
        <w:rPr>
          <w:rFonts w:ascii="Calibri" w:eastAsia="Calibri" w:hAnsi="Calibri" w:cs="Calibri"/>
        </w:rPr>
        <w:t xml:space="preserve"> </w:t>
      </w:r>
      <w:r w:rsidR="00417301" w:rsidRPr="00472578">
        <w:rPr>
          <w:rFonts w:ascii="Calibri" w:eastAsia="Calibri" w:hAnsi="Calibri" w:cs="Calibri"/>
          <w:i/>
        </w:rPr>
        <w:t xml:space="preserve">public transport </w:t>
      </w:r>
      <w:r w:rsidR="00417301" w:rsidRPr="00472578">
        <w:rPr>
          <w:rFonts w:ascii="Calibri" w:eastAsia="Calibri" w:hAnsi="Calibri" w:cs="Calibri"/>
        </w:rPr>
        <w:t>increases.</w:t>
      </w:r>
    </w:p>
    <w:p w14:paraId="5ECC2CBE" w14:textId="3A401D59" w:rsidR="00417301" w:rsidRPr="00472578" w:rsidRDefault="009A45CE" w:rsidP="00E92686">
      <w:pPr>
        <w:widowControl w:val="0"/>
        <w:tabs>
          <w:tab w:val="left" w:pos="2459"/>
        </w:tabs>
        <w:autoSpaceDE w:val="0"/>
        <w:autoSpaceDN w:val="0"/>
        <w:ind w:left="2268" w:right="116"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ER7</w:t>
      </w:r>
      <w:r w:rsidR="00417301" w:rsidRPr="00472578">
        <w:rPr>
          <w:rFonts w:ascii="Calibri" w:eastAsia="Calibri" w:hAnsi="Calibri" w:cs="Calibri"/>
          <w:b/>
          <w:color w:val="1F3863"/>
        </w:rPr>
        <w:tab/>
      </w:r>
      <w:r w:rsidR="00417301" w:rsidRPr="00472578">
        <w:rPr>
          <w:rFonts w:ascii="Calibri" w:eastAsia="Calibri" w:hAnsi="Calibri" w:cs="Calibri"/>
        </w:rPr>
        <w:t xml:space="preserve">New developments are at minimal </w:t>
      </w:r>
      <w:r w:rsidR="00417301" w:rsidRPr="00472578">
        <w:rPr>
          <w:rFonts w:ascii="Calibri" w:eastAsia="Calibri" w:hAnsi="Calibri" w:cs="Calibri"/>
          <w:i/>
        </w:rPr>
        <w:t xml:space="preserve">risk </w:t>
      </w:r>
      <w:r w:rsidR="00417301" w:rsidRPr="00472578">
        <w:rPr>
          <w:rFonts w:ascii="Calibri" w:eastAsia="Calibri" w:hAnsi="Calibri" w:cs="Calibri"/>
        </w:rPr>
        <w:t xml:space="preserve">from </w:t>
      </w:r>
      <w:r w:rsidR="00417301" w:rsidRPr="00472578">
        <w:rPr>
          <w:rFonts w:ascii="Calibri" w:eastAsia="Calibri" w:hAnsi="Calibri" w:cs="Calibri"/>
          <w:i/>
        </w:rPr>
        <w:t xml:space="preserve">natural hazards </w:t>
      </w:r>
      <w:r w:rsidR="00417301" w:rsidRPr="00472578">
        <w:rPr>
          <w:rFonts w:ascii="Calibri" w:eastAsia="Calibri" w:hAnsi="Calibri" w:cs="Calibri"/>
        </w:rPr>
        <w:t xml:space="preserve">including changes to </w:t>
      </w:r>
      <w:r w:rsidR="00417301" w:rsidRPr="00472578">
        <w:rPr>
          <w:rFonts w:ascii="Calibri" w:eastAsia="Calibri" w:hAnsi="Calibri" w:cs="Calibri"/>
          <w:i/>
        </w:rPr>
        <w:t xml:space="preserve">risk </w:t>
      </w:r>
      <w:r w:rsidR="00417301" w:rsidRPr="00472578">
        <w:rPr>
          <w:rFonts w:ascii="Calibri" w:eastAsia="Calibri" w:hAnsi="Calibri" w:cs="Calibri"/>
        </w:rPr>
        <w:t xml:space="preserve">due to the impacts of </w:t>
      </w:r>
      <w:r w:rsidR="00417301" w:rsidRPr="00472578">
        <w:rPr>
          <w:rFonts w:ascii="Calibri" w:eastAsia="Calibri" w:hAnsi="Calibri" w:cs="Calibri"/>
          <w:i/>
        </w:rPr>
        <w:t>climate change</w:t>
      </w:r>
      <w:r w:rsidR="00417301" w:rsidRPr="00472578">
        <w:rPr>
          <w:rFonts w:ascii="Calibri" w:eastAsia="Calibri" w:hAnsi="Calibri" w:cs="Calibri"/>
        </w:rPr>
        <w:t xml:space="preserve">, and do not increase </w:t>
      </w:r>
      <w:r w:rsidR="00417301" w:rsidRPr="00472578">
        <w:rPr>
          <w:rFonts w:ascii="Calibri" w:eastAsia="Calibri" w:hAnsi="Calibri" w:cs="Calibri"/>
          <w:i/>
        </w:rPr>
        <w:t xml:space="preserve">risk </w:t>
      </w:r>
      <w:r w:rsidR="00417301" w:rsidRPr="00472578">
        <w:rPr>
          <w:rFonts w:ascii="Calibri" w:eastAsia="Calibri" w:hAnsi="Calibri" w:cs="Calibri"/>
        </w:rPr>
        <w:t>to existing or planned developments.</w:t>
      </w:r>
    </w:p>
    <w:p w14:paraId="1B15DB3A" w14:textId="0BAD3C34" w:rsidR="00417301" w:rsidRPr="00472578" w:rsidRDefault="009A45CE" w:rsidP="00E92686">
      <w:pPr>
        <w:widowControl w:val="0"/>
        <w:tabs>
          <w:tab w:val="left" w:pos="2459"/>
        </w:tabs>
        <w:autoSpaceDE w:val="0"/>
        <w:autoSpaceDN w:val="0"/>
        <w:ind w:left="2268" w:right="115"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ER8</w:t>
      </w:r>
      <w:r w:rsidR="00417301" w:rsidRPr="00472578">
        <w:rPr>
          <w:rFonts w:ascii="Calibri" w:eastAsia="Calibri" w:hAnsi="Calibri" w:cs="Calibri"/>
          <w:b/>
          <w:color w:val="1F3863"/>
        </w:rPr>
        <w:tab/>
      </w:r>
      <w:r w:rsidR="00417301" w:rsidRPr="00472578">
        <w:rPr>
          <w:rFonts w:ascii="Calibri" w:eastAsia="Calibri" w:hAnsi="Calibri" w:cs="Calibri"/>
        </w:rPr>
        <w:t xml:space="preserve">In existing urban areas at </w:t>
      </w:r>
      <w:r w:rsidR="00417301" w:rsidRPr="00472578">
        <w:rPr>
          <w:rFonts w:ascii="Calibri" w:eastAsia="Calibri" w:hAnsi="Calibri" w:cs="Calibri"/>
          <w:i/>
        </w:rPr>
        <w:t xml:space="preserve">risk </w:t>
      </w:r>
      <w:r w:rsidR="00417301" w:rsidRPr="00472578">
        <w:rPr>
          <w:rFonts w:ascii="Calibri" w:eastAsia="Calibri" w:hAnsi="Calibri" w:cs="Calibri"/>
        </w:rPr>
        <w:t xml:space="preserve">from </w:t>
      </w:r>
      <w:r w:rsidR="00417301" w:rsidRPr="00472578">
        <w:rPr>
          <w:rFonts w:ascii="Calibri" w:eastAsia="Calibri" w:hAnsi="Calibri" w:cs="Calibri"/>
          <w:i/>
        </w:rPr>
        <w:t>natural hazards</w:t>
      </w:r>
      <w:r w:rsidR="00417301" w:rsidRPr="00472578">
        <w:rPr>
          <w:rFonts w:ascii="Calibri" w:eastAsia="Calibri" w:hAnsi="Calibri" w:cs="Calibri"/>
        </w:rPr>
        <w:t xml:space="preserve">, including changes to </w:t>
      </w:r>
      <w:r w:rsidR="00417301" w:rsidRPr="00472578">
        <w:rPr>
          <w:rFonts w:ascii="Calibri" w:eastAsia="Calibri" w:hAnsi="Calibri" w:cs="Calibri"/>
          <w:i/>
        </w:rPr>
        <w:t xml:space="preserve">risk </w:t>
      </w:r>
      <w:r w:rsidR="00417301" w:rsidRPr="00472578">
        <w:rPr>
          <w:rFonts w:ascii="Calibri" w:eastAsia="Calibri" w:hAnsi="Calibri" w:cs="Calibri"/>
        </w:rPr>
        <w:t xml:space="preserve">due to the impacts of </w:t>
      </w:r>
      <w:r w:rsidR="00417301" w:rsidRPr="00472578">
        <w:rPr>
          <w:rFonts w:ascii="Calibri" w:eastAsia="Calibri" w:hAnsi="Calibri" w:cs="Calibri"/>
          <w:i/>
        </w:rPr>
        <w:t>climate change</w:t>
      </w:r>
      <w:r w:rsidR="00417301" w:rsidRPr="00472578">
        <w:rPr>
          <w:rFonts w:ascii="Calibri" w:eastAsia="Calibri" w:hAnsi="Calibri" w:cs="Calibri"/>
        </w:rPr>
        <w:t xml:space="preserve">, communities are informed, </w:t>
      </w:r>
      <w:r w:rsidR="00417301" w:rsidRPr="00472578">
        <w:rPr>
          <w:rFonts w:ascii="Calibri" w:eastAsia="Calibri" w:hAnsi="Calibri" w:cs="Calibri"/>
          <w:i/>
        </w:rPr>
        <w:t xml:space="preserve">resilient </w:t>
      </w:r>
      <w:r w:rsidR="00417301" w:rsidRPr="00472578">
        <w:rPr>
          <w:rFonts w:ascii="Calibri" w:eastAsia="Calibri" w:hAnsi="Calibri" w:cs="Calibri"/>
        </w:rPr>
        <w:t xml:space="preserve">and prepared for the </w:t>
      </w:r>
      <w:r w:rsidR="00417301" w:rsidRPr="00472578">
        <w:rPr>
          <w:rFonts w:ascii="Calibri" w:eastAsia="Calibri" w:hAnsi="Calibri" w:cs="Calibri"/>
          <w:i/>
        </w:rPr>
        <w:t xml:space="preserve">effects </w:t>
      </w:r>
      <w:r w:rsidR="00417301" w:rsidRPr="00472578">
        <w:rPr>
          <w:rFonts w:ascii="Calibri" w:eastAsia="Calibri" w:hAnsi="Calibri" w:cs="Calibri"/>
        </w:rPr>
        <w:t xml:space="preserve">of known </w:t>
      </w:r>
      <w:r w:rsidR="00417301" w:rsidRPr="00472578">
        <w:rPr>
          <w:rFonts w:ascii="Calibri" w:eastAsia="Calibri" w:hAnsi="Calibri" w:cs="Calibri"/>
          <w:i/>
        </w:rPr>
        <w:t>natural hazard risks</w:t>
      </w:r>
      <w:r w:rsidR="00417301" w:rsidRPr="00472578">
        <w:rPr>
          <w:rFonts w:ascii="Calibri" w:eastAsia="Calibri" w:hAnsi="Calibri" w:cs="Calibri"/>
        </w:rPr>
        <w:t>.</w:t>
      </w:r>
    </w:p>
    <w:p w14:paraId="6B016EBE" w14:textId="50432D50" w:rsidR="00417301" w:rsidRPr="00472578" w:rsidRDefault="009A45CE" w:rsidP="00E92686">
      <w:pPr>
        <w:widowControl w:val="0"/>
        <w:tabs>
          <w:tab w:val="left" w:pos="2459"/>
        </w:tabs>
        <w:autoSpaceDE w:val="0"/>
        <w:autoSpaceDN w:val="0"/>
        <w:ind w:left="2268" w:right="116"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ER9</w:t>
      </w:r>
      <w:r w:rsidR="00417301" w:rsidRPr="00472578">
        <w:rPr>
          <w:rFonts w:ascii="Calibri" w:eastAsia="Calibri" w:hAnsi="Calibri" w:cs="Calibri"/>
          <w:b/>
          <w:color w:val="1F3863"/>
        </w:rPr>
        <w:tab/>
      </w:r>
      <w:r w:rsidR="00417301" w:rsidRPr="00472578">
        <w:rPr>
          <w:rFonts w:ascii="Calibri" w:eastAsia="Calibri" w:hAnsi="Calibri" w:cs="Calibri"/>
        </w:rPr>
        <w:t xml:space="preserve">There is an increased range of housing types and locations and an increased number of </w:t>
      </w:r>
      <w:r w:rsidR="00417301" w:rsidRPr="00472578">
        <w:rPr>
          <w:rFonts w:ascii="Calibri" w:eastAsia="Calibri" w:hAnsi="Calibri" w:cs="Calibri"/>
          <w:i/>
        </w:rPr>
        <w:t>dwellings</w:t>
      </w:r>
      <w:r w:rsidR="00417301" w:rsidRPr="00472578">
        <w:rPr>
          <w:rFonts w:ascii="Calibri" w:eastAsia="Calibri" w:hAnsi="Calibri" w:cs="Calibri"/>
        </w:rPr>
        <w:t xml:space="preserve">, particularly more affordable housing in existing and planned </w:t>
      </w:r>
      <w:r w:rsidR="00417301" w:rsidRPr="00472578">
        <w:rPr>
          <w:rFonts w:ascii="Calibri" w:eastAsia="Calibri" w:hAnsi="Calibri" w:cs="Calibri"/>
          <w:i/>
        </w:rPr>
        <w:t>urban areas</w:t>
      </w:r>
      <w:r w:rsidR="00417301" w:rsidRPr="00472578">
        <w:rPr>
          <w:rFonts w:ascii="Calibri" w:eastAsia="Calibri" w:hAnsi="Calibri" w:cs="Calibri"/>
        </w:rPr>
        <w:t>.</w:t>
      </w:r>
    </w:p>
    <w:p w14:paraId="4585F4FD" w14:textId="69EBE94F" w:rsidR="00417301" w:rsidRPr="00472578" w:rsidRDefault="009A45CE" w:rsidP="00E92686">
      <w:pPr>
        <w:widowControl w:val="0"/>
        <w:tabs>
          <w:tab w:val="left" w:pos="2459"/>
        </w:tabs>
        <w:autoSpaceDE w:val="0"/>
        <w:autoSpaceDN w:val="0"/>
        <w:ind w:left="2268" w:right="116"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ER10</w:t>
      </w:r>
      <w:r w:rsidR="00417301" w:rsidRPr="00472578">
        <w:rPr>
          <w:rFonts w:ascii="Calibri" w:eastAsia="Calibri" w:hAnsi="Calibri" w:cs="Calibri"/>
          <w:b/>
          <w:color w:val="1F3863"/>
        </w:rPr>
        <w:tab/>
      </w:r>
      <w:r w:rsidR="00417301" w:rsidRPr="00472578">
        <w:rPr>
          <w:rFonts w:ascii="Calibri" w:eastAsia="Calibri" w:hAnsi="Calibri" w:cs="Calibri"/>
        </w:rPr>
        <w:t xml:space="preserve">The current and future needs of business are met by the availability of a range </w:t>
      </w:r>
      <w:r w:rsidR="00FD65BF" w:rsidRPr="00472578">
        <w:rPr>
          <w:rFonts w:ascii="Calibri" w:eastAsia="Calibri" w:hAnsi="Calibri" w:cs="Calibri"/>
        </w:rPr>
        <w:t>of opportunities</w:t>
      </w:r>
      <w:r w:rsidR="00417301" w:rsidRPr="00472578">
        <w:rPr>
          <w:rFonts w:ascii="Calibri" w:eastAsia="Calibri" w:hAnsi="Calibri" w:cs="Calibri"/>
        </w:rPr>
        <w:t xml:space="preserve"> for </w:t>
      </w:r>
      <w:r w:rsidR="00417301" w:rsidRPr="00472578">
        <w:rPr>
          <w:rFonts w:ascii="Calibri" w:eastAsia="Calibri" w:hAnsi="Calibri" w:cs="Calibri"/>
          <w:i/>
        </w:rPr>
        <w:t xml:space="preserve">land </w:t>
      </w:r>
      <w:r w:rsidR="00417301" w:rsidRPr="00472578">
        <w:rPr>
          <w:rFonts w:ascii="Calibri" w:eastAsia="Calibri" w:hAnsi="Calibri" w:cs="Calibri"/>
        </w:rPr>
        <w:t>and space that meets their requirements.</w:t>
      </w:r>
    </w:p>
    <w:p w14:paraId="0A8FBCF0" w14:textId="237AA35F" w:rsidR="00417301" w:rsidRPr="00472578" w:rsidRDefault="009A45CE" w:rsidP="00E92686">
      <w:pPr>
        <w:widowControl w:val="0"/>
        <w:tabs>
          <w:tab w:val="left" w:pos="2459"/>
        </w:tabs>
        <w:autoSpaceDE w:val="0"/>
        <w:autoSpaceDN w:val="0"/>
        <w:ind w:left="2268" w:right="113" w:hanging="2268"/>
        <w:jc w:val="both"/>
        <w:rPr>
          <w:rFonts w:ascii="Calibri" w:eastAsia="Calibri" w:hAnsi="Calibri" w:cs="Calibri"/>
        </w:rPr>
      </w:pPr>
      <w:r w:rsidRPr="00472578">
        <w:rPr>
          <w:rFonts w:ascii="Calibri" w:eastAsia="Calibri" w:hAnsi="Calibri" w:cs="Calibri"/>
          <w:b/>
          <w:color w:val="1F3863"/>
        </w:rPr>
        <w:t>UFD-A</w:t>
      </w:r>
      <w:r w:rsidR="00417301" w:rsidRPr="00472578">
        <w:rPr>
          <w:rFonts w:ascii="Calibri" w:eastAsia="Calibri" w:hAnsi="Calibri" w:cs="Calibri"/>
          <w:b/>
          <w:color w:val="1F3863"/>
        </w:rPr>
        <w:t>ER11</w:t>
      </w:r>
      <w:r w:rsidR="00417301">
        <w:tab/>
      </w:r>
      <w:r w:rsidR="00417301" w:rsidRPr="00472578">
        <w:rPr>
          <w:rFonts w:ascii="Calibri" w:eastAsia="Calibri" w:hAnsi="Calibri" w:cs="Calibri"/>
        </w:rPr>
        <w:t xml:space="preserve">All new rural residential or rural lifestyle development occurs within areas </w:t>
      </w:r>
      <w:r w:rsidR="00FD65BF" w:rsidRPr="00472578">
        <w:rPr>
          <w:rFonts w:ascii="Calibri" w:eastAsia="Calibri" w:hAnsi="Calibri" w:cs="Calibri"/>
        </w:rPr>
        <w:t>zoned for</w:t>
      </w:r>
      <w:r w:rsidR="00417301" w:rsidRPr="00472578">
        <w:rPr>
          <w:rFonts w:ascii="Calibri" w:eastAsia="Calibri" w:hAnsi="Calibri" w:cs="Calibri"/>
        </w:rPr>
        <w:t xml:space="preserve"> this use.</w:t>
      </w:r>
    </w:p>
    <w:p w14:paraId="7EA52966" w14:textId="69481B25" w:rsidR="006E5625" w:rsidRPr="00472578" w:rsidRDefault="006E5625" w:rsidP="00E92686">
      <w:pPr>
        <w:pStyle w:val="Paragraphs"/>
        <w:numPr>
          <w:ilvl w:val="0"/>
          <w:numId w:val="0"/>
        </w:numPr>
        <w:ind w:left="2268" w:hanging="2268"/>
        <w:jc w:val="both"/>
        <w:rPr>
          <w:u w:val="single"/>
        </w:rPr>
      </w:pPr>
      <w:r w:rsidRPr="00472578">
        <w:rPr>
          <w:rFonts w:eastAsia="Calibri"/>
          <w:b/>
          <w:color w:val="1F3863"/>
          <w:u w:val="single"/>
        </w:rPr>
        <w:t>UFD-AER12</w:t>
      </w:r>
      <w:r w:rsidRPr="00472578">
        <w:rPr>
          <w:u w:val="single"/>
        </w:rPr>
        <w:tab/>
      </w:r>
      <w:r w:rsidR="00E21AF2" w:rsidRPr="13E16893">
        <w:rPr>
          <w:rFonts w:eastAsia="Calibri"/>
          <w:sz w:val="21"/>
          <w:u w:val="single"/>
        </w:rPr>
        <w:t>The establishment of sensitive activities within rural areas does not result in adverse effects on activities functionally dependent on rural resources and rural surroundings</w:t>
      </w:r>
      <w:r w:rsidRPr="00472578">
        <w:rPr>
          <w:rStyle w:val="FootnoteReference"/>
        </w:rPr>
        <w:footnoteReference w:id="1432"/>
      </w:r>
    </w:p>
    <w:p w14:paraId="1C6D7401" w14:textId="340A5033" w:rsidR="006E5625" w:rsidRPr="00472578" w:rsidRDefault="006E5625" w:rsidP="00E92686">
      <w:pPr>
        <w:pStyle w:val="Paragraphs"/>
        <w:numPr>
          <w:ilvl w:val="0"/>
          <w:numId w:val="0"/>
        </w:numPr>
        <w:ind w:left="2268" w:hanging="2268"/>
        <w:jc w:val="both"/>
        <w:rPr>
          <w:u w:val="single"/>
        </w:rPr>
      </w:pPr>
      <w:r w:rsidRPr="00472578">
        <w:rPr>
          <w:rFonts w:eastAsia="Calibri"/>
          <w:b/>
          <w:color w:val="1F3863"/>
          <w:u w:val="single"/>
        </w:rPr>
        <w:t>UFD-AER13</w:t>
      </w:r>
      <w:r w:rsidRPr="00472578">
        <w:rPr>
          <w:u w:val="single"/>
        </w:rPr>
        <w:tab/>
      </w:r>
      <w:r w:rsidR="00E21AF2" w:rsidRPr="13E16893">
        <w:rPr>
          <w:rFonts w:eastAsia="Calibri"/>
          <w:sz w:val="21"/>
          <w:u w:val="single"/>
        </w:rPr>
        <w:t>Inappropriate urban expansion and urban activities do not adversely affect the amenity and character of the region’s rural areas</w:t>
      </w:r>
      <w:r w:rsidRPr="00472578">
        <w:rPr>
          <w:u w:val="single"/>
        </w:rPr>
        <w:t xml:space="preserve">. </w:t>
      </w:r>
      <w:r w:rsidRPr="00472578">
        <w:rPr>
          <w:rStyle w:val="FootnoteReference"/>
        </w:rPr>
        <w:footnoteReference w:id="1433"/>
      </w:r>
    </w:p>
    <w:p w14:paraId="03E40FCF" w14:textId="3E748A21" w:rsidR="006E5625" w:rsidRPr="00472578" w:rsidRDefault="006E5625" w:rsidP="00E92686">
      <w:pPr>
        <w:pStyle w:val="Paragraphs"/>
        <w:numPr>
          <w:ilvl w:val="0"/>
          <w:numId w:val="0"/>
        </w:numPr>
        <w:ind w:left="2268" w:hanging="2268"/>
        <w:jc w:val="both"/>
        <w:rPr>
          <w:u w:val="single"/>
        </w:rPr>
      </w:pPr>
      <w:r w:rsidRPr="00472578">
        <w:rPr>
          <w:rFonts w:eastAsia="Calibri"/>
          <w:b/>
          <w:color w:val="1F3863"/>
          <w:u w:val="single"/>
        </w:rPr>
        <w:t>UFD-AER1</w:t>
      </w:r>
      <w:r w:rsidR="00504299" w:rsidRPr="00472578">
        <w:rPr>
          <w:rFonts w:eastAsia="Calibri"/>
          <w:b/>
          <w:color w:val="1F3863"/>
          <w:u w:val="single"/>
        </w:rPr>
        <w:t>4</w:t>
      </w:r>
      <w:r w:rsidRPr="00472578">
        <w:rPr>
          <w:u w:val="single"/>
        </w:rPr>
        <w:tab/>
      </w:r>
      <w:r w:rsidRPr="00472578">
        <w:rPr>
          <w:i/>
          <w:iCs/>
          <w:u w:val="single"/>
        </w:rPr>
        <w:t>Mana whenua</w:t>
      </w:r>
      <w:r w:rsidRPr="00472578">
        <w:rPr>
          <w:u w:val="single"/>
        </w:rPr>
        <w:t xml:space="preserve"> are involved in strategic planning and other planning processes.</w:t>
      </w:r>
      <w:r w:rsidRPr="00472578">
        <w:rPr>
          <w:rStyle w:val="FootnoteReference"/>
        </w:rPr>
        <w:footnoteReference w:id="1434"/>
      </w:r>
    </w:p>
    <w:p w14:paraId="12B55D77" w14:textId="0E3EF3E4" w:rsidR="006E5625" w:rsidRPr="00472578" w:rsidRDefault="006E5625" w:rsidP="00E92686">
      <w:pPr>
        <w:pStyle w:val="Paragraphs"/>
        <w:numPr>
          <w:ilvl w:val="0"/>
          <w:numId w:val="0"/>
        </w:numPr>
        <w:ind w:left="2268" w:hanging="2268"/>
        <w:jc w:val="both"/>
        <w:rPr>
          <w:u w:val="single"/>
        </w:rPr>
      </w:pPr>
      <w:r w:rsidRPr="00472578">
        <w:rPr>
          <w:rFonts w:eastAsia="Calibri"/>
          <w:b/>
          <w:color w:val="1F3863"/>
          <w:u w:val="single"/>
        </w:rPr>
        <w:lastRenderedPageBreak/>
        <w:t>UFD</w:t>
      </w:r>
      <w:r w:rsidR="006A03E7" w:rsidRPr="00472578">
        <w:rPr>
          <w:rFonts w:eastAsia="Calibri"/>
          <w:b/>
          <w:color w:val="1F3863"/>
          <w:u w:val="single"/>
        </w:rPr>
        <w:t>-</w:t>
      </w:r>
      <w:r w:rsidRPr="00472578">
        <w:rPr>
          <w:rFonts w:eastAsia="Calibri"/>
          <w:b/>
          <w:color w:val="1F3863"/>
          <w:u w:val="single"/>
        </w:rPr>
        <w:t>AER1</w:t>
      </w:r>
      <w:r w:rsidR="00504299" w:rsidRPr="00472578">
        <w:rPr>
          <w:rFonts w:eastAsia="Calibri"/>
          <w:b/>
          <w:color w:val="1F3863"/>
          <w:u w:val="single"/>
        </w:rPr>
        <w:t>5</w:t>
      </w:r>
      <w:r w:rsidRPr="00472578">
        <w:rPr>
          <w:u w:val="single"/>
        </w:rPr>
        <w:t xml:space="preserve"> </w:t>
      </w:r>
      <w:r w:rsidRPr="00472578">
        <w:rPr>
          <w:u w:val="single"/>
        </w:rPr>
        <w:tab/>
      </w:r>
      <w:r w:rsidRPr="13E16893">
        <w:rPr>
          <w:rFonts w:eastAsia="Calibri"/>
          <w:u w:val="single"/>
        </w:rPr>
        <w:t xml:space="preserve">The development of Native reserves and Te Ture Whenua Maori land </w:t>
      </w:r>
      <w:r w:rsidR="00E21AF2" w:rsidRPr="13E16893">
        <w:rPr>
          <w:rFonts w:eastAsia="Calibri"/>
          <w:u w:val="single"/>
        </w:rPr>
        <w:t>occurs</w:t>
      </w:r>
      <w:r w:rsidRPr="13E16893">
        <w:rPr>
          <w:rFonts w:eastAsia="Calibri"/>
          <w:u w:val="single"/>
        </w:rPr>
        <w:t xml:space="preserve"> in accordance with the needs, aspirations and cultural values of mana whenua</w:t>
      </w:r>
      <w:r w:rsidRPr="00472578">
        <w:rPr>
          <w:u w:val="single"/>
        </w:rPr>
        <w:t>.</w:t>
      </w:r>
      <w:r w:rsidRPr="00472578">
        <w:rPr>
          <w:rStyle w:val="FootnoteReference"/>
        </w:rPr>
        <w:footnoteReference w:id="1435"/>
      </w:r>
    </w:p>
    <w:p w14:paraId="797DDBE4" w14:textId="5BE0DFB5" w:rsidR="006E5625" w:rsidRPr="00472578" w:rsidRDefault="006E5625" w:rsidP="00E92686">
      <w:pPr>
        <w:pStyle w:val="Paragraphs"/>
        <w:numPr>
          <w:ilvl w:val="0"/>
          <w:numId w:val="0"/>
        </w:numPr>
        <w:ind w:left="2268" w:hanging="2268"/>
        <w:jc w:val="both"/>
        <w:rPr>
          <w:u w:val="single"/>
        </w:rPr>
      </w:pPr>
      <w:r w:rsidRPr="00472578">
        <w:rPr>
          <w:rFonts w:eastAsia="Calibri"/>
          <w:b/>
          <w:color w:val="1F3863"/>
          <w:u w:val="single"/>
        </w:rPr>
        <w:t>UFD</w:t>
      </w:r>
      <w:r w:rsidR="00504299" w:rsidRPr="00472578">
        <w:rPr>
          <w:rFonts w:eastAsia="Calibri"/>
          <w:b/>
          <w:color w:val="1F3863"/>
          <w:u w:val="single"/>
        </w:rPr>
        <w:t>-</w:t>
      </w:r>
      <w:r w:rsidRPr="00472578">
        <w:rPr>
          <w:rFonts w:eastAsia="Calibri"/>
          <w:b/>
          <w:color w:val="1F3863"/>
          <w:u w:val="single"/>
        </w:rPr>
        <w:t>AER1</w:t>
      </w:r>
      <w:r w:rsidR="00504299" w:rsidRPr="00472578">
        <w:rPr>
          <w:rFonts w:eastAsia="Calibri"/>
          <w:b/>
          <w:color w:val="1F3863"/>
          <w:u w:val="single"/>
        </w:rPr>
        <w:t>6</w:t>
      </w:r>
      <w:r w:rsidRPr="00472578">
        <w:rPr>
          <w:u w:val="single"/>
        </w:rPr>
        <w:t xml:space="preserve"> </w:t>
      </w:r>
      <w:r w:rsidRPr="00472578">
        <w:rPr>
          <w:u w:val="single"/>
        </w:rPr>
        <w:tab/>
      </w:r>
      <w:r w:rsidR="00E21AF2" w:rsidRPr="13E16893">
        <w:rPr>
          <w:rFonts w:eastAsia="Calibri"/>
          <w:sz w:val="21"/>
          <w:u w:val="single"/>
        </w:rPr>
        <w:t>Urban and rural development maintain recognised regionally significant features and values</w:t>
      </w:r>
      <w:r w:rsidRPr="00472578">
        <w:rPr>
          <w:u w:val="single"/>
        </w:rPr>
        <w:t>.</w:t>
      </w:r>
      <w:r w:rsidRPr="00472578">
        <w:rPr>
          <w:rStyle w:val="FootnoteReference"/>
        </w:rPr>
        <w:footnoteReference w:id="1436"/>
      </w:r>
    </w:p>
    <w:p w14:paraId="1803CE8D" w14:textId="77777777" w:rsidR="00504299" w:rsidRPr="00472578" w:rsidRDefault="00504299" w:rsidP="00E92686">
      <w:pPr>
        <w:jc w:val="both"/>
        <w:rPr>
          <w:rFonts w:eastAsiaTheme="majorEastAsia" w:cstheme="majorBidi"/>
          <w:b/>
          <w:color w:val="002060"/>
          <w:sz w:val="44"/>
          <w:szCs w:val="32"/>
        </w:rPr>
      </w:pPr>
      <w:r w:rsidRPr="00472578">
        <w:rPr>
          <w:caps/>
        </w:rPr>
        <w:br w:type="page"/>
      </w:r>
    </w:p>
    <w:p w14:paraId="3B3018BC" w14:textId="4ADCE9D8" w:rsidR="009A45CE" w:rsidRPr="00472578" w:rsidRDefault="009A45CE" w:rsidP="00CD28EB">
      <w:pPr>
        <w:pStyle w:val="Heading1"/>
      </w:pPr>
      <w:bookmarkStart w:id="365" w:name="_Toc49763588"/>
      <w:bookmarkStart w:id="366" w:name="_Toc73105369"/>
      <w:bookmarkStart w:id="367" w:name="_Toc102551289"/>
      <w:r w:rsidRPr="00472578">
        <w:lastRenderedPageBreak/>
        <w:t>PART 4 – EVALUATION AND MONITORING</w:t>
      </w:r>
      <w:bookmarkEnd w:id="365"/>
      <w:bookmarkEnd w:id="366"/>
      <w:bookmarkEnd w:id="367"/>
    </w:p>
    <w:p w14:paraId="3F31BB10" w14:textId="77777777" w:rsidR="009A45CE" w:rsidRPr="00472578" w:rsidRDefault="009A45CE" w:rsidP="00E92686">
      <w:pPr>
        <w:pStyle w:val="Heading2"/>
        <w:jc w:val="both"/>
      </w:pPr>
      <w:bookmarkStart w:id="368" w:name="_Toc49763589"/>
      <w:bookmarkStart w:id="369" w:name="_Toc73105370"/>
      <w:bookmarkStart w:id="370" w:name="_Toc102551290"/>
      <w:r w:rsidRPr="00472578">
        <w:t>Monitoring the efficiency and effectiveness of the policy statement</w:t>
      </w:r>
      <w:bookmarkEnd w:id="368"/>
      <w:bookmarkEnd w:id="369"/>
      <w:bookmarkEnd w:id="370"/>
    </w:p>
    <w:p w14:paraId="71E23BB0" w14:textId="76CDB1A2" w:rsidR="009A45CE" w:rsidRPr="00472578" w:rsidRDefault="009A45CE" w:rsidP="00E92686">
      <w:pPr>
        <w:pStyle w:val="JustifiedSpacing"/>
      </w:pPr>
      <w:r w:rsidRPr="00472578">
        <w:t>ORC must monitor the efficiency and effectiveness of its RPS provisions</w:t>
      </w:r>
      <w:r w:rsidRPr="00472578" w:rsidDel="00502085">
        <w:t xml:space="preserve"> </w:t>
      </w:r>
      <w:r w:rsidRPr="00472578">
        <w:t>and publish the results every five years. The RPS needs to include</w:t>
      </w:r>
      <w:r w:rsidRPr="00472578">
        <w:rPr>
          <w:rFonts w:ascii="Times New Roman" w:eastAsia="Times New Roman" w:hAnsi="Times New Roman" w:cs="Times New Roman"/>
          <w:color w:val="000000"/>
          <w:sz w:val="25"/>
          <w:szCs w:val="25"/>
          <w:lang w:eastAsia="en-NZ"/>
        </w:rPr>
        <w:t xml:space="preserve"> </w:t>
      </w:r>
      <w:r w:rsidRPr="00472578">
        <w:t>the procedures for monitoring its methods and policies.</w:t>
      </w:r>
      <w:r w:rsidR="00735965" w:rsidRPr="00472578">
        <w:rPr>
          <w:rStyle w:val="CommentReference"/>
          <w:rFonts w:asciiTheme="minorHAnsi" w:hAnsiTheme="minorHAnsi" w:cstheme="minorBidi"/>
        </w:rPr>
        <w:t xml:space="preserve"> </w:t>
      </w:r>
    </w:p>
    <w:p w14:paraId="0F18B7D7" w14:textId="77777777" w:rsidR="009A45CE" w:rsidRPr="00472578" w:rsidRDefault="009A45CE" w:rsidP="00E92686">
      <w:pPr>
        <w:pStyle w:val="Heading3"/>
        <w:jc w:val="both"/>
      </w:pPr>
      <w:r w:rsidRPr="00472578">
        <w:t>Existing monitoring procedure</w:t>
      </w:r>
    </w:p>
    <w:p w14:paraId="425171F8" w14:textId="77777777" w:rsidR="009A45CE" w:rsidRPr="00472578" w:rsidRDefault="009A45CE" w:rsidP="00E92686">
      <w:pPr>
        <w:jc w:val="both"/>
        <w:rPr>
          <w:rFonts w:cstheme="minorHAnsi"/>
        </w:rPr>
      </w:pPr>
      <w:r w:rsidRPr="00472578">
        <w:rPr>
          <w:rFonts w:cstheme="minorHAnsi"/>
        </w:rPr>
        <w:t xml:space="preserve">ORC has policies and procedures in place to gather information and to monitor and report on how well Otago’s </w:t>
      </w:r>
      <w:r w:rsidRPr="00472578">
        <w:rPr>
          <w:rFonts w:cstheme="minorHAnsi"/>
          <w:i/>
        </w:rPr>
        <w:t>natural and physical resources</w:t>
      </w:r>
      <w:r w:rsidRPr="00472578">
        <w:rPr>
          <w:rFonts w:cstheme="minorHAnsi"/>
        </w:rPr>
        <w:t xml:space="preserve"> are managed. These include State of the Environment reporting, </w:t>
      </w:r>
      <w:r w:rsidRPr="00472578">
        <w:rPr>
          <w:rFonts w:cstheme="minorHAnsi"/>
          <w:i/>
        </w:rPr>
        <w:t>resource consent</w:t>
      </w:r>
      <w:r w:rsidRPr="00472578">
        <w:rPr>
          <w:rFonts w:cstheme="minorHAnsi"/>
        </w:rPr>
        <w:t xml:space="preserve"> monitoring, and annual reporting against objectives in the Council’s Long-Term Plan. These policies and procedures will be reviewed and updated to reflect ORPS environmental goals (objectives) and ensure the right information is being gathered to monitor the environmental results anticipated.</w:t>
      </w:r>
    </w:p>
    <w:p w14:paraId="498E2025" w14:textId="0DB277EB" w:rsidR="009A45CE" w:rsidRPr="00472578" w:rsidRDefault="009A45CE" w:rsidP="00E92686">
      <w:pPr>
        <w:jc w:val="both"/>
        <w:rPr>
          <w:rFonts w:cstheme="minorHAnsi"/>
        </w:rPr>
      </w:pPr>
      <w:r w:rsidRPr="639E38F9">
        <w:t>The ORPS is relevant to all decision making under the RMA</w:t>
      </w:r>
      <w:r w:rsidRPr="639E38F9">
        <w:rPr>
          <w:strike/>
        </w:rPr>
        <w:t xml:space="preserve"> 1991</w:t>
      </w:r>
      <w:r w:rsidR="00CC16F5" w:rsidRPr="639E38F9">
        <w:rPr>
          <w:rStyle w:val="FootnoteReference"/>
        </w:rPr>
        <w:footnoteReference w:id="1437"/>
      </w:r>
      <w:r w:rsidR="00CC16F5" w:rsidRPr="639E38F9">
        <w:t xml:space="preserve"> </w:t>
      </w:r>
      <w:r w:rsidRPr="639E38F9">
        <w:t xml:space="preserve">and must be given effect through </w:t>
      </w:r>
      <w:r w:rsidRPr="639E38F9">
        <w:rPr>
          <w:i/>
        </w:rPr>
        <w:t>regional</w:t>
      </w:r>
      <w:r w:rsidRPr="639E38F9">
        <w:rPr>
          <w:i/>
          <w:u w:val="single"/>
        </w:rPr>
        <w:t xml:space="preserve"> </w:t>
      </w:r>
      <w:r w:rsidR="00EC6A08" w:rsidRPr="639E38F9">
        <w:rPr>
          <w:i/>
          <w:u w:val="single"/>
        </w:rPr>
        <w:t>plans</w:t>
      </w:r>
      <w:r w:rsidR="00EC6A08" w:rsidRPr="639E38F9">
        <w:rPr>
          <w:rStyle w:val="FootnoteReference"/>
        </w:rPr>
        <w:footnoteReference w:id="1438"/>
      </w:r>
      <w:r w:rsidRPr="639E38F9">
        <w:t xml:space="preserve"> and </w:t>
      </w:r>
      <w:r w:rsidRPr="639E38F9">
        <w:rPr>
          <w:i/>
        </w:rPr>
        <w:t>district plans</w:t>
      </w:r>
      <w:r w:rsidRPr="639E38F9">
        <w:t xml:space="preserve">. As the ORPS is given effect through </w:t>
      </w:r>
      <w:r w:rsidRPr="639E38F9">
        <w:rPr>
          <w:i/>
        </w:rPr>
        <w:t>regional</w:t>
      </w:r>
      <w:r w:rsidRPr="639E38F9">
        <w:rPr>
          <w:i/>
          <w:u w:val="single"/>
        </w:rPr>
        <w:t xml:space="preserve"> </w:t>
      </w:r>
      <w:r w:rsidR="00BB5BCE" w:rsidRPr="639E38F9">
        <w:rPr>
          <w:i/>
          <w:u w:val="single"/>
        </w:rPr>
        <w:t>plans</w:t>
      </w:r>
      <w:r w:rsidR="00BB5BCE" w:rsidRPr="639E38F9">
        <w:rPr>
          <w:rStyle w:val="FootnoteReference"/>
        </w:rPr>
        <w:footnoteReference w:id="1439"/>
      </w:r>
      <w:r w:rsidRPr="639E38F9">
        <w:rPr>
          <w:i/>
        </w:rPr>
        <w:t xml:space="preserve"> </w:t>
      </w:r>
      <w:r w:rsidRPr="639E38F9">
        <w:t>and</w:t>
      </w:r>
      <w:r w:rsidRPr="639E38F9">
        <w:rPr>
          <w:i/>
        </w:rPr>
        <w:t xml:space="preserve"> district plans</w:t>
      </w:r>
      <w:r w:rsidRPr="639E38F9">
        <w:t xml:space="preserve">, much of the data needed for monitoring will be gathered for the purpose of, or will be relevant to, the monitoring of </w:t>
      </w:r>
      <w:r w:rsidRPr="639E38F9">
        <w:rPr>
          <w:i/>
        </w:rPr>
        <w:t>regional</w:t>
      </w:r>
      <w:r w:rsidRPr="639E38F9">
        <w:rPr>
          <w:i/>
          <w:u w:val="single"/>
        </w:rPr>
        <w:t xml:space="preserve"> </w:t>
      </w:r>
      <w:r w:rsidR="00BB5BCE" w:rsidRPr="639E38F9">
        <w:rPr>
          <w:i/>
          <w:u w:val="single"/>
        </w:rPr>
        <w:t>plans</w:t>
      </w:r>
      <w:r w:rsidR="00BB5BCE" w:rsidRPr="639E38F9">
        <w:rPr>
          <w:rStyle w:val="FootnoteReference"/>
        </w:rPr>
        <w:footnoteReference w:id="1440"/>
      </w:r>
      <w:r w:rsidRPr="639E38F9">
        <w:rPr>
          <w:i/>
        </w:rPr>
        <w:t xml:space="preserve"> </w:t>
      </w:r>
      <w:r w:rsidRPr="639E38F9">
        <w:t>and</w:t>
      </w:r>
      <w:r w:rsidRPr="639E38F9">
        <w:rPr>
          <w:i/>
        </w:rPr>
        <w:t xml:space="preserve"> district plans.</w:t>
      </w:r>
      <w:r w:rsidRPr="639E38F9">
        <w:t xml:space="preserve"> ORC will undertake a work programme to identify data the </w:t>
      </w:r>
      <w:r w:rsidRPr="639E38F9">
        <w:rPr>
          <w:i/>
        </w:rPr>
        <w:t>territorial authorities</w:t>
      </w:r>
      <w:r w:rsidRPr="639E38F9">
        <w:t xml:space="preserve"> collect in the course of their normal monitoring regimes and make arrangements for collection and sharing of data, including information that the regional council collects that may be of benefit to</w:t>
      </w:r>
      <w:r w:rsidRPr="639E38F9">
        <w:rPr>
          <w:i/>
        </w:rPr>
        <w:t xml:space="preserve"> territorial authorities</w:t>
      </w:r>
      <w:r w:rsidRPr="639E38F9">
        <w:t>.</w:t>
      </w:r>
    </w:p>
    <w:p w14:paraId="6C73F83E" w14:textId="7326D498" w:rsidR="009A45CE" w:rsidRPr="00472578" w:rsidRDefault="009A45CE" w:rsidP="00E92686">
      <w:pPr>
        <w:jc w:val="both"/>
        <w:rPr>
          <w:rFonts w:cstheme="minorHAnsi"/>
        </w:rPr>
      </w:pPr>
      <w:r w:rsidRPr="639E38F9">
        <w:t xml:space="preserve">Specific environmental indicators will be developed to monitor the impact that ORPS policies and methods are having on Otago’s social, economic, cultural and environmental well-being, and whether they remain the most appropriate for achieving the </w:t>
      </w:r>
      <w:r w:rsidRPr="639E38F9">
        <w:rPr>
          <w:strike/>
        </w:rPr>
        <w:t>RMA 1991’s</w:t>
      </w:r>
      <w:r w:rsidRPr="639E38F9">
        <w:t xml:space="preserve"> </w:t>
      </w:r>
      <w:r w:rsidR="002F77B6" w:rsidRPr="639E38F9">
        <w:rPr>
          <w:u w:val="single"/>
        </w:rPr>
        <w:t>RMA’s</w:t>
      </w:r>
      <w:r w:rsidR="00880B03" w:rsidRPr="639E38F9">
        <w:rPr>
          <w:rStyle w:val="FootnoteReference"/>
        </w:rPr>
        <w:footnoteReference w:id="1441"/>
      </w:r>
      <w:r w:rsidR="00880B03" w:rsidRPr="639E38F9">
        <w:t xml:space="preserve"> </w:t>
      </w:r>
      <w:r w:rsidRPr="639E38F9">
        <w:t xml:space="preserve">purpose. These environmental indicators will be developed outside of the ORPS. This approach enables the frequency or type of indicators to be amended, in order to respond to emerging issues, improved technology and best practice, changes in the local </w:t>
      </w:r>
      <w:r w:rsidRPr="639E38F9">
        <w:rPr>
          <w:i/>
        </w:rPr>
        <w:t>environment</w:t>
      </w:r>
      <w:r w:rsidRPr="639E38F9">
        <w:t>, or societal expectations. It forms part of a continuous review and reporting cycle, resulting in policy changes and adjustments as necessary.</w:t>
      </w:r>
    </w:p>
    <w:p w14:paraId="38074355" w14:textId="07F66838" w:rsidR="009A45CE" w:rsidRPr="00472578" w:rsidRDefault="009A45CE" w:rsidP="00E92686">
      <w:pPr>
        <w:spacing w:after="0" w:line="240" w:lineRule="auto"/>
        <w:jc w:val="both"/>
        <w:rPr>
          <w:rFonts w:ascii="Times New Roman" w:hAnsi="Times New Roman" w:cs="Times New Roman"/>
          <w:sz w:val="24"/>
          <w:szCs w:val="24"/>
          <w:lang w:eastAsia="en-NZ"/>
        </w:rPr>
      </w:pPr>
      <w:r w:rsidRPr="639E38F9">
        <w:t xml:space="preserve">The ORPS needs to reflect the needs and aspirations of </w:t>
      </w:r>
      <w:r w:rsidRPr="639E38F9">
        <w:rPr>
          <w:i/>
          <w:strike/>
        </w:rPr>
        <w:t>tangata whenua</w:t>
      </w:r>
      <w:r w:rsidRPr="639E38F9">
        <w:t xml:space="preserve"> </w:t>
      </w:r>
      <w:r w:rsidRPr="639E38F9">
        <w:rPr>
          <w:i/>
          <w:u w:val="single"/>
        </w:rPr>
        <w:t>mana whenua</w:t>
      </w:r>
      <w:r w:rsidRPr="639E38F9">
        <w:rPr>
          <w:rStyle w:val="FootnoteReference"/>
        </w:rPr>
        <w:footnoteReference w:id="1442"/>
      </w:r>
      <w:r w:rsidRPr="00472578">
        <w:rPr>
          <w:rFonts w:ascii="Times New Roman" w:hAnsi="Times New Roman" w:cs="Times New Roman"/>
          <w:sz w:val="24"/>
          <w:szCs w:val="24"/>
          <w:lang w:eastAsia="en-NZ"/>
        </w:rPr>
        <w:t xml:space="preserve"> </w:t>
      </w:r>
      <w:r w:rsidRPr="639E38F9">
        <w:t xml:space="preserve">and the wider community, so </w:t>
      </w:r>
      <w:r w:rsidRPr="639E38F9">
        <w:rPr>
          <w:i/>
          <w:strike/>
        </w:rPr>
        <w:t>tangata whenua</w:t>
      </w:r>
      <w:r w:rsidRPr="639E38F9">
        <w:t xml:space="preserve"> </w:t>
      </w:r>
      <w:r w:rsidRPr="639E38F9">
        <w:rPr>
          <w:i/>
          <w:u w:val="single"/>
        </w:rPr>
        <w:t>mana whenua</w:t>
      </w:r>
      <w:r w:rsidRPr="639E38F9">
        <w:rPr>
          <w:rStyle w:val="FootnoteReference"/>
        </w:rPr>
        <w:footnoteReference w:id="1443"/>
      </w:r>
      <w:r w:rsidRPr="639E38F9">
        <w:t xml:space="preserve"> and stakeholders will be encouraged to be involved with monitoring the provisions of the ORPS.</w:t>
      </w:r>
    </w:p>
    <w:p w14:paraId="09AEE16F" w14:textId="77777777" w:rsidR="009A45CE" w:rsidRPr="00472578" w:rsidRDefault="009A45CE" w:rsidP="00E92686">
      <w:pPr>
        <w:pStyle w:val="Heading3"/>
        <w:jc w:val="both"/>
      </w:pPr>
      <w:r w:rsidRPr="00472578">
        <w:lastRenderedPageBreak/>
        <w:t>Regional Monitoring Strategy</w:t>
      </w:r>
    </w:p>
    <w:p w14:paraId="150B12BA" w14:textId="77777777" w:rsidR="009A45CE" w:rsidRPr="00472578" w:rsidRDefault="009A45CE" w:rsidP="00E92686">
      <w:pPr>
        <w:jc w:val="both"/>
      </w:pPr>
      <w:r w:rsidRPr="00472578">
        <w:t>To address the undertakings described above, ORC must</w:t>
      </w:r>
      <w:r w:rsidRPr="00472578" w:rsidDel="006F541A">
        <w:t xml:space="preserve"> </w:t>
      </w:r>
      <w:r w:rsidRPr="00472578">
        <w:t>develop a comprehensive integrated Regional Monitoring Strategy (RMS). This strategy will link ORC’s various monitoring procedures together to reduce double handling, identify connections, and improve interrelationships, both between ORC functions and with other agencies. The strategy will help monitor the effectiveness and efficiency of the ORPS, using both quantitative and qualitative assessments, and sit alongside it as a non-statutory document.</w:t>
      </w:r>
    </w:p>
    <w:p w14:paraId="64DA3446" w14:textId="77777777" w:rsidR="009A45CE" w:rsidRPr="00472578" w:rsidRDefault="009A45CE" w:rsidP="00E92686">
      <w:pPr>
        <w:spacing w:after="0" w:line="240" w:lineRule="auto"/>
        <w:jc w:val="both"/>
      </w:pPr>
      <w:r w:rsidRPr="00472578">
        <w:t xml:space="preserve">The RMS will assist ORC with expanding its monitoring activities to respond to ORPS provisions and ensure the things measured accurately reflect policy success, including </w:t>
      </w:r>
      <w:r w:rsidRPr="00472578">
        <w:rPr>
          <w:strike/>
        </w:rPr>
        <w:t>natural</w:t>
      </w:r>
      <w:r w:rsidRPr="00472578">
        <w:t xml:space="preserve"> </w:t>
      </w:r>
      <w:r w:rsidRPr="00472578">
        <w:rPr>
          <w:u w:val="single"/>
        </w:rPr>
        <w:t>environmental</w:t>
      </w:r>
      <w:r w:rsidRPr="00472578">
        <w:t>,</w:t>
      </w:r>
      <w:r w:rsidRPr="00472578">
        <w:rPr>
          <w:rStyle w:val="FootnoteReference"/>
        </w:rPr>
        <w:footnoteReference w:id="1444"/>
      </w:r>
      <w:r w:rsidRPr="00472578">
        <w:t xml:space="preserve"> social, economic, cultural and </w:t>
      </w:r>
      <w:r w:rsidRPr="00472578">
        <w:rPr>
          <w:i/>
          <w:iCs/>
        </w:rPr>
        <w:t>historic heritage</w:t>
      </w:r>
      <w:r w:rsidRPr="00472578">
        <w:t xml:space="preserve"> values. It will increase transparency by stating what is monitored and why. </w:t>
      </w:r>
    </w:p>
    <w:p w14:paraId="22143EF1" w14:textId="77777777" w:rsidR="009A45CE" w:rsidRPr="00472578" w:rsidRDefault="009A45CE" w:rsidP="00E92686">
      <w:pPr>
        <w:spacing w:after="0" w:line="240" w:lineRule="auto"/>
        <w:jc w:val="both"/>
        <w:rPr>
          <w:rFonts w:ascii="Times New Roman" w:hAnsi="Times New Roman" w:cs="Times New Roman"/>
          <w:sz w:val="24"/>
          <w:szCs w:val="24"/>
          <w:lang w:eastAsia="en-NZ"/>
        </w:rPr>
      </w:pPr>
    </w:p>
    <w:p w14:paraId="7DBF7166" w14:textId="77777777" w:rsidR="009A45CE" w:rsidRPr="00472578" w:rsidRDefault="009A45CE" w:rsidP="00E92686">
      <w:pPr>
        <w:jc w:val="both"/>
      </w:pPr>
      <w:r w:rsidRPr="00472578">
        <w:t xml:space="preserve">This goes hand in hand with increasing the ORC’s leadership and facilitation role in several areas, including </w:t>
      </w:r>
      <w:r w:rsidRPr="00472578">
        <w:rPr>
          <w:i/>
          <w:iCs/>
        </w:rPr>
        <w:t>climate change</w:t>
      </w:r>
      <w:r w:rsidRPr="00472578">
        <w:t>.</w:t>
      </w:r>
    </w:p>
    <w:p w14:paraId="42839198" w14:textId="33854726" w:rsidR="009A45CE" w:rsidRPr="00472578" w:rsidRDefault="009A45CE" w:rsidP="00E92686">
      <w:pPr>
        <w:jc w:val="both"/>
      </w:pPr>
      <w:r w:rsidRPr="00472578">
        <w:br w:type="page"/>
      </w:r>
    </w:p>
    <w:p w14:paraId="03ADA874" w14:textId="3347CF0E" w:rsidR="009A45CE" w:rsidRPr="00472578" w:rsidRDefault="009A45CE" w:rsidP="00CD28EB">
      <w:pPr>
        <w:pStyle w:val="Heading1"/>
      </w:pPr>
      <w:bookmarkStart w:id="371" w:name="_Toc49763590"/>
      <w:bookmarkStart w:id="372" w:name="_Toc73105371"/>
      <w:bookmarkStart w:id="373" w:name="_Toc102551291"/>
      <w:r w:rsidRPr="00472578">
        <w:lastRenderedPageBreak/>
        <w:t>PART 5 – APPENDICES AND MAPS</w:t>
      </w:r>
      <w:bookmarkEnd w:id="371"/>
      <w:bookmarkEnd w:id="372"/>
      <w:bookmarkEnd w:id="373"/>
    </w:p>
    <w:p w14:paraId="38241E71" w14:textId="77777777" w:rsidR="009A45CE" w:rsidRPr="00472578" w:rsidRDefault="009A45CE" w:rsidP="00E92686">
      <w:pPr>
        <w:spacing w:after="0"/>
        <w:jc w:val="both"/>
      </w:pPr>
    </w:p>
    <w:p w14:paraId="5CB0A6A5" w14:textId="77777777" w:rsidR="009A45CE" w:rsidRPr="00472578" w:rsidRDefault="009A45CE" w:rsidP="00E92686">
      <w:pPr>
        <w:jc w:val="both"/>
        <w:rPr>
          <w:highlight w:val="yellow"/>
        </w:rPr>
      </w:pPr>
      <w:r w:rsidRPr="00472578">
        <w:rPr>
          <w:highlight w:val="yellow"/>
        </w:rPr>
        <w:br w:type="page"/>
      </w:r>
    </w:p>
    <w:p w14:paraId="7FF600B9" w14:textId="77777777" w:rsidR="009A45CE" w:rsidRPr="00472578" w:rsidRDefault="009A45CE" w:rsidP="00E92686">
      <w:pPr>
        <w:pStyle w:val="Heading2"/>
        <w:jc w:val="both"/>
      </w:pPr>
      <w:bookmarkStart w:id="374" w:name="_Toc73105372"/>
      <w:bookmarkStart w:id="375" w:name="_Toc102551292"/>
      <w:r w:rsidRPr="00472578">
        <w:lastRenderedPageBreak/>
        <w:t>Appendices</w:t>
      </w:r>
      <w:bookmarkEnd w:id="374"/>
      <w:bookmarkEnd w:id="375"/>
    </w:p>
    <w:p w14:paraId="1B075752" w14:textId="02AAF845" w:rsidR="00417301" w:rsidRPr="00472578" w:rsidRDefault="009A45CE" w:rsidP="00E92686">
      <w:pPr>
        <w:jc w:val="both"/>
      </w:pPr>
      <w:r w:rsidRPr="00472578">
        <w:br w:type="page"/>
      </w:r>
    </w:p>
    <w:p w14:paraId="3A46F51A" w14:textId="77777777" w:rsidR="002609E1" w:rsidRPr="00472578" w:rsidRDefault="002609E1" w:rsidP="00E92686">
      <w:pPr>
        <w:pStyle w:val="Heading3"/>
        <w:jc w:val="both"/>
      </w:pPr>
      <w:r w:rsidRPr="00472578">
        <w:lastRenderedPageBreak/>
        <w:t xml:space="preserve">APP1 – Criteria for identifying </w:t>
      </w:r>
      <w:r w:rsidRPr="00472578">
        <w:rPr>
          <w:i/>
        </w:rPr>
        <w:t>outstanding water bodies</w:t>
      </w:r>
    </w:p>
    <w:p w14:paraId="544B7825" w14:textId="07330D74" w:rsidR="00387943" w:rsidRDefault="00387943" w:rsidP="00387943">
      <w:pPr>
        <w:spacing w:after="0" w:line="240" w:lineRule="auto"/>
        <w:textAlignment w:val="baseline"/>
        <w:rPr>
          <w:rFonts w:ascii="Calibri" w:eastAsia="Times New Roman" w:hAnsi="Calibri" w:cs="Calibri"/>
          <w:lang w:eastAsia="en-NZ"/>
        </w:rPr>
      </w:pPr>
      <w:r w:rsidRPr="00387943">
        <w:rPr>
          <w:rFonts w:ascii="Calibri" w:eastAsia="Times New Roman" w:hAnsi="Calibri" w:cs="Calibri"/>
          <w:i/>
          <w:iCs/>
          <w:u w:val="single"/>
          <w:lang w:eastAsia="en-NZ"/>
        </w:rPr>
        <w:t>Outstanding water bodies</w:t>
      </w:r>
      <w:r w:rsidRPr="00387943">
        <w:rPr>
          <w:rFonts w:ascii="Calibri" w:eastAsia="Times New Roman" w:hAnsi="Calibri" w:cs="Calibri"/>
          <w:u w:val="single"/>
          <w:lang w:eastAsia="en-NZ"/>
        </w:rPr>
        <w:t xml:space="preserve"> include any </w:t>
      </w:r>
      <w:r w:rsidRPr="00387943">
        <w:rPr>
          <w:rFonts w:ascii="Calibri" w:eastAsia="Times New Roman" w:hAnsi="Calibri" w:cs="Calibri"/>
          <w:i/>
          <w:iCs/>
          <w:u w:val="single"/>
          <w:lang w:eastAsia="en-NZ"/>
        </w:rPr>
        <w:t>water body</w:t>
      </w:r>
      <w:r w:rsidRPr="00387943">
        <w:rPr>
          <w:rFonts w:ascii="Calibri" w:eastAsia="Times New Roman" w:hAnsi="Calibri" w:cs="Calibri"/>
          <w:u w:val="single"/>
          <w:lang w:eastAsia="en-NZ"/>
        </w:rPr>
        <w:t xml:space="preserve"> with one or more of the following outstanding values. For the avoidance of doubt, evidential sources include but are not limited to those listed.</w:t>
      </w:r>
      <w:r w:rsidR="00EB6838" w:rsidRPr="00A776B6">
        <w:rPr>
          <w:rStyle w:val="FootnoteReference"/>
          <w:rFonts w:ascii="Calibri" w:eastAsia="Times New Roman" w:hAnsi="Calibri" w:cs="Calibri"/>
          <w:lang w:eastAsia="en-NZ"/>
        </w:rPr>
        <w:footnoteReference w:id="1445"/>
      </w:r>
    </w:p>
    <w:p w14:paraId="5579DB17" w14:textId="77777777" w:rsidR="00701FED" w:rsidRDefault="00701FED" w:rsidP="00387943">
      <w:pPr>
        <w:spacing w:after="0" w:line="240" w:lineRule="auto"/>
        <w:textAlignment w:val="baseline"/>
        <w:rPr>
          <w:rFonts w:ascii="Segoe UI" w:eastAsia="Times New Roman" w:hAnsi="Segoe UI" w:cs="Segoe UI"/>
          <w:sz w:val="18"/>
          <w:szCs w:val="18"/>
          <w:lang w:eastAsia="en-NZ"/>
        </w:rPr>
      </w:pPr>
    </w:p>
    <w:p w14:paraId="6E4D02D3" w14:textId="60334FF6" w:rsidR="00387943" w:rsidRPr="004557BC" w:rsidRDefault="004557BC" w:rsidP="004557BC">
      <w:pPr>
        <w:pStyle w:val="Caption"/>
        <w:rPr>
          <w:rFonts w:ascii="Segoe UI" w:eastAsia="Times New Roman" w:hAnsi="Segoe UI" w:cs="Segoe UI"/>
          <w:lang w:eastAsia="en-NZ"/>
        </w:rPr>
      </w:pPr>
      <w:r>
        <w:t xml:space="preserve">Table </w:t>
      </w:r>
      <w:fldSimple w:instr=" SEQ Table \* ARABIC ">
        <w:r>
          <w:rPr>
            <w:noProof/>
          </w:rPr>
          <w:t>4</w:t>
        </w:r>
      </w:fldSimple>
      <w:r>
        <w:t xml:space="preserve"> </w:t>
      </w:r>
      <w:r w:rsidRPr="00772BB2">
        <w:t xml:space="preserve">– </w:t>
      </w:r>
      <w:r>
        <w:t>Values of outstanding water bodies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4635"/>
        <w:gridCol w:w="2925"/>
      </w:tblGrid>
      <w:tr w:rsidR="00387943" w:rsidRPr="00387943" w14:paraId="1E954FCA" w14:textId="77777777" w:rsidTr="00387943">
        <w:tc>
          <w:tcPr>
            <w:tcW w:w="1440" w:type="dxa"/>
            <w:tcBorders>
              <w:top w:val="single" w:sz="6" w:space="0" w:color="FFFFFF"/>
              <w:left w:val="single" w:sz="6" w:space="0" w:color="FFFFFF"/>
              <w:bottom w:val="single" w:sz="6" w:space="0" w:color="FFFFFF"/>
              <w:right w:val="single" w:sz="6" w:space="0" w:color="FFFFFF"/>
            </w:tcBorders>
            <w:shd w:val="clear" w:color="auto" w:fill="9CC2E5"/>
            <w:hideMark/>
          </w:tcPr>
          <w:p w14:paraId="1B723B43"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Value</w:t>
            </w:r>
            <w:r w:rsidRPr="00387943">
              <w:rPr>
                <w:rFonts w:ascii="Calibri" w:eastAsia="Times New Roman" w:hAnsi="Calibri" w:cs="Calibri"/>
                <w:lang w:eastAsia="en-NZ"/>
              </w:rPr>
              <w:t> </w:t>
            </w:r>
          </w:p>
        </w:tc>
        <w:tc>
          <w:tcPr>
            <w:tcW w:w="4635" w:type="dxa"/>
            <w:tcBorders>
              <w:top w:val="single" w:sz="6" w:space="0" w:color="FFFFFF"/>
              <w:left w:val="single" w:sz="6" w:space="0" w:color="FFFFFF"/>
              <w:bottom w:val="single" w:sz="6" w:space="0" w:color="FFFFFF"/>
              <w:right w:val="single" w:sz="6" w:space="0" w:color="FFFFFF"/>
            </w:tcBorders>
            <w:shd w:val="clear" w:color="auto" w:fill="9CC2E5"/>
            <w:hideMark/>
          </w:tcPr>
          <w:p w14:paraId="08582E51" w14:textId="77777777" w:rsidR="00387943" w:rsidRPr="00387943" w:rsidRDefault="00387943" w:rsidP="00701FED">
            <w:pPr>
              <w:spacing w:after="0" w:line="240" w:lineRule="auto"/>
              <w:ind w:left="112"/>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Sub values / Outstanding indicators</w:t>
            </w:r>
            <w:r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9CC2E5"/>
            <w:hideMark/>
          </w:tcPr>
          <w:p w14:paraId="39F59D03"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Evidential sources can include but not limited to the following</w:t>
            </w:r>
            <w:r w:rsidRPr="00387943">
              <w:rPr>
                <w:rFonts w:ascii="Calibri" w:eastAsia="Times New Roman" w:hAnsi="Calibri" w:cs="Calibri"/>
                <w:lang w:eastAsia="en-NZ"/>
              </w:rPr>
              <w:t> </w:t>
            </w:r>
          </w:p>
        </w:tc>
      </w:tr>
      <w:tr w:rsidR="00387943" w:rsidRPr="00387943" w14:paraId="70BAAAFD"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6122A7BC"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Ecology</w:t>
            </w:r>
            <w:r w:rsidRPr="00387943">
              <w:rPr>
                <w:rFonts w:ascii="Calibri" w:eastAsia="Times New Roman" w:hAnsi="Calibri" w:cs="Calibri"/>
                <w:lang w:eastAsia="en-NZ"/>
              </w:rPr>
              <w:t> </w:t>
            </w:r>
          </w:p>
          <w:p w14:paraId="0989CFB6"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06F228A0"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130D3BBF"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DB9DC02"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5E3A3FD2"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BAF484E"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0E75E38E"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5BA784F1"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44A400E5"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62C327E2"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3DDE902"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2340DEC0"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0AAE2A52"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569A329A"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4941B3A"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0E585BD"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3048A5A9"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6E0823ED"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49572BA4"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303205D3"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0A1641ED"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12EBE583"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ED07FD8"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1FC57695"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563085E"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734500F8"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39432FFE"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6194ED87"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p w14:paraId="29692E1C"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vAlign w:val="center"/>
            <w:hideMark/>
          </w:tcPr>
          <w:p w14:paraId="431AA863" w14:textId="31580CF5"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Habitat for aquatic birds (native and migratory)</w:t>
            </w:r>
            <w:r w:rsidR="00727067">
              <w:rPr>
                <w:rFonts w:ascii="Calibri" w:eastAsia="Times New Roman" w:hAnsi="Calibri" w:cs="Calibri"/>
                <w:b/>
                <w:bCs/>
                <w:u w:val="single"/>
                <w:lang w:eastAsia="en-NZ"/>
              </w:rPr>
              <w:t xml:space="preserve"> </w:t>
            </w:r>
          </w:p>
        </w:tc>
      </w:tr>
      <w:tr w:rsidR="00387943" w:rsidRPr="00387943" w14:paraId="0F4BC061"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43EA19F"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31CB3864" w14:textId="06EE55CA"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habitat for aquatic birds where it meets:</w:t>
            </w:r>
            <w:r w:rsidR="00727067">
              <w:rPr>
                <w:rFonts w:ascii="Calibri" w:eastAsia="Times New Roman" w:hAnsi="Calibri" w:cs="Calibri"/>
                <w:u w:val="single"/>
                <w:lang w:eastAsia="en-NZ"/>
              </w:rPr>
              <w:t xml:space="preserve"> </w:t>
            </w:r>
          </w:p>
          <w:p w14:paraId="5C3F0FD2" w14:textId="3204CA88" w:rsidR="00387943" w:rsidRPr="00701FED"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701FED">
              <w:rPr>
                <w:rFonts w:eastAsia="Times New Roman"/>
                <w:u w:val="single"/>
                <w:lang w:eastAsia="en-NZ"/>
              </w:rPr>
              <w:t>at least one matter in List A; and</w:t>
            </w:r>
          </w:p>
          <w:p w14:paraId="7A4ECDAB" w14:textId="290EBA88"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00727067">
              <w:rPr>
                <w:rFonts w:eastAsia="Times New Roman"/>
                <w:u w:val="single"/>
                <w:lang w:eastAsia="en-NZ"/>
              </w:rPr>
              <w:t xml:space="preserve"> </w:t>
            </w:r>
          </w:p>
          <w:p w14:paraId="3C3505EB"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5930D852" w14:textId="69E0B459" w:rsidR="00387943" w:rsidRPr="00387943" w:rsidRDefault="00DF0A00" w:rsidP="00DF0A00">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One of the highest regional populations of a native aquatic bird species which is endangered, threatened or distinctive.</w:t>
            </w:r>
            <w:r w:rsidR="00387943" w:rsidRPr="00387943">
              <w:rPr>
                <w:rFonts w:ascii="Calibri" w:eastAsia="Times New Roman" w:hAnsi="Calibri" w:cs="Calibri"/>
                <w:sz w:val="17"/>
                <w:szCs w:val="17"/>
                <w:u w:val="single"/>
                <w:vertAlign w:val="superscript"/>
                <w:lang w:eastAsia="en-NZ"/>
              </w:rPr>
              <w:t>91</w:t>
            </w:r>
            <w:r w:rsidR="00387943" w:rsidRPr="00387943">
              <w:rPr>
                <w:rFonts w:ascii="Calibri" w:eastAsia="Times New Roman" w:hAnsi="Calibri" w:cs="Calibri"/>
                <w:lang w:eastAsia="en-NZ"/>
              </w:rPr>
              <w:t> </w:t>
            </w:r>
          </w:p>
          <w:p w14:paraId="41E7945C" w14:textId="4226BF7C" w:rsidR="00387943" w:rsidRPr="00387943" w:rsidRDefault="00DF0A00" w:rsidP="00DF0A00">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One of the highest natural diversity of aquatic birds (native and migratory) in the region, which includes endangered or threatened species.</w:t>
            </w:r>
            <w:r w:rsidR="00727067">
              <w:rPr>
                <w:rFonts w:ascii="Calibri" w:eastAsia="Times New Roman" w:hAnsi="Calibri" w:cs="Calibri"/>
                <w:u w:val="single"/>
                <w:lang w:eastAsia="en-NZ"/>
              </w:rPr>
              <w:t xml:space="preserve"> </w:t>
            </w:r>
          </w:p>
          <w:p w14:paraId="6C336DB4"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B</w:t>
            </w:r>
            <w:r w:rsidRPr="00387943">
              <w:rPr>
                <w:rFonts w:ascii="Calibri" w:eastAsia="Times New Roman" w:hAnsi="Calibri" w:cs="Calibri"/>
                <w:b/>
                <w:bCs/>
                <w:lang w:eastAsia="en-NZ"/>
              </w:rPr>
              <w:t> </w:t>
            </w:r>
          </w:p>
          <w:p w14:paraId="0C047BE5" w14:textId="2E4B2CE5" w:rsidR="00387943" w:rsidRPr="00387943" w:rsidRDefault="00DF0A00" w:rsidP="00DF0A00">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features.</w:t>
            </w:r>
            <w:r w:rsidR="00727067">
              <w:rPr>
                <w:rFonts w:ascii="Calibri" w:eastAsia="Times New Roman" w:hAnsi="Calibri" w:cs="Calibri"/>
                <w:u w:val="single"/>
                <w:lang w:eastAsia="en-NZ"/>
              </w:rPr>
              <w:t xml:space="preserve"> </w:t>
            </w:r>
          </w:p>
          <w:p w14:paraId="2311AA14"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77B68958" w14:textId="77777777" w:rsidR="00387943" w:rsidRPr="00387943" w:rsidRDefault="00387943" w:rsidP="005803B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International Union for Conservation of Nature (IUCN) criteria.</w:t>
            </w:r>
            <w:r w:rsidRPr="00387943">
              <w:rPr>
                <w:rFonts w:ascii="Calibri" w:eastAsia="Times New Roman" w:hAnsi="Calibri" w:cs="Calibri"/>
                <w:lang w:eastAsia="en-NZ"/>
              </w:rPr>
              <w:t> </w:t>
            </w:r>
          </w:p>
          <w:p w14:paraId="30BFEB22" w14:textId="25458FE9" w:rsidR="00387943" w:rsidRPr="00387943" w:rsidRDefault="00387943" w:rsidP="005803B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RAMSAR site criteria reports.</w:t>
            </w:r>
            <w:r w:rsidR="00727067">
              <w:rPr>
                <w:rFonts w:ascii="Calibri" w:eastAsia="Times New Roman" w:hAnsi="Calibri" w:cs="Calibri"/>
                <w:u w:val="single"/>
                <w:lang w:eastAsia="en-NZ"/>
              </w:rPr>
              <w:t xml:space="preserve"> </w:t>
            </w:r>
          </w:p>
          <w:p w14:paraId="4DAC3C0F" w14:textId="60DBEC10" w:rsidR="00387943" w:rsidRPr="00387943" w:rsidRDefault="00387943" w:rsidP="005803B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threat classification system.</w:t>
            </w:r>
            <w:r w:rsidR="00727067">
              <w:rPr>
                <w:rFonts w:ascii="Calibri" w:eastAsia="Times New Roman" w:hAnsi="Calibri" w:cs="Calibri"/>
                <w:u w:val="single"/>
                <w:lang w:eastAsia="en-NZ"/>
              </w:rPr>
              <w:t xml:space="preserve"> </w:t>
            </w:r>
          </w:p>
          <w:p w14:paraId="6388FAF1" w14:textId="3450608B" w:rsidR="00387943" w:rsidRPr="00387943" w:rsidRDefault="00387943" w:rsidP="005803B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IUCN red list.</w:t>
            </w:r>
            <w:r w:rsidR="00727067">
              <w:rPr>
                <w:rFonts w:ascii="Calibri" w:eastAsia="Times New Roman" w:hAnsi="Calibri" w:cs="Calibri"/>
                <w:u w:val="single"/>
                <w:lang w:eastAsia="en-NZ"/>
              </w:rPr>
              <w:t xml:space="preserve"> </w:t>
            </w:r>
          </w:p>
          <w:p w14:paraId="190FD42F" w14:textId="7ECC5A6E" w:rsidR="00387943" w:rsidRPr="00387943" w:rsidRDefault="00387943" w:rsidP="005803B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69381A79"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682010A5"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312B67C1" w14:textId="67639B05"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Native fish habitat</w:t>
            </w:r>
            <w:r w:rsidR="00727067">
              <w:rPr>
                <w:rFonts w:ascii="Calibri" w:eastAsia="Times New Roman" w:hAnsi="Calibri" w:cs="Calibri"/>
                <w:b/>
                <w:bCs/>
                <w:u w:val="single"/>
                <w:lang w:eastAsia="en-NZ"/>
              </w:rPr>
              <w:t xml:space="preserve"> </w:t>
            </w:r>
          </w:p>
        </w:tc>
      </w:tr>
      <w:tr w:rsidR="00387943" w:rsidRPr="00387943" w14:paraId="03023696"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285C791D"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7E9F0940" w14:textId="5435FB34"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habitat for native fish where it meets:</w:t>
            </w:r>
            <w:r w:rsidR="00727067">
              <w:rPr>
                <w:rFonts w:ascii="Calibri" w:eastAsia="Times New Roman" w:hAnsi="Calibri" w:cs="Calibri"/>
                <w:u w:val="single"/>
                <w:lang w:eastAsia="en-NZ"/>
              </w:rPr>
              <w:t xml:space="preserve"> </w:t>
            </w:r>
          </w:p>
          <w:p w14:paraId="3632D389" w14:textId="22C29338"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w:t>
            </w:r>
          </w:p>
          <w:p w14:paraId="56EA0F33" w14:textId="40697654"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00727067">
              <w:rPr>
                <w:rFonts w:eastAsia="Times New Roman"/>
                <w:u w:val="single"/>
                <w:lang w:eastAsia="en-NZ"/>
              </w:rPr>
              <w:t xml:space="preserve"> </w:t>
            </w:r>
          </w:p>
          <w:p w14:paraId="6C560EF6"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3C88E1BD" w14:textId="338A833B" w:rsidR="00387943" w:rsidRPr="00387943" w:rsidRDefault="00DF0A00" w:rsidP="00DF0A00">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 unique species or distinctive assemblage of native fish not found elsewhere in the region.</w:t>
            </w:r>
            <w:r w:rsidR="00727067">
              <w:rPr>
                <w:rFonts w:ascii="Calibri" w:eastAsia="Times New Roman" w:hAnsi="Calibri" w:cs="Calibri"/>
                <w:u w:val="single"/>
                <w:lang w:eastAsia="en-NZ"/>
              </w:rPr>
              <w:t xml:space="preserve"> </w:t>
            </w:r>
          </w:p>
          <w:p w14:paraId="6A48D890" w14:textId="20520724" w:rsidR="00387943" w:rsidRPr="00387943" w:rsidRDefault="00DF0A00" w:rsidP="00DF0A00">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Native fish that are landlocked and not affected by presence of introduced species.</w:t>
            </w:r>
            <w:r w:rsidR="00727067">
              <w:rPr>
                <w:rFonts w:ascii="Calibri" w:eastAsia="Times New Roman" w:hAnsi="Calibri" w:cs="Calibri"/>
                <w:u w:val="single"/>
                <w:lang w:eastAsia="en-NZ"/>
              </w:rPr>
              <w:t xml:space="preserve"> </w:t>
            </w:r>
          </w:p>
          <w:p w14:paraId="07A90267" w14:textId="4A9D7BD3" w:rsidR="00387943" w:rsidRPr="00387943" w:rsidRDefault="00DF0A00" w:rsidP="00DF0A00">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One of the highest diversities of native fish species in the region, which includes a threatened, endangered, or distinctive species.</w:t>
            </w:r>
            <w:r w:rsidR="00727067">
              <w:rPr>
                <w:rFonts w:ascii="Calibri" w:eastAsia="Times New Roman" w:hAnsi="Calibri" w:cs="Calibri"/>
                <w:u w:val="single"/>
                <w:lang w:eastAsia="en-NZ"/>
              </w:rPr>
              <w:t xml:space="preserve"> </w:t>
            </w:r>
          </w:p>
          <w:p w14:paraId="79CDE715" w14:textId="32A2DD69" w:rsidR="00387943" w:rsidRPr="00387943" w:rsidRDefault="00DF0A00" w:rsidP="00DF0A00">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d.</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An outstanding customary fishery.</w:t>
            </w:r>
            <w:r w:rsidR="00727067">
              <w:rPr>
                <w:rFonts w:ascii="Calibri" w:eastAsia="Times New Roman" w:hAnsi="Calibri" w:cs="Calibri"/>
                <w:u w:val="single"/>
                <w:lang w:eastAsia="en-NZ"/>
              </w:rPr>
              <w:t xml:space="preserve"> </w:t>
            </w:r>
          </w:p>
          <w:p w14:paraId="6B26FD46"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B</w:t>
            </w:r>
            <w:r w:rsidRPr="00387943">
              <w:rPr>
                <w:rFonts w:ascii="Calibri" w:eastAsia="Times New Roman" w:hAnsi="Calibri" w:cs="Calibri"/>
                <w:b/>
                <w:bCs/>
                <w:lang w:eastAsia="en-NZ"/>
              </w:rPr>
              <w:t> </w:t>
            </w:r>
          </w:p>
          <w:p w14:paraId="163318BF" w14:textId="77777777" w:rsidR="00387943" w:rsidRDefault="00410CA0" w:rsidP="00410CA0">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native fish habitat value.</w:t>
            </w:r>
          </w:p>
          <w:p w14:paraId="557AD669" w14:textId="77777777" w:rsidR="0017582E" w:rsidRDefault="0017582E" w:rsidP="00410CA0">
            <w:pPr>
              <w:spacing w:after="0" w:line="240" w:lineRule="auto"/>
              <w:ind w:left="531" w:hanging="425"/>
              <w:textAlignment w:val="baseline"/>
              <w:rPr>
                <w:rFonts w:ascii="Calibri" w:eastAsia="Times New Roman" w:hAnsi="Calibri" w:cs="Calibri"/>
                <w:u w:val="single"/>
                <w:lang w:eastAsia="en-NZ"/>
              </w:rPr>
            </w:pPr>
          </w:p>
          <w:p w14:paraId="51CF4EF4" w14:textId="1A9661D0" w:rsidR="00410CA0" w:rsidRPr="00387943" w:rsidRDefault="00410CA0" w:rsidP="00410CA0">
            <w:pPr>
              <w:spacing w:after="0" w:line="240" w:lineRule="auto"/>
              <w:ind w:left="531" w:hanging="425"/>
              <w:textAlignment w:val="baseline"/>
              <w:rPr>
                <w:rFonts w:ascii="Calibri" w:eastAsia="Times New Roman" w:hAnsi="Calibri" w:cs="Calibri"/>
                <w:lang w:eastAsia="en-NZ"/>
              </w:rPr>
            </w:pP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1914CF78" w14:textId="1578F2B0" w:rsidR="00387943" w:rsidRPr="00387943" w:rsidRDefault="00387943" w:rsidP="00410CA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Waters of National Importance.</w:t>
            </w:r>
            <w:r w:rsidR="00727067">
              <w:rPr>
                <w:rFonts w:ascii="Calibri" w:eastAsia="Times New Roman" w:hAnsi="Calibri" w:cs="Calibri"/>
                <w:u w:val="single"/>
                <w:lang w:eastAsia="en-NZ"/>
              </w:rPr>
              <w:t xml:space="preserve"> </w:t>
            </w:r>
          </w:p>
          <w:p w14:paraId="4E67E67D" w14:textId="792B23E7" w:rsidR="00387943" w:rsidRPr="00387943" w:rsidRDefault="00387943" w:rsidP="00410CA0">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716AD728"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06F4BE8F"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763F31EA" w14:textId="2314B434"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Habitat for indigenous plant communities</w:t>
            </w:r>
            <w:r w:rsidR="00727067">
              <w:rPr>
                <w:rFonts w:ascii="Calibri" w:eastAsia="Times New Roman" w:hAnsi="Calibri" w:cs="Calibri"/>
                <w:b/>
                <w:bCs/>
                <w:u w:val="single"/>
                <w:lang w:eastAsia="en-NZ"/>
              </w:rPr>
              <w:t xml:space="preserve"> </w:t>
            </w:r>
          </w:p>
        </w:tc>
      </w:tr>
      <w:tr w:rsidR="00387943" w:rsidRPr="00387943" w14:paraId="065DEAFB"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2ACCFF83"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15730050" w14:textId="1FC73AE5"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habitat for an indigenous plant community where it meets:</w:t>
            </w:r>
            <w:r w:rsidR="00727067">
              <w:rPr>
                <w:rFonts w:ascii="Calibri" w:eastAsia="Times New Roman" w:hAnsi="Calibri" w:cs="Calibri"/>
                <w:u w:val="single"/>
                <w:lang w:eastAsia="en-NZ"/>
              </w:rPr>
              <w:t xml:space="preserve"> </w:t>
            </w:r>
          </w:p>
          <w:p w14:paraId="77DFA79E" w14:textId="48D7445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w:t>
            </w:r>
            <w:r w:rsidR="00727067">
              <w:rPr>
                <w:rFonts w:eastAsia="Times New Roman"/>
                <w:u w:val="single"/>
                <w:lang w:eastAsia="en-NZ"/>
              </w:rPr>
              <w:t xml:space="preserve"> </w:t>
            </w:r>
          </w:p>
          <w:p w14:paraId="5A2E5F31" w14:textId="24D48912"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00727067">
              <w:rPr>
                <w:rFonts w:eastAsia="Times New Roman"/>
                <w:u w:val="single"/>
                <w:lang w:eastAsia="en-NZ"/>
              </w:rPr>
              <w:t xml:space="preserve"> </w:t>
            </w:r>
          </w:p>
          <w:p w14:paraId="4006D250"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60BF1609" w14:textId="485755E1" w:rsidR="00387943" w:rsidRPr="00387943" w:rsidRDefault="001C4747" w:rsidP="001C474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indigenous plant community has a high diversity of habitats, or rare and threatened plant species in the region.</w:t>
            </w:r>
            <w:r w:rsidR="00727067">
              <w:rPr>
                <w:rFonts w:ascii="Calibri" w:eastAsia="Times New Roman" w:hAnsi="Calibri" w:cs="Calibri"/>
                <w:u w:val="single"/>
                <w:lang w:eastAsia="en-NZ"/>
              </w:rPr>
              <w:t xml:space="preserve"> </w:t>
            </w:r>
          </w:p>
          <w:p w14:paraId="1DBD4258" w14:textId="138AC499" w:rsidR="00387943" w:rsidRPr="00387943" w:rsidRDefault="001C4747" w:rsidP="001C474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indigenous plant community contains special features not found elsewhere in the region.</w:t>
            </w:r>
            <w:r w:rsidR="00727067">
              <w:rPr>
                <w:rFonts w:ascii="Calibri" w:eastAsia="Times New Roman" w:hAnsi="Calibri" w:cs="Calibri"/>
                <w:u w:val="single"/>
                <w:lang w:eastAsia="en-NZ"/>
              </w:rPr>
              <w:t xml:space="preserve"> </w:t>
            </w:r>
          </w:p>
          <w:p w14:paraId="00A6F31A"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B</w:t>
            </w:r>
            <w:r w:rsidRPr="00387943">
              <w:rPr>
                <w:rFonts w:ascii="Calibri" w:eastAsia="Times New Roman" w:hAnsi="Calibri" w:cs="Calibri"/>
                <w:b/>
                <w:bCs/>
                <w:lang w:eastAsia="en-NZ"/>
              </w:rPr>
              <w:t> </w:t>
            </w:r>
          </w:p>
          <w:p w14:paraId="1FC8EAB7" w14:textId="4AB34DE9" w:rsidR="00387943" w:rsidRPr="00387943" w:rsidRDefault="000643D7" w:rsidP="000643D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indigenous plant community is reliant on the river flows, other aquatic characteristics, or is an integral part of the water body.</w:t>
            </w:r>
            <w:r w:rsidR="00727067">
              <w:rPr>
                <w:rFonts w:ascii="Calibri" w:eastAsia="Times New Roman" w:hAnsi="Calibri" w:cs="Calibri"/>
                <w:u w:val="single"/>
                <w:lang w:eastAsia="en-NZ"/>
              </w:rPr>
              <w:t xml:space="preserve"> </w:t>
            </w:r>
          </w:p>
          <w:p w14:paraId="168EEF6B" w14:textId="0BADD5AC" w:rsidR="00387943" w:rsidRDefault="000643D7" w:rsidP="000643D7">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features.</w:t>
            </w:r>
            <w:r w:rsidR="00727067">
              <w:rPr>
                <w:rFonts w:ascii="Calibri" w:eastAsia="Times New Roman" w:hAnsi="Calibri" w:cs="Calibri"/>
                <w:u w:val="single"/>
                <w:lang w:eastAsia="en-NZ"/>
              </w:rPr>
              <w:t xml:space="preserve"> </w:t>
            </w:r>
          </w:p>
          <w:p w14:paraId="79E11FC8" w14:textId="10F15D24" w:rsidR="0017582E" w:rsidRPr="00387943" w:rsidRDefault="0017582E" w:rsidP="000643D7">
            <w:pPr>
              <w:spacing w:after="0" w:line="240" w:lineRule="auto"/>
              <w:ind w:left="531" w:hanging="425"/>
              <w:textAlignment w:val="baseline"/>
              <w:rPr>
                <w:rFonts w:ascii="Calibri" w:eastAsia="Times New Roman" w:hAnsi="Calibri" w:cs="Calibri"/>
                <w:lang w:eastAsia="en-NZ"/>
              </w:rPr>
            </w:pP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4C8D34ED" w14:textId="1A7765B3" w:rsidR="00387943" w:rsidRPr="00387943" w:rsidRDefault="00387943" w:rsidP="0017582E">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Geopreservation Inventory.</w:t>
            </w:r>
            <w:r w:rsidR="00727067">
              <w:rPr>
                <w:rFonts w:ascii="Calibri" w:eastAsia="Times New Roman" w:hAnsi="Calibri" w:cs="Calibri"/>
                <w:u w:val="single"/>
                <w:lang w:eastAsia="en-NZ"/>
              </w:rPr>
              <w:t xml:space="preserve"> </w:t>
            </w:r>
          </w:p>
          <w:p w14:paraId="603454AB" w14:textId="1DDA6B1C" w:rsidR="00387943" w:rsidRPr="00387943" w:rsidRDefault="00387943" w:rsidP="0017582E">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Protected Natural Area (PNA) surveys.</w:t>
            </w:r>
            <w:r w:rsidR="00727067">
              <w:rPr>
                <w:rFonts w:ascii="Calibri" w:eastAsia="Times New Roman" w:hAnsi="Calibri" w:cs="Calibri"/>
                <w:u w:val="single"/>
                <w:lang w:eastAsia="en-NZ"/>
              </w:rPr>
              <w:t xml:space="preserve"> </w:t>
            </w:r>
          </w:p>
          <w:p w14:paraId="52A10587" w14:textId="77777777" w:rsidR="00387943" w:rsidRPr="00387943" w:rsidRDefault="00387943" w:rsidP="0017582E">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Pr="00387943">
              <w:rPr>
                <w:rFonts w:ascii="Calibri" w:eastAsia="Times New Roman" w:hAnsi="Calibri" w:cs="Calibri"/>
                <w:lang w:eastAsia="en-NZ"/>
              </w:rPr>
              <w:t> </w:t>
            </w:r>
          </w:p>
        </w:tc>
      </w:tr>
      <w:tr w:rsidR="00387943" w:rsidRPr="00387943" w14:paraId="3A741F4C"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5C0C57FA"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432696CD" w14:textId="3FCF4BB0" w:rsidR="00387943" w:rsidRPr="00387943" w:rsidRDefault="00387943" w:rsidP="0017582E">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Habitat for trout and salmon</w:t>
            </w:r>
          </w:p>
        </w:tc>
      </w:tr>
      <w:tr w:rsidR="00387943" w:rsidRPr="00387943" w14:paraId="505E9AB1"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13E184DF"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4DB325D2"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habitat for trout and salmon where it meets all matters in List A.</w:t>
            </w:r>
            <w:r w:rsidRPr="00387943">
              <w:rPr>
                <w:rFonts w:ascii="Calibri" w:eastAsia="Times New Roman" w:hAnsi="Calibri" w:cs="Calibri"/>
                <w:lang w:eastAsia="en-NZ"/>
              </w:rPr>
              <w:t> </w:t>
            </w:r>
          </w:p>
          <w:p w14:paraId="6CBEB5B7"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6B4E11CF" w14:textId="7867EA1D" w:rsidR="00387943" w:rsidRPr="00387943" w:rsidRDefault="0017582E" w:rsidP="0017582E">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Has an outstanding angling amenity, or is critical to maintaining an outstanding angling amenity elsewhere in the catchment.</w:t>
            </w:r>
            <w:r w:rsidR="00727067">
              <w:rPr>
                <w:rFonts w:ascii="Calibri" w:eastAsia="Times New Roman" w:hAnsi="Calibri" w:cs="Calibri"/>
                <w:u w:val="single"/>
                <w:lang w:eastAsia="en-NZ"/>
              </w:rPr>
              <w:t xml:space="preserve"> </w:t>
            </w:r>
          </w:p>
          <w:p w14:paraId="2D0E146F" w14:textId="5791BC6D" w:rsidR="00387943" w:rsidRPr="00387943" w:rsidRDefault="0017582E" w:rsidP="0017582E">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Supports a self-sustaining population of wild trout or salmon (i.e. fish population not periodically restocked from hatcheries).</w:t>
            </w:r>
            <w:r w:rsidR="00727067">
              <w:rPr>
                <w:rFonts w:ascii="Calibri" w:eastAsia="Times New Roman" w:hAnsi="Calibri" w:cs="Calibri"/>
                <w:u w:val="single"/>
                <w:lang w:eastAsia="en-NZ"/>
              </w:rPr>
              <w:t xml:space="preserve"> </w:t>
            </w:r>
          </w:p>
          <w:p w14:paraId="6C5B6802" w14:textId="77777777" w:rsidR="00387943" w:rsidRDefault="0017582E" w:rsidP="0017582E">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features.</w:t>
            </w:r>
            <w:r w:rsidR="00387943" w:rsidRPr="00387943">
              <w:rPr>
                <w:rFonts w:ascii="Calibri" w:eastAsia="Times New Roman" w:hAnsi="Calibri" w:cs="Calibri"/>
                <w:lang w:eastAsia="en-NZ"/>
              </w:rPr>
              <w:t> </w:t>
            </w:r>
          </w:p>
          <w:p w14:paraId="10329EE6" w14:textId="37F5D0E3" w:rsidR="00563CDD" w:rsidRPr="00387943" w:rsidRDefault="00563CDD" w:rsidP="0017582E">
            <w:pPr>
              <w:spacing w:after="0" w:line="240" w:lineRule="auto"/>
              <w:ind w:left="531" w:hanging="425"/>
              <w:textAlignment w:val="baseline"/>
              <w:rPr>
                <w:rFonts w:ascii="Calibri" w:eastAsia="Times New Roman" w:hAnsi="Calibri" w:cs="Calibri"/>
                <w:lang w:eastAsia="en-NZ"/>
              </w:rPr>
            </w:pP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0106965B" w14:textId="6B3CF791" w:rsidR="00387943" w:rsidRPr="00387943" w:rsidRDefault="00387943" w:rsidP="00563CDD">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Waters of National Importance.</w:t>
            </w:r>
            <w:r w:rsidR="00727067">
              <w:rPr>
                <w:rFonts w:ascii="Calibri" w:eastAsia="Times New Roman" w:hAnsi="Calibri" w:cs="Calibri"/>
                <w:u w:val="single"/>
                <w:lang w:eastAsia="en-NZ"/>
              </w:rPr>
              <w:t xml:space="preserve"> </w:t>
            </w:r>
          </w:p>
          <w:p w14:paraId="74C2C865" w14:textId="1A81C301" w:rsidR="00387943" w:rsidRPr="00387943" w:rsidRDefault="00387943" w:rsidP="00563CDD">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Headwater trout fisheries (NIWA).</w:t>
            </w:r>
            <w:r w:rsidR="00727067">
              <w:rPr>
                <w:rFonts w:ascii="Calibri" w:eastAsia="Times New Roman" w:hAnsi="Calibri" w:cs="Calibri"/>
                <w:u w:val="single"/>
                <w:lang w:eastAsia="en-NZ"/>
              </w:rPr>
              <w:t xml:space="preserve"> </w:t>
            </w:r>
          </w:p>
          <w:p w14:paraId="6F8EB264" w14:textId="74A9EE73" w:rsidR="00387943" w:rsidRPr="00387943" w:rsidRDefault="00387943" w:rsidP="00563CDD">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6165A61C"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58615596"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Recreation</w:t>
            </w:r>
            <w:r w:rsidRPr="00387943">
              <w:rPr>
                <w:rFonts w:ascii="Calibri" w:eastAsia="Times New Roman" w:hAnsi="Calibri" w:cs="Calibri"/>
                <w:lang w:eastAsia="en-NZ"/>
              </w:rPr>
              <w:t> </w:t>
            </w: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291D3ACD" w14:textId="12177BAD"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Angling amenity (trout and salmon)</w:t>
            </w:r>
            <w:r w:rsidR="00727067">
              <w:rPr>
                <w:rFonts w:ascii="Calibri" w:eastAsia="Times New Roman" w:hAnsi="Calibri" w:cs="Calibri"/>
                <w:b/>
                <w:bCs/>
                <w:u w:val="single"/>
                <w:lang w:eastAsia="en-NZ"/>
              </w:rPr>
              <w:t xml:space="preserve"> </w:t>
            </w:r>
          </w:p>
        </w:tc>
      </w:tr>
      <w:tr w:rsidR="00387943" w:rsidRPr="00387943" w14:paraId="7C9D7E0D"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13A25FA2"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573B8D10"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recreational fishing experience (angling amenity) where it meets:</w:t>
            </w:r>
            <w:r w:rsidRPr="00387943">
              <w:rPr>
                <w:rFonts w:ascii="Calibri" w:eastAsia="Times New Roman" w:hAnsi="Calibri" w:cs="Calibri"/>
                <w:lang w:eastAsia="en-NZ"/>
              </w:rPr>
              <w:t> </w:t>
            </w:r>
          </w:p>
          <w:p w14:paraId="229F7608" w14:textId="02DDD7CE"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w:t>
            </w:r>
            <w:r w:rsidR="00727067">
              <w:rPr>
                <w:rFonts w:eastAsia="Times New Roman"/>
                <w:u w:val="single"/>
                <w:lang w:eastAsia="en-NZ"/>
              </w:rPr>
              <w:t xml:space="preserve"> </w:t>
            </w:r>
          </w:p>
          <w:p w14:paraId="5A7FD4DD" w14:textId="5F656B8F"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B; and</w:t>
            </w:r>
            <w:r w:rsidR="00727067">
              <w:rPr>
                <w:rFonts w:eastAsia="Times New Roman"/>
                <w:u w:val="single"/>
                <w:lang w:eastAsia="en-NZ"/>
              </w:rPr>
              <w:t xml:space="preserve"> </w:t>
            </w:r>
          </w:p>
          <w:p w14:paraId="751618D2"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C.</w:t>
            </w:r>
            <w:r w:rsidRPr="00387943">
              <w:rPr>
                <w:rFonts w:eastAsia="Times New Roman"/>
                <w:lang w:eastAsia="en-NZ"/>
              </w:rPr>
              <w:t> </w:t>
            </w:r>
          </w:p>
          <w:p w14:paraId="6BC317C3"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36738E33" w14:textId="2AC2CE4B" w:rsidR="00387943" w:rsidRPr="00387943" w:rsidRDefault="00A3156A" w:rsidP="00A3156A">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Trophy trout (over 4kg in size)</w:t>
            </w:r>
            <w:r w:rsidR="00727067">
              <w:rPr>
                <w:rFonts w:ascii="Calibri" w:eastAsia="Times New Roman" w:hAnsi="Calibri" w:cs="Calibri"/>
                <w:u w:val="single"/>
                <w:lang w:eastAsia="en-NZ"/>
              </w:rPr>
              <w:t xml:space="preserve"> </w:t>
            </w:r>
          </w:p>
          <w:p w14:paraId="0A2305D5" w14:textId="48165024" w:rsidR="00387943" w:rsidRPr="00387943" w:rsidRDefault="00A3156A" w:rsidP="00A3156A">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High numbers of large trout (water body supports the highest number of large trout in the region). </w:t>
            </w:r>
          </w:p>
          <w:p w14:paraId="7CA384E8" w14:textId="1DBCF13C" w:rsidR="00387943" w:rsidRPr="00387943" w:rsidRDefault="00A3156A" w:rsidP="00A3156A">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High number of trout (water body supports the highest trout numbers in the region or the highest trout biomass in the region).</w:t>
            </w:r>
            <w:r w:rsidR="00727067">
              <w:rPr>
                <w:rFonts w:ascii="Calibri" w:eastAsia="Times New Roman" w:hAnsi="Calibri" w:cs="Calibri"/>
                <w:u w:val="single"/>
                <w:lang w:eastAsia="en-NZ"/>
              </w:rPr>
              <w:t xml:space="preserve"> </w:t>
            </w:r>
          </w:p>
          <w:p w14:paraId="282EB1E4"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B</w:t>
            </w:r>
            <w:r w:rsidRPr="00387943">
              <w:rPr>
                <w:rFonts w:ascii="Calibri" w:eastAsia="Times New Roman" w:hAnsi="Calibri" w:cs="Calibri"/>
                <w:b/>
                <w:bCs/>
                <w:lang w:eastAsia="en-NZ"/>
              </w:rPr>
              <w:t> </w:t>
            </w:r>
          </w:p>
          <w:p w14:paraId="226B4A2D" w14:textId="5342358C" w:rsidR="00387943" w:rsidRPr="00387943" w:rsidRDefault="00A3156A" w:rsidP="00A3156A">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Variety of high quality angling experiences.</w:t>
            </w:r>
            <w:r w:rsidR="00727067">
              <w:rPr>
                <w:rFonts w:ascii="Calibri" w:eastAsia="Times New Roman" w:hAnsi="Calibri" w:cs="Calibri"/>
                <w:u w:val="single"/>
                <w:lang w:eastAsia="en-NZ"/>
              </w:rPr>
              <w:t xml:space="preserve"> </w:t>
            </w:r>
          </w:p>
          <w:p w14:paraId="09096BBB" w14:textId="45C4542F" w:rsidR="00387943" w:rsidRPr="00387943" w:rsidRDefault="00A3156A" w:rsidP="00A3156A">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lastRenderedPageBreak/>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Specialised high quality angling experience (scenic, solitude, challenging, high catch rate, ability to spot and fish to a particular trout).</w:t>
            </w:r>
            <w:r w:rsidR="00727067">
              <w:rPr>
                <w:rFonts w:ascii="Calibri" w:eastAsia="Times New Roman" w:hAnsi="Calibri" w:cs="Calibri"/>
                <w:u w:val="single"/>
                <w:lang w:eastAsia="en-NZ"/>
              </w:rPr>
              <w:t xml:space="preserve"> </w:t>
            </w:r>
          </w:p>
          <w:p w14:paraId="49768E12" w14:textId="77777777" w:rsidR="00387943" w:rsidRPr="00387943" w:rsidRDefault="00387943" w:rsidP="00EB6838">
            <w:pPr>
              <w:spacing w:before="120" w:after="0" w:line="240" w:lineRule="auto"/>
              <w:ind w:left="113"/>
              <w:textAlignment w:val="baseline"/>
              <w:rPr>
                <w:rFonts w:ascii="Calibri" w:eastAsia="Times New Roman" w:hAnsi="Calibri" w:cs="Calibri"/>
                <w:b/>
                <w:bCs/>
                <w:u w:val="single"/>
                <w:lang w:eastAsia="en-NZ"/>
              </w:rPr>
            </w:pPr>
            <w:r w:rsidRPr="00387943">
              <w:rPr>
                <w:rFonts w:ascii="Calibri" w:eastAsia="Times New Roman" w:hAnsi="Calibri" w:cs="Calibri"/>
                <w:b/>
                <w:bCs/>
                <w:u w:val="single"/>
                <w:lang w:eastAsia="en-NZ"/>
              </w:rPr>
              <w:t>List C </w:t>
            </w:r>
          </w:p>
          <w:p w14:paraId="643517A9" w14:textId="4A886963"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Wild trout fishery (self-sustaining trout population through natural replacement).</w:t>
            </w:r>
            <w:r w:rsidR="00727067">
              <w:rPr>
                <w:rFonts w:ascii="Calibri" w:eastAsia="Times New Roman" w:hAnsi="Calibri" w:cs="Calibri"/>
                <w:u w:val="single"/>
                <w:lang w:eastAsia="en-NZ"/>
              </w:rPr>
              <w:t xml:space="preserve"> </w:t>
            </w:r>
          </w:p>
          <w:p w14:paraId="63D9A767" w14:textId="478B6A1D"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Water body is accessible and suitable to fish (high water quality and suitable flows). </w:t>
            </w:r>
          </w:p>
          <w:p w14:paraId="2FF801AC" w14:textId="21553A33"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 regional, national or international reputation as an exceptional trout fishery or high non-local usage (high numbers of anglers come from outside of the area).</w:t>
            </w:r>
            <w:r w:rsidR="00727067">
              <w:rPr>
                <w:rFonts w:ascii="Calibri" w:eastAsia="Times New Roman" w:hAnsi="Calibri" w:cs="Calibri"/>
                <w:u w:val="single"/>
                <w:lang w:eastAsia="en-NZ"/>
              </w:rPr>
              <w:t xml:space="preserve"> </w:t>
            </w:r>
          </w:p>
          <w:p w14:paraId="5864E27F" w14:textId="585F4A71" w:rsidR="00387943" w:rsidRPr="00387943" w:rsidRDefault="00227A69" w:rsidP="00227A69">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d.</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recreational experience.</w:t>
            </w:r>
            <w:r w:rsidR="00727067">
              <w:rPr>
                <w:rFonts w:ascii="Calibri" w:eastAsia="Times New Roman" w:hAnsi="Calibri" w:cs="Calibri"/>
                <w:u w:val="single"/>
                <w:lang w:eastAsia="en-NZ"/>
              </w:rPr>
              <w:t xml:space="preserve">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31521920" w14:textId="55C4603D"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lastRenderedPageBreak/>
              <w:t>National Angling Survey.</w:t>
            </w:r>
            <w:r w:rsidR="00727067">
              <w:rPr>
                <w:rFonts w:ascii="Calibri" w:eastAsia="Times New Roman" w:hAnsi="Calibri" w:cs="Calibri"/>
                <w:u w:val="single"/>
                <w:lang w:eastAsia="en-NZ"/>
              </w:rPr>
              <w:t xml:space="preserve"> </w:t>
            </w:r>
          </w:p>
          <w:p w14:paraId="359AA52F" w14:textId="26F30181"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Headwater trout fisheries (NIWA).</w:t>
            </w:r>
            <w:r w:rsidR="00727067">
              <w:rPr>
                <w:rFonts w:ascii="Calibri" w:eastAsia="Times New Roman" w:hAnsi="Calibri" w:cs="Calibri"/>
                <w:u w:val="single"/>
                <w:lang w:eastAsia="en-NZ"/>
              </w:rPr>
              <w:t xml:space="preserve"> </w:t>
            </w:r>
          </w:p>
          <w:p w14:paraId="08BFDDA2" w14:textId="77777777"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Testimonies from anglers.</w:t>
            </w:r>
            <w:r w:rsidRPr="00387943">
              <w:rPr>
                <w:rFonts w:ascii="Calibri" w:eastAsia="Times New Roman" w:hAnsi="Calibri" w:cs="Calibri"/>
                <w:lang w:eastAsia="en-NZ"/>
              </w:rPr>
              <w:t> </w:t>
            </w:r>
          </w:p>
          <w:p w14:paraId="43A6565C" w14:textId="7355C230"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National Inventory of Wild Scenic River.</w:t>
            </w:r>
            <w:r w:rsidR="00727067">
              <w:rPr>
                <w:rFonts w:ascii="Calibri" w:eastAsia="Times New Roman" w:hAnsi="Calibri" w:cs="Calibri"/>
                <w:u w:val="single"/>
                <w:lang w:eastAsia="en-NZ"/>
              </w:rPr>
              <w:t xml:space="preserve"> </w:t>
            </w:r>
          </w:p>
          <w:p w14:paraId="5F4BDE56" w14:textId="0B119E32"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044E1BC0"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0F9BFBE"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483DC227" w14:textId="77777777"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Rafting</w:t>
            </w:r>
            <w:r w:rsidRPr="00387943">
              <w:rPr>
                <w:rFonts w:ascii="Calibri" w:eastAsia="Times New Roman" w:hAnsi="Calibri" w:cs="Calibri"/>
                <w:b/>
                <w:bCs/>
                <w:lang w:eastAsia="en-NZ"/>
              </w:rPr>
              <w:t> </w:t>
            </w:r>
          </w:p>
        </w:tc>
      </w:tr>
      <w:tr w:rsidR="00387943" w:rsidRPr="00387943" w14:paraId="6CA2F393"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38B5676"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5380D22B"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rafting experience (amenity) where it meets:</w:t>
            </w:r>
            <w:r w:rsidRPr="00387943">
              <w:rPr>
                <w:rFonts w:ascii="Calibri" w:eastAsia="Times New Roman" w:hAnsi="Calibri" w:cs="Calibri"/>
                <w:lang w:eastAsia="en-NZ"/>
              </w:rPr>
              <w:t> </w:t>
            </w:r>
          </w:p>
          <w:p w14:paraId="100BABA4" w14:textId="033F7725"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w:t>
            </w:r>
            <w:r w:rsidR="00727067">
              <w:rPr>
                <w:rFonts w:eastAsia="Times New Roman"/>
                <w:u w:val="single"/>
                <w:lang w:eastAsia="en-NZ"/>
              </w:rPr>
              <w:t xml:space="preserve"> </w:t>
            </w:r>
          </w:p>
          <w:p w14:paraId="2AC47B43" w14:textId="56B6DDEA"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00727067">
              <w:rPr>
                <w:rFonts w:eastAsia="Times New Roman"/>
                <w:u w:val="single"/>
                <w:lang w:eastAsia="en-NZ"/>
              </w:rPr>
              <w:t xml:space="preserve"> </w:t>
            </w:r>
          </w:p>
          <w:p w14:paraId="4EB97428" w14:textId="77777777" w:rsidR="00387943" w:rsidRPr="00387943" w:rsidRDefault="00387943" w:rsidP="00EB6838">
            <w:pPr>
              <w:spacing w:before="120" w:after="0" w:line="240" w:lineRule="auto"/>
              <w:ind w:left="113"/>
              <w:textAlignment w:val="baseline"/>
              <w:rPr>
                <w:rFonts w:ascii="Calibri" w:eastAsia="Times New Roman" w:hAnsi="Calibri" w:cs="Calibri"/>
                <w:b/>
                <w:bCs/>
                <w:u w:val="single"/>
                <w:lang w:eastAsia="en-NZ"/>
              </w:rPr>
            </w:pPr>
            <w:r w:rsidRPr="00387943">
              <w:rPr>
                <w:rFonts w:ascii="Calibri" w:eastAsia="Times New Roman" w:hAnsi="Calibri" w:cs="Calibri"/>
                <w:b/>
                <w:bCs/>
                <w:u w:val="single"/>
                <w:lang w:eastAsia="en-NZ"/>
              </w:rPr>
              <w:t>List A </w:t>
            </w:r>
          </w:p>
          <w:p w14:paraId="3BAA12ED" w14:textId="14D0FDB1"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Variety of high quality rafting experiences found in few other water bodies in the region.</w:t>
            </w:r>
            <w:r w:rsidR="00727067">
              <w:rPr>
                <w:rFonts w:ascii="Calibri" w:eastAsia="Times New Roman" w:hAnsi="Calibri" w:cs="Calibri"/>
                <w:u w:val="single"/>
                <w:lang w:eastAsia="en-NZ"/>
              </w:rPr>
              <w:t xml:space="preserve"> </w:t>
            </w:r>
          </w:p>
          <w:p w14:paraId="06A4D343" w14:textId="33FBD8B8" w:rsidR="00387943" w:rsidRPr="00387943" w:rsidRDefault="00227A69" w:rsidP="00227A69">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 specialised high quality rafting experience found in few other water bodies in the region.</w:t>
            </w:r>
            <w:r w:rsidR="00727067">
              <w:rPr>
                <w:rFonts w:ascii="Calibri" w:eastAsia="Times New Roman" w:hAnsi="Calibri" w:cs="Calibri"/>
                <w:u w:val="single"/>
                <w:lang w:eastAsia="en-NZ"/>
              </w:rPr>
              <w:t xml:space="preserve"> </w:t>
            </w:r>
          </w:p>
          <w:p w14:paraId="7C49578D" w14:textId="77777777" w:rsidR="00387943" w:rsidRPr="00387943" w:rsidRDefault="00387943" w:rsidP="00EB6838">
            <w:pPr>
              <w:spacing w:before="120" w:after="0" w:line="240" w:lineRule="auto"/>
              <w:ind w:left="113"/>
              <w:textAlignment w:val="baseline"/>
              <w:rPr>
                <w:rFonts w:ascii="Calibri" w:eastAsia="Times New Roman" w:hAnsi="Calibri" w:cs="Calibri"/>
                <w:b/>
                <w:bCs/>
                <w:u w:val="single"/>
                <w:lang w:eastAsia="en-NZ"/>
              </w:rPr>
            </w:pPr>
            <w:r w:rsidRPr="00387943">
              <w:rPr>
                <w:rFonts w:ascii="Calibri" w:eastAsia="Times New Roman" w:hAnsi="Calibri" w:cs="Calibri"/>
                <w:b/>
                <w:bCs/>
                <w:u w:val="single"/>
                <w:lang w:eastAsia="en-NZ"/>
              </w:rPr>
              <w:t>List B </w:t>
            </w:r>
          </w:p>
          <w:p w14:paraId="24B0AE7E" w14:textId="605D9BE2"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water body provides an outstanding rafting experience which is reliable and predictable for most of the year under normal flows (i.e. the experience is not reliant on dam release water or high flows, or subject to low flows).</w:t>
            </w:r>
            <w:r w:rsidR="00727067">
              <w:rPr>
                <w:rFonts w:ascii="Calibri" w:eastAsia="Times New Roman" w:hAnsi="Calibri" w:cs="Calibri"/>
                <w:u w:val="single"/>
                <w:lang w:eastAsia="en-NZ"/>
              </w:rPr>
              <w:t xml:space="preserve"> </w:t>
            </w:r>
          </w:p>
          <w:p w14:paraId="2922CB67" w14:textId="3A9943A3"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Regional, national or international significance as an exceptional rafting experience. </w:t>
            </w:r>
          </w:p>
          <w:p w14:paraId="36E1E7AA" w14:textId="5560904A"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High non-local usage (high numbers of participants come from outside of the area).</w:t>
            </w:r>
            <w:r w:rsidR="00727067">
              <w:rPr>
                <w:rFonts w:ascii="Calibri" w:eastAsia="Times New Roman" w:hAnsi="Calibri" w:cs="Calibri"/>
                <w:u w:val="single"/>
                <w:lang w:eastAsia="en-NZ"/>
              </w:rPr>
              <w:t xml:space="preserve"> </w:t>
            </w:r>
          </w:p>
          <w:p w14:paraId="138135E8" w14:textId="45061196" w:rsidR="00387943" w:rsidRPr="00387943" w:rsidRDefault="00227A69" w:rsidP="00227A69">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d.</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an outstanding rafting experience.</w:t>
            </w:r>
            <w:r w:rsidR="00727067">
              <w:rPr>
                <w:rFonts w:ascii="Calibri" w:eastAsia="Times New Roman" w:hAnsi="Calibri" w:cs="Calibri"/>
                <w:u w:val="single"/>
                <w:lang w:eastAsia="en-NZ"/>
              </w:rPr>
              <w:t xml:space="preserve">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5EFDD441" w14:textId="11F95D12"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1991 River Use Survey.</w:t>
            </w:r>
            <w:r w:rsidR="00727067">
              <w:rPr>
                <w:rFonts w:ascii="Calibri" w:eastAsia="Times New Roman" w:hAnsi="Calibri" w:cs="Calibri"/>
                <w:u w:val="single"/>
                <w:lang w:eastAsia="en-NZ"/>
              </w:rPr>
              <w:t xml:space="preserve"> </w:t>
            </w:r>
          </w:p>
          <w:p w14:paraId="4AC4ACAF" w14:textId="51FD40F8"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Recreational River Survey.</w:t>
            </w:r>
            <w:r w:rsidR="00727067">
              <w:rPr>
                <w:rFonts w:ascii="Calibri" w:eastAsia="Times New Roman" w:hAnsi="Calibri" w:cs="Calibri"/>
                <w:u w:val="single"/>
                <w:lang w:eastAsia="en-NZ"/>
              </w:rPr>
              <w:t xml:space="preserve"> </w:t>
            </w:r>
          </w:p>
          <w:p w14:paraId="7621A511" w14:textId="02EA6239"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Testimonies from rafters and their local or national associations.</w:t>
            </w:r>
            <w:r w:rsidR="00727067">
              <w:rPr>
                <w:rFonts w:ascii="Calibri" w:eastAsia="Times New Roman" w:hAnsi="Calibri" w:cs="Calibri"/>
                <w:u w:val="single"/>
                <w:lang w:eastAsia="en-NZ"/>
              </w:rPr>
              <w:t xml:space="preserve"> </w:t>
            </w:r>
          </w:p>
          <w:p w14:paraId="03C661CF" w14:textId="09666B83"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028F2A0C"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2674324"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0E8795EC" w14:textId="22E9A835"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Kayaking (include canoeing)</w:t>
            </w:r>
          </w:p>
        </w:tc>
      </w:tr>
      <w:tr w:rsidR="00387943" w:rsidRPr="00387943" w14:paraId="70BDA23B"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494CC163"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lang w:eastAsia="en-NZ"/>
              </w:rPr>
              <w:t> </w:t>
            </w: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20A3C132"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kayaking experience (amenity) where it meets:</w:t>
            </w:r>
            <w:r w:rsidRPr="00387943">
              <w:rPr>
                <w:rFonts w:ascii="Calibri" w:eastAsia="Times New Roman" w:hAnsi="Calibri" w:cs="Calibri"/>
                <w:lang w:eastAsia="en-NZ"/>
              </w:rPr>
              <w:t> </w:t>
            </w:r>
          </w:p>
          <w:p w14:paraId="4537578E"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 </w:t>
            </w:r>
          </w:p>
          <w:p w14:paraId="7726CBDB"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Pr="00387943">
              <w:rPr>
                <w:rFonts w:eastAsia="Times New Roman"/>
                <w:lang w:eastAsia="en-NZ"/>
              </w:rPr>
              <w:t> </w:t>
            </w:r>
          </w:p>
          <w:p w14:paraId="266798A1" w14:textId="77777777" w:rsidR="00387943" w:rsidRPr="00387943" w:rsidRDefault="00387943" w:rsidP="00EB6838">
            <w:pPr>
              <w:spacing w:before="120" w:after="0" w:line="240" w:lineRule="auto"/>
              <w:ind w:left="113"/>
              <w:textAlignment w:val="baseline"/>
              <w:rPr>
                <w:rFonts w:ascii="Calibri" w:eastAsia="Times New Roman" w:hAnsi="Calibri" w:cs="Calibri"/>
                <w:b/>
                <w:bCs/>
                <w:u w:val="single"/>
                <w:lang w:eastAsia="en-NZ"/>
              </w:rPr>
            </w:pPr>
            <w:r w:rsidRPr="00387943">
              <w:rPr>
                <w:rFonts w:ascii="Calibri" w:eastAsia="Times New Roman" w:hAnsi="Calibri" w:cs="Calibri"/>
                <w:b/>
                <w:bCs/>
                <w:u w:val="single"/>
                <w:lang w:eastAsia="en-NZ"/>
              </w:rPr>
              <w:t>List A </w:t>
            </w:r>
          </w:p>
          <w:p w14:paraId="6F572CEE" w14:textId="49F87251" w:rsidR="00387943" w:rsidRPr="00387943" w:rsidRDefault="00227A69" w:rsidP="00227A69">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Variety of high quality kayaking experiences found in few other water bodies in the region. </w:t>
            </w:r>
          </w:p>
          <w:p w14:paraId="7E639B7F" w14:textId="0B73CF78" w:rsidR="00387943" w:rsidRPr="00387943" w:rsidRDefault="00227A69" w:rsidP="00227A69">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lastRenderedPageBreak/>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 specialised high quality kayaking experience found in few other water bodies in the region.</w:t>
            </w:r>
            <w:r w:rsidR="00387943" w:rsidRPr="00387943">
              <w:rPr>
                <w:rFonts w:ascii="Calibri" w:eastAsia="Times New Roman" w:hAnsi="Calibri" w:cs="Calibri"/>
                <w:lang w:eastAsia="en-NZ"/>
              </w:rPr>
              <w:t> </w:t>
            </w:r>
          </w:p>
          <w:p w14:paraId="4E514CD9" w14:textId="77777777" w:rsidR="00387943" w:rsidRPr="00387943" w:rsidRDefault="00387943" w:rsidP="00EB6838">
            <w:pPr>
              <w:spacing w:before="120" w:after="0" w:line="240" w:lineRule="auto"/>
              <w:ind w:left="113"/>
              <w:textAlignment w:val="baseline"/>
              <w:rPr>
                <w:rFonts w:ascii="Calibri" w:eastAsia="Times New Roman" w:hAnsi="Calibri" w:cs="Calibri"/>
                <w:b/>
                <w:bCs/>
                <w:u w:val="single"/>
                <w:lang w:eastAsia="en-NZ"/>
              </w:rPr>
            </w:pPr>
            <w:r w:rsidRPr="00387943">
              <w:rPr>
                <w:rFonts w:ascii="Calibri" w:eastAsia="Times New Roman" w:hAnsi="Calibri" w:cs="Calibri"/>
                <w:b/>
                <w:bCs/>
                <w:u w:val="single"/>
                <w:lang w:eastAsia="en-NZ"/>
              </w:rPr>
              <w:t>List B </w:t>
            </w:r>
          </w:p>
          <w:p w14:paraId="1FFE0876" w14:textId="7D885042" w:rsidR="00387943" w:rsidRPr="00387943" w:rsidRDefault="00423EA7" w:rsidP="00423EA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water body provides an outstanding kayaking experience which is reliable and predictable for most of the year under normal flows (i.e. the experience is not reliant on dam release water or high flows, or subject to low flows). </w:t>
            </w:r>
          </w:p>
          <w:p w14:paraId="6F97525C" w14:textId="19B70B64" w:rsidR="00387943" w:rsidRPr="00387943" w:rsidRDefault="00423EA7" w:rsidP="00423EA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Regional, national or international significance as an exceptional kayaking experience. </w:t>
            </w:r>
          </w:p>
          <w:p w14:paraId="1B3F75CE" w14:textId="10AADF0E" w:rsidR="00387943" w:rsidRPr="00387943" w:rsidRDefault="00423EA7" w:rsidP="00423EA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High non‐local usage (high numbers of participants come from outside of the area). </w:t>
            </w:r>
          </w:p>
          <w:p w14:paraId="6C972657" w14:textId="5C8F4DFE" w:rsidR="00387943" w:rsidRPr="00387943" w:rsidRDefault="00423EA7" w:rsidP="00423EA7">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d.</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an outstanding kayaking experience.</w:t>
            </w:r>
            <w:r w:rsidR="00387943"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7DA6D4E2" w14:textId="18AF6100"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lastRenderedPageBreak/>
              <w:t>1991 River Use Survey.</w:t>
            </w:r>
            <w:r w:rsidR="00727067">
              <w:rPr>
                <w:rFonts w:ascii="Calibri" w:eastAsia="Times New Roman" w:hAnsi="Calibri" w:cs="Calibri"/>
                <w:u w:val="single"/>
                <w:lang w:eastAsia="en-NZ"/>
              </w:rPr>
              <w:t xml:space="preserve"> </w:t>
            </w:r>
          </w:p>
          <w:p w14:paraId="0441D6EB" w14:textId="10A91B70"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Recreational River Survey.</w:t>
            </w:r>
            <w:r w:rsidR="00727067">
              <w:rPr>
                <w:rFonts w:ascii="Calibri" w:eastAsia="Times New Roman" w:hAnsi="Calibri" w:cs="Calibri"/>
                <w:u w:val="single"/>
                <w:lang w:eastAsia="en-NZ"/>
              </w:rPr>
              <w:t xml:space="preserve"> </w:t>
            </w:r>
          </w:p>
          <w:p w14:paraId="6CDEAFBD" w14:textId="69B806FA"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Whitewater: 120 Great Kayaking Runs.</w:t>
            </w:r>
            <w:r w:rsidR="00727067">
              <w:rPr>
                <w:rFonts w:ascii="Calibri" w:eastAsia="Times New Roman" w:hAnsi="Calibri" w:cs="Calibri"/>
                <w:u w:val="single"/>
                <w:lang w:eastAsia="en-NZ"/>
              </w:rPr>
              <w:t xml:space="preserve"> </w:t>
            </w:r>
          </w:p>
          <w:p w14:paraId="3608D29B" w14:textId="4F964445"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Testimonies from kayakers and their local or national associations.</w:t>
            </w:r>
            <w:r w:rsidR="00727067">
              <w:rPr>
                <w:rFonts w:ascii="Calibri" w:eastAsia="Times New Roman" w:hAnsi="Calibri" w:cs="Calibri"/>
                <w:u w:val="single"/>
                <w:lang w:eastAsia="en-NZ"/>
              </w:rPr>
              <w:t xml:space="preserve"> </w:t>
            </w:r>
          </w:p>
          <w:p w14:paraId="0B846259" w14:textId="0B8CB9BC" w:rsidR="00387943" w:rsidRPr="00387943" w:rsidRDefault="00387943" w:rsidP="00227A69">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24387242"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3605B096"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13544DC6" w14:textId="07B9BB66"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Jet boating</w:t>
            </w:r>
            <w:r w:rsidR="00727067">
              <w:rPr>
                <w:rFonts w:ascii="Calibri" w:eastAsia="Times New Roman" w:hAnsi="Calibri" w:cs="Calibri"/>
                <w:b/>
                <w:bCs/>
                <w:u w:val="single"/>
                <w:lang w:eastAsia="en-NZ"/>
              </w:rPr>
              <w:t xml:space="preserve"> </w:t>
            </w:r>
          </w:p>
        </w:tc>
      </w:tr>
      <w:tr w:rsidR="00387943" w:rsidRPr="00387943" w14:paraId="09DBD66A"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248412D6"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79D372CE"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provides an outstanding jet boating experience (amenity) where it meets:</w:t>
            </w:r>
            <w:r w:rsidRPr="00387943">
              <w:rPr>
                <w:rFonts w:ascii="Calibri" w:eastAsia="Times New Roman" w:hAnsi="Calibri" w:cs="Calibri"/>
                <w:lang w:eastAsia="en-NZ"/>
              </w:rPr>
              <w:t> </w:t>
            </w:r>
          </w:p>
          <w:p w14:paraId="3FE84B96"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 </w:t>
            </w:r>
          </w:p>
          <w:p w14:paraId="4DA891FB"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Pr="00387943">
              <w:rPr>
                <w:rFonts w:eastAsia="Times New Roman"/>
                <w:lang w:eastAsia="en-NZ"/>
              </w:rPr>
              <w:t> </w:t>
            </w:r>
          </w:p>
          <w:p w14:paraId="56F537E1"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lang w:eastAsia="en-NZ"/>
              </w:rPr>
              <w:t> </w:t>
            </w:r>
          </w:p>
          <w:p w14:paraId="186D8995" w14:textId="4F9F5D33" w:rsidR="00387943" w:rsidRPr="00387943" w:rsidRDefault="00EB6838" w:rsidP="00423EA7">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Variety of high quality jet boating experiences found in few other water bodies in the region.</w:t>
            </w:r>
            <w:r w:rsidR="00727067">
              <w:rPr>
                <w:rFonts w:ascii="Calibri" w:eastAsia="Times New Roman" w:hAnsi="Calibri" w:cs="Calibri"/>
                <w:u w:val="single"/>
                <w:lang w:eastAsia="en-NZ"/>
              </w:rPr>
              <w:t xml:space="preserve"> </w:t>
            </w:r>
          </w:p>
          <w:p w14:paraId="3D43E09C" w14:textId="435C561E" w:rsidR="00387943" w:rsidRPr="00387943" w:rsidRDefault="00EB6838" w:rsidP="00423EA7">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 specialised high quality jet boating experience found in few other water bodies in the region.</w:t>
            </w:r>
            <w:r w:rsidR="00387943" w:rsidRPr="00387943">
              <w:rPr>
                <w:rFonts w:ascii="Calibri" w:eastAsia="Times New Roman" w:hAnsi="Calibri" w:cs="Calibri"/>
                <w:lang w:eastAsia="en-NZ"/>
              </w:rPr>
              <w:t> </w:t>
            </w:r>
          </w:p>
          <w:p w14:paraId="700CA573"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List B</w:t>
            </w:r>
            <w:r w:rsidRPr="00387943">
              <w:rPr>
                <w:rFonts w:ascii="Calibri" w:eastAsia="Times New Roman" w:hAnsi="Calibri" w:cs="Calibri"/>
                <w:lang w:eastAsia="en-NZ"/>
              </w:rPr>
              <w:t> </w:t>
            </w:r>
          </w:p>
          <w:p w14:paraId="30341262" w14:textId="0C5723D2"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water body provides an outstanding jet boating experience which is reliable and predictable for most of the year under normal flows (i.e. the experience is not reliant on high flows or subject to low flows).</w:t>
            </w:r>
            <w:r w:rsidR="00727067">
              <w:rPr>
                <w:rFonts w:ascii="Calibri" w:eastAsia="Times New Roman" w:hAnsi="Calibri" w:cs="Calibri"/>
                <w:u w:val="single"/>
                <w:lang w:eastAsia="en-NZ"/>
              </w:rPr>
              <w:t xml:space="preserve"> </w:t>
            </w:r>
          </w:p>
          <w:p w14:paraId="58B1F8C4" w14:textId="13AC4122"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Regional, national or international significance as an exceptional jet boating experience. </w:t>
            </w:r>
          </w:p>
          <w:p w14:paraId="3EA155C3" w14:textId="2DE167F5"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High non‐local usage (high numbers of participants come from outside of the area).</w:t>
            </w:r>
            <w:r w:rsidR="00727067">
              <w:rPr>
                <w:rFonts w:ascii="Calibri" w:eastAsia="Times New Roman" w:hAnsi="Calibri" w:cs="Calibri"/>
                <w:u w:val="single"/>
                <w:lang w:eastAsia="en-NZ"/>
              </w:rPr>
              <w:t xml:space="preserve"> </w:t>
            </w:r>
          </w:p>
          <w:p w14:paraId="4E63FC85" w14:textId="2B40904F" w:rsidR="00387943" w:rsidRPr="00387943" w:rsidRDefault="00EB6838" w:rsidP="00EB6838">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d.</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an outstanding jet boating experience.</w:t>
            </w:r>
            <w:r w:rsidR="00387943"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6CDB5C9F"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Recreational</w:t>
            </w:r>
            <w:r w:rsidRPr="00387943">
              <w:rPr>
                <w:rFonts w:ascii="Calibri" w:eastAsia="Times New Roman" w:hAnsi="Calibri" w:cs="Calibri"/>
                <w:lang w:eastAsia="en-NZ"/>
              </w:rPr>
              <w:t> </w:t>
            </w:r>
          </w:p>
          <w:p w14:paraId="367D2597"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River Survey.</w:t>
            </w:r>
            <w:r w:rsidRPr="00387943">
              <w:rPr>
                <w:rFonts w:ascii="Calibri" w:eastAsia="Times New Roman" w:hAnsi="Calibri" w:cs="Calibri"/>
                <w:lang w:eastAsia="en-NZ"/>
              </w:rPr>
              <w:t> </w:t>
            </w:r>
          </w:p>
          <w:p w14:paraId="7A17E5FF"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Testimonies from jet</w:t>
            </w:r>
            <w:r w:rsidRPr="00387943">
              <w:rPr>
                <w:rFonts w:ascii="Calibri" w:eastAsia="Times New Roman" w:hAnsi="Calibri" w:cs="Calibri"/>
                <w:lang w:eastAsia="en-NZ"/>
              </w:rPr>
              <w:t> </w:t>
            </w:r>
          </w:p>
          <w:p w14:paraId="01DF672B"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boaters and their local or</w:t>
            </w:r>
            <w:r w:rsidRPr="00387943">
              <w:rPr>
                <w:rFonts w:ascii="Calibri" w:eastAsia="Times New Roman" w:hAnsi="Calibri" w:cs="Calibri"/>
                <w:lang w:eastAsia="en-NZ"/>
              </w:rPr>
              <w:t> </w:t>
            </w:r>
          </w:p>
          <w:p w14:paraId="72859617"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national associations.</w:t>
            </w:r>
            <w:r w:rsidRPr="00387943">
              <w:rPr>
                <w:rFonts w:ascii="Calibri" w:eastAsia="Times New Roman" w:hAnsi="Calibri" w:cs="Calibri"/>
                <w:lang w:eastAsia="en-NZ"/>
              </w:rPr>
              <w:t> </w:t>
            </w:r>
          </w:p>
        </w:tc>
      </w:tr>
      <w:tr w:rsidR="00387943" w:rsidRPr="00387943" w14:paraId="02F3B5F5"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51BD53D5"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Landscape</w:t>
            </w:r>
            <w:r w:rsidRPr="00387943">
              <w:rPr>
                <w:rFonts w:ascii="Calibri" w:eastAsia="Times New Roman" w:hAnsi="Calibri" w:cs="Calibri"/>
                <w:lang w:eastAsia="en-NZ"/>
              </w:rPr>
              <w:t> </w:t>
            </w: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6745FC7A" w14:textId="1F7C602D"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Wild and scenic</w:t>
            </w:r>
            <w:r w:rsidR="00727067">
              <w:rPr>
                <w:rFonts w:ascii="Calibri" w:eastAsia="Times New Roman" w:hAnsi="Calibri" w:cs="Calibri"/>
                <w:b/>
                <w:bCs/>
                <w:u w:val="single"/>
                <w:lang w:eastAsia="en-NZ"/>
              </w:rPr>
              <w:t xml:space="preserve"> </w:t>
            </w:r>
          </w:p>
        </w:tc>
      </w:tr>
      <w:tr w:rsidR="00387943" w:rsidRPr="00387943" w14:paraId="124E7017"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5A981F1D"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18EE94B3"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has outstanding wild and/or scenic values where it meets all matters in List A.</w:t>
            </w:r>
            <w:r w:rsidRPr="00387943">
              <w:rPr>
                <w:rFonts w:ascii="Calibri" w:eastAsia="Times New Roman" w:hAnsi="Calibri" w:cs="Calibri"/>
                <w:lang w:eastAsia="en-NZ"/>
              </w:rPr>
              <w:t> </w:t>
            </w:r>
          </w:p>
          <w:p w14:paraId="13CB567F"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lang w:eastAsia="en-NZ"/>
              </w:rPr>
              <w:t> </w:t>
            </w:r>
          </w:p>
          <w:p w14:paraId="7AC1F3D7" w14:textId="549E56F0"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Waters are an essential component of the landscape. </w:t>
            </w:r>
          </w:p>
          <w:p w14:paraId="7DB477A9" w14:textId="0540D703"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lastRenderedPageBreak/>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Waters have wild and/or scenic values that contain distinctive qualities which 'stand out' and are present in few other water bodies in the region. </w:t>
            </w:r>
          </w:p>
          <w:p w14:paraId="0F5F98A4" w14:textId="7C985CDF" w:rsidR="00387943" w:rsidRPr="00387943" w:rsidRDefault="00EB6838" w:rsidP="00EB6838">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wild or scenic values by way of an expert assessment or independent evidence sources.</w:t>
            </w:r>
            <w:r w:rsidR="00387943"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616F83FF"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lastRenderedPageBreak/>
              <w:t>A National Inventory of</w:t>
            </w:r>
            <w:r w:rsidRPr="00387943">
              <w:rPr>
                <w:rFonts w:ascii="Calibri" w:eastAsia="Times New Roman" w:hAnsi="Calibri" w:cs="Calibri"/>
                <w:lang w:eastAsia="en-NZ"/>
              </w:rPr>
              <w:t> </w:t>
            </w:r>
          </w:p>
          <w:p w14:paraId="0E27C53A"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Wild and Scenic Rivers.</w:t>
            </w:r>
            <w:r w:rsidRPr="00387943">
              <w:rPr>
                <w:rFonts w:ascii="Calibri" w:eastAsia="Times New Roman" w:hAnsi="Calibri" w:cs="Calibri"/>
                <w:lang w:eastAsia="en-NZ"/>
              </w:rPr>
              <w:t> </w:t>
            </w:r>
          </w:p>
          <w:p w14:paraId="26C5F1A7"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A list of rivers and lakes</w:t>
            </w:r>
            <w:r w:rsidRPr="00387943">
              <w:rPr>
                <w:rFonts w:ascii="Calibri" w:eastAsia="Times New Roman" w:hAnsi="Calibri" w:cs="Calibri"/>
                <w:lang w:eastAsia="en-NZ"/>
              </w:rPr>
              <w:t> </w:t>
            </w:r>
          </w:p>
          <w:p w14:paraId="12D45442"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deserving protection in a</w:t>
            </w:r>
            <w:r w:rsidRPr="00387943">
              <w:rPr>
                <w:rFonts w:ascii="Calibri" w:eastAsia="Times New Roman" w:hAnsi="Calibri" w:cs="Calibri"/>
                <w:lang w:eastAsia="en-NZ"/>
              </w:rPr>
              <w:t> </w:t>
            </w:r>
          </w:p>
          <w:p w14:paraId="76B1317A"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schedule of protected</w:t>
            </w:r>
            <w:r w:rsidRPr="00387943">
              <w:rPr>
                <w:rFonts w:ascii="Calibri" w:eastAsia="Times New Roman" w:hAnsi="Calibri" w:cs="Calibri"/>
                <w:lang w:eastAsia="en-NZ"/>
              </w:rPr>
              <w:t> </w:t>
            </w:r>
          </w:p>
          <w:p w14:paraId="06C41CCB"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waters.</w:t>
            </w:r>
            <w:r w:rsidRPr="00387943">
              <w:rPr>
                <w:rFonts w:ascii="Calibri" w:eastAsia="Times New Roman" w:hAnsi="Calibri" w:cs="Calibri"/>
                <w:lang w:eastAsia="en-NZ"/>
              </w:rPr>
              <w:t> </w:t>
            </w:r>
          </w:p>
          <w:p w14:paraId="2C915ACF"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64 New Zealand Rivers: a</w:t>
            </w:r>
            <w:r w:rsidRPr="00387943">
              <w:rPr>
                <w:rFonts w:ascii="Calibri" w:eastAsia="Times New Roman" w:hAnsi="Calibri" w:cs="Calibri"/>
                <w:lang w:eastAsia="en-NZ"/>
              </w:rPr>
              <w:t> </w:t>
            </w:r>
          </w:p>
          <w:p w14:paraId="5F55807A"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lastRenderedPageBreak/>
              <w:t>scenic evaluation.</w:t>
            </w:r>
            <w:r w:rsidRPr="00387943">
              <w:rPr>
                <w:rFonts w:ascii="Calibri" w:eastAsia="Times New Roman" w:hAnsi="Calibri" w:cs="Calibri"/>
                <w:lang w:eastAsia="en-NZ"/>
              </w:rPr>
              <w:t> </w:t>
            </w:r>
          </w:p>
          <w:p w14:paraId="6E2EBAE2"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Recreational</w:t>
            </w:r>
            <w:r w:rsidRPr="00387943">
              <w:rPr>
                <w:rFonts w:ascii="Calibri" w:eastAsia="Times New Roman" w:hAnsi="Calibri" w:cs="Calibri"/>
                <w:lang w:eastAsia="en-NZ"/>
              </w:rPr>
              <w:t> </w:t>
            </w:r>
          </w:p>
          <w:p w14:paraId="11C465E4"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Survey and the National</w:t>
            </w:r>
            <w:r w:rsidRPr="00387943">
              <w:rPr>
                <w:rFonts w:ascii="Calibri" w:eastAsia="Times New Roman" w:hAnsi="Calibri" w:cs="Calibri"/>
                <w:lang w:eastAsia="en-NZ"/>
              </w:rPr>
              <w:t> </w:t>
            </w:r>
          </w:p>
          <w:p w14:paraId="3685A3FC"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Inventory of Wild and</w:t>
            </w:r>
            <w:r w:rsidRPr="00387943">
              <w:rPr>
                <w:rFonts w:ascii="Calibri" w:eastAsia="Times New Roman" w:hAnsi="Calibri" w:cs="Calibri"/>
                <w:lang w:eastAsia="en-NZ"/>
              </w:rPr>
              <w:t> </w:t>
            </w:r>
          </w:p>
          <w:p w14:paraId="3FF0D150"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Scenic Rivers.</w:t>
            </w:r>
            <w:r w:rsidRPr="00387943">
              <w:rPr>
                <w:rFonts w:ascii="Calibri" w:eastAsia="Times New Roman" w:hAnsi="Calibri" w:cs="Calibri"/>
                <w:lang w:eastAsia="en-NZ"/>
              </w:rPr>
              <w:t> </w:t>
            </w:r>
          </w:p>
          <w:p w14:paraId="149AD0F1"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Pr="00387943">
              <w:rPr>
                <w:rFonts w:ascii="Calibri" w:eastAsia="Times New Roman" w:hAnsi="Calibri" w:cs="Calibri"/>
                <w:lang w:eastAsia="en-NZ"/>
              </w:rPr>
              <w:t> </w:t>
            </w:r>
          </w:p>
        </w:tc>
      </w:tr>
      <w:tr w:rsidR="00387943" w:rsidRPr="00387943" w14:paraId="5132917E"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662EE138"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lastRenderedPageBreak/>
              <w:t>Karst system / subterranean waters</w:t>
            </w:r>
            <w:r w:rsidRPr="00387943">
              <w:rPr>
                <w:rFonts w:ascii="Calibri" w:eastAsia="Times New Roman" w:hAnsi="Calibri" w:cs="Calibri"/>
                <w:lang w:eastAsia="en-NZ"/>
              </w:rPr>
              <w:t> </w:t>
            </w: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2F830A65" w14:textId="77777777"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Karst system / subterranean waters</w:t>
            </w:r>
            <w:r w:rsidRPr="00387943">
              <w:rPr>
                <w:rFonts w:ascii="Calibri" w:eastAsia="Times New Roman" w:hAnsi="Calibri" w:cs="Calibri"/>
                <w:b/>
                <w:bCs/>
                <w:lang w:eastAsia="en-NZ"/>
              </w:rPr>
              <w:t> </w:t>
            </w:r>
          </w:p>
        </w:tc>
      </w:tr>
      <w:tr w:rsidR="00387943" w:rsidRPr="00387943" w14:paraId="113991EE"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1C046F95"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713974AD"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A karst system and/or subterranean waters is outstanding where the following is met:</w:t>
            </w:r>
            <w:r w:rsidRPr="00387943">
              <w:rPr>
                <w:rFonts w:ascii="Calibri" w:eastAsia="Times New Roman" w:hAnsi="Calibri" w:cs="Calibri"/>
                <w:lang w:eastAsia="en-NZ"/>
              </w:rPr>
              <w:t> </w:t>
            </w:r>
          </w:p>
          <w:p w14:paraId="443E10FA"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u w:val="single"/>
                <w:lang w:eastAsia="en-NZ"/>
              </w:rPr>
            </w:pPr>
            <w:r w:rsidRPr="00387943">
              <w:rPr>
                <w:rFonts w:eastAsia="Times New Roman"/>
                <w:u w:val="single"/>
                <w:lang w:eastAsia="en-NZ"/>
              </w:rPr>
              <w:t>At least one matter in List A; and </w:t>
            </w:r>
          </w:p>
          <w:p w14:paraId="1C1E11AD" w14:textId="77777777" w:rsidR="00387943" w:rsidRPr="00387943" w:rsidRDefault="00387943" w:rsidP="00BA6490">
            <w:pPr>
              <w:pStyle w:val="ListParagraph"/>
              <w:numPr>
                <w:ilvl w:val="0"/>
                <w:numId w:val="40"/>
              </w:numPr>
              <w:tabs>
                <w:tab w:val="clear" w:pos="720"/>
                <w:tab w:val="num" w:pos="531"/>
              </w:tabs>
              <w:ind w:hanging="614"/>
              <w:textAlignment w:val="baseline"/>
              <w:rPr>
                <w:rFonts w:eastAsia="Times New Roman"/>
                <w:lang w:eastAsia="en-NZ"/>
              </w:rPr>
            </w:pPr>
            <w:r w:rsidRPr="00387943">
              <w:rPr>
                <w:rFonts w:eastAsia="Times New Roman"/>
                <w:u w:val="single"/>
                <w:lang w:eastAsia="en-NZ"/>
              </w:rPr>
              <w:t>All matters in List B.</w:t>
            </w:r>
            <w:r w:rsidRPr="00387943">
              <w:rPr>
                <w:rFonts w:eastAsia="Times New Roman"/>
                <w:lang w:eastAsia="en-NZ"/>
              </w:rPr>
              <w:t> </w:t>
            </w:r>
          </w:p>
          <w:p w14:paraId="4898DEEE"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lang w:eastAsia="en-NZ"/>
              </w:rPr>
              <w:t> </w:t>
            </w:r>
          </w:p>
          <w:p w14:paraId="2BAD3C6F" w14:textId="61042231"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A specialised high quality experience present in few other water bodies in the region. </w:t>
            </w:r>
          </w:p>
          <w:p w14:paraId="2FF43E59" w14:textId="581FC194"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 xml:space="preserve">Wild and/or scenic values that contain distinctive qualities which ‘stand out’ and are present in few other water bodies in the </w:t>
            </w:r>
            <w:r w:rsidR="00B36CAD">
              <w:rPr>
                <w:rFonts w:ascii="Calibri" w:eastAsia="Times New Roman" w:hAnsi="Calibri" w:cs="Calibri"/>
                <w:u w:val="single"/>
                <w:lang w:eastAsia="en-NZ"/>
              </w:rPr>
              <w:t xml:space="preserve">Otago </w:t>
            </w:r>
            <w:r w:rsidR="00387943" w:rsidRPr="00387943">
              <w:rPr>
                <w:rFonts w:ascii="Calibri" w:eastAsia="Times New Roman" w:hAnsi="Calibri" w:cs="Calibri"/>
                <w:u w:val="single"/>
                <w:lang w:eastAsia="en-NZ"/>
              </w:rPr>
              <w:t>region. </w:t>
            </w:r>
          </w:p>
          <w:p w14:paraId="4808B5DF" w14:textId="6CA3E554" w:rsidR="00387943" w:rsidRPr="00387943" w:rsidRDefault="00EB6838" w:rsidP="00EB6838">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 xml:space="preserve">Unique or unusual scientific or ecological values present in few other water bodies in the </w:t>
            </w:r>
            <w:r w:rsidR="00B36CAD">
              <w:rPr>
                <w:rFonts w:ascii="Calibri" w:eastAsia="Times New Roman" w:hAnsi="Calibri" w:cs="Calibri"/>
                <w:u w:val="single"/>
                <w:lang w:eastAsia="en-NZ"/>
              </w:rPr>
              <w:t xml:space="preserve">Otago </w:t>
            </w:r>
            <w:r w:rsidR="00387943" w:rsidRPr="00387943">
              <w:rPr>
                <w:rFonts w:ascii="Calibri" w:eastAsia="Times New Roman" w:hAnsi="Calibri" w:cs="Calibri"/>
                <w:u w:val="single"/>
                <w:lang w:eastAsia="en-NZ"/>
              </w:rPr>
              <w:t>region.</w:t>
            </w:r>
            <w:r w:rsidR="00387943" w:rsidRPr="00387943">
              <w:rPr>
                <w:rFonts w:ascii="Calibri" w:eastAsia="Times New Roman" w:hAnsi="Calibri" w:cs="Calibri"/>
                <w:lang w:eastAsia="en-NZ"/>
              </w:rPr>
              <w:t> </w:t>
            </w:r>
          </w:p>
          <w:p w14:paraId="1136082D"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List B</w:t>
            </w:r>
            <w:r w:rsidRPr="00387943">
              <w:rPr>
                <w:rFonts w:ascii="Calibri" w:eastAsia="Times New Roman" w:hAnsi="Calibri" w:cs="Calibri"/>
                <w:lang w:eastAsia="en-NZ"/>
              </w:rPr>
              <w:t> </w:t>
            </w:r>
          </w:p>
          <w:p w14:paraId="60E469DB" w14:textId="796C286B"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International or national reputation and/or high non-local usage. </w:t>
            </w:r>
          </w:p>
          <w:p w14:paraId="35BDE9A6" w14:textId="6C9E5010" w:rsidR="00387943" w:rsidRPr="00387943" w:rsidRDefault="00EB6838" w:rsidP="00EB6838">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if provided in support of outstanding values.</w:t>
            </w:r>
            <w:r w:rsidR="00387943"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51B95F25"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New Zealand Geopreservation Inventory.</w:t>
            </w:r>
            <w:r w:rsidRPr="00387943">
              <w:rPr>
                <w:rFonts w:ascii="Calibri" w:eastAsia="Times New Roman" w:hAnsi="Calibri" w:cs="Calibri"/>
                <w:lang w:eastAsia="en-NZ"/>
              </w:rPr>
              <w:t> </w:t>
            </w:r>
          </w:p>
          <w:p w14:paraId="4F83E01D"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Pr="00387943">
              <w:rPr>
                <w:rFonts w:ascii="Calibri" w:eastAsia="Times New Roman" w:hAnsi="Calibri" w:cs="Calibri"/>
                <w:lang w:eastAsia="en-NZ"/>
              </w:rPr>
              <w:t> </w:t>
            </w:r>
          </w:p>
        </w:tc>
      </w:tr>
      <w:tr w:rsidR="00387943" w:rsidRPr="00387943" w14:paraId="37FE3642"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689FFF52"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Natural character</w:t>
            </w:r>
            <w:r w:rsidRPr="00387943">
              <w:rPr>
                <w:rFonts w:ascii="Calibri" w:eastAsia="Times New Roman" w:hAnsi="Calibri" w:cs="Calibri"/>
                <w:lang w:eastAsia="en-NZ"/>
              </w:rPr>
              <w:t> </w:t>
            </w: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5D12DEE7" w14:textId="77777777"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Natural character</w:t>
            </w:r>
            <w:r w:rsidRPr="00387943">
              <w:rPr>
                <w:rFonts w:ascii="Calibri" w:eastAsia="Times New Roman" w:hAnsi="Calibri" w:cs="Calibri"/>
                <w:b/>
                <w:bCs/>
                <w:lang w:eastAsia="en-NZ"/>
              </w:rPr>
              <w:t> </w:t>
            </w:r>
          </w:p>
        </w:tc>
      </w:tr>
      <w:tr w:rsidR="00387943" w:rsidRPr="00387943" w14:paraId="0312B353"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2E7462DC"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42016671"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has outstanding natural character values where it meets all matters in List A.</w:t>
            </w:r>
            <w:r w:rsidRPr="00387943">
              <w:rPr>
                <w:rFonts w:ascii="Calibri" w:eastAsia="Times New Roman" w:hAnsi="Calibri" w:cs="Calibri"/>
                <w:lang w:eastAsia="en-NZ"/>
              </w:rPr>
              <w:t> </w:t>
            </w:r>
          </w:p>
          <w:p w14:paraId="4AC3D2B2"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5576C1BE" w14:textId="30EF55C0"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a.</w:t>
            </w:r>
            <w:r>
              <w:rPr>
                <w:rFonts w:ascii="Calibri" w:eastAsia="Times New Roman" w:hAnsi="Calibri" w:cs="Calibri"/>
                <w:u w:val="single"/>
                <w:lang w:eastAsia="en-NZ"/>
              </w:rPr>
              <w:tab/>
              <w:t>T</w:t>
            </w:r>
            <w:r w:rsidR="00387943" w:rsidRPr="00387943">
              <w:rPr>
                <w:rFonts w:ascii="Calibri" w:eastAsia="Times New Roman" w:hAnsi="Calibri" w:cs="Calibri"/>
                <w:u w:val="single"/>
                <w:lang w:eastAsia="en-NZ"/>
              </w:rPr>
              <w:t>he water body is highly natural with little or no human modification, including to the flow, bed and riparian margins, water quality, flora and fauna, within a largely indigenous landscape. </w:t>
            </w:r>
          </w:p>
          <w:p w14:paraId="47F37003" w14:textId="34C54C27"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 xml:space="preserve">The natural character values are conspicuous, eminent and/or remarkable in the context of the </w:t>
            </w:r>
            <w:r w:rsidR="00B36CAD">
              <w:rPr>
                <w:rFonts w:ascii="Calibri" w:eastAsia="Times New Roman" w:hAnsi="Calibri" w:cs="Calibri"/>
                <w:u w:val="single"/>
                <w:lang w:eastAsia="en-NZ"/>
              </w:rPr>
              <w:t>Otago</w:t>
            </w:r>
            <w:r w:rsidR="00387943" w:rsidRPr="00387943">
              <w:rPr>
                <w:rFonts w:ascii="Calibri" w:eastAsia="Times New Roman" w:hAnsi="Calibri" w:cs="Calibri"/>
                <w:u w:val="single"/>
                <w:lang w:eastAsia="en-NZ"/>
              </w:rPr>
              <w:t xml:space="preserve"> Region. </w:t>
            </w:r>
          </w:p>
          <w:p w14:paraId="611D02B2" w14:textId="39FB8834" w:rsidR="00387943" w:rsidRPr="00387943" w:rsidRDefault="00EB6838" w:rsidP="00EB6838">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natural character values by way of an expert assessment or independent evidence sources.</w:t>
            </w:r>
            <w:r w:rsidR="00387943"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30FD5E2D" w14:textId="04696533"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00727067">
              <w:rPr>
                <w:rFonts w:ascii="Calibri" w:eastAsia="Times New Roman" w:hAnsi="Calibri" w:cs="Calibri"/>
                <w:u w:val="single"/>
                <w:lang w:eastAsia="en-NZ"/>
              </w:rPr>
              <w:t xml:space="preserve"> </w:t>
            </w:r>
          </w:p>
        </w:tc>
      </w:tr>
      <w:tr w:rsidR="00387943" w:rsidRPr="00387943" w14:paraId="2D771C37" w14:textId="77777777" w:rsidTr="00387943">
        <w:tc>
          <w:tcPr>
            <w:tcW w:w="1440" w:type="dxa"/>
            <w:vMerge w:val="restart"/>
            <w:tcBorders>
              <w:top w:val="single" w:sz="6" w:space="0" w:color="FFFFFF"/>
              <w:left w:val="single" w:sz="6" w:space="0" w:color="FFFFFF"/>
              <w:bottom w:val="single" w:sz="6" w:space="0" w:color="FFFFFF"/>
              <w:right w:val="single" w:sz="6" w:space="0" w:color="FFFFFF"/>
            </w:tcBorders>
            <w:shd w:val="clear" w:color="auto" w:fill="9CC2E5"/>
            <w:hideMark/>
          </w:tcPr>
          <w:p w14:paraId="7F763BDC" w14:textId="77777777" w:rsidR="00387943" w:rsidRPr="00387943" w:rsidRDefault="00387943" w:rsidP="00387943">
            <w:pPr>
              <w:spacing w:after="0" w:line="240" w:lineRule="auto"/>
              <w:jc w:val="center"/>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u w:val="single"/>
                <w:lang w:eastAsia="en-NZ"/>
              </w:rPr>
              <w:t>Geology</w:t>
            </w:r>
            <w:r w:rsidRPr="00387943">
              <w:rPr>
                <w:rFonts w:ascii="Calibri" w:eastAsia="Times New Roman" w:hAnsi="Calibri" w:cs="Calibri"/>
                <w:lang w:eastAsia="en-NZ"/>
              </w:rPr>
              <w:t> </w:t>
            </w:r>
          </w:p>
        </w:tc>
        <w:tc>
          <w:tcPr>
            <w:tcW w:w="7560" w:type="dxa"/>
            <w:gridSpan w:val="2"/>
            <w:tcBorders>
              <w:top w:val="single" w:sz="6" w:space="0" w:color="FFFFFF"/>
              <w:left w:val="single" w:sz="6" w:space="0" w:color="FFFFFF"/>
              <w:bottom w:val="single" w:sz="6" w:space="0" w:color="FFFFFF"/>
              <w:right w:val="single" w:sz="6" w:space="0" w:color="FFFFFF"/>
            </w:tcBorders>
            <w:shd w:val="clear" w:color="auto" w:fill="BDD6EE"/>
            <w:hideMark/>
          </w:tcPr>
          <w:p w14:paraId="75E3566A" w14:textId="77777777" w:rsidR="00387943" w:rsidRPr="00387943" w:rsidRDefault="00387943" w:rsidP="00701FED">
            <w:pPr>
              <w:spacing w:after="0" w:line="240" w:lineRule="auto"/>
              <w:ind w:left="112"/>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Geology</w:t>
            </w:r>
            <w:r w:rsidRPr="00387943">
              <w:rPr>
                <w:rFonts w:ascii="Calibri" w:eastAsia="Times New Roman" w:hAnsi="Calibri" w:cs="Calibri"/>
                <w:b/>
                <w:bCs/>
                <w:lang w:eastAsia="en-NZ"/>
              </w:rPr>
              <w:t> </w:t>
            </w:r>
          </w:p>
        </w:tc>
      </w:tr>
      <w:tr w:rsidR="00387943" w:rsidRPr="00387943" w14:paraId="17080800" w14:textId="77777777" w:rsidTr="00387943">
        <w:tc>
          <w:tcPr>
            <w:tcW w:w="0" w:type="auto"/>
            <w:vMerge/>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4D823F9F" w14:textId="77777777" w:rsidR="00387943" w:rsidRPr="00387943" w:rsidRDefault="00387943" w:rsidP="00387943">
            <w:pPr>
              <w:spacing w:after="0" w:line="240" w:lineRule="auto"/>
              <w:rPr>
                <w:rFonts w:ascii="Times New Roman" w:eastAsia="Times New Roman" w:hAnsi="Times New Roman" w:cs="Times New Roman"/>
                <w:sz w:val="24"/>
                <w:szCs w:val="24"/>
                <w:lang w:eastAsia="en-NZ"/>
              </w:rPr>
            </w:pPr>
          </w:p>
        </w:tc>
        <w:tc>
          <w:tcPr>
            <w:tcW w:w="4635" w:type="dxa"/>
            <w:tcBorders>
              <w:top w:val="single" w:sz="6" w:space="0" w:color="FFFFFF"/>
              <w:left w:val="single" w:sz="6" w:space="0" w:color="FFFFFF"/>
              <w:bottom w:val="single" w:sz="6" w:space="0" w:color="FFFFFF"/>
              <w:right w:val="single" w:sz="6" w:space="0" w:color="FFFFFF"/>
            </w:tcBorders>
            <w:shd w:val="clear" w:color="auto" w:fill="DEEAF6"/>
            <w:hideMark/>
          </w:tcPr>
          <w:p w14:paraId="18CFA835" w14:textId="77777777" w:rsidR="00387943" w:rsidRPr="00387943" w:rsidRDefault="00387943" w:rsidP="00701FED">
            <w:pPr>
              <w:spacing w:after="0" w:line="240" w:lineRule="auto"/>
              <w:ind w:left="112"/>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Water body has outstanding geology values where it meets all matters in List A.</w:t>
            </w:r>
            <w:r w:rsidRPr="00387943">
              <w:rPr>
                <w:rFonts w:ascii="Calibri" w:eastAsia="Times New Roman" w:hAnsi="Calibri" w:cs="Calibri"/>
                <w:lang w:eastAsia="en-NZ"/>
              </w:rPr>
              <w:t> </w:t>
            </w:r>
          </w:p>
          <w:p w14:paraId="7174ACE0" w14:textId="77777777" w:rsidR="00387943" w:rsidRPr="00387943" w:rsidRDefault="00387943" w:rsidP="00EB6838">
            <w:pPr>
              <w:spacing w:before="120" w:after="0" w:line="240" w:lineRule="auto"/>
              <w:ind w:left="113"/>
              <w:textAlignment w:val="baseline"/>
              <w:rPr>
                <w:rFonts w:ascii="Times New Roman" w:eastAsia="Times New Roman" w:hAnsi="Times New Roman" w:cs="Times New Roman"/>
                <w:b/>
                <w:bCs/>
                <w:sz w:val="24"/>
                <w:szCs w:val="24"/>
                <w:lang w:eastAsia="en-NZ"/>
              </w:rPr>
            </w:pPr>
            <w:r w:rsidRPr="00387943">
              <w:rPr>
                <w:rFonts w:ascii="Calibri" w:eastAsia="Times New Roman" w:hAnsi="Calibri" w:cs="Calibri"/>
                <w:b/>
                <w:bCs/>
                <w:u w:val="single"/>
                <w:lang w:eastAsia="en-NZ"/>
              </w:rPr>
              <w:t>List A</w:t>
            </w:r>
            <w:r w:rsidRPr="00387943">
              <w:rPr>
                <w:rFonts w:ascii="Calibri" w:eastAsia="Times New Roman" w:hAnsi="Calibri" w:cs="Calibri"/>
                <w:b/>
                <w:bCs/>
                <w:lang w:eastAsia="en-NZ"/>
              </w:rPr>
              <w:t> </w:t>
            </w:r>
          </w:p>
          <w:p w14:paraId="24191359" w14:textId="0B4482AA"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lastRenderedPageBreak/>
              <w:t>a.</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geomorphological, geological or hydrological feature is dependent on the water body's condition and functioning. </w:t>
            </w:r>
          </w:p>
          <w:p w14:paraId="71080E7A" w14:textId="4581EA61"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b.</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 xml:space="preserve">The geology values are conspicuous, eminent and/or remarkable in the context of the </w:t>
            </w:r>
            <w:r w:rsidR="00B36CAD">
              <w:rPr>
                <w:rFonts w:ascii="Calibri" w:eastAsia="Times New Roman" w:hAnsi="Calibri" w:cs="Calibri"/>
                <w:u w:val="single"/>
                <w:lang w:eastAsia="en-NZ"/>
              </w:rPr>
              <w:t>Otago</w:t>
            </w:r>
            <w:r w:rsidR="00387943" w:rsidRPr="00387943">
              <w:rPr>
                <w:rFonts w:ascii="Calibri" w:eastAsia="Times New Roman" w:hAnsi="Calibri" w:cs="Calibri"/>
                <w:u w:val="single"/>
                <w:lang w:eastAsia="en-NZ"/>
              </w:rPr>
              <w:t xml:space="preserve"> Region. </w:t>
            </w:r>
          </w:p>
          <w:p w14:paraId="5D2053A8" w14:textId="557CE09F" w:rsidR="00387943" w:rsidRPr="00387943" w:rsidRDefault="00EB6838" w:rsidP="00EB6838">
            <w:pPr>
              <w:spacing w:after="0" w:line="240" w:lineRule="auto"/>
              <w:ind w:left="531" w:hanging="425"/>
              <w:textAlignment w:val="baseline"/>
              <w:rPr>
                <w:rFonts w:ascii="Calibri" w:eastAsia="Times New Roman" w:hAnsi="Calibri" w:cs="Calibri"/>
                <w:u w:val="single"/>
                <w:lang w:eastAsia="en-NZ"/>
              </w:rPr>
            </w:pPr>
            <w:r>
              <w:rPr>
                <w:rFonts w:ascii="Calibri" w:eastAsia="Times New Roman" w:hAnsi="Calibri" w:cs="Calibri"/>
                <w:u w:val="single"/>
                <w:lang w:eastAsia="en-NZ"/>
              </w:rPr>
              <w:t>c.</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The geomorphological, geological or hydrological feature is classified as Class A on the New Zealand Geopreservation Inventory. </w:t>
            </w:r>
          </w:p>
          <w:p w14:paraId="3C363F41" w14:textId="31E7853D" w:rsidR="00387943" w:rsidRPr="00387943" w:rsidRDefault="00EB6838" w:rsidP="00EB6838">
            <w:pPr>
              <w:spacing w:after="0" w:line="240" w:lineRule="auto"/>
              <w:ind w:left="531" w:hanging="425"/>
              <w:textAlignment w:val="baseline"/>
              <w:rPr>
                <w:rFonts w:ascii="Calibri" w:eastAsia="Times New Roman" w:hAnsi="Calibri" w:cs="Calibri"/>
                <w:lang w:eastAsia="en-NZ"/>
              </w:rPr>
            </w:pPr>
            <w:r>
              <w:rPr>
                <w:rFonts w:ascii="Calibri" w:eastAsia="Times New Roman" w:hAnsi="Calibri" w:cs="Calibri"/>
                <w:u w:val="single"/>
                <w:lang w:eastAsia="en-NZ"/>
              </w:rPr>
              <w:t>d.</w:t>
            </w:r>
            <w:r>
              <w:rPr>
                <w:rFonts w:ascii="Calibri" w:eastAsia="Times New Roman" w:hAnsi="Calibri" w:cs="Calibri"/>
                <w:u w:val="single"/>
                <w:lang w:eastAsia="en-NZ"/>
              </w:rPr>
              <w:tab/>
            </w:r>
            <w:r w:rsidR="00387943" w:rsidRPr="00387943">
              <w:rPr>
                <w:rFonts w:ascii="Calibri" w:eastAsia="Times New Roman" w:hAnsi="Calibri" w:cs="Calibri"/>
                <w:u w:val="single"/>
                <w:lang w:eastAsia="en-NZ"/>
              </w:rPr>
              <w:t>Evidence is provided in support of outstanding geology values by way of an expert assessment or independent evidence sources.</w:t>
            </w:r>
            <w:r w:rsidR="00387943" w:rsidRPr="00387943">
              <w:rPr>
                <w:rFonts w:ascii="Calibri" w:eastAsia="Times New Roman" w:hAnsi="Calibri" w:cs="Calibri"/>
                <w:lang w:eastAsia="en-NZ"/>
              </w:rPr>
              <w:t> </w:t>
            </w:r>
          </w:p>
        </w:tc>
        <w:tc>
          <w:tcPr>
            <w:tcW w:w="2910" w:type="dxa"/>
            <w:tcBorders>
              <w:top w:val="single" w:sz="6" w:space="0" w:color="FFFFFF"/>
              <w:left w:val="single" w:sz="6" w:space="0" w:color="FFFFFF"/>
              <w:bottom w:val="single" w:sz="6" w:space="0" w:color="FFFFFF"/>
              <w:right w:val="single" w:sz="6" w:space="0" w:color="FFFFFF"/>
            </w:tcBorders>
            <w:shd w:val="clear" w:color="auto" w:fill="DEEAF6"/>
            <w:hideMark/>
          </w:tcPr>
          <w:p w14:paraId="082577AF"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lastRenderedPageBreak/>
              <w:t>New Zealand Geopreservation Inventory.</w:t>
            </w:r>
            <w:r w:rsidRPr="00387943">
              <w:rPr>
                <w:rFonts w:ascii="Calibri" w:eastAsia="Times New Roman" w:hAnsi="Calibri" w:cs="Calibri"/>
                <w:lang w:eastAsia="en-NZ"/>
              </w:rPr>
              <w:t> </w:t>
            </w:r>
          </w:p>
          <w:p w14:paraId="206D2A9A" w14:textId="77777777" w:rsidR="00387943" w:rsidRPr="00387943" w:rsidRDefault="00387943" w:rsidP="00EB6838">
            <w:pPr>
              <w:spacing w:after="0" w:line="240" w:lineRule="auto"/>
              <w:ind w:left="148"/>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u w:val="single"/>
                <w:lang w:eastAsia="en-NZ"/>
              </w:rPr>
              <w:t>Expert evidence.</w:t>
            </w:r>
            <w:r w:rsidRPr="00387943">
              <w:rPr>
                <w:rFonts w:ascii="Calibri" w:eastAsia="Times New Roman" w:hAnsi="Calibri" w:cs="Calibri"/>
                <w:lang w:eastAsia="en-NZ"/>
              </w:rPr>
              <w:t> </w:t>
            </w:r>
          </w:p>
        </w:tc>
      </w:tr>
    </w:tbl>
    <w:p w14:paraId="2A27A85D" w14:textId="77777777" w:rsidR="00387943" w:rsidRPr="00387943" w:rsidRDefault="00387943" w:rsidP="00387943">
      <w:pPr>
        <w:spacing w:after="0" w:line="240" w:lineRule="auto"/>
        <w:textAlignment w:val="baseline"/>
        <w:rPr>
          <w:rFonts w:ascii="Segoe UI" w:eastAsia="Times New Roman" w:hAnsi="Segoe UI" w:cs="Segoe UI"/>
          <w:sz w:val="18"/>
          <w:szCs w:val="18"/>
          <w:lang w:eastAsia="en-NZ"/>
        </w:rPr>
      </w:pPr>
      <w:r w:rsidRPr="00387943">
        <w:rPr>
          <w:rFonts w:ascii="Calibri" w:eastAsia="Times New Roman" w:hAnsi="Calibri" w:cs="Calibri"/>
          <w:lang w:eastAsia="en-NZ"/>
        </w:rPr>
        <w:t> </w:t>
      </w:r>
    </w:p>
    <w:p w14:paraId="4E72D2BF" w14:textId="77777777" w:rsidR="00387943" w:rsidRDefault="00387943" w:rsidP="00387943">
      <w:pPr>
        <w:spacing w:after="0" w:line="240" w:lineRule="auto"/>
        <w:textAlignment w:val="baseline"/>
        <w:rPr>
          <w:rFonts w:ascii="Calibri" w:eastAsia="Times New Roman" w:hAnsi="Calibri" w:cs="Calibri"/>
          <w:lang w:eastAsia="en-NZ"/>
        </w:rPr>
      </w:pPr>
      <w:r w:rsidRPr="00387943">
        <w:rPr>
          <w:rFonts w:ascii="Calibri" w:eastAsia="Times New Roman" w:hAnsi="Calibri" w:cs="Calibri"/>
          <w:i/>
          <w:iCs/>
          <w:strike/>
          <w:lang w:eastAsia="en-NZ"/>
        </w:rPr>
        <w:t>Outstanding water bodies</w:t>
      </w:r>
      <w:r w:rsidRPr="00387943">
        <w:rPr>
          <w:rFonts w:ascii="Calibri" w:eastAsia="Times New Roman" w:hAnsi="Calibri" w:cs="Calibri"/>
          <w:strike/>
          <w:lang w:eastAsia="en-NZ"/>
        </w:rPr>
        <w:t xml:space="preserve"> include any </w:t>
      </w:r>
      <w:r w:rsidRPr="00387943">
        <w:rPr>
          <w:rFonts w:ascii="Calibri" w:eastAsia="Times New Roman" w:hAnsi="Calibri" w:cs="Calibri"/>
          <w:i/>
          <w:iCs/>
          <w:strike/>
          <w:lang w:eastAsia="en-NZ"/>
        </w:rPr>
        <w:t>water body</w:t>
      </w:r>
      <w:r w:rsidRPr="00387943">
        <w:rPr>
          <w:rFonts w:ascii="Calibri" w:eastAsia="Times New Roman" w:hAnsi="Calibri" w:cs="Calibri"/>
          <w:strike/>
          <w:lang w:eastAsia="en-NZ"/>
        </w:rPr>
        <w:t xml:space="preserve"> with one or more of the following outstanding values, noting that sub-values are not all-inclusive:</w:t>
      </w:r>
      <w:r w:rsidRPr="00387943">
        <w:rPr>
          <w:rFonts w:ascii="Calibri" w:eastAsia="Times New Roman" w:hAnsi="Calibri" w:cs="Calibri"/>
          <w:lang w:eastAsia="en-NZ"/>
        </w:rPr>
        <w:t> </w:t>
      </w:r>
    </w:p>
    <w:p w14:paraId="19543D94" w14:textId="77777777" w:rsidR="00A3156A" w:rsidRPr="00387943" w:rsidRDefault="00A3156A" w:rsidP="00387943">
      <w:pPr>
        <w:spacing w:after="0" w:line="240" w:lineRule="auto"/>
        <w:textAlignment w:val="baseline"/>
        <w:rPr>
          <w:rFonts w:ascii="Segoe UI" w:eastAsia="Times New Roman" w:hAnsi="Segoe UI" w:cs="Segoe UI"/>
          <w:sz w:val="18"/>
          <w:szCs w:val="18"/>
          <w:lang w:eastAsia="en-NZ"/>
        </w:rPr>
      </w:pPr>
    </w:p>
    <w:p w14:paraId="260BD6DC" w14:textId="77777777" w:rsidR="00387943" w:rsidRPr="00387943" w:rsidRDefault="00387943" w:rsidP="00387943">
      <w:pPr>
        <w:spacing w:after="0" w:line="240" w:lineRule="auto"/>
        <w:textAlignment w:val="baseline"/>
        <w:rPr>
          <w:rFonts w:ascii="Segoe UI" w:eastAsia="Times New Roman" w:hAnsi="Segoe UI" w:cs="Segoe UI"/>
          <w:i/>
          <w:iCs/>
          <w:color w:val="44546A"/>
          <w:sz w:val="18"/>
          <w:szCs w:val="18"/>
          <w:lang w:eastAsia="en-NZ"/>
        </w:rPr>
      </w:pPr>
      <w:r w:rsidRPr="00387943">
        <w:rPr>
          <w:rFonts w:ascii="Calibri" w:eastAsia="Times New Roman" w:hAnsi="Calibri" w:cs="Calibri"/>
          <w:i/>
          <w:iCs/>
          <w:strike/>
          <w:color w:val="44546A"/>
          <w:sz w:val="18"/>
          <w:szCs w:val="18"/>
          <w:lang w:eastAsia="en-NZ"/>
        </w:rPr>
        <w:t>Table 4: Values of outstanding water bodies</w:t>
      </w:r>
      <w:r w:rsidRPr="00387943">
        <w:rPr>
          <w:rFonts w:ascii="Calibri" w:eastAsia="Times New Roman" w:hAnsi="Calibri" w:cs="Calibri"/>
          <w:i/>
          <w:iCs/>
          <w:color w:val="44546A"/>
          <w:sz w:val="18"/>
          <w:szCs w:val="18"/>
          <w:lang w:eastAsia="en-N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4395"/>
        <w:gridCol w:w="3255"/>
      </w:tblGrid>
      <w:tr w:rsidR="00387943" w:rsidRPr="00387943" w14:paraId="285771BA" w14:textId="77777777" w:rsidTr="00387943">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2F3E77DC"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strike/>
                <w:sz w:val="20"/>
                <w:szCs w:val="20"/>
                <w:lang w:eastAsia="en-NZ"/>
              </w:rPr>
              <w:t>Values</w:t>
            </w:r>
            <w:r w:rsidRPr="00387943">
              <w:rPr>
                <w:rFonts w:ascii="Calibri" w:eastAsia="Times New Roman" w:hAnsi="Calibri" w:cs="Calibri"/>
                <w:sz w:val="20"/>
                <w:szCs w:val="20"/>
                <w:lang w:eastAsia="en-NZ"/>
              </w:rPr>
              <w:t> </w:t>
            </w:r>
          </w:p>
        </w:tc>
        <w:tc>
          <w:tcPr>
            <w:tcW w:w="4395" w:type="dxa"/>
            <w:tcBorders>
              <w:top w:val="single" w:sz="6" w:space="0" w:color="auto"/>
              <w:left w:val="nil"/>
              <w:bottom w:val="single" w:sz="6" w:space="0" w:color="auto"/>
              <w:right w:val="single" w:sz="6" w:space="0" w:color="auto"/>
            </w:tcBorders>
            <w:shd w:val="clear" w:color="auto" w:fill="auto"/>
            <w:hideMark/>
          </w:tcPr>
          <w:p w14:paraId="0A8906C5"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strike/>
                <w:sz w:val="20"/>
                <w:szCs w:val="20"/>
                <w:lang w:eastAsia="en-NZ"/>
              </w:rPr>
              <w:t>Description</w:t>
            </w:r>
            <w:r w:rsidRPr="00387943">
              <w:rPr>
                <w:rFonts w:ascii="Calibri" w:eastAsia="Times New Roman" w:hAnsi="Calibri" w:cs="Calibri"/>
                <w:sz w:val="20"/>
                <w:szCs w:val="20"/>
                <w:lang w:eastAsia="en-NZ"/>
              </w:rPr>
              <w:t> </w:t>
            </w:r>
          </w:p>
        </w:tc>
        <w:tc>
          <w:tcPr>
            <w:tcW w:w="3255" w:type="dxa"/>
            <w:tcBorders>
              <w:top w:val="single" w:sz="6" w:space="0" w:color="auto"/>
              <w:left w:val="nil"/>
              <w:bottom w:val="single" w:sz="6" w:space="0" w:color="auto"/>
              <w:right w:val="single" w:sz="6" w:space="0" w:color="auto"/>
            </w:tcBorders>
            <w:shd w:val="clear" w:color="auto" w:fill="auto"/>
            <w:hideMark/>
          </w:tcPr>
          <w:p w14:paraId="45D570DC"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b/>
                <w:bCs/>
                <w:strike/>
                <w:sz w:val="20"/>
                <w:szCs w:val="20"/>
                <w:lang w:eastAsia="en-NZ"/>
              </w:rPr>
              <w:t>Example sub-values</w:t>
            </w:r>
            <w:r w:rsidRPr="00387943">
              <w:rPr>
                <w:rFonts w:ascii="Calibri" w:eastAsia="Times New Roman" w:hAnsi="Calibri" w:cs="Calibri"/>
                <w:sz w:val="20"/>
                <w:szCs w:val="20"/>
                <w:lang w:eastAsia="en-NZ"/>
              </w:rPr>
              <w:t> </w:t>
            </w:r>
          </w:p>
        </w:tc>
      </w:tr>
      <w:tr w:rsidR="00387943" w:rsidRPr="00387943" w14:paraId="1C66AAEF" w14:textId="77777777" w:rsidTr="00387943">
        <w:tc>
          <w:tcPr>
            <w:tcW w:w="1350" w:type="dxa"/>
            <w:tcBorders>
              <w:top w:val="nil"/>
              <w:left w:val="single" w:sz="6" w:space="0" w:color="auto"/>
              <w:bottom w:val="single" w:sz="6" w:space="0" w:color="auto"/>
              <w:right w:val="single" w:sz="6" w:space="0" w:color="auto"/>
            </w:tcBorders>
            <w:shd w:val="clear" w:color="auto" w:fill="auto"/>
            <w:hideMark/>
          </w:tcPr>
          <w:p w14:paraId="3DB2C330"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Cultural and spiritual</w:t>
            </w:r>
            <w:r w:rsidRPr="00387943">
              <w:rPr>
                <w:rFonts w:ascii="Calibri" w:eastAsia="Times New Roman" w:hAnsi="Calibri" w:cs="Calibri"/>
                <w:sz w:val="20"/>
                <w:szCs w:val="20"/>
                <w:lang w:eastAsia="en-NZ"/>
              </w:rPr>
              <w:t> </w:t>
            </w:r>
          </w:p>
        </w:tc>
        <w:tc>
          <w:tcPr>
            <w:tcW w:w="4395" w:type="dxa"/>
            <w:tcBorders>
              <w:top w:val="nil"/>
              <w:left w:val="nil"/>
              <w:bottom w:val="single" w:sz="6" w:space="0" w:color="auto"/>
              <w:right w:val="single" w:sz="6" w:space="0" w:color="auto"/>
            </w:tcBorders>
            <w:shd w:val="clear" w:color="auto" w:fill="auto"/>
            <w:hideMark/>
          </w:tcPr>
          <w:p w14:paraId="0DF6E161"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 xml:space="preserve">A </w:t>
            </w:r>
            <w:r w:rsidRPr="00387943">
              <w:rPr>
                <w:rFonts w:ascii="Calibri" w:eastAsia="Times New Roman" w:hAnsi="Calibri" w:cs="Calibri"/>
                <w:i/>
                <w:iCs/>
                <w:strike/>
                <w:sz w:val="20"/>
                <w:szCs w:val="20"/>
                <w:lang w:eastAsia="en-NZ"/>
              </w:rPr>
              <w:t>water body</w:t>
            </w:r>
            <w:r w:rsidRPr="00387943">
              <w:rPr>
                <w:rFonts w:ascii="Calibri" w:eastAsia="Times New Roman" w:hAnsi="Calibri" w:cs="Calibri"/>
                <w:strike/>
                <w:sz w:val="20"/>
                <w:szCs w:val="20"/>
                <w:lang w:eastAsia="en-NZ"/>
              </w:rPr>
              <w:t xml:space="preserve"> which has outstanding cultural and spiritual values.</w:t>
            </w:r>
            <w:r w:rsidRPr="00387943">
              <w:rPr>
                <w:rFonts w:ascii="Calibri" w:eastAsia="Times New Roman" w:hAnsi="Calibri" w:cs="Calibri"/>
                <w:sz w:val="20"/>
                <w:szCs w:val="20"/>
                <w:lang w:eastAsia="en-NZ"/>
              </w:rPr>
              <w:t> </w:t>
            </w:r>
          </w:p>
        </w:tc>
        <w:tc>
          <w:tcPr>
            <w:tcW w:w="3255" w:type="dxa"/>
            <w:tcBorders>
              <w:top w:val="nil"/>
              <w:left w:val="nil"/>
              <w:bottom w:val="single" w:sz="6" w:space="0" w:color="auto"/>
              <w:right w:val="single" w:sz="6" w:space="0" w:color="auto"/>
            </w:tcBorders>
            <w:shd w:val="clear" w:color="auto" w:fill="auto"/>
            <w:hideMark/>
          </w:tcPr>
          <w:p w14:paraId="53311104"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Wāhi tapu, wāhi taoka, wai tapu, rohe boundary, battle sites, pa, k</w:t>
            </w:r>
            <w:r w:rsidRPr="00387943">
              <w:rPr>
                <w:rFonts w:ascii="Times New Roman" w:eastAsia="Times New Roman" w:hAnsi="Times New Roman" w:cs="Times New Roman"/>
                <w:strike/>
                <w:sz w:val="20"/>
                <w:szCs w:val="20"/>
                <w:lang w:eastAsia="en-NZ"/>
              </w:rPr>
              <w:t>ā</w:t>
            </w:r>
            <w:r w:rsidRPr="00387943">
              <w:rPr>
                <w:rFonts w:ascii="Calibri" w:eastAsia="Times New Roman" w:hAnsi="Calibri" w:cs="Calibri"/>
                <w:strike/>
                <w:sz w:val="20"/>
                <w:szCs w:val="20"/>
                <w:lang w:eastAsia="en-NZ"/>
              </w:rPr>
              <w:t>ika, tauraka waka, mahika kai, pa tuna; and acknowledged in korero tuku iho, pepeha, whakatauki or waiata</w:t>
            </w:r>
            <w:r w:rsidRPr="00387943">
              <w:rPr>
                <w:rFonts w:ascii="Calibri" w:eastAsia="Times New Roman" w:hAnsi="Calibri" w:cs="Calibri"/>
                <w:sz w:val="20"/>
                <w:szCs w:val="20"/>
                <w:lang w:eastAsia="en-NZ"/>
              </w:rPr>
              <w:t> </w:t>
            </w:r>
          </w:p>
        </w:tc>
      </w:tr>
      <w:tr w:rsidR="00387943" w:rsidRPr="00387943" w14:paraId="346F52E3" w14:textId="77777777" w:rsidTr="00387943">
        <w:tc>
          <w:tcPr>
            <w:tcW w:w="1350" w:type="dxa"/>
            <w:tcBorders>
              <w:top w:val="nil"/>
              <w:left w:val="single" w:sz="6" w:space="0" w:color="auto"/>
              <w:bottom w:val="single" w:sz="6" w:space="0" w:color="auto"/>
              <w:right w:val="single" w:sz="6" w:space="0" w:color="auto"/>
            </w:tcBorders>
            <w:shd w:val="clear" w:color="auto" w:fill="auto"/>
            <w:hideMark/>
          </w:tcPr>
          <w:p w14:paraId="29B85C8E"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Ecology</w:t>
            </w:r>
            <w:r w:rsidRPr="00387943">
              <w:rPr>
                <w:rFonts w:ascii="Calibri" w:eastAsia="Times New Roman" w:hAnsi="Calibri" w:cs="Calibri"/>
                <w:sz w:val="20"/>
                <w:szCs w:val="20"/>
                <w:lang w:eastAsia="en-NZ"/>
              </w:rPr>
              <w:t> </w:t>
            </w:r>
          </w:p>
        </w:tc>
        <w:tc>
          <w:tcPr>
            <w:tcW w:w="4395" w:type="dxa"/>
            <w:tcBorders>
              <w:top w:val="nil"/>
              <w:left w:val="nil"/>
              <w:bottom w:val="single" w:sz="6" w:space="0" w:color="auto"/>
              <w:right w:val="single" w:sz="6" w:space="0" w:color="auto"/>
            </w:tcBorders>
            <w:shd w:val="clear" w:color="auto" w:fill="auto"/>
            <w:hideMark/>
          </w:tcPr>
          <w:p w14:paraId="20C3833D"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 xml:space="preserve">A </w:t>
            </w:r>
            <w:r w:rsidRPr="00387943">
              <w:rPr>
                <w:rFonts w:ascii="Calibri" w:eastAsia="Times New Roman" w:hAnsi="Calibri" w:cs="Calibri"/>
                <w:i/>
                <w:iCs/>
                <w:strike/>
                <w:sz w:val="20"/>
                <w:szCs w:val="20"/>
                <w:lang w:eastAsia="en-NZ"/>
              </w:rPr>
              <w:t>water body</w:t>
            </w:r>
            <w:r w:rsidRPr="00387943">
              <w:rPr>
                <w:rFonts w:ascii="Calibri" w:eastAsia="Times New Roman" w:hAnsi="Calibri" w:cs="Calibri"/>
                <w:strike/>
                <w:sz w:val="20"/>
                <w:szCs w:val="20"/>
                <w:lang w:eastAsia="en-NZ"/>
              </w:rPr>
              <w:t xml:space="preserve"> which has outstanding ecological value as a habitat for:</w:t>
            </w:r>
            <w:r w:rsidRPr="00387943">
              <w:rPr>
                <w:rFonts w:ascii="Calibri" w:eastAsia="Times New Roman" w:hAnsi="Calibri" w:cs="Calibri"/>
                <w:sz w:val="20"/>
                <w:szCs w:val="20"/>
                <w:lang w:eastAsia="en-NZ"/>
              </w:rPr>
              <w:t> </w:t>
            </w:r>
          </w:p>
          <w:p w14:paraId="078E71DD" w14:textId="77777777" w:rsidR="00387943" w:rsidRPr="00387943" w:rsidRDefault="00387943" w:rsidP="00BA6490">
            <w:pPr>
              <w:numPr>
                <w:ilvl w:val="0"/>
                <w:numId w:val="41"/>
              </w:numPr>
              <w:spacing w:after="0" w:line="240" w:lineRule="auto"/>
              <w:ind w:left="765" w:firstLine="0"/>
              <w:textAlignment w:val="baseline"/>
              <w:rPr>
                <w:rFonts w:ascii="Calibri" w:eastAsia="Times New Roman" w:hAnsi="Calibri" w:cs="Calibri"/>
                <w:sz w:val="20"/>
                <w:szCs w:val="20"/>
                <w:lang w:eastAsia="en-NZ"/>
              </w:rPr>
            </w:pPr>
            <w:r w:rsidRPr="00387943">
              <w:rPr>
                <w:rFonts w:ascii="Calibri" w:eastAsia="Times New Roman" w:hAnsi="Calibri" w:cs="Calibri"/>
                <w:strike/>
                <w:sz w:val="20"/>
                <w:szCs w:val="20"/>
                <w:lang w:eastAsia="en-NZ"/>
              </w:rPr>
              <w:t>Native birds</w:t>
            </w:r>
            <w:r w:rsidRPr="00387943">
              <w:rPr>
                <w:rFonts w:ascii="Calibri" w:eastAsia="Times New Roman" w:hAnsi="Calibri" w:cs="Calibri"/>
                <w:sz w:val="20"/>
                <w:szCs w:val="20"/>
                <w:lang w:eastAsia="en-NZ"/>
              </w:rPr>
              <w:t> </w:t>
            </w:r>
          </w:p>
          <w:p w14:paraId="7EB2CF52" w14:textId="77777777" w:rsidR="00387943" w:rsidRPr="00387943" w:rsidRDefault="00387943" w:rsidP="00BA6490">
            <w:pPr>
              <w:numPr>
                <w:ilvl w:val="0"/>
                <w:numId w:val="41"/>
              </w:numPr>
              <w:spacing w:after="0" w:line="240" w:lineRule="auto"/>
              <w:ind w:left="765" w:firstLine="0"/>
              <w:textAlignment w:val="baseline"/>
              <w:rPr>
                <w:rFonts w:ascii="Calibri" w:eastAsia="Times New Roman" w:hAnsi="Calibri" w:cs="Calibri"/>
                <w:sz w:val="20"/>
                <w:szCs w:val="20"/>
                <w:lang w:eastAsia="en-NZ"/>
              </w:rPr>
            </w:pPr>
            <w:r w:rsidRPr="00387943">
              <w:rPr>
                <w:rFonts w:ascii="Calibri" w:eastAsia="Times New Roman" w:hAnsi="Calibri" w:cs="Calibri"/>
                <w:strike/>
                <w:sz w:val="20"/>
                <w:szCs w:val="20"/>
                <w:lang w:eastAsia="en-NZ"/>
              </w:rPr>
              <w:t>Native fish</w:t>
            </w:r>
            <w:r w:rsidRPr="00387943">
              <w:rPr>
                <w:rFonts w:ascii="Calibri" w:eastAsia="Times New Roman" w:hAnsi="Calibri" w:cs="Calibri"/>
                <w:sz w:val="20"/>
                <w:szCs w:val="20"/>
                <w:lang w:eastAsia="en-NZ"/>
              </w:rPr>
              <w:t> </w:t>
            </w:r>
          </w:p>
          <w:p w14:paraId="2CC88B28" w14:textId="77777777" w:rsidR="00387943" w:rsidRPr="00387943" w:rsidRDefault="00387943" w:rsidP="00BA6490">
            <w:pPr>
              <w:numPr>
                <w:ilvl w:val="0"/>
                <w:numId w:val="41"/>
              </w:numPr>
              <w:spacing w:after="0" w:line="240" w:lineRule="auto"/>
              <w:ind w:left="765" w:firstLine="0"/>
              <w:textAlignment w:val="baseline"/>
              <w:rPr>
                <w:rFonts w:ascii="Calibri" w:eastAsia="Times New Roman" w:hAnsi="Calibri" w:cs="Calibri"/>
                <w:sz w:val="20"/>
                <w:szCs w:val="20"/>
                <w:lang w:eastAsia="en-NZ"/>
              </w:rPr>
            </w:pPr>
            <w:r w:rsidRPr="00387943">
              <w:rPr>
                <w:rFonts w:ascii="Calibri" w:eastAsia="Times New Roman" w:hAnsi="Calibri" w:cs="Calibri"/>
                <w:strike/>
                <w:sz w:val="20"/>
                <w:szCs w:val="20"/>
                <w:lang w:eastAsia="en-NZ"/>
              </w:rPr>
              <w:t>Salmonid fish</w:t>
            </w:r>
            <w:r w:rsidRPr="00387943">
              <w:rPr>
                <w:rFonts w:ascii="Calibri" w:eastAsia="Times New Roman" w:hAnsi="Calibri" w:cs="Calibri"/>
                <w:sz w:val="20"/>
                <w:szCs w:val="20"/>
                <w:lang w:eastAsia="en-NZ"/>
              </w:rPr>
              <w:t> </w:t>
            </w:r>
          </w:p>
          <w:p w14:paraId="248F3581" w14:textId="77777777" w:rsidR="00387943" w:rsidRPr="00387943" w:rsidRDefault="00387943" w:rsidP="00BA6490">
            <w:pPr>
              <w:numPr>
                <w:ilvl w:val="0"/>
                <w:numId w:val="41"/>
              </w:numPr>
              <w:spacing w:after="0" w:line="240" w:lineRule="auto"/>
              <w:ind w:left="765" w:firstLine="0"/>
              <w:textAlignment w:val="baseline"/>
              <w:rPr>
                <w:rFonts w:ascii="Calibri" w:eastAsia="Times New Roman" w:hAnsi="Calibri" w:cs="Calibri"/>
                <w:sz w:val="20"/>
                <w:szCs w:val="20"/>
                <w:lang w:eastAsia="en-NZ"/>
              </w:rPr>
            </w:pPr>
            <w:r w:rsidRPr="00387943">
              <w:rPr>
                <w:rFonts w:ascii="Calibri" w:eastAsia="Times New Roman" w:hAnsi="Calibri" w:cs="Calibri"/>
                <w:strike/>
                <w:sz w:val="20"/>
                <w:szCs w:val="20"/>
                <w:lang w:eastAsia="en-NZ"/>
              </w:rPr>
              <w:t>Other aquatic species</w:t>
            </w:r>
            <w:r w:rsidRPr="00387943">
              <w:rPr>
                <w:rFonts w:ascii="Calibri" w:eastAsia="Times New Roman" w:hAnsi="Calibri" w:cs="Calibri"/>
                <w:sz w:val="20"/>
                <w:szCs w:val="20"/>
                <w:lang w:eastAsia="en-NZ"/>
              </w:rPr>
              <w:t> </w:t>
            </w:r>
          </w:p>
        </w:tc>
        <w:tc>
          <w:tcPr>
            <w:tcW w:w="3255" w:type="dxa"/>
            <w:tcBorders>
              <w:top w:val="nil"/>
              <w:left w:val="nil"/>
              <w:bottom w:val="single" w:sz="6" w:space="0" w:color="auto"/>
              <w:right w:val="single" w:sz="6" w:space="0" w:color="auto"/>
            </w:tcBorders>
            <w:shd w:val="clear" w:color="auto" w:fill="auto"/>
            <w:hideMark/>
          </w:tcPr>
          <w:p w14:paraId="250463A4"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Native birds, native fish, native plants, aquatic macroinvertebrates</w:t>
            </w:r>
            <w:r w:rsidRPr="00387943">
              <w:rPr>
                <w:rFonts w:ascii="Calibri" w:eastAsia="Times New Roman" w:hAnsi="Calibri" w:cs="Calibri"/>
                <w:sz w:val="20"/>
                <w:szCs w:val="20"/>
                <w:lang w:eastAsia="en-NZ"/>
              </w:rPr>
              <w:t> </w:t>
            </w:r>
          </w:p>
        </w:tc>
      </w:tr>
      <w:tr w:rsidR="00387943" w:rsidRPr="00387943" w14:paraId="7C877ADB" w14:textId="77777777" w:rsidTr="00387943">
        <w:tc>
          <w:tcPr>
            <w:tcW w:w="1350" w:type="dxa"/>
            <w:tcBorders>
              <w:top w:val="nil"/>
              <w:left w:val="single" w:sz="6" w:space="0" w:color="auto"/>
              <w:bottom w:val="single" w:sz="6" w:space="0" w:color="auto"/>
              <w:right w:val="single" w:sz="6" w:space="0" w:color="auto"/>
            </w:tcBorders>
            <w:shd w:val="clear" w:color="auto" w:fill="auto"/>
            <w:hideMark/>
          </w:tcPr>
          <w:p w14:paraId="2DCB8CCE"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Landscape</w:t>
            </w:r>
            <w:r w:rsidRPr="00387943">
              <w:rPr>
                <w:rFonts w:ascii="Calibri" w:eastAsia="Times New Roman" w:hAnsi="Calibri" w:cs="Calibri"/>
                <w:sz w:val="20"/>
                <w:szCs w:val="20"/>
                <w:lang w:eastAsia="en-NZ"/>
              </w:rPr>
              <w:t> </w:t>
            </w:r>
          </w:p>
        </w:tc>
        <w:tc>
          <w:tcPr>
            <w:tcW w:w="4395" w:type="dxa"/>
            <w:tcBorders>
              <w:top w:val="nil"/>
              <w:left w:val="nil"/>
              <w:bottom w:val="single" w:sz="6" w:space="0" w:color="auto"/>
              <w:right w:val="single" w:sz="6" w:space="0" w:color="auto"/>
            </w:tcBorders>
            <w:shd w:val="clear" w:color="auto" w:fill="auto"/>
            <w:hideMark/>
          </w:tcPr>
          <w:p w14:paraId="74E59978"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 xml:space="preserve">A </w:t>
            </w:r>
            <w:r w:rsidRPr="00387943">
              <w:rPr>
                <w:rFonts w:ascii="Calibri" w:eastAsia="Times New Roman" w:hAnsi="Calibri" w:cs="Calibri"/>
                <w:i/>
                <w:iCs/>
                <w:strike/>
                <w:sz w:val="20"/>
                <w:szCs w:val="20"/>
                <w:lang w:eastAsia="en-NZ"/>
              </w:rPr>
              <w:t>water body</w:t>
            </w:r>
            <w:r w:rsidRPr="00387943">
              <w:rPr>
                <w:rFonts w:ascii="Calibri" w:eastAsia="Times New Roman" w:hAnsi="Calibri" w:cs="Calibri"/>
                <w:strike/>
                <w:sz w:val="20"/>
                <w:szCs w:val="20"/>
                <w:lang w:eastAsia="en-NZ"/>
              </w:rPr>
              <w:t xml:space="preserve"> which forms a key component of a landscape that is “conspicuous, eminent, remarkable or iconic” within the region, or is critical to an outstanding natural feature.</w:t>
            </w:r>
            <w:r w:rsidRPr="00387943">
              <w:rPr>
                <w:rFonts w:ascii="Calibri" w:eastAsia="Times New Roman" w:hAnsi="Calibri" w:cs="Calibri"/>
                <w:sz w:val="20"/>
                <w:szCs w:val="20"/>
                <w:lang w:eastAsia="en-NZ"/>
              </w:rPr>
              <w:t> </w:t>
            </w:r>
          </w:p>
        </w:tc>
        <w:tc>
          <w:tcPr>
            <w:tcW w:w="3255" w:type="dxa"/>
            <w:tcBorders>
              <w:top w:val="nil"/>
              <w:left w:val="nil"/>
              <w:bottom w:val="single" w:sz="6" w:space="0" w:color="auto"/>
              <w:right w:val="single" w:sz="6" w:space="0" w:color="auto"/>
            </w:tcBorders>
            <w:shd w:val="clear" w:color="auto" w:fill="auto"/>
            <w:hideMark/>
          </w:tcPr>
          <w:p w14:paraId="273D7A3F"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Scenic, association, natural characteristics (includes hydrological, ecological and geological features)</w:t>
            </w:r>
            <w:r w:rsidRPr="00387943">
              <w:rPr>
                <w:rFonts w:ascii="Calibri" w:eastAsia="Times New Roman" w:hAnsi="Calibri" w:cs="Calibri"/>
                <w:sz w:val="20"/>
                <w:szCs w:val="20"/>
                <w:lang w:eastAsia="en-NZ"/>
              </w:rPr>
              <w:t> </w:t>
            </w:r>
          </w:p>
        </w:tc>
      </w:tr>
      <w:tr w:rsidR="00387943" w:rsidRPr="00387943" w14:paraId="67ED896A" w14:textId="77777777" w:rsidTr="00387943">
        <w:tc>
          <w:tcPr>
            <w:tcW w:w="1350" w:type="dxa"/>
            <w:tcBorders>
              <w:top w:val="nil"/>
              <w:left w:val="single" w:sz="6" w:space="0" w:color="auto"/>
              <w:bottom w:val="single" w:sz="6" w:space="0" w:color="auto"/>
              <w:right w:val="single" w:sz="6" w:space="0" w:color="auto"/>
            </w:tcBorders>
            <w:shd w:val="clear" w:color="auto" w:fill="auto"/>
            <w:hideMark/>
          </w:tcPr>
          <w:p w14:paraId="748117B2"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Natural character</w:t>
            </w:r>
            <w:r w:rsidRPr="00387943">
              <w:rPr>
                <w:rFonts w:ascii="Calibri" w:eastAsia="Times New Roman" w:hAnsi="Calibri" w:cs="Calibri"/>
                <w:sz w:val="20"/>
                <w:szCs w:val="20"/>
                <w:lang w:eastAsia="en-NZ"/>
              </w:rPr>
              <w:t> </w:t>
            </w:r>
          </w:p>
        </w:tc>
        <w:tc>
          <w:tcPr>
            <w:tcW w:w="4395" w:type="dxa"/>
            <w:tcBorders>
              <w:top w:val="nil"/>
              <w:left w:val="nil"/>
              <w:bottom w:val="single" w:sz="6" w:space="0" w:color="auto"/>
              <w:right w:val="single" w:sz="6" w:space="0" w:color="auto"/>
            </w:tcBorders>
            <w:shd w:val="clear" w:color="auto" w:fill="auto"/>
            <w:hideMark/>
          </w:tcPr>
          <w:p w14:paraId="1776F67C"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 xml:space="preserve">A </w:t>
            </w:r>
            <w:r w:rsidRPr="00387943">
              <w:rPr>
                <w:rFonts w:ascii="Calibri" w:eastAsia="Times New Roman" w:hAnsi="Calibri" w:cs="Calibri"/>
                <w:i/>
                <w:iCs/>
                <w:strike/>
                <w:sz w:val="20"/>
                <w:szCs w:val="20"/>
                <w:lang w:eastAsia="en-NZ"/>
              </w:rPr>
              <w:t>water body</w:t>
            </w:r>
            <w:r w:rsidRPr="00387943">
              <w:rPr>
                <w:rFonts w:ascii="Calibri" w:eastAsia="Times New Roman" w:hAnsi="Calibri" w:cs="Calibri"/>
                <w:strike/>
                <w:sz w:val="20"/>
                <w:szCs w:val="20"/>
                <w:lang w:eastAsia="en-NZ"/>
              </w:rPr>
              <w:t xml:space="preserve"> with high naturalness that exhibits an exceptional combination of natural processes, natural patterns and natural elements with low levels of modification to its form, ecosystems and the surrounding landscape.</w:t>
            </w:r>
            <w:r w:rsidRPr="00387943">
              <w:rPr>
                <w:rFonts w:ascii="Calibri" w:eastAsia="Times New Roman" w:hAnsi="Calibri" w:cs="Calibri"/>
                <w:sz w:val="20"/>
                <w:szCs w:val="20"/>
                <w:lang w:eastAsia="en-NZ"/>
              </w:rPr>
              <w:t> </w:t>
            </w:r>
          </w:p>
        </w:tc>
        <w:tc>
          <w:tcPr>
            <w:tcW w:w="3255" w:type="dxa"/>
            <w:tcBorders>
              <w:top w:val="nil"/>
              <w:left w:val="nil"/>
              <w:bottom w:val="single" w:sz="6" w:space="0" w:color="auto"/>
              <w:right w:val="single" w:sz="6" w:space="0" w:color="auto"/>
            </w:tcBorders>
            <w:shd w:val="clear" w:color="auto" w:fill="auto"/>
            <w:hideMark/>
          </w:tcPr>
          <w:p w14:paraId="49DABF66"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Natural characteristics (includes hydrological, ecological and geological features)</w:t>
            </w:r>
            <w:r w:rsidRPr="00387943">
              <w:rPr>
                <w:rFonts w:ascii="Calibri" w:eastAsia="Times New Roman" w:hAnsi="Calibri" w:cs="Calibri"/>
                <w:sz w:val="20"/>
                <w:szCs w:val="20"/>
                <w:lang w:eastAsia="en-NZ"/>
              </w:rPr>
              <w:t> </w:t>
            </w:r>
          </w:p>
        </w:tc>
      </w:tr>
      <w:tr w:rsidR="00387943" w:rsidRPr="00387943" w14:paraId="68C54BFF" w14:textId="77777777" w:rsidTr="00387943">
        <w:tc>
          <w:tcPr>
            <w:tcW w:w="1350" w:type="dxa"/>
            <w:tcBorders>
              <w:top w:val="nil"/>
              <w:left w:val="single" w:sz="6" w:space="0" w:color="auto"/>
              <w:bottom w:val="single" w:sz="6" w:space="0" w:color="auto"/>
              <w:right w:val="single" w:sz="6" w:space="0" w:color="auto"/>
            </w:tcBorders>
            <w:shd w:val="clear" w:color="auto" w:fill="auto"/>
            <w:hideMark/>
          </w:tcPr>
          <w:p w14:paraId="1EBD8DCA"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Recreation</w:t>
            </w:r>
            <w:r w:rsidRPr="00387943">
              <w:rPr>
                <w:rFonts w:ascii="Calibri" w:eastAsia="Times New Roman" w:hAnsi="Calibri" w:cs="Calibri"/>
                <w:sz w:val="20"/>
                <w:szCs w:val="20"/>
                <w:lang w:eastAsia="en-NZ"/>
              </w:rPr>
              <w:t> </w:t>
            </w:r>
          </w:p>
        </w:tc>
        <w:tc>
          <w:tcPr>
            <w:tcW w:w="4395" w:type="dxa"/>
            <w:tcBorders>
              <w:top w:val="nil"/>
              <w:left w:val="nil"/>
              <w:bottom w:val="single" w:sz="6" w:space="0" w:color="auto"/>
              <w:right w:val="single" w:sz="6" w:space="0" w:color="auto"/>
            </w:tcBorders>
            <w:shd w:val="clear" w:color="auto" w:fill="auto"/>
            <w:hideMark/>
          </w:tcPr>
          <w:p w14:paraId="68F52F89"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 xml:space="preserve">A </w:t>
            </w:r>
            <w:r w:rsidRPr="00387943">
              <w:rPr>
                <w:rFonts w:ascii="Calibri" w:eastAsia="Times New Roman" w:hAnsi="Calibri" w:cs="Calibri"/>
                <w:i/>
                <w:iCs/>
                <w:strike/>
                <w:sz w:val="20"/>
                <w:szCs w:val="20"/>
                <w:lang w:eastAsia="en-NZ"/>
              </w:rPr>
              <w:t>water body</w:t>
            </w:r>
            <w:r w:rsidRPr="00387943">
              <w:rPr>
                <w:rFonts w:ascii="Calibri" w:eastAsia="Times New Roman" w:hAnsi="Calibri" w:cs="Calibri"/>
                <w:strike/>
                <w:sz w:val="20"/>
                <w:szCs w:val="20"/>
                <w:lang w:eastAsia="en-NZ"/>
              </w:rPr>
              <w:t xml:space="preserve"> which is recognised as providing an outstanding recreational experience for an activity which is directly related to the </w:t>
            </w:r>
            <w:r w:rsidRPr="00387943">
              <w:rPr>
                <w:rFonts w:ascii="Calibri" w:eastAsia="Times New Roman" w:hAnsi="Calibri" w:cs="Calibri"/>
                <w:i/>
                <w:iCs/>
                <w:strike/>
                <w:sz w:val="20"/>
                <w:szCs w:val="20"/>
                <w:lang w:eastAsia="en-NZ"/>
              </w:rPr>
              <w:t>water</w:t>
            </w:r>
            <w:r w:rsidRPr="00387943">
              <w:rPr>
                <w:rFonts w:ascii="Calibri" w:eastAsia="Times New Roman" w:hAnsi="Calibri" w:cs="Calibri"/>
                <w:strike/>
                <w:sz w:val="20"/>
                <w:szCs w:val="20"/>
                <w:lang w:eastAsia="en-NZ"/>
              </w:rPr>
              <w:t>.</w:t>
            </w:r>
            <w:r w:rsidRPr="00387943">
              <w:rPr>
                <w:rFonts w:ascii="Calibri" w:eastAsia="Times New Roman" w:hAnsi="Calibri" w:cs="Calibri"/>
                <w:sz w:val="20"/>
                <w:szCs w:val="20"/>
                <w:lang w:eastAsia="en-NZ"/>
              </w:rPr>
              <w:t> </w:t>
            </w:r>
          </w:p>
        </w:tc>
        <w:tc>
          <w:tcPr>
            <w:tcW w:w="3255" w:type="dxa"/>
            <w:tcBorders>
              <w:top w:val="nil"/>
              <w:left w:val="nil"/>
              <w:bottom w:val="single" w:sz="6" w:space="0" w:color="auto"/>
              <w:right w:val="single" w:sz="6" w:space="0" w:color="auto"/>
            </w:tcBorders>
            <w:shd w:val="clear" w:color="auto" w:fill="auto"/>
            <w:hideMark/>
          </w:tcPr>
          <w:p w14:paraId="212D7A9B"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Angling, fishing, kayaking, rafting, jetboating</w:t>
            </w:r>
            <w:r w:rsidRPr="00387943">
              <w:rPr>
                <w:rFonts w:ascii="Calibri" w:eastAsia="Times New Roman" w:hAnsi="Calibri" w:cs="Calibri"/>
                <w:sz w:val="20"/>
                <w:szCs w:val="20"/>
                <w:lang w:eastAsia="en-NZ"/>
              </w:rPr>
              <w:t> </w:t>
            </w:r>
          </w:p>
        </w:tc>
      </w:tr>
      <w:tr w:rsidR="00387943" w:rsidRPr="00387943" w14:paraId="74106204" w14:textId="77777777" w:rsidTr="00387943">
        <w:tc>
          <w:tcPr>
            <w:tcW w:w="1350" w:type="dxa"/>
            <w:tcBorders>
              <w:top w:val="nil"/>
              <w:left w:val="single" w:sz="6" w:space="0" w:color="auto"/>
              <w:bottom w:val="single" w:sz="6" w:space="0" w:color="auto"/>
              <w:right w:val="single" w:sz="6" w:space="0" w:color="auto"/>
            </w:tcBorders>
            <w:shd w:val="clear" w:color="auto" w:fill="auto"/>
            <w:hideMark/>
          </w:tcPr>
          <w:p w14:paraId="74015E9C"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Physical</w:t>
            </w:r>
            <w:r w:rsidRPr="00387943">
              <w:rPr>
                <w:rFonts w:ascii="Calibri" w:eastAsia="Times New Roman" w:hAnsi="Calibri" w:cs="Calibri"/>
                <w:sz w:val="20"/>
                <w:szCs w:val="20"/>
                <w:lang w:eastAsia="en-NZ"/>
              </w:rPr>
              <w:t> </w:t>
            </w:r>
          </w:p>
        </w:tc>
        <w:tc>
          <w:tcPr>
            <w:tcW w:w="4395" w:type="dxa"/>
            <w:tcBorders>
              <w:top w:val="nil"/>
              <w:left w:val="nil"/>
              <w:bottom w:val="single" w:sz="6" w:space="0" w:color="auto"/>
              <w:right w:val="single" w:sz="6" w:space="0" w:color="auto"/>
            </w:tcBorders>
            <w:shd w:val="clear" w:color="auto" w:fill="auto"/>
            <w:hideMark/>
          </w:tcPr>
          <w:p w14:paraId="739772DE"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 xml:space="preserve">A </w:t>
            </w:r>
            <w:r w:rsidRPr="00387943">
              <w:rPr>
                <w:rFonts w:ascii="Calibri" w:eastAsia="Times New Roman" w:hAnsi="Calibri" w:cs="Calibri"/>
                <w:i/>
                <w:iCs/>
                <w:strike/>
                <w:sz w:val="20"/>
                <w:szCs w:val="20"/>
                <w:lang w:eastAsia="en-NZ"/>
              </w:rPr>
              <w:t>water body</w:t>
            </w:r>
            <w:r w:rsidRPr="00387943">
              <w:rPr>
                <w:rFonts w:ascii="Calibri" w:eastAsia="Times New Roman" w:hAnsi="Calibri" w:cs="Calibri"/>
                <w:strike/>
                <w:sz w:val="20"/>
                <w:szCs w:val="20"/>
                <w:lang w:eastAsia="en-NZ"/>
              </w:rPr>
              <w:t xml:space="preserve"> which has an outstanding geomorphological, geological or hydrological feature which is dependent on the </w:t>
            </w:r>
            <w:r w:rsidRPr="00387943">
              <w:rPr>
                <w:rFonts w:ascii="Calibri" w:eastAsia="Times New Roman" w:hAnsi="Calibri" w:cs="Calibri"/>
                <w:i/>
                <w:iCs/>
                <w:strike/>
                <w:sz w:val="20"/>
                <w:szCs w:val="20"/>
                <w:lang w:eastAsia="en-NZ"/>
              </w:rPr>
              <w:t>water body’s</w:t>
            </w:r>
            <w:r w:rsidRPr="00387943">
              <w:rPr>
                <w:rFonts w:ascii="Calibri" w:eastAsia="Times New Roman" w:hAnsi="Calibri" w:cs="Calibri"/>
                <w:strike/>
                <w:sz w:val="20"/>
                <w:szCs w:val="20"/>
                <w:lang w:eastAsia="en-NZ"/>
              </w:rPr>
              <w:t xml:space="preserve"> condition and functioning.</w:t>
            </w:r>
            <w:r w:rsidRPr="00387943">
              <w:rPr>
                <w:rFonts w:ascii="Calibri" w:eastAsia="Times New Roman" w:hAnsi="Calibri" w:cs="Calibri"/>
                <w:sz w:val="20"/>
                <w:szCs w:val="20"/>
                <w:lang w:eastAsia="en-NZ"/>
              </w:rPr>
              <w:t> </w:t>
            </w:r>
          </w:p>
        </w:tc>
        <w:tc>
          <w:tcPr>
            <w:tcW w:w="3255" w:type="dxa"/>
            <w:tcBorders>
              <w:top w:val="nil"/>
              <w:left w:val="nil"/>
              <w:bottom w:val="single" w:sz="6" w:space="0" w:color="auto"/>
              <w:right w:val="single" w:sz="6" w:space="0" w:color="auto"/>
            </w:tcBorders>
            <w:shd w:val="clear" w:color="auto" w:fill="auto"/>
            <w:hideMark/>
          </w:tcPr>
          <w:p w14:paraId="141E9394" w14:textId="77777777" w:rsidR="00387943" w:rsidRPr="00387943" w:rsidRDefault="00387943" w:rsidP="00387943">
            <w:pPr>
              <w:spacing w:after="0" w:line="240" w:lineRule="auto"/>
              <w:textAlignment w:val="baseline"/>
              <w:rPr>
                <w:rFonts w:ascii="Times New Roman" w:eastAsia="Times New Roman" w:hAnsi="Times New Roman" w:cs="Times New Roman"/>
                <w:sz w:val="24"/>
                <w:szCs w:val="24"/>
                <w:lang w:eastAsia="en-NZ"/>
              </w:rPr>
            </w:pPr>
            <w:r w:rsidRPr="00387943">
              <w:rPr>
                <w:rFonts w:ascii="Calibri" w:eastAsia="Times New Roman" w:hAnsi="Calibri" w:cs="Calibri"/>
                <w:strike/>
                <w:sz w:val="20"/>
                <w:szCs w:val="20"/>
                <w:lang w:eastAsia="en-NZ"/>
              </w:rPr>
              <w:t>Science</w:t>
            </w:r>
            <w:r w:rsidRPr="00387943">
              <w:rPr>
                <w:rFonts w:ascii="Calibri" w:eastAsia="Times New Roman" w:hAnsi="Calibri" w:cs="Calibri"/>
                <w:sz w:val="20"/>
                <w:szCs w:val="20"/>
                <w:lang w:eastAsia="en-NZ"/>
              </w:rPr>
              <w:t> </w:t>
            </w:r>
          </w:p>
        </w:tc>
      </w:tr>
    </w:tbl>
    <w:p w14:paraId="338D17B5" w14:textId="77777777" w:rsidR="00387943" w:rsidRPr="00387943" w:rsidRDefault="00387943" w:rsidP="00387943">
      <w:pPr>
        <w:spacing w:after="0" w:line="240" w:lineRule="auto"/>
        <w:textAlignment w:val="baseline"/>
        <w:rPr>
          <w:rFonts w:ascii="Segoe UI" w:eastAsia="Times New Roman" w:hAnsi="Segoe UI" w:cs="Segoe UI"/>
          <w:sz w:val="18"/>
          <w:szCs w:val="18"/>
          <w:lang w:eastAsia="en-NZ"/>
        </w:rPr>
      </w:pPr>
      <w:r w:rsidRPr="00387943">
        <w:rPr>
          <w:rFonts w:ascii="Calibri" w:eastAsia="Times New Roman" w:hAnsi="Calibri" w:cs="Calibri"/>
          <w:lang w:eastAsia="en-NZ"/>
        </w:rPr>
        <w:t> </w:t>
      </w:r>
    </w:p>
    <w:p w14:paraId="46D35617" w14:textId="77777777" w:rsidR="00387943" w:rsidRPr="00387943" w:rsidRDefault="00387943" w:rsidP="00387943">
      <w:pPr>
        <w:spacing w:after="0" w:line="240" w:lineRule="auto"/>
        <w:textAlignment w:val="baseline"/>
        <w:rPr>
          <w:rFonts w:ascii="Segoe UI" w:eastAsia="Times New Roman" w:hAnsi="Segoe UI" w:cs="Segoe UI"/>
          <w:sz w:val="18"/>
          <w:szCs w:val="18"/>
          <w:lang w:eastAsia="en-NZ"/>
        </w:rPr>
      </w:pPr>
      <w:r w:rsidRPr="00387943">
        <w:rPr>
          <w:rFonts w:ascii="Calibri" w:eastAsia="Times New Roman" w:hAnsi="Calibri" w:cs="Calibri"/>
          <w:lang w:eastAsia="en-NZ"/>
        </w:rPr>
        <w:t> </w:t>
      </w:r>
    </w:p>
    <w:p w14:paraId="02606D69" w14:textId="77777777" w:rsidR="002609E1" w:rsidRPr="00472578" w:rsidRDefault="002609E1" w:rsidP="00E92686">
      <w:pPr>
        <w:jc w:val="both"/>
      </w:pPr>
      <w:r w:rsidRPr="00472578">
        <w:br w:type="page"/>
      </w:r>
    </w:p>
    <w:p w14:paraId="769D110E" w14:textId="77777777" w:rsidR="00201FD2" w:rsidRDefault="00201FD2" w:rsidP="00201FD2">
      <w:pPr>
        <w:pStyle w:val="Heading3"/>
      </w:pPr>
      <w:r>
        <w:lastRenderedPageBreak/>
        <w:t xml:space="preserve">APP2 – Significance criteria for indigenous </w:t>
      </w:r>
      <w:r w:rsidRPr="006920D6">
        <w:rPr>
          <w:i/>
        </w:rPr>
        <w:t>biodiversity</w:t>
      </w:r>
    </w:p>
    <w:p w14:paraId="02A4331C" w14:textId="77777777" w:rsidR="00201FD2" w:rsidRPr="003D1C57" w:rsidRDefault="00201FD2" w:rsidP="00201FD2">
      <w:r>
        <w:t xml:space="preserve">An area is considered to be a </w:t>
      </w:r>
      <w:r>
        <w:rPr>
          <w:i/>
          <w:iCs/>
        </w:rPr>
        <w:t>significant natural area</w:t>
      </w:r>
      <w:r w:rsidRPr="003D1C57">
        <w:t xml:space="preserve"> if it meets any one or more of </w:t>
      </w:r>
      <w:r>
        <w:t xml:space="preserve">the </w:t>
      </w:r>
      <w:r w:rsidRPr="003D1C57">
        <w:t>criteria below:</w:t>
      </w:r>
    </w:p>
    <w:tbl>
      <w:tblPr>
        <w:tblW w:w="0" w:type="auto"/>
        <w:tblLook w:val="04A0" w:firstRow="1" w:lastRow="0" w:firstColumn="1" w:lastColumn="0" w:noHBand="0" w:noVBand="1"/>
      </w:tblPr>
      <w:tblGrid>
        <w:gridCol w:w="2671"/>
        <w:gridCol w:w="6355"/>
      </w:tblGrid>
      <w:tr w:rsidR="00201FD2" w:rsidRPr="003D1C57" w14:paraId="5070B528" w14:textId="77777777" w:rsidTr="002F3327">
        <w:tc>
          <w:tcPr>
            <w:tcW w:w="2671" w:type="dxa"/>
            <w:hideMark/>
          </w:tcPr>
          <w:p w14:paraId="704977BC" w14:textId="77777777" w:rsidR="00201FD2" w:rsidRPr="003D1C57" w:rsidRDefault="00201FD2" w:rsidP="002F3327">
            <w:pPr>
              <w:spacing w:before="60" w:after="60" w:line="240" w:lineRule="auto"/>
              <w:ind w:left="-105"/>
              <w:rPr>
                <w:rFonts w:ascii="Calibri" w:eastAsia="Times New Roman" w:hAnsi="Calibri" w:cs="Arial"/>
                <w:b/>
                <w:bCs/>
                <w:color w:val="000000"/>
                <w:lang w:eastAsia="en-NZ" w:bidi="en-US"/>
              </w:rPr>
            </w:pPr>
            <w:r w:rsidRPr="003D1C57">
              <w:rPr>
                <w:rFonts w:ascii="Calibri" w:eastAsia="Times New Roman" w:hAnsi="Calibri" w:cs="Arial"/>
                <w:b/>
                <w:bCs/>
                <w:color w:val="000000"/>
                <w:lang w:eastAsia="en-NZ" w:bidi="en-US"/>
              </w:rPr>
              <w:t>Representativeness</w:t>
            </w:r>
          </w:p>
        </w:tc>
        <w:tc>
          <w:tcPr>
            <w:tcW w:w="6355" w:type="dxa"/>
          </w:tcPr>
          <w:p w14:paraId="4D835AD7" w14:textId="26215854" w:rsidR="00201FD2" w:rsidRPr="003D1C57" w:rsidRDefault="00201FD2" w:rsidP="002F3327">
            <w:pPr>
              <w:autoSpaceDE w:val="0"/>
              <w:autoSpaceDN w:val="0"/>
              <w:adjustRightInd w:val="0"/>
              <w:spacing w:before="60" w:after="60" w:line="240" w:lineRule="auto"/>
              <w:ind w:left="764" w:hanging="764"/>
              <w:jc w:val="both"/>
              <w:rPr>
                <w:rFonts w:ascii="Calibri" w:eastAsia="Calibri" w:hAnsi="Calibri" w:cs="Calibri"/>
              </w:rPr>
            </w:pPr>
            <w:r w:rsidRPr="003D1C57">
              <w:rPr>
                <w:rFonts w:ascii="Calibri" w:eastAsia="Calibri" w:hAnsi="Calibri" w:cs="Calibri"/>
              </w:rPr>
              <w:t xml:space="preserve">(a) </w:t>
            </w:r>
            <w:r w:rsidRPr="003D1C57">
              <w:rPr>
                <w:rFonts w:ascii="Calibri" w:eastAsia="Calibri" w:hAnsi="Calibri" w:cs="Calibri"/>
              </w:rPr>
              <w:tab/>
              <w:t xml:space="preserve">An area that is an example of an indigenous vegetation type or habitat that is typical or characteristic of the </w:t>
            </w:r>
            <w:r>
              <w:rPr>
                <w:rFonts w:ascii="Calibri" w:eastAsia="Calibri" w:hAnsi="Calibri" w:cs="Calibri"/>
              </w:rPr>
              <w:t xml:space="preserve">original </w:t>
            </w:r>
            <w:r w:rsidRPr="003D1C57">
              <w:rPr>
                <w:rFonts w:ascii="Calibri" w:eastAsia="Calibri" w:hAnsi="Calibri" w:cs="Calibri"/>
              </w:rPr>
              <w:t>natural diversity of the relevant ecological district</w:t>
            </w:r>
            <w:r w:rsidR="007E664C" w:rsidRPr="00BD5EE6">
              <w:rPr>
                <w:rStyle w:val="FootnoteReference"/>
                <w:sz w:val="20"/>
                <w:szCs w:val="20"/>
                <w:u w:val="single"/>
                <w:shd w:val="clear" w:color="auto" w:fill="D9D9D9" w:themeFill="background1" w:themeFillShade="D9"/>
              </w:rPr>
              <w:footnoteReference w:id="1446"/>
            </w:r>
            <w:r w:rsidRPr="003D1C57">
              <w:rPr>
                <w:rFonts w:ascii="Calibri" w:eastAsia="Calibri" w:hAnsi="Calibri" w:cs="Calibri"/>
              </w:rPr>
              <w:t xml:space="preserve"> or coastal marine</w:t>
            </w:r>
            <w:r w:rsidRPr="003D1C57">
              <w:rPr>
                <w:rFonts w:ascii="Calibri" w:eastAsia="Calibri" w:hAnsi="Calibri" w:cs="Calibri"/>
              </w:rPr>
              <w:tab/>
              <w:t xml:space="preserve">biogeographic region. This may include </w:t>
            </w:r>
            <w:r w:rsidRPr="00FC5871">
              <w:rPr>
                <w:rFonts w:ascii="Calibri" w:eastAsia="Calibri" w:hAnsi="Calibri" w:cs="Calibri"/>
                <w:i/>
                <w:strike/>
              </w:rPr>
              <w:t>degraded</w:t>
            </w:r>
            <w:r w:rsidR="00FC5871">
              <w:rPr>
                <w:rFonts w:ascii="Calibri" w:eastAsia="Calibri" w:hAnsi="Calibri" w:cs="Calibri"/>
                <w:i/>
                <w:strike/>
              </w:rPr>
              <w:t xml:space="preserve"> </w:t>
            </w:r>
            <w:r w:rsidR="00FC5871" w:rsidRPr="46C4C742">
              <w:rPr>
                <w:rFonts w:ascii="Calibri" w:eastAsia="Calibri" w:hAnsi="Calibri" w:cs="Calibri"/>
                <w:u w:val="single"/>
              </w:rPr>
              <w:t>degraded</w:t>
            </w:r>
            <w:r w:rsidR="00FC5871" w:rsidRPr="46C4C742">
              <w:rPr>
                <w:rStyle w:val="FootnoteReference"/>
                <w:rFonts w:ascii="Calibri" w:eastAsia="Calibri" w:hAnsi="Calibri" w:cs="Calibri"/>
              </w:rPr>
              <w:footnoteReference w:id="1447"/>
            </w:r>
            <w:r w:rsidRPr="006920D6">
              <w:rPr>
                <w:rFonts w:ascii="Calibri" w:eastAsia="Calibri" w:hAnsi="Calibri" w:cs="Calibri"/>
                <w:i/>
              </w:rPr>
              <w:t xml:space="preserve"> </w:t>
            </w:r>
            <w:r w:rsidRPr="003D1C57">
              <w:rPr>
                <w:rFonts w:ascii="Calibri" w:eastAsia="Calibri" w:hAnsi="Calibri" w:cs="Calibri"/>
              </w:rPr>
              <w:t>examples of their type or represent all that remains of indigenous</w:t>
            </w:r>
            <w:r>
              <w:rPr>
                <w:rFonts w:ascii="Calibri" w:eastAsia="Calibri" w:hAnsi="Calibri" w:cs="Calibri"/>
              </w:rPr>
              <w:t xml:space="preserve"> </w:t>
            </w:r>
            <w:r w:rsidRPr="003D1C57">
              <w:rPr>
                <w:rFonts w:ascii="Calibri" w:eastAsia="Calibri" w:hAnsi="Calibri" w:cs="Calibri"/>
              </w:rPr>
              <w:t>vegetation and habitats of indigenous fauna in some areas.</w:t>
            </w:r>
          </w:p>
          <w:p w14:paraId="4340B81B" w14:textId="71D767DC" w:rsidR="00201FD2" w:rsidRPr="003D1C57" w:rsidRDefault="00201FD2" w:rsidP="002F3327">
            <w:pPr>
              <w:autoSpaceDE w:val="0"/>
              <w:autoSpaceDN w:val="0"/>
              <w:adjustRightInd w:val="0"/>
              <w:spacing w:before="60" w:after="60" w:line="240" w:lineRule="auto"/>
              <w:ind w:left="764" w:hanging="764"/>
              <w:jc w:val="both"/>
              <w:rPr>
                <w:rFonts w:ascii="Calibri" w:eastAsia="Calibri" w:hAnsi="Calibri" w:cs="Calibri"/>
              </w:rPr>
            </w:pPr>
            <w:r w:rsidRPr="003D1C57">
              <w:rPr>
                <w:rFonts w:ascii="Calibri" w:eastAsia="Calibri" w:hAnsi="Calibri" w:cs="Calibri"/>
              </w:rPr>
              <w:t xml:space="preserve">(b) </w:t>
            </w:r>
            <w:r w:rsidRPr="003D1C57">
              <w:rPr>
                <w:rFonts w:ascii="Calibri" w:eastAsia="Calibri" w:hAnsi="Calibri" w:cs="Calibri"/>
              </w:rPr>
              <w:tab/>
              <w:t xml:space="preserve">An indigenous marine ecosystem (including both intertidal and sub-tidal habitats, and including both faunal and floral </w:t>
            </w:r>
            <w:r>
              <w:rPr>
                <w:rFonts w:ascii="Calibri" w:eastAsia="Calibri" w:hAnsi="Calibri" w:cs="Calibri"/>
              </w:rPr>
              <w:t>assemblages</w:t>
            </w:r>
            <w:r w:rsidRPr="003D1C57">
              <w:rPr>
                <w:rFonts w:ascii="Calibri" w:eastAsia="Calibri" w:hAnsi="Calibri" w:cs="Calibri"/>
              </w:rPr>
              <w:t xml:space="preserve">) that makes up part of at least 10% of the natural extent of each of Otago’s original marine ecosystem types </w:t>
            </w:r>
            <w:r w:rsidR="006C6CCE" w:rsidRPr="5435FF72">
              <w:rPr>
                <w:rFonts w:ascii="Calibri" w:eastAsia="Calibri" w:hAnsi="Calibri" w:cs="Calibri"/>
                <w:strike/>
              </w:rPr>
              <w:t>and reflecting the environmental gradients of the region</w:t>
            </w:r>
            <w:r w:rsidR="006C6CCE" w:rsidRPr="006C6CCE">
              <w:rPr>
                <w:rFonts w:ascii="Calibri" w:eastAsia="Calibri" w:hAnsi="Calibri" w:cs="Calibri"/>
              </w:rPr>
              <w:t>.</w:t>
            </w:r>
            <w:r w:rsidR="006C6CCE" w:rsidRPr="5435FF72">
              <w:rPr>
                <w:rStyle w:val="FootnoteReference"/>
                <w:rFonts w:ascii="Calibri" w:eastAsia="Calibri" w:hAnsi="Calibri" w:cs="Calibri"/>
              </w:rPr>
              <w:footnoteReference w:id="1448"/>
            </w:r>
          </w:p>
          <w:p w14:paraId="24E3C105" w14:textId="77777777" w:rsidR="00201FD2" w:rsidRPr="00D0450B" w:rsidRDefault="00201FD2" w:rsidP="002F3327">
            <w:pPr>
              <w:autoSpaceDE w:val="0"/>
              <w:autoSpaceDN w:val="0"/>
              <w:adjustRightInd w:val="0"/>
              <w:spacing w:before="60" w:after="60" w:line="240" w:lineRule="auto"/>
              <w:jc w:val="both"/>
              <w:rPr>
                <w:rFonts w:ascii="Calibri" w:eastAsia="Calibri" w:hAnsi="Calibri" w:cs="Calibri"/>
              </w:rPr>
            </w:pPr>
            <w:r w:rsidRPr="003D1C57">
              <w:rPr>
                <w:rFonts w:ascii="Calibri" w:eastAsia="Calibri" w:hAnsi="Calibri" w:cs="Calibri"/>
              </w:rPr>
              <w:t xml:space="preserve">(c) </w:t>
            </w:r>
            <w:r w:rsidRPr="003D1C57">
              <w:rPr>
                <w:rFonts w:ascii="Calibri" w:eastAsia="Calibri" w:hAnsi="Calibri" w:cs="Calibri"/>
              </w:rPr>
              <w:tab/>
              <w:t xml:space="preserve">An indigenous marine ecosystem, or habitat of indigenous </w:t>
            </w:r>
            <w:r w:rsidRPr="003D1C57">
              <w:rPr>
                <w:rFonts w:ascii="Calibri" w:eastAsia="Calibri" w:hAnsi="Calibri" w:cs="Calibri"/>
              </w:rPr>
              <w:tab/>
              <w:t xml:space="preserve">marine fauna (including both intertidal and sub-tidal </w:t>
            </w:r>
            <w:r w:rsidRPr="003D1C57">
              <w:rPr>
                <w:rFonts w:ascii="Calibri" w:eastAsia="Calibri" w:hAnsi="Calibri" w:cs="Calibri"/>
              </w:rPr>
              <w:tab/>
              <w:t xml:space="preserve">habitats, and including both faunal and floral components), </w:t>
            </w:r>
            <w:r w:rsidRPr="003D1C57">
              <w:rPr>
                <w:rFonts w:ascii="Calibri" w:eastAsia="Calibri" w:hAnsi="Calibri" w:cs="Calibri"/>
              </w:rPr>
              <w:tab/>
              <w:t xml:space="preserve">that is characteristic or typical of the natural marine </w:t>
            </w:r>
            <w:r w:rsidRPr="003D1C57">
              <w:rPr>
                <w:rFonts w:ascii="Calibri" w:eastAsia="Calibri" w:hAnsi="Calibri" w:cs="Calibri"/>
              </w:rPr>
              <w:tab/>
              <w:t>ecosystem diversity of Otago.</w:t>
            </w:r>
          </w:p>
        </w:tc>
      </w:tr>
      <w:tr w:rsidR="00201FD2" w:rsidRPr="003D1C57" w14:paraId="1A537EBA" w14:textId="77777777" w:rsidTr="002F3327">
        <w:tc>
          <w:tcPr>
            <w:tcW w:w="2671" w:type="dxa"/>
            <w:hideMark/>
          </w:tcPr>
          <w:p w14:paraId="0EE29F4B" w14:textId="77777777" w:rsidR="00201FD2" w:rsidRPr="003D1C57" w:rsidRDefault="00201FD2" w:rsidP="002F3327">
            <w:pPr>
              <w:spacing w:before="60" w:after="60" w:line="240" w:lineRule="auto"/>
              <w:rPr>
                <w:rFonts w:ascii="Calibri" w:eastAsia="Times New Roman" w:hAnsi="Calibri" w:cs="Arial"/>
                <w:b/>
                <w:bCs/>
                <w:color w:val="000000"/>
                <w:lang w:eastAsia="en-NZ" w:bidi="en-US"/>
              </w:rPr>
            </w:pPr>
            <w:r w:rsidRPr="003D1C57">
              <w:rPr>
                <w:rFonts w:ascii="Calibri" w:eastAsia="Times New Roman" w:hAnsi="Calibri" w:cs="Arial"/>
                <w:b/>
                <w:bCs/>
                <w:color w:val="000000"/>
                <w:lang w:eastAsia="en-NZ" w:bidi="en-US"/>
              </w:rPr>
              <w:t xml:space="preserve">Rarity </w:t>
            </w:r>
          </w:p>
        </w:tc>
        <w:tc>
          <w:tcPr>
            <w:tcW w:w="6355" w:type="dxa"/>
            <w:hideMark/>
          </w:tcPr>
          <w:p w14:paraId="2705B8F8" w14:textId="77777777" w:rsidR="00201FD2" w:rsidRPr="003D1C57" w:rsidRDefault="00201FD2" w:rsidP="002F3327">
            <w:pPr>
              <w:spacing w:before="60" w:after="60" w:line="240" w:lineRule="auto"/>
              <w:ind w:left="769" w:hanging="769"/>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w:t>
            </w:r>
            <w:r>
              <w:rPr>
                <w:rFonts w:ascii="Calibri" w:eastAsia="Times New Roman" w:hAnsi="Calibri" w:cs="Arial"/>
                <w:color w:val="000000"/>
                <w:lang w:eastAsia="en-NZ" w:bidi="en-US"/>
              </w:rPr>
              <w:t>d</w:t>
            </w:r>
            <w:r w:rsidRPr="003D1C57">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ab/>
              <w:t>An area that supports:</w:t>
            </w:r>
          </w:p>
          <w:p w14:paraId="2195C8D4" w14:textId="1BF6E484" w:rsidR="00201FD2" w:rsidRPr="00733CE3" w:rsidRDefault="00733CE3" w:rsidP="00733CE3">
            <w:pPr>
              <w:spacing w:before="60" w:after="60"/>
              <w:ind w:left="1326" w:hanging="557"/>
            </w:pPr>
            <w:r w:rsidRPr="00733CE3">
              <w:rPr>
                <w:rFonts w:eastAsia="Calibri Light"/>
              </w:rPr>
              <w:t>(i)</w:t>
            </w:r>
            <w:r w:rsidRPr="00733CE3">
              <w:rPr>
                <w:rFonts w:eastAsia="Calibri Light"/>
              </w:rPr>
              <w:tab/>
              <w:t xml:space="preserve">An indigenous species that is threatened, </w:t>
            </w:r>
            <w:r w:rsidRPr="00733CE3">
              <w:rPr>
                <w:rFonts w:eastAsia="Calibri Light"/>
                <w:u w:val="single"/>
              </w:rPr>
              <w:t>or uncommon,</w:t>
            </w:r>
            <w:r w:rsidRPr="00733CE3">
              <w:rPr>
                <w:rFonts w:eastAsia="Calibri Light"/>
              </w:rPr>
              <w:t xml:space="preserve"> </w:t>
            </w:r>
            <w:r w:rsidRPr="00733CE3">
              <w:rPr>
                <w:rFonts w:eastAsia="Calibri Light"/>
                <w:u w:val="single"/>
              </w:rPr>
              <w:t>or an important population of species that is</w:t>
            </w:r>
            <w:r w:rsidRPr="5435FF72">
              <w:rPr>
                <w:rStyle w:val="FootnoteReference"/>
                <w:rFonts w:eastAsia="Calibri Light"/>
              </w:rPr>
              <w:footnoteReference w:id="1449"/>
            </w:r>
            <w:r w:rsidRPr="00733CE3">
              <w:rPr>
                <w:rFonts w:eastAsia="Calibri Light"/>
              </w:rPr>
              <w:t xml:space="preserve"> at </w:t>
            </w:r>
            <w:r w:rsidRPr="00C64BAE">
              <w:rPr>
                <w:rFonts w:eastAsia="Calibri Light"/>
                <w:i/>
                <w:iCs/>
                <w:strike/>
              </w:rPr>
              <w:t>risk</w:t>
            </w:r>
            <w:r w:rsidR="00C64BAE" w:rsidRPr="00C64BAE">
              <w:rPr>
                <w:rFonts w:eastAsia="Calibri Light"/>
                <w:i/>
                <w:iCs/>
              </w:rPr>
              <w:t xml:space="preserve"> </w:t>
            </w:r>
            <w:r w:rsidR="00C64BAE" w:rsidRPr="00C64BAE">
              <w:rPr>
                <w:rFonts w:eastAsia="Calibri Light"/>
                <w:u w:val="single"/>
              </w:rPr>
              <w:t>risk</w:t>
            </w:r>
            <w:r w:rsidRPr="00733CE3">
              <w:rPr>
                <w:rFonts w:eastAsia="Calibri Light"/>
              </w:rPr>
              <w:t>,</w:t>
            </w:r>
            <w:r w:rsidR="00C64BAE">
              <w:rPr>
                <w:rStyle w:val="FootnoteReference"/>
                <w:rFonts w:eastAsia="Calibri Light"/>
              </w:rPr>
              <w:footnoteReference w:id="1450"/>
            </w:r>
            <w:r w:rsidRPr="00733CE3">
              <w:rPr>
                <w:rFonts w:eastAsia="Calibri Light"/>
              </w:rPr>
              <w:t xml:space="preserve"> </w:t>
            </w:r>
            <w:r w:rsidRPr="00733CE3">
              <w:rPr>
                <w:rFonts w:eastAsia="Calibri Light"/>
                <w:strike/>
              </w:rPr>
              <w:t>or uncommon</w:t>
            </w:r>
            <w:r w:rsidRPr="00733CE3">
              <w:rPr>
                <w:rFonts w:eastAsia="Calibri Light"/>
              </w:rPr>
              <w:t>, nationally or within an ecological distric</w:t>
            </w:r>
            <w:r w:rsidRPr="009F40DC">
              <w:t>t</w:t>
            </w:r>
            <w:r w:rsidR="007E664C" w:rsidRPr="00BD5EE6">
              <w:rPr>
                <w:rStyle w:val="FootnoteReference"/>
                <w:sz w:val="20"/>
                <w:szCs w:val="20"/>
                <w:u w:val="single"/>
                <w:shd w:val="clear" w:color="auto" w:fill="D9D9D9" w:themeFill="background1" w:themeFillShade="D9"/>
              </w:rPr>
              <w:footnoteReference w:id="1451"/>
            </w:r>
            <w:r w:rsidRPr="00733CE3">
              <w:rPr>
                <w:rFonts w:eastAsia="Calibri Light"/>
              </w:rPr>
              <w:t xml:space="preserve"> or coastal marine biogeographic region, or</w:t>
            </w:r>
          </w:p>
          <w:p w14:paraId="0A46327A" w14:textId="3EB331AE" w:rsidR="00201FD2" w:rsidRPr="00733CE3" w:rsidRDefault="00733CE3" w:rsidP="00733CE3">
            <w:pPr>
              <w:spacing w:before="60" w:after="60"/>
              <w:ind w:left="1326" w:hanging="557"/>
              <w:rPr>
                <w:rFonts w:eastAsia="Calibri Light"/>
              </w:rPr>
            </w:pPr>
            <w:r>
              <w:rPr>
                <w:rFonts w:eastAsia="Calibri Light"/>
              </w:rPr>
              <w:t>(ii)</w:t>
            </w:r>
            <w:r>
              <w:rPr>
                <w:rFonts w:eastAsia="Calibri Light"/>
              </w:rPr>
              <w:tab/>
            </w:r>
            <w:r w:rsidR="00201FD2" w:rsidRPr="00733CE3">
              <w:rPr>
                <w:rFonts w:eastAsia="Calibri Light"/>
              </w:rPr>
              <w:t xml:space="preserve">Indigenous vegetation or habitat of indigenous fauna that has been reduced to less than 20% of its former extent nationally, regionally or within a relevant </w:t>
            </w:r>
            <w:r w:rsidR="00201FD2" w:rsidRPr="00733CE3">
              <w:rPr>
                <w:rFonts w:eastAsia="Calibri Light"/>
                <w:i/>
              </w:rPr>
              <w:t>land</w:t>
            </w:r>
            <w:r w:rsidR="00201FD2" w:rsidRPr="00733CE3">
              <w:rPr>
                <w:rFonts w:eastAsia="Calibri Light"/>
              </w:rPr>
              <w:t xml:space="preserve"> </w:t>
            </w:r>
            <w:r w:rsidR="00201FD2" w:rsidRPr="00733CE3">
              <w:rPr>
                <w:rFonts w:eastAsia="Calibri Light"/>
                <w:i/>
              </w:rPr>
              <w:t>environment</w:t>
            </w:r>
            <w:r w:rsidR="00201FD2" w:rsidRPr="00733CE3">
              <w:rPr>
                <w:rFonts w:eastAsia="Calibri Light"/>
              </w:rPr>
              <w:t>, ecological district,</w:t>
            </w:r>
            <w:r w:rsidR="007E664C" w:rsidRPr="00BD5EE6">
              <w:rPr>
                <w:rStyle w:val="FootnoteReference"/>
                <w:sz w:val="20"/>
                <w:szCs w:val="20"/>
                <w:u w:val="single"/>
                <w:shd w:val="clear" w:color="auto" w:fill="D9D9D9" w:themeFill="background1" w:themeFillShade="D9"/>
              </w:rPr>
              <w:footnoteReference w:id="1452"/>
            </w:r>
            <w:r w:rsidR="00201FD2" w:rsidRPr="00733CE3">
              <w:rPr>
                <w:rFonts w:eastAsia="Calibri Light"/>
              </w:rPr>
              <w:t xml:space="preserve"> coastal marine biogeographic region or </w:t>
            </w:r>
            <w:r w:rsidR="00201FD2" w:rsidRPr="00733CE3">
              <w:rPr>
                <w:rFonts w:eastAsia="Calibri Light"/>
                <w:i/>
              </w:rPr>
              <w:t xml:space="preserve">freshwater environment </w:t>
            </w:r>
            <w:r w:rsidR="00201FD2" w:rsidRPr="00733CE3">
              <w:rPr>
                <w:rFonts w:eastAsia="Calibri Light"/>
              </w:rPr>
              <w:t xml:space="preserve">including </w:t>
            </w:r>
            <w:r w:rsidR="00201FD2" w:rsidRPr="00733CE3">
              <w:rPr>
                <w:rFonts w:eastAsia="Calibri Light"/>
                <w:i/>
              </w:rPr>
              <w:t>wetlands</w:t>
            </w:r>
            <w:r w:rsidR="00201FD2" w:rsidRPr="00733CE3">
              <w:rPr>
                <w:rFonts w:eastAsia="Calibri Light"/>
              </w:rPr>
              <w:t>, or</w:t>
            </w:r>
          </w:p>
          <w:p w14:paraId="420B3468" w14:textId="00C27D67" w:rsidR="00201FD2" w:rsidRPr="00733CE3" w:rsidRDefault="00733CE3" w:rsidP="00733CE3">
            <w:pPr>
              <w:spacing w:before="60" w:after="60"/>
              <w:ind w:left="1326" w:hanging="557"/>
              <w:rPr>
                <w:rFonts w:eastAsia="Calibri Light"/>
              </w:rPr>
            </w:pPr>
            <w:r>
              <w:rPr>
                <w:rFonts w:eastAsia="Calibri Light"/>
              </w:rPr>
              <w:t>(iii)</w:t>
            </w:r>
            <w:r>
              <w:rPr>
                <w:rFonts w:eastAsia="Calibri Light"/>
              </w:rPr>
              <w:tab/>
            </w:r>
            <w:r w:rsidR="00201FD2" w:rsidRPr="00733CE3">
              <w:rPr>
                <w:rFonts w:eastAsia="Calibri Light"/>
              </w:rPr>
              <w:t>Indigenous vegetation and habitats within originally rare ecosystems</w:t>
            </w:r>
            <w:r w:rsidR="00147CB0" w:rsidRPr="00147CB0">
              <w:rPr>
                <w:rFonts w:eastAsia="Calibri Light"/>
                <w:u w:val="single"/>
              </w:rPr>
              <w:t>.</w:t>
            </w:r>
            <w:r w:rsidR="00201FD2" w:rsidRPr="00147CB0">
              <w:rPr>
                <w:rFonts w:eastAsia="Calibri Light"/>
                <w:strike/>
              </w:rPr>
              <w:t>, or</w:t>
            </w:r>
          </w:p>
          <w:p w14:paraId="42E65B90" w14:textId="57AF7258" w:rsidR="00201FD2" w:rsidRPr="00147CB0" w:rsidRDefault="00733CE3" w:rsidP="00733CE3">
            <w:pPr>
              <w:spacing w:before="60" w:after="60"/>
              <w:ind w:left="1326" w:hanging="557"/>
              <w:rPr>
                <w:rFonts w:eastAsia="Calibri Light"/>
                <w:strike/>
              </w:rPr>
            </w:pPr>
            <w:r w:rsidRPr="00147CB0">
              <w:rPr>
                <w:rFonts w:eastAsia="Calibri Light"/>
                <w:strike/>
              </w:rPr>
              <w:lastRenderedPageBreak/>
              <w:t>(iv)</w:t>
            </w:r>
            <w:r w:rsidRPr="00147CB0">
              <w:rPr>
                <w:rFonts w:eastAsia="Calibri Light"/>
                <w:strike/>
              </w:rPr>
              <w:tab/>
            </w:r>
            <w:r w:rsidR="00201FD2" w:rsidRPr="00147CB0">
              <w:rPr>
                <w:rFonts w:eastAsia="Calibri Light"/>
                <w:strike/>
              </w:rPr>
              <w:t>The site contains indigenous vegetation or an indigenous species that is endemic to Otago or that are at distributional limits within Otago.</w:t>
            </w:r>
            <w:r w:rsidR="00147CB0" w:rsidRPr="5435FF72">
              <w:rPr>
                <w:rStyle w:val="FootnoteReference"/>
                <w:rFonts w:eastAsia="Calibri Light"/>
              </w:rPr>
              <w:footnoteReference w:id="1453"/>
            </w:r>
          </w:p>
        </w:tc>
      </w:tr>
      <w:tr w:rsidR="00201FD2" w:rsidRPr="003D1C57" w14:paraId="53FCB99E" w14:textId="77777777" w:rsidTr="002F3327">
        <w:tc>
          <w:tcPr>
            <w:tcW w:w="2671" w:type="dxa"/>
            <w:hideMark/>
          </w:tcPr>
          <w:p w14:paraId="10317021" w14:textId="77777777" w:rsidR="00201FD2" w:rsidRPr="003D1C57" w:rsidRDefault="00201FD2" w:rsidP="002F3327">
            <w:pPr>
              <w:spacing w:before="60" w:after="60" w:line="240" w:lineRule="auto"/>
              <w:rPr>
                <w:rFonts w:ascii="Calibri" w:eastAsia="Times New Roman" w:hAnsi="Calibri" w:cs="Arial"/>
                <w:b/>
                <w:bCs/>
                <w:color w:val="000000"/>
                <w:lang w:eastAsia="en-NZ" w:bidi="en-US"/>
              </w:rPr>
            </w:pPr>
            <w:r w:rsidRPr="003D1C57">
              <w:rPr>
                <w:rFonts w:ascii="Calibri" w:eastAsia="Times New Roman" w:hAnsi="Calibri" w:cs="Arial"/>
                <w:b/>
                <w:bCs/>
                <w:color w:val="000000"/>
                <w:lang w:eastAsia="en-NZ" w:bidi="en-US"/>
              </w:rPr>
              <w:lastRenderedPageBreak/>
              <w:t xml:space="preserve">Diversity </w:t>
            </w:r>
          </w:p>
        </w:tc>
        <w:tc>
          <w:tcPr>
            <w:tcW w:w="6355" w:type="dxa"/>
            <w:hideMark/>
          </w:tcPr>
          <w:p w14:paraId="53A74B33" w14:textId="77777777" w:rsidR="00201FD2" w:rsidRPr="003D1C57" w:rsidRDefault="00201FD2" w:rsidP="002F3327">
            <w:pPr>
              <w:spacing w:before="60" w:after="60" w:line="240" w:lineRule="auto"/>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w:t>
            </w:r>
            <w:r>
              <w:rPr>
                <w:rFonts w:ascii="Calibri" w:eastAsia="Times New Roman" w:hAnsi="Calibri" w:cs="Arial"/>
                <w:color w:val="000000"/>
                <w:lang w:eastAsia="en-NZ" w:bidi="en-US"/>
              </w:rPr>
              <w:t>e</w:t>
            </w:r>
            <w:r w:rsidRPr="003D1C57">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ab/>
              <w:t xml:space="preserve">An area that supports a high diversity of indigenous </w:t>
            </w:r>
            <w:r w:rsidRPr="003D1C57">
              <w:rPr>
                <w:rFonts w:ascii="Calibri" w:eastAsia="Times New Roman" w:hAnsi="Calibri" w:cs="Arial"/>
                <w:color w:val="000000"/>
                <w:lang w:eastAsia="en-NZ" w:bidi="en-US"/>
              </w:rPr>
              <w:tab/>
            </w:r>
            <w:r w:rsidRPr="003D1C57">
              <w:rPr>
                <w:rFonts w:ascii="Calibri" w:eastAsia="Times New Roman" w:hAnsi="Calibri" w:cs="Arial"/>
                <w:lang w:eastAsia="en-NZ" w:bidi="en-US"/>
              </w:rPr>
              <w:t xml:space="preserve">ecosystem types, indigenous </w:t>
            </w:r>
            <w:r w:rsidRPr="00E9350A">
              <w:rPr>
                <w:rFonts w:ascii="Calibri" w:eastAsia="Times New Roman" w:hAnsi="Calibri" w:cs="Arial"/>
                <w:i/>
                <w:iCs/>
                <w:lang w:eastAsia="en-NZ" w:bidi="en-US"/>
              </w:rPr>
              <w:t>taxa</w:t>
            </w:r>
            <w:r w:rsidRPr="003D1C57">
              <w:rPr>
                <w:rFonts w:ascii="Calibri" w:eastAsia="Times New Roman" w:hAnsi="Calibri" w:cs="Arial"/>
                <w:lang w:eastAsia="en-NZ" w:bidi="en-US"/>
              </w:rPr>
              <w:t xml:space="preserve"> or has changes in species </w:t>
            </w:r>
            <w:r w:rsidRPr="003D1C57">
              <w:rPr>
                <w:rFonts w:ascii="Calibri" w:eastAsia="Times New Roman" w:hAnsi="Calibri" w:cs="Arial"/>
                <w:lang w:eastAsia="en-NZ" w:bidi="en-US"/>
              </w:rPr>
              <w:tab/>
              <w:t xml:space="preserve">composition reflecting the existence of diverse natural </w:t>
            </w:r>
            <w:r w:rsidRPr="003D1C57">
              <w:rPr>
                <w:rFonts w:ascii="Calibri" w:eastAsia="Times New Roman" w:hAnsi="Calibri" w:cs="Arial"/>
                <w:lang w:eastAsia="en-NZ" w:bidi="en-US"/>
              </w:rPr>
              <w:tab/>
              <w:t>features or gradients.</w:t>
            </w:r>
          </w:p>
        </w:tc>
      </w:tr>
      <w:tr w:rsidR="00201FD2" w:rsidRPr="003D1C57" w14:paraId="55B3327C" w14:textId="77777777" w:rsidTr="002F3327">
        <w:tc>
          <w:tcPr>
            <w:tcW w:w="2671" w:type="dxa"/>
            <w:hideMark/>
          </w:tcPr>
          <w:p w14:paraId="2169D74A" w14:textId="77777777" w:rsidR="00201FD2" w:rsidRPr="003D1C57" w:rsidRDefault="00201FD2" w:rsidP="002F3327">
            <w:pPr>
              <w:spacing w:before="60" w:after="60" w:line="240" w:lineRule="auto"/>
              <w:rPr>
                <w:rFonts w:ascii="Calibri" w:eastAsia="Times New Roman" w:hAnsi="Calibri" w:cs="Arial"/>
                <w:b/>
                <w:bCs/>
                <w:color w:val="000000"/>
                <w:lang w:eastAsia="en-NZ" w:bidi="en-US"/>
              </w:rPr>
            </w:pPr>
            <w:r w:rsidRPr="003D1C57">
              <w:rPr>
                <w:rFonts w:ascii="Calibri" w:eastAsia="Times New Roman" w:hAnsi="Calibri" w:cs="Arial"/>
                <w:b/>
                <w:bCs/>
                <w:color w:val="000000"/>
                <w:lang w:eastAsia="en-NZ" w:bidi="en-US"/>
              </w:rPr>
              <w:t>Distinctiveness</w:t>
            </w:r>
          </w:p>
        </w:tc>
        <w:tc>
          <w:tcPr>
            <w:tcW w:w="6355" w:type="dxa"/>
            <w:hideMark/>
          </w:tcPr>
          <w:p w14:paraId="7474F324" w14:textId="77777777" w:rsidR="00201FD2" w:rsidRPr="003D1C57" w:rsidRDefault="00201FD2" w:rsidP="002F3327">
            <w:pPr>
              <w:spacing w:before="60" w:after="60" w:line="240" w:lineRule="auto"/>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w:t>
            </w:r>
            <w:r>
              <w:rPr>
                <w:rFonts w:ascii="Calibri" w:eastAsia="Times New Roman" w:hAnsi="Calibri" w:cs="Arial"/>
                <w:color w:val="000000"/>
                <w:lang w:eastAsia="en-NZ" w:bidi="en-US"/>
              </w:rPr>
              <w:t>f</w:t>
            </w:r>
            <w:r w:rsidRPr="003D1C57">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ab/>
              <w:t>An area that supports or provides habitat for:</w:t>
            </w:r>
          </w:p>
          <w:p w14:paraId="45A0B44C" w14:textId="77777777" w:rsidR="00201FD2" w:rsidRPr="003D1C57" w:rsidRDefault="00201FD2" w:rsidP="002F3327">
            <w:pPr>
              <w:spacing w:before="60" w:after="60" w:line="240" w:lineRule="auto"/>
              <w:ind w:left="1336" w:hanging="567"/>
              <w:rPr>
                <w:color w:val="000000" w:themeColor="text1"/>
                <w:lang w:eastAsia="en-NZ" w:bidi="en-US"/>
              </w:rPr>
            </w:pPr>
            <w:r w:rsidRPr="003D1C57">
              <w:rPr>
                <w:rFonts w:eastAsia="Yu Gothic Light" w:cs="Symbol"/>
                <w:color w:val="000000" w:themeColor="text1"/>
                <w:lang w:eastAsia="en-NZ" w:bidi="en-US"/>
              </w:rPr>
              <w:t>(i)</w:t>
            </w:r>
            <w:r w:rsidRPr="003D1C57">
              <w:rPr>
                <w:rFonts w:eastAsia="Yu Gothic Light" w:cs="Symbol"/>
                <w:color w:val="000000" w:themeColor="text1"/>
                <w:lang w:eastAsia="en-NZ" w:bidi="en-US"/>
              </w:rPr>
              <w:tab/>
            </w:r>
            <w:r w:rsidRPr="003D1C57">
              <w:rPr>
                <w:rFonts w:eastAsia="Calibri Light" w:cs="Calibri Light"/>
              </w:rPr>
              <w:t>Indigenous</w:t>
            </w:r>
            <w:r w:rsidRPr="003D1C57">
              <w:rPr>
                <w:rFonts w:eastAsia="Yu Gothic Light" w:cs="Symbol"/>
                <w:color w:val="000000"/>
                <w:lang w:eastAsia="en-NZ" w:bidi="en-US"/>
              </w:rPr>
              <w:t xml:space="preserve"> </w:t>
            </w:r>
            <w:r w:rsidRPr="003D1C57">
              <w:rPr>
                <w:rFonts w:eastAsia="Yu Gothic Light" w:cs="Symbol"/>
                <w:color w:val="000000" w:themeColor="text1"/>
                <w:lang w:eastAsia="en-NZ" w:bidi="en-US"/>
              </w:rPr>
              <w:t>species</w:t>
            </w:r>
            <w:r w:rsidRPr="003D1C57">
              <w:rPr>
                <w:rFonts w:eastAsia="Yu Gothic Light" w:cs="Symbol"/>
                <w:color w:val="000000"/>
                <w:lang w:eastAsia="en-NZ" w:bidi="en-US"/>
              </w:rPr>
              <w:t xml:space="preserve"> at their distributional limit within Otago or nationally, or</w:t>
            </w:r>
          </w:p>
          <w:p w14:paraId="4131AA24" w14:textId="77777777" w:rsidR="00201FD2" w:rsidRPr="003D1C57" w:rsidRDefault="00201FD2" w:rsidP="002F3327">
            <w:pPr>
              <w:spacing w:before="60" w:after="60" w:line="240" w:lineRule="auto"/>
              <w:ind w:left="1336" w:hanging="567"/>
              <w:rPr>
                <w:color w:val="000000" w:themeColor="text1"/>
                <w:lang w:eastAsia="en-NZ" w:bidi="en-US"/>
              </w:rPr>
            </w:pPr>
            <w:r w:rsidRPr="003D1C57">
              <w:rPr>
                <w:rFonts w:eastAsia="Yu Gothic Light" w:cs="Symbol"/>
                <w:color w:val="000000" w:themeColor="text1"/>
                <w:lang w:eastAsia="en-NZ" w:bidi="en-US"/>
              </w:rPr>
              <w:t>(ii)</w:t>
            </w:r>
            <w:r w:rsidRPr="003D1C57">
              <w:rPr>
                <w:rFonts w:eastAsia="Yu Gothic Light" w:cs="Symbol"/>
                <w:color w:val="000000" w:themeColor="text1"/>
                <w:lang w:eastAsia="en-NZ" w:bidi="en-US"/>
              </w:rPr>
              <w:tab/>
              <w:t>Indigenous</w:t>
            </w:r>
            <w:r w:rsidRPr="003D1C57">
              <w:rPr>
                <w:rFonts w:eastAsia="Yu Gothic Light" w:cs="Symbol"/>
                <w:color w:val="000000"/>
                <w:lang w:eastAsia="en-NZ" w:bidi="en-US"/>
              </w:rPr>
              <w:t xml:space="preserve"> species that are endemic to the Otago </w:t>
            </w:r>
            <w:r w:rsidRPr="006920D6">
              <w:rPr>
                <w:rFonts w:eastAsia="Yu Gothic Light" w:cs="Symbol"/>
                <w:color w:val="000000"/>
                <w:lang w:eastAsia="en-NZ" w:bidi="en-US"/>
              </w:rPr>
              <w:t>region</w:t>
            </w:r>
            <w:r w:rsidRPr="003D1C57">
              <w:rPr>
                <w:rFonts w:eastAsia="Yu Gothic Light" w:cs="Symbol"/>
                <w:i/>
                <w:color w:val="000000"/>
                <w:lang w:eastAsia="en-NZ" w:bidi="en-US"/>
              </w:rPr>
              <w:t>,</w:t>
            </w:r>
            <w:r w:rsidRPr="004E4167">
              <w:rPr>
                <w:rFonts w:eastAsia="Yu Gothic Light" w:cs="Symbol"/>
                <w:color w:val="000000"/>
                <w:lang w:eastAsia="en-NZ" w:bidi="en-US"/>
              </w:rPr>
              <w:t xml:space="preserve"> or</w:t>
            </w:r>
          </w:p>
          <w:p w14:paraId="2958FB73" w14:textId="77777777" w:rsidR="00201FD2" w:rsidRPr="003D1C57" w:rsidRDefault="00201FD2" w:rsidP="002F3327">
            <w:pPr>
              <w:spacing w:before="60" w:after="60"/>
              <w:ind w:left="1336" w:hanging="567"/>
              <w:rPr>
                <w:rFonts w:eastAsia="Yu Gothic Light" w:cs="Symbol"/>
                <w:color w:val="000000"/>
                <w:lang w:eastAsia="en-NZ" w:bidi="en-US"/>
              </w:rPr>
            </w:pPr>
            <w:r w:rsidRPr="003D1C57">
              <w:rPr>
                <w:rFonts w:eastAsia="Yu Gothic Light" w:cs="Symbol"/>
                <w:color w:val="000000" w:themeColor="text1"/>
                <w:lang w:eastAsia="en-NZ" w:bidi="en-US"/>
              </w:rPr>
              <w:t>(iii)</w:t>
            </w:r>
            <w:r w:rsidRPr="003D1C57">
              <w:rPr>
                <w:rFonts w:eastAsia="Yu Gothic Light" w:cs="Symbol"/>
                <w:color w:val="000000" w:themeColor="text1"/>
                <w:lang w:eastAsia="en-NZ" w:bidi="en-US"/>
              </w:rPr>
              <w:tab/>
              <w:t xml:space="preserve">Indigenous vegetation or an association of indigenous species that is distinctive, of restricted occurrence, or has developed as a result of an unusual environmental factor or combinations of factors. </w:t>
            </w:r>
          </w:p>
        </w:tc>
      </w:tr>
      <w:tr w:rsidR="00201FD2" w:rsidRPr="003D1C57" w14:paraId="1A711569" w14:textId="77777777" w:rsidTr="002F3327">
        <w:tc>
          <w:tcPr>
            <w:tcW w:w="2671" w:type="dxa"/>
            <w:hideMark/>
          </w:tcPr>
          <w:p w14:paraId="56A4925E" w14:textId="77777777" w:rsidR="00201FD2" w:rsidRPr="003D1C57" w:rsidRDefault="00201FD2" w:rsidP="002F3327">
            <w:pPr>
              <w:spacing w:before="60" w:after="60" w:line="240" w:lineRule="auto"/>
              <w:rPr>
                <w:rFonts w:ascii="Calibri" w:eastAsia="Times New Roman" w:hAnsi="Calibri" w:cs="Arial"/>
                <w:b/>
                <w:bCs/>
                <w:color w:val="000000"/>
                <w:lang w:eastAsia="en-NZ" w:bidi="en-US"/>
              </w:rPr>
            </w:pPr>
            <w:r w:rsidRPr="003D1C57">
              <w:rPr>
                <w:rFonts w:ascii="Calibri" w:eastAsia="Times New Roman" w:hAnsi="Calibri" w:cs="Arial"/>
                <w:b/>
                <w:bCs/>
                <w:color w:val="000000"/>
                <w:lang w:eastAsia="en-NZ" w:bidi="en-US"/>
              </w:rPr>
              <w:t xml:space="preserve">Ecological </w:t>
            </w:r>
            <w:r>
              <w:rPr>
                <w:rFonts w:ascii="Calibri" w:eastAsia="Times New Roman" w:hAnsi="Calibri" w:cs="Arial"/>
                <w:b/>
                <w:bCs/>
                <w:color w:val="000000"/>
                <w:lang w:eastAsia="en-NZ" w:bidi="en-US"/>
              </w:rPr>
              <w:t>c</w:t>
            </w:r>
            <w:r w:rsidRPr="003D1C57">
              <w:rPr>
                <w:rFonts w:ascii="Calibri" w:eastAsia="Times New Roman" w:hAnsi="Calibri" w:cs="Arial"/>
                <w:b/>
                <w:bCs/>
                <w:color w:val="000000"/>
                <w:lang w:eastAsia="en-NZ" w:bidi="en-US"/>
              </w:rPr>
              <w:t>ontext</w:t>
            </w:r>
          </w:p>
        </w:tc>
        <w:tc>
          <w:tcPr>
            <w:tcW w:w="6355" w:type="dxa"/>
            <w:hideMark/>
          </w:tcPr>
          <w:p w14:paraId="028FF964" w14:textId="77777777" w:rsidR="00201FD2" w:rsidRPr="003D1C57" w:rsidRDefault="00201FD2" w:rsidP="002F3327">
            <w:pPr>
              <w:spacing w:before="60" w:after="60" w:line="240" w:lineRule="auto"/>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w:t>
            </w:r>
            <w:r>
              <w:rPr>
                <w:rFonts w:ascii="Calibri" w:eastAsia="Times New Roman" w:hAnsi="Calibri" w:cs="Arial"/>
                <w:color w:val="000000"/>
                <w:lang w:eastAsia="en-NZ" w:bidi="en-US"/>
              </w:rPr>
              <w:t>g</w:t>
            </w:r>
            <w:r w:rsidRPr="003D1C57">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ab/>
              <w:t xml:space="preserve">The relationship of the area with its surroundings (both </w:t>
            </w:r>
            <w:r w:rsidRPr="003D1C57">
              <w:rPr>
                <w:rFonts w:ascii="Calibri" w:eastAsia="Times New Roman" w:hAnsi="Calibri" w:cs="Arial"/>
                <w:color w:val="000000"/>
                <w:lang w:eastAsia="en-NZ" w:bidi="en-US"/>
              </w:rPr>
              <w:tab/>
              <w:t xml:space="preserve">within Otago and between Otago and the adjoining regions), </w:t>
            </w:r>
            <w:r w:rsidRPr="003D1C57">
              <w:rPr>
                <w:rFonts w:ascii="Calibri" w:eastAsia="Times New Roman" w:hAnsi="Calibri" w:cs="Arial"/>
                <w:color w:val="000000"/>
                <w:lang w:eastAsia="en-NZ" w:bidi="en-US"/>
              </w:rPr>
              <w:tab/>
              <w:t>including:</w:t>
            </w:r>
          </w:p>
          <w:p w14:paraId="685F319D" w14:textId="77777777" w:rsidR="00201FD2" w:rsidRPr="003D1C57" w:rsidRDefault="00201FD2" w:rsidP="002F3327">
            <w:pPr>
              <w:spacing w:before="60" w:after="60" w:line="240" w:lineRule="auto"/>
              <w:ind w:left="1331" w:hanging="567"/>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 xml:space="preserve">(i) </w:t>
            </w:r>
            <w:r w:rsidRPr="003D1C57">
              <w:rPr>
                <w:rFonts w:ascii="Calibri" w:eastAsia="Times New Roman" w:hAnsi="Calibri" w:cs="Arial"/>
                <w:color w:val="000000"/>
                <w:lang w:eastAsia="en-NZ" w:bidi="en-US"/>
              </w:rPr>
              <w:tab/>
              <w:t>An area that has important connectivity value</w:t>
            </w:r>
            <w:r>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 xml:space="preserve">allowing dispersal of indigenous </w:t>
            </w:r>
            <w:r>
              <w:rPr>
                <w:rFonts w:ascii="Calibri" w:eastAsia="Times New Roman" w:hAnsi="Calibri" w:cs="Arial"/>
                <w:color w:val="000000"/>
                <w:lang w:eastAsia="en-NZ" w:bidi="en-US"/>
              </w:rPr>
              <w:t>flora</w:t>
            </w:r>
            <w:r w:rsidRPr="003D1C57">
              <w:rPr>
                <w:rFonts w:ascii="Calibri" w:eastAsia="Times New Roman" w:hAnsi="Calibri" w:cs="Arial"/>
                <w:color w:val="000000"/>
                <w:lang w:eastAsia="en-NZ" w:bidi="en-US"/>
              </w:rPr>
              <w:t xml:space="preserve"> and fauna between different areas</w:t>
            </w:r>
            <w:r>
              <w:rPr>
                <w:rFonts w:ascii="Calibri" w:eastAsia="Times New Roman" w:hAnsi="Calibri" w:cs="Arial"/>
                <w:color w:val="000000"/>
                <w:lang w:eastAsia="en-NZ" w:bidi="en-US"/>
              </w:rPr>
              <w:t>, or</w:t>
            </w:r>
          </w:p>
          <w:p w14:paraId="26FF4E66" w14:textId="77777777" w:rsidR="00201FD2" w:rsidRPr="003D1C57" w:rsidRDefault="00201FD2" w:rsidP="002F3327">
            <w:pPr>
              <w:spacing w:before="60" w:after="60" w:line="240" w:lineRule="auto"/>
              <w:ind w:left="1331" w:hanging="567"/>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 xml:space="preserve">(ii) </w:t>
            </w:r>
            <w:r w:rsidRPr="003D1C57">
              <w:rPr>
                <w:rFonts w:ascii="Calibri" w:eastAsia="Times New Roman" w:hAnsi="Calibri" w:cs="Arial"/>
                <w:color w:val="000000"/>
                <w:lang w:eastAsia="en-NZ" w:bidi="en-US"/>
              </w:rPr>
              <w:tab/>
              <w:t xml:space="preserve">An </w:t>
            </w:r>
            <w:r>
              <w:rPr>
                <w:rFonts w:ascii="Calibri" w:eastAsia="Times New Roman" w:hAnsi="Calibri" w:cs="Arial"/>
                <w:color w:val="000000"/>
                <w:lang w:eastAsia="en-NZ" w:bidi="en-US"/>
              </w:rPr>
              <w:t xml:space="preserve">area that has an </w:t>
            </w:r>
            <w:r w:rsidRPr="003D1C57">
              <w:rPr>
                <w:rFonts w:ascii="Calibri" w:eastAsia="Times New Roman" w:hAnsi="Calibri" w:cs="Arial"/>
                <w:color w:val="000000"/>
                <w:lang w:eastAsia="en-NZ" w:bidi="en-US"/>
              </w:rPr>
              <w:t>important buffering function that helps to protect the values of an adjacent area or feature</w:t>
            </w:r>
            <w:r>
              <w:rPr>
                <w:rFonts w:ascii="Calibri" w:eastAsia="Times New Roman" w:hAnsi="Calibri" w:cs="Arial"/>
                <w:color w:val="000000"/>
                <w:lang w:eastAsia="en-NZ" w:bidi="en-US"/>
              </w:rPr>
              <w:t>, or</w:t>
            </w:r>
          </w:p>
          <w:p w14:paraId="2B6F5AED" w14:textId="77777777" w:rsidR="00201FD2" w:rsidRDefault="00201FD2" w:rsidP="002F3327">
            <w:pPr>
              <w:spacing w:before="60" w:after="60" w:line="240" w:lineRule="auto"/>
              <w:ind w:left="1331" w:hanging="567"/>
              <w:rPr>
                <w:rFonts w:ascii="Calibri" w:eastAsia="Times New Roman" w:hAnsi="Calibri" w:cs="Arial"/>
                <w:color w:val="000000"/>
                <w:lang w:eastAsia="en-NZ" w:bidi="en-US"/>
              </w:rPr>
            </w:pPr>
            <w:r w:rsidRPr="003D1C57">
              <w:rPr>
                <w:rFonts w:ascii="Calibri" w:eastAsia="Times New Roman" w:hAnsi="Calibri" w:cs="Arial"/>
                <w:color w:val="000000"/>
                <w:lang w:eastAsia="en-NZ" w:bidi="en-US"/>
              </w:rPr>
              <w:t xml:space="preserve">(iii) </w:t>
            </w:r>
            <w:r w:rsidRPr="003D1C57">
              <w:rPr>
                <w:rFonts w:ascii="Calibri" w:eastAsia="Times New Roman" w:hAnsi="Calibri" w:cs="Arial"/>
                <w:color w:val="000000"/>
                <w:lang w:eastAsia="en-NZ" w:bidi="en-US"/>
              </w:rPr>
              <w:tab/>
              <w:t xml:space="preserve">An area that </w:t>
            </w:r>
            <w:r>
              <w:rPr>
                <w:rFonts w:ascii="Calibri" w:eastAsia="Times New Roman" w:hAnsi="Calibri" w:cs="Arial"/>
                <w:color w:val="000000"/>
                <w:lang w:eastAsia="en-NZ" w:bidi="en-US"/>
              </w:rPr>
              <w:t>is</w:t>
            </w:r>
            <w:r w:rsidRPr="003D1C57">
              <w:rPr>
                <w:rFonts w:ascii="Calibri" w:eastAsia="Times New Roman" w:hAnsi="Calibri" w:cs="Arial"/>
                <w:color w:val="000000"/>
                <w:lang w:eastAsia="en-NZ" w:bidi="en-US"/>
              </w:rPr>
              <w:t xml:space="preserve"> important for indigenous fauna</w:t>
            </w:r>
            <w:r>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during some part of their life cycle, either regularly</w:t>
            </w:r>
            <w:r>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 xml:space="preserve">or on an irregular basis, e.g. for feeding, </w:t>
            </w:r>
            <w:r>
              <w:rPr>
                <w:rFonts w:ascii="Calibri" w:eastAsia="Times New Roman" w:hAnsi="Calibri" w:cs="Arial"/>
                <w:color w:val="000000"/>
                <w:lang w:eastAsia="en-NZ" w:bidi="en-US"/>
              </w:rPr>
              <w:t xml:space="preserve">resting, </w:t>
            </w:r>
            <w:r w:rsidRPr="003D1C57">
              <w:rPr>
                <w:rFonts w:ascii="Calibri" w:eastAsia="Times New Roman" w:hAnsi="Calibri" w:cs="Arial"/>
                <w:color w:val="000000"/>
                <w:lang w:eastAsia="en-NZ" w:bidi="en-US"/>
              </w:rPr>
              <w:t>nesting,</w:t>
            </w:r>
            <w:r>
              <w:rPr>
                <w:rFonts w:ascii="Calibri" w:eastAsia="Times New Roman" w:hAnsi="Calibri" w:cs="Arial"/>
                <w:color w:val="000000"/>
                <w:lang w:eastAsia="en-NZ" w:bidi="en-US"/>
              </w:rPr>
              <w:t xml:space="preserve"> </w:t>
            </w:r>
            <w:r w:rsidRPr="003D1C57">
              <w:rPr>
                <w:rFonts w:ascii="Calibri" w:eastAsia="Times New Roman" w:hAnsi="Calibri" w:cs="Arial"/>
                <w:color w:val="000000"/>
                <w:lang w:eastAsia="en-NZ" w:bidi="en-US"/>
              </w:rPr>
              <w:t xml:space="preserve">breeding, </w:t>
            </w:r>
            <w:r>
              <w:rPr>
                <w:rFonts w:ascii="Calibri" w:eastAsia="Times New Roman" w:hAnsi="Calibri" w:cs="Arial"/>
                <w:color w:val="000000"/>
                <w:lang w:eastAsia="en-NZ" w:bidi="en-US"/>
              </w:rPr>
              <w:t xml:space="preserve">spawning </w:t>
            </w:r>
            <w:r w:rsidRPr="003D1C57">
              <w:rPr>
                <w:rFonts w:ascii="Calibri" w:eastAsia="Times New Roman" w:hAnsi="Calibri" w:cs="Arial"/>
                <w:color w:val="000000"/>
                <w:lang w:eastAsia="en-NZ" w:bidi="en-US"/>
              </w:rPr>
              <w:t>or refuges from predation</w:t>
            </w:r>
            <w:r>
              <w:rPr>
                <w:rFonts w:ascii="Calibri" w:eastAsia="Times New Roman" w:hAnsi="Calibri" w:cs="Arial"/>
                <w:color w:val="000000"/>
                <w:lang w:eastAsia="en-NZ" w:bidi="en-US"/>
              </w:rPr>
              <w:t>, or</w:t>
            </w:r>
          </w:p>
          <w:p w14:paraId="69FFEE97" w14:textId="77777777" w:rsidR="00201FD2" w:rsidRPr="00D0450B" w:rsidRDefault="00201FD2" w:rsidP="002F3327">
            <w:pPr>
              <w:spacing w:before="60" w:after="60" w:line="240" w:lineRule="auto"/>
              <w:ind w:left="1331" w:hanging="567"/>
              <w:rPr>
                <w:rFonts w:eastAsia="Yu Gothic Light" w:cs="Symbol"/>
                <w:color w:val="000000"/>
                <w:lang w:eastAsia="en-NZ" w:bidi="en-US"/>
              </w:rPr>
            </w:pPr>
            <w:r>
              <w:rPr>
                <w:rFonts w:eastAsia="Calibri Light" w:cs="Yu Gothic Light"/>
              </w:rPr>
              <w:t>(iv)</w:t>
            </w:r>
            <w:r>
              <w:rPr>
                <w:rFonts w:eastAsia="Calibri Light" w:cs="Yu Gothic Light"/>
              </w:rPr>
              <w:tab/>
            </w:r>
            <w:r w:rsidRPr="00D0450B">
              <w:rPr>
                <w:rFonts w:eastAsia="Calibri Light" w:cs="Yu Gothic Light"/>
              </w:rPr>
              <w:t xml:space="preserve">A </w:t>
            </w:r>
            <w:r w:rsidRPr="00D0450B">
              <w:rPr>
                <w:rFonts w:eastAsia="Calibri Light" w:cs="Yu Gothic Light"/>
                <w:i/>
              </w:rPr>
              <w:t xml:space="preserve">wetland </w:t>
            </w:r>
            <w:r w:rsidRPr="00D0450B">
              <w:rPr>
                <w:rFonts w:eastAsia="Calibri Light" w:cs="Yu Gothic Light"/>
              </w:rPr>
              <w:t>which plays an important hydrological, biological or ecological role in the natural functioning of a</w:t>
            </w:r>
            <w:r w:rsidRPr="00D0450B">
              <w:rPr>
                <w:rFonts w:eastAsia="Calibri Light" w:cs="Yu Gothic Light"/>
                <w:i/>
              </w:rPr>
              <w:t xml:space="preserve"> river</w:t>
            </w:r>
            <w:r w:rsidRPr="00D0450B">
              <w:rPr>
                <w:rFonts w:eastAsia="Calibri Light" w:cs="Yu Gothic Light"/>
              </w:rPr>
              <w:t xml:space="preserve"> or coastal ecosystem. </w:t>
            </w:r>
          </w:p>
        </w:tc>
      </w:tr>
      <w:tr w:rsidR="00705F82" w:rsidRPr="003D1C57" w14:paraId="3C41E046" w14:textId="77777777" w:rsidTr="002F3327">
        <w:tc>
          <w:tcPr>
            <w:tcW w:w="2671" w:type="dxa"/>
          </w:tcPr>
          <w:p w14:paraId="39067F1A" w14:textId="56CFC4C3" w:rsidR="00705F82" w:rsidRPr="005F553D" w:rsidRDefault="005F553D" w:rsidP="002F3327">
            <w:pPr>
              <w:spacing w:before="60" w:after="60" w:line="240" w:lineRule="auto"/>
              <w:rPr>
                <w:rFonts w:ascii="Calibri" w:eastAsia="Times New Roman" w:hAnsi="Calibri" w:cs="Arial"/>
                <w:b/>
                <w:bCs/>
                <w:color w:val="000000"/>
                <w:u w:val="single"/>
                <w:lang w:eastAsia="en-NZ" w:bidi="en-US"/>
              </w:rPr>
            </w:pPr>
            <w:r w:rsidRPr="005F553D">
              <w:rPr>
                <w:rFonts w:ascii="Calibri" w:eastAsia="Times New Roman" w:hAnsi="Calibri" w:cs="Arial"/>
                <w:b/>
                <w:bCs/>
                <w:color w:val="000000"/>
                <w:u w:val="single"/>
                <w:lang w:eastAsia="en-NZ" w:bidi="en-US"/>
              </w:rPr>
              <w:t>Vulnerable and sensitive species</w:t>
            </w:r>
            <w:r w:rsidR="00883FB2" w:rsidRPr="00883FB2">
              <w:rPr>
                <w:rStyle w:val="FootnoteReference"/>
              </w:rPr>
              <w:footnoteReference w:id="1454"/>
            </w:r>
          </w:p>
        </w:tc>
        <w:tc>
          <w:tcPr>
            <w:tcW w:w="6355" w:type="dxa"/>
          </w:tcPr>
          <w:p w14:paraId="4946CD61" w14:textId="59D01286" w:rsidR="00705F82" w:rsidRPr="006E45A8" w:rsidRDefault="006E45A8" w:rsidP="006E45A8">
            <w:pPr>
              <w:spacing w:before="60" w:after="60" w:line="240" w:lineRule="auto"/>
              <w:ind w:left="759" w:hanging="759"/>
              <w:rPr>
                <w:rFonts w:ascii="Calibri" w:eastAsia="Times New Roman" w:hAnsi="Calibri" w:cs="Arial"/>
                <w:color w:val="000000"/>
                <w:u w:val="single"/>
                <w:lang w:eastAsia="en-NZ" w:bidi="en-US"/>
              </w:rPr>
            </w:pPr>
            <w:r w:rsidRPr="006E45A8">
              <w:rPr>
                <w:rFonts w:ascii="Calibri" w:eastAsia="Times New Roman" w:hAnsi="Calibri" w:cs="Arial"/>
                <w:color w:val="000000"/>
                <w:u w:val="single"/>
                <w:lang w:eastAsia="en-NZ" w:bidi="en-US"/>
              </w:rPr>
              <w:t xml:space="preserve">(h) </w:t>
            </w:r>
            <w:r w:rsidRPr="006E45A8">
              <w:rPr>
                <w:rFonts w:ascii="Calibri" w:eastAsia="Times New Roman" w:hAnsi="Calibri" w:cs="Arial"/>
                <w:color w:val="000000"/>
                <w:u w:val="single"/>
                <w:lang w:eastAsia="en-NZ" w:bidi="en-US"/>
              </w:rPr>
              <w:tab/>
              <w:t xml:space="preserve">An area that contains sensitive habitats or species that are fragile to anthropogenic effects or have slow recovery from anthropogenic effects.  </w:t>
            </w:r>
          </w:p>
        </w:tc>
      </w:tr>
    </w:tbl>
    <w:p w14:paraId="7F4F2EF6" w14:textId="77777777" w:rsidR="00201FD2" w:rsidRDefault="00201FD2" w:rsidP="00201FD2"/>
    <w:p w14:paraId="1BC9A10F" w14:textId="77777777" w:rsidR="00201FD2" w:rsidRDefault="00201FD2" w:rsidP="00201FD2">
      <w:r>
        <w:br w:type="page"/>
      </w:r>
    </w:p>
    <w:p w14:paraId="21348282" w14:textId="77777777" w:rsidR="00201FD2" w:rsidRDefault="00201FD2" w:rsidP="00201FD2">
      <w:pPr>
        <w:pStyle w:val="Heading3"/>
      </w:pPr>
      <w:r>
        <w:lastRenderedPageBreak/>
        <w:t xml:space="preserve">APP3 – Criteria for </w:t>
      </w:r>
      <w:r w:rsidRPr="006920D6">
        <w:rPr>
          <w:i/>
        </w:rPr>
        <w:t>biodiversity</w:t>
      </w:r>
      <w:r>
        <w:t xml:space="preserve"> offsetting</w:t>
      </w:r>
    </w:p>
    <w:p w14:paraId="519404CC" w14:textId="48A8E77D" w:rsidR="00726A52" w:rsidRPr="00726A52" w:rsidRDefault="00726A52" w:rsidP="00726A52">
      <w:pPr>
        <w:pStyle w:val="paragraph"/>
        <w:spacing w:before="0" w:beforeAutospacing="0" w:after="120" w:afterAutospacing="0" w:line="276" w:lineRule="auto"/>
        <w:ind w:left="567"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(1)</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i/>
          <w:iCs/>
          <w:sz w:val="22"/>
          <w:szCs w:val="22"/>
        </w:rPr>
        <w:t xml:space="preserve">Biodiversity </w:t>
      </w:r>
      <w:r w:rsidRPr="00726A52">
        <w:rPr>
          <w:rStyle w:val="normaltextrun"/>
          <w:rFonts w:asciiTheme="minorHAnsi" w:hAnsiTheme="minorHAnsi" w:cstheme="minorHAnsi"/>
          <w:sz w:val="22"/>
          <w:szCs w:val="22"/>
        </w:rPr>
        <w:t xml:space="preserve">offsetting is not available </w:t>
      </w:r>
      <w:r w:rsidRPr="00726A52">
        <w:rPr>
          <w:rStyle w:val="normaltextrun"/>
          <w:rFonts w:asciiTheme="minorHAnsi" w:hAnsiTheme="minorHAnsi" w:cstheme="minorHAnsi"/>
          <w:sz w:val="22"/>
          <w:szCs w:val="22"/>
          <w:u w:val="single"/>
        </w:rPr>
        <w:t>for an</w:t>
      </w:r>
      <w:r w:rsidRPr="00726A52">
        <w:rPr>
          <w:rStyle w:val="FootnoteReference"/>
          <w:rFonts w:asciiTheme="minorHAnsi" w:hAnsiTheme="minorHAnsi" w:cstheme="minorHAnsi"/>
          <w:sz w:val="22"/>
          <w:szCs w:val="22"/>
        </w:rPr>
        <w:footnoteReference w:id="1455"/>
      </w:r>
      <w:r w:rsidRPr="00726A52">
        <w:rPr>
          <w:rStyle w:val="normaltextrun"/>
          <w:rFonts w:asciiTheme="minorHAnsi" w:hAnsiTheme="minorHAnsi" w:cstheme="minorHAnsi"/>
          <w:sz w:val="22"/>
          <w:szCs w:val="22"/>
        </w:rPr>
        <w:t xml:space="preserve"> </w:t>
      </w:r>
      <w:r w:rsidRPr="00726A52">
        <w:rPr>
          <w:rStyle w:val="normaltextrun"/>
          <w:rFonts w:asciiTheme="minorHAnsi" w:hAnsiTheme="minorHAnsi" w:cstheme="minorHAnsi"/>
          <w:strike/>
          <w:sz w:val="22"/>
          <w:szCs w:val="22"/>
        </w:rPr>
        <w:t>if the</w:t>
      </w:r>
      <w:r w:rsidRPr="00726A52">
        <w:rPr>
          <w:rStyle w:val="normaltextrun"/>
          <w:rFonts w:asciiTheme="minorHAnsi" w:hAnsiTheme="minorHAnsi" w:cstheme="minorHAnsi"/>
          <w:sz w:val="22"/>
          <w:szCs w:val="22"/>
        </w:rPr>
        <w:t xml:space="preserve"> activity </w:t>
      </w:r>
      <w:r w:rsidRPr="00726A52">
        <w:rPr>
          <w:rStyle w:val="normaltextrun"/>
          <w:rFonts w:asciiTheme="minorHAnsi" w:hAnsiTheme="minorHAnsi" w:cstheme="minorHAnsi"/>
          <w:sz w:val="22"/>
          <w:szCs w:val="22"/>
          <w:u w:val="single"/>
        </w:rPr>
        <w:t>that</w:t>
      </w:r>
      <w:r w:rsidRPr="00726A52">
        <w:rPr>
          <w:rStyle w:val="FootnoteReference"/>
          <w:rFonts w:asciiTheme="minorHAnsi" w:hAnsiTheme="minorHAnsi" w:cstheme="minorHAnsi"/>
          <w:sz w:val="22"/>
          <w:szCs w:val="22"/>
        </w:rPr>
        <w:footnoteReference w:id="1456"/>
      </w:r>
      <w:r w:rsidRPr="00726A52">
        <w:rPr>
          <w:rStyle w:val="normaltextrun"/>
          <w:rFonts w:asciiTheme="minorHAnsi" w:hAnsiTheme="minorHAnsi" w:cstheme="minorHAnsi"/>
          <w:sz w:val="22"/>
          <w:szCs w:val="22"/>
        </w:rPr>
        <w:t xml:space="preserve"> will result in: </w:t>
      </w:r>
      <w:r w:rsidRPr="00726A52">
        <w:rPr>
          <w:rStyle w:val="eop"/>
          <w:rFonts w:asciiTheme="minorHAnsi" w:hAnsiTheme="minorHAnsi" w:cstheme="minorHAnsi"/>
          <w:sz w:val="22"/>
          <w:szCs w:val="22"/>
        </w:rPr>
        <w:t> </w:t>
      </w:r>
    </w:p>
    <w:p w14:paraId="3688D90E" w14:textId="5BC6EB57" w:rsidR="00726A52" w:rsidRPr="00726A52" w:rsidRDefault="00726A52" w:rsidP="00726A52">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(a)</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the loss </w:t>
      </w:r>
      <w:r w:rsidRPr="00726A52">
        <w:rPr>
          <w:rStyle w:val="normaltextrun"/>
          <w:rFonts w:asciiTheme="minorHAnsi" w:hAnsiTheme="minorHAnsi" w:cstheme="minorHAnsi"/>
          <w:sz w:val="22"/>
          <w:szCs w:val="22"/>
          <w:u w:val="single"/>
        </w:rPr>
        <w:t>from an ecological district</w:t>
      </w:r>
      <w:r w:rsidR="007E664C" w:rsidRPr="007E664C">
        <w:rPr>
          <w:rStyle w:val="FootnoteReference"/>
          <w:rFonts w:asciiTheme="minorHAnsi" w:hAnsiTheme="minorHAnsi" w:cstheme="minorHAnsi"/>
          <w:sz w:val="20"/>
          <w:szCs w:val="20"/>
          <w:u w:val="single"/>
          <w:shd w:val="clear" w:color="auto" w:fill="D9D9D9" w:themeFill="background1" w:themeFillShade="D9"/>
        </w:rPr>
        <w:footnoteReference w:id="1457"/>
      </w:r>
      <w:r w:rsidR="007E664C" w:rsidRPr="007E664C">
        <w:rPr>
          <w:rStyle w:val="normaltextrun"/>
          <w:rFonts w:asciiTheme="minorHAnsi" w:hAnsiTheme="minorHAnsi" w:cstheme="minorHAnsi"/>
          <w:sz w:val="22"/>
          <w:szCs w:val="22"/>
          <w:u w:val="single"/>
        </w:rPr>
        <w:t xml:space="preserve"> </w:t>
      </w:r>
      <w:r w:rsidRPr="00726A52">
        <w:rPr>
          <w:rStyle w:val="FootnoteReference"/>
          <w:rFonts w:asciiTheme="minorHAnsi" w:hAnsiTheme="minorHAnsi" w:cstheme="minorHAnsi"/>
          <w:sz w:val="22"/>
          <w:szCs w:val="22"/>
        </w:rPr>
        <w:footnoteReference w:id="1458"/>
      </w:r>
      <w:r w:rsidRPr="00726A52">
        <w:rPr>
          <w:rStyle w:val="normaltextrun"/>
          <w:rFonts w:asciiTheme="minorHAnsi" w:hAnsiTheme="minorHAnsi" w:cstheme="minorHAnsi"/>
          <w:sz w:val="22"/>
          <w:szCs w:val="22"/>
        </w:rPr>
        <w:t xml:space="preserve"> of any individuals of Threatened </w:t>
      </w:r>
      <w:r w:rsidRPr="00726A52">
        <w:rPr>
          <w:rStyle w:val="normaltextrun"/>
          <w:rFonts w:asciiTheme="minorHAnsi" w:hAnsiTheme="minorHAnsi" w:cstheme="minorHAnsi"/>
          <w:i/>
          <w:iCs/>
          <w:sz w:val="22"/>
          <w:szCs w:val="22"/>
        </w:rPr>
        <w:t>taxa</w:t>
      </w:r>
      <w:r w:rsidRPr="00726A52">
        <w:rPr>
          <w:rStyle w:val="normaltextrun"/>
          <w:rFonts w:asciiTheme="minorHAnsi" w:hAnsiTheme="minorHAnsi" w:cstheme="minorHAnsi"/>
          <w:sz w:val="22"/>
          <w:szCs w:val="22"/>
        </w:rPr>
        <w:t>, other than kānuka (</w:t>
      </w:r>
      <w:r w:rsidRPr="00726A52">
        <w:rPr>
          <w:rStyle w:val="normaltextrun"/>
          <w:rFonts w:asciiTheme="minorHAnsi" w:hAnsiTheme="minorHAnsi" w:cstheme="minorHAnsi"/>
          <w:i/>
          <w:iCs/>
          <w:sz w:val="22"/>
          <w:szCs w:val="22"/>
        </w:rPr>
        <w:t>Kunzea robusta</w:t>
      </w:r>
      <w:r w:rsidRPr="00726A52">
        <w:rPr>
          <w:rStyle w:val="normaltextrun"/>
          <w:rFonts w:asciiTheme="minorHAnsi" w:hAnsiTheme="minorHAnsi" w:cstheme="minorHAnsi"/>
          <w:sz w:val="22"/>
          <w:szCs w:val="22"/>
        </w:rPr>
        <w:t xml:space="preserve"> and </w:t>
      </w:r>
      <w:r w:rsidRPr="00726A52">
        <w:rPr>
          <w:rStyle w:val="normaltextrun"/>
          <w:rFonts w:asciiTheme="minorHAnsi" w:hAnsiTheme="minorHAnsi" w:cstheme="minorHAnsi"/>
          <w:i/>
          <w:iCs/>
          <w:sz w:val="22"/>
          <w:szCs w:val="22"/>
        </w:rPr>
        <w:t>Kunzea serotina</w:t>
      </w:r>
      <w:r w:rsidRPr="00726A52">
        <w:rPr>
          <w:rStyle w:val="normaltextrun"/>
          <w:rFonts w:asciiTheme="minorHAnsi" w:hAnsiTheme="minorHAnsi" w:cstheme="minorHAnsi"/>
          <w:sz w:val="22"/>
          <w:szCs w:val="22"/>
        </w:rPr>
        <w:t>), under the New Zealand Threat Classification System (Townsend et al, 2008); or</w:t>
      </w:r>
      <w:r w:rsidRPr="00726A52">
        <w:rPr>
          <w:rStyle w:val="eop"/>
          <w:rFonts w:asciiTheme="minorHAnsi" w:hAnsiTheme="minorHAnsi" w:cstheme="minorHAnsi"/>
          <w:sz w:val="22"/>
          <w:szCs w:val="22"/>
        </w:rPr>
        <w:t> </w:t>
      </w:r>
    </w:p>
    <w:p w14:paraId="3AFBCAD9" w14:textId="793F413E" w:rsidR="00726A52" w:rsidRPr="00726A52" w:rsidRDefault="00726A52" w:rsidP="00726A52">
      <w:pPr>
        <w:pStyle w:val="paragraph"/>
        <w:spacing w:before="0" w:beforeAutospacing="0" w:after="120" w:afterAutospacing="0" w:line="276" w:lineRule="auto"/>
        <w:ind w:left="1134" w:hanging="567"/>
        <w:jc w:val="both"/>
        <w:textAlignment w:val="baseline"/>
        <w:rPr>
          <w:rStyle w:val="eop"/>
          <w:rFonts w:asciiTheme="minorHAnsi" w:hAnsiTheme="minorHAnsi" w:cstheme="minorHAnsi"/>
          <w:sz w:val="22"/>
          <w:szCs w:val="22"/>
        </w:rPr>
      </w:pPr>
      <w:r w:rsidRPr="00726A52">
        <w:rPr>
          <w:rStyle w:val="normaltextrun"/>
          <w:rFonts w:asciiTheme="minorHAnsi" w:hAnsiTheme="minorHAnsi" w:cstheme="minorHAnsi"/>
          <w:sz w:val="22"/>
          <w:szCs w:val="22"/>
        </w:rPr>
        <w:t>(b)</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trike/>
          <w:sz w:val="22"/>
          <w:szCs w:val="22"/>
        </w:rPr>
        <w:t>reasonably</w:t>
      </w:r>
      <w:r w:rsidRPr="00726A52">
        <w:rPr>
          <w:rStyle w:val="FootnoteReference"/>
          <w:rFonts w:asciiTheme="minorHAnsi" w:hAnsiTheme="minorHAnsi" w:cstheme="minorHAnsi"/>
          <w:sz w:val="22"/>
          <w:szCs w:val="22"/>
        </w:rPr>
        <w:footnoteReference w:id="1459"/>
      </w:r>
      <w:r w:rsidRPr="00726A52">
        <w:rPr>
          <w:rStyle w:val="normaltextrun"/>
          <w:rFonts w:asciiTheme="minorHAnsi" w:hAnsiTheme="minorHAnsi" w:cstheme="minorHAnsi"/>
          <w:sz w:val="22"/>
          <w:szCs w:val="22"/>
        </w:rPr>
        <w:t xml:space="preserve"> measurable loss within  an ecological district</w:t>
      </w:r>
      <w:r w:rsidR="007E664C" w:rsidRPr="007E664C">
        <w:rPr>
          <w:rStyle w:val="FootnoteReference"/>
          <w:rFonts w:asciiTheme="minorHAnsi" w:hAnsiTheme="minorHAnsi" w:cstheme="minorHAnsi"/>
          <w:sz w:val="20"/>
          <w:szCs w:val="20"/>
          <w:u w:val="single"/>
          <w:shd w:val="clear" w:color="auto" w:fill="D9D9D9" w:themeFill="background1" w:themeFillShade="D9"/>
        </w:rPr>
        <w:footnoteReference w:id="1460"/>
      </w:r>
      <w:r w:rsidRPr="00726A52">
        <w:rPr>
          <w:rStyle w:val="normaltextrun"/>
          <w:rFonts w:asciiTheme="minorHAnsi" w:hAnsiTheme="minorHAnsi" w:cstheme="minorHAnsi"/>
          <w:sz w:val="22"/>
          <w:szCs w:val="22"/>
        </w:rPr>
        <w:t xml:space="preserve"> to an At Risk-Declining </w:t>
      </w:r>
      <w:r w:rsidRPr="00726A52">
        <w:rPr>
          <w:rStyle w:val="normaltextrun"/>
          <w:rFonts w:asciiTheme="minorHAnsi" w:hAnsiTheme="minorHAnsi" w:cstheme="minorHAnsi"/>
          <w:i/>
          <w:iCs/>
          <w:sz w:val="22"/>
          <w:szCs w:val="22"/>
        </w:rPr>
        <w:t>taxon</w:t>
      </w:r>
      <w:r w:rsidRPr="00726A52">
        <w:rPr>
          <w:rStyle w:val="normaltextrun"/>
          <w:rFonts w:asciiTheme="minorHAnsi" w:hAnsiTheme="minorHAnsi" w:cstheme="minorHAnsi"/>
          <w:sz w:val="22"/>
          <w:szCs w:val="22"/>
        </w:rPr>
        <w:t>, other than manuka (</w:t>
      </w:r>
      <w:r w:rsidRPr="00726A52">
        <w:rPr>
          <w:rStyle w:val="normaltextrun"/>
          <w:rFonts w:asciiTheme="minorHAnsi" w:hAnsiTheme="minorHAnsi" w:cstheme="minorHAnsi"/>
          <w:i/>
          <w:iCs/>
          <w:sz w:val="22"/>
          <w:szCs w:val="22"/>
        </w:rPr>
        <w:t>Leptospermum scoparium</w:t>
      </w:r>
      <w:r w:rsidRPr="00726A52">
        <w:rPr>
          <w:rStyle w:val="normaltextrun"/>
          <w:rFonts w:asciiTheme="minorHAnsi" w:hAnsiTheme="minorHAnsi" w:cstheme="minorHAnsi"/>
          <w:sz w:val="22"/>
          <w:szCs w:val="22"/>
        </w:rPr>
        <w:t>), under the New Zealand Threat Classification System (Townsend et al, 2008)</w:t>
      </w:r>
      <w:r w:rsidRPr="00726A52">
        <w:rPr>
          <w:rStyle w:val="normaltextrun"/>
          <w:rFonts w:asciiTheme="minorHAnsi" w:hAnsiTheme="minorHAnsi" w:cstheme="minorHAnsi"/>
          <w:sz w:val="22"/>
          <w:szCs w:val="22"/>
          <w:u w:val="single"/>
        </w:rPr>
        <w:t>; or</w:t>
      </w:r>
      <w:r w:rsidRPr="00726A52">
        <w:rPr>
          <w:rStyle w:val="eop"/>
          <w:rFonts w:asciiTheme="minorHAnsi" w:hAnsiTheme="minorHAnsi" w:cstheme="minorHAnsi"/>
          <w:sz w:val="22"/>
          <w:szCs w:val="22"/>
        </w:rPr>
        <w:t> </w:t>
      </w:r>
    </w:p>
    <w:p w14:paraId="68A1BBB9" w14:textId="11620D18" w:rsidR="00726A52" w:rsidRPr="00726A52" w:rsidRDefault="00726A52" w:rsidP="00726A52">
      <w:pPr>
        <w:ind w:left="1134" w:hanging="567"/>
        <w:rPr>
          <w:rFonts w:cstheme="minorHAnsi"/>
          <w:u w:val="single"/>
        </w:rPr>
      </w:pPr>
      <w:r w:rsidRPr="00726A52">
        <w:rPr>
          <w:rFonts w:cstheme="minorHAnsi"/>
          <w:szCs w:val="22"/>
          <w:u w:val="single"/>
        </w:rPr>
        <w:t xml:space="preserve">(c) </w:t>
      </w:r>
      <w:r>
        <w:rPr>
          <w:rFonts w:cstheme="minorHAnsi"/>
          <w:u w:val="single"/>
        </w:rPr>
        <w:tab/>
      </w:r>
      <w:r w:rsidRPr="00726A52">
        <w:rPr>
          <w:rFonts w:cstheme="minorHAnsi"/>
          <w:szCs w:val="22"/>
          <w:u w:val="single"/>
        </w:rPr>
        <w:t xml:space="preserve">the worsening of the conservation status of any indigenous biodiversity as listed under the New Zealand Threat Classification System </w:t>
      </w:r>
      <w:r w:rsidRPr="00726A52">
        <w:rPr>
          <w:rStyle w:val="normaltextrun"/>
          <w:rFonts w:cstheme="minorHAnsi"/>
          <w:szCs w:val="22"/>
        </w:rPr>
        <w:t>(Townsend et al, 2008)</w:t>
      </w:r>
      <w:r w:rsidRPr="00726A52">
        <w:rPr>
          <w:rFonts w:cstheme="minorHAnsi"/>
          <w:szCs w:val="22"/>
          <w:u w:val="single"/>
        </w:rPr>
        <w:t>; or</w:t>
      </w:r>
      <w:r w:rsidRPr="00726A52">
        <w:rPr>
          <w:rStyle w:val="FootnoteReference"/>
          <w:rFonts w:cstheme="minorHAnsi"/>
          <w:szCs w:val="22"/>
        </w:rPr>
        <w:footnoteReference w:id="1461"/>
      </w:r>
      <w:r w:rsidRPr="00726A52">
        <w:rPr>
          <w:rFonts w:cstheme="minorHAnsi"/>
          <w:szCs w:val="22"/>
        </w:rPr>
        <w:t xml:space="preserve"> </w:t>
      </w:r>
    </w:p>
    <w:p w14:paraId="1FABA0B2" w14:textId="799D1932" w:rsidR="00726A52" w:rsidRPr="00726A52" w:rsidRDefault="00726A52" w:rsidP="00726A52">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u w:val="single"/>
        </w:rPr>
      </w:pPr>
      <w:r w:rsidRPr="00726A52">
        <w:rPr>
          <w:rFonts w:asciiTheme="minorHAnsi" w:hAnsiTheme="minorHAnsi" w:cstheme="minorHAnsi"/>
          <w:sz w:val="22"/>
          <w:szCs w:val="22"/>
          <w:u w:val="single"/>
        </w:rPr>
        <w:t xml:space="preserve">(d) </w:t>
      </w:r>
      <w:r>
        <w:rPr>
          <w:rFonts w:asciiTheme="minorHAnsi" w:hAnsiTheme="minorHAnsi" w:cstheme="minorHAnsi"/>
          <w:sz w:val="22"/>
          <w:szCs w:val="22"/>
          <w:u w:val="single"/>
        </w:rPr>
        <w:tab/>
      </w:r>
      <w:r w:rsidRPr="00726A52">
        <w:rPr>
          <w:rFonts w:asciiTheme="minorHAnsi" w:hAnsiTheme="minorHAnsi" w:cstheme="minorHAnsi"/>
          <w:sz w:val="22"/>
          <w:szCs w:val="22"/>
          <w:u w:val="single"/>
        </w:rPr>
        <w:t xml:space="preserve">the removal or loss of viability of a naturally uncommon ecosystem type that is associated with </w:t>
      </w:r>
      <w:r w:rsidRPr="00D00439">
        <w:rPr>
          <w:rFonts w:asciiTheme="minorHAnsi" w:hAnsiTheme="minorHAnsi" w:cstheme="minorHAnsi"/>
          <w:i/>
          <w:iCs/>
          <w:sz w:val="22"/>
          <w:szCs w:val="22"/>
          <w:u w:val="single"/>
        </w:rPr>
        <w:t>indigenous vegetation</w:t>
      </w:r>
      <w:r w:rsidRPr="00726A52">
        <w:rPr>
          <w:rFonts w:asciiTheme="minorHAnsi" w:hAnsiTheme="minorHAnsi" w:cstheme="minorHAnsi"/>
          <w:sz w:val="22"/>
          <w:szCs w:val="22"/>
          <w:u w:val="single"/>
        </w:rPr>
        <w:t xml:space="preserve"> or habitat of indigenous fauna; or</w:t>
      </w:r>
      <w:r w:rsidRPr="00726A52">
        <w:rPr>
          <w:rStyle w:val="FootnoteReference"/>
          <w:rFonts w:asciiTheme="minorHAnsi" w:hAnsiTheme="minorHAnsi" w:cstheme="minorHAnsi"/>
          <w:sz w:val="22"/>
          <w:szCs w:val="22"/>
        </w:rPr>
        <w:footnoteReference w:id="1462"/>
      </w:r>
    </w:p>
    <w:p w14:paraId="16408324" w14:textId="1ADC9E4F" w:rsidR="00726A52" w:rsidRPr="00726A52" w:rsidRDefault="00726A52" w:rsidP="00726A52">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u w:val="single"/>
        </w:rPr>
      </w:pPr>
      <w:r w:rsidRPr="00726A52">
        <w:rPr>
          <w:rFonts w:asciiTheme="minorHAnsi" w:hAnsiTheme="minorHAnsi" w:cstheme="minorHAnsi"/>
          <w:sz w:val="22"/>
          <w:szCs w:val="22"/>
          <w:u w:val="single"/>
        </w:rPr>
        <w:t xml:space="preserve">(e) </w:t>
      </w:r>
      <w:r>
        <w:rPr>
          <w:rFonts w:asciiTheme="minorHAnsi" w:hAnsiTheme="minorHAnsi" w:cstheme="minorHAnsi"/>
          <w:sz w:val="22"/>
          <w:szCs w:val="22"/>
          <w:u w:val="single"/>
        </w:rPr>
        <w:tab/>
      </w:r>
      <w:r w:rsidRPr="00726A52">
        <w:rPr>
          <w:rFonts w:asciiTheme="minorHAnsi" w:hAnsiTheme="minorHAnsi" w:cstheme="minorHAnsi"/>
          <w:sz w:val="22"/>
          <w:szCs w:val="22"/>
          <w:u w:val="single"/>
        </w:rPr>
        <w:t xml:space="preserve">the loss (including cumulative loss) of irreplaceable or vulnerable indigenous </w:t>
      </w:r>
      <w:r w:rsidRPr="00D00439">
        <w:rPr>
          <w:rFonts w:asciiTheme="minorHAnsi" w:hAnsiTheme="minorHAnsi" w:cstheme="minorHAnsi"/>
          <w:i/>
          <w:iCs/>
          <w:sz w:val="22"/>
          <w:szCs w:val="22"/>
          <w:u w:val="single"/>
        </w:rPr>
        <w:t>biodiversity</w:t>
      </w:r>
      <w:r w:rsidRPr="00726A52">
        <w:rPr>
          <w:rFonts w:asciiTheme="minorHAnsi" w:hAnsiTheme="minorHAnsi" w:cstheme="minorHAnsi"/>
          <w:sz w:val="22"/>
          <w:szCs w:val="22"/>
          <w:u w:val="single"/>
        </w:rPr>
        <w:t>.</w:t>
      </w:r>
      <w:r w:rsidRPr="00726A52">
        <w:rPr>
          <w:rStyle w:val="FootnoteReference"/>
          <w:rFonts w:asciiTheme="minorHAnsi" w:hAnsiTheme="minorHAnsi" w:cstheme="minorHAnsi"/>
          <w:sz w:val="22"/>
          <w:szCs w:val="22"/>
        </w:rPr>
        <w:footnoteReference w:id="1463"/>
      </w:r>
    </w:p>
    <w:p w14:paraId="76F048C3" w14:textId="4491272E" w:rsidR="00726A52" w:rsidRPr="00726A52" w:rsidRDefault="00726A52" w:rsidP="00726A52">
      <w:pPr>
        <w:pStyle w:val="paragraph"/>
        <w:spacing w:before="0" w:beforeAutospacing="0" w:after="120" w:afterAutospacing="0" w:line="276" w:lineRule="auto"/>
        <w:ind w:left="567"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(2)</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i/>
          <w:iCs/>
          <w:sz w:val="22"/>
          <w:szCs w:val="22"/>
        </w:rPr>
        <w:t>Biodiversity</w:t>
      </w:r>
      <w:r w:rsidRPr="00726A52">
        <w:rPr>
          <w:rStyle w:val="normaltextrun"/>
          <w:rFonts w:asciiTheme="minorHAnsi" w:hAnsiTheme="minorHAnsi" w:cstheme="minorHAnsi"/>
          <w:sz w:val="22"/>
          <w:szCs w:val="22"/>
        </w:rPr>
        <w:t xml:space="preserve"> offsetting </w:t>
      </w:r>
      <w:r w:rsidRPr="00726A52">
        <w:rPr>
          <w:rStyle w:val="normaltextrun"/>
          <w:rFonts w:asciiTheme="minorHAnsi" w:hAnsiTheme="minorHAnsi" w:cstheme="minorHAnsi"/>
          <w:sz w:val="22"/>
          <w:szCs w:val="22"/>
          <w:u w:val="single"/>
        </w:rPr>
        <w:t>may be</w:t>
      </w:r>
      <w:r w:rsidRPr="00726A52">
        <w:rPr>
          <w:rStyle w:val="normaltextrun"/>
          <w:rFonts w:asciiTheme="minorHAnsi" w:hAnsiTheme="minorHAnsi" w:cstheme="minorHAnsi"/>
          <w:sz w:val="22"/>
          <w:szCs w:val="22"/>
        </w:rPr>
        <w:t xml:space="preserve"> </w:t>
      </w:r>
      <w:r w:rsidRPr="00726A52">
        <w:rPr>
          <w:rStyle w:val="normaltextrun"/>
          <w:rFonts w:asciiTheme="minorHAnsi" w:hAnsiTheme="minorHAnsi" w:cstheme="minorHAnsi"/>
          <w:strike/>
          <w:sz w:val="22"/>
          <w:szCs w:val="22"/>
        </w:rPr>
        <w:t>is</w:t>
      </w:r>
      <w:r w:rsidRPr="00726A52">
        <w:rPr>
          <w:rStyle w:val="FootnoteReference"/>
          <w:rFonts w:asciiTheme="minorHAnsi" w:hAnsiTheme="minorHAnsi" w:cstheme="minorHAnsi"/>
          <w:sz w:val="22"/>
          <w:szCs w:val="22"/>
        </w:rPr>
        <w:footnoteReference w:id="1464"/>
      </w:r>
      <w:r w:rsidRPr="00726A52">
        <w:rPr>
          <w:rStyle w:val="normaltextrun"/>
          <w:rFonts w:asciiTheme="minorHAnsi" w:hAnsiTheme="minorHAnsi" w:cstheme="minorHAnsi"/>
          <w:sz w:val="22"/>
          <w:szCs w:val="22"/>
        </w:rPr>
        <w:t xml:space="preserve"> available if the following criteria are met:</w:t>
      </w:r>
      <w:r w:rsidRPr="00726A52">
        <w:rPr>
          <w:rStyle w:val="eop"/>
          <w:rFonts w:asciiTheme="minorHAnsi" w:hAnsiTheme="minorHAnsi" w:cstheme="minorHAnsi"/>
          <w:sz w:val="22"/>
          <w:szCs w:val="22"/>
        </w:rPr>
        <w:t> </w:t>
      </w:r>
    </w:p>
    <w:p w14:paraId="7B246469" w14:textId="1EDE18B9" w:rsidR="00726A52" w:rsidRPr="00726A52" w:rsidRDefault="00726A52" w:rsidP="00726A52">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(a)</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the offset addresses residual adverse </w:t>
      </w:r>
      <w:r w:rsidRPr="00726A52">
        <w:rPr>
          <w:rStyle w:val="normaltextrun"/>
          <w:rFonts w:asciiTheme="minorHAnsi" w:hAnsiTheme="minorHAnsi" w:cstheme="minorHAnsi"/>
          <w:i/>
          <w:iCs/>
          <w:sz w:val="22"/>
          <w:szCs w:val="22"/>
        </w:rPr>
        <w:t>effects</w:t>
      </w:r>
      <w:r w:rsidRPr="00726A52">
        <w:rPr>
          <w:rStyle w:val="normaltextrun"/>
          <w:rFonts w:asciiTheme="minorHAnsi" w:hAnsiTheme="minorHAnsi" w:cstheme="minorHAnsi"/>
          <w:sz w:val="22"/>
          <w:szCs w:val="22"/>
        </w:rPr>
        <w:t xml:space="preserve"> that remain after implementing the sequential steps required by ECO</w:t>
      </w:r>
      <w:r>
        <w:rPr>
          <w:rStyle w:val="normaltextrun"/>
          <w:rFonts w:asciiTheme="minorHAnsi" w:hAnsiTheme="minorHAnsi" w:cstheme="minorHAnsi"/>
          <w:sz w:val="22"/>
          <w:szCs w:val="22"/>
        </w:rPr>
        <w:t>-</w:t>
      </w:r>
      <w:r w:rsidRPr="00726A52">
        <w:rPr>
          <w:rStyle w:val="normaltextrun"/>
          <w:rFonts w:asciiTheme="minorHAnsi" w:hAnsiTheme="minorHAnsi" w:cstheme="minorHAnsi"/>
          <w:sz w:val="22"/>
          <w:szCs w:val="22"/>
        </w:rPr>
        <w:t>P6(1) to (3),</w:t>
      </w:r>
      <w:r w:rsidRPr="00726A52">
        <w:rPr>
          <w:rStyle w:val="eop"/>
          <w:rFonts w:asciiTheme="minorHAnsi" w:hAnsiTheme="minorHAnsi" w:cstheme="minorHAnsi"/>
          <w:sz w:val="22"/>
          <w:szCs w:val="22"/>
        </w:rPr>
        <w:t> </w:t>
      </w:r>
    </w:p>
    <w:p w14:paraId="3E2D0ED9" w14:textId="08BAA4CB" w:rsidR="00726A52" w:rsidRPr="00726A52" w:rsidRDefault="00726A52" w:rsidP="00726A52">
      <w:pPr>
        <w:pStyle w:val="paragraph"/>
        <w:spacing w:before="0" w:beforeAutospacing="0" w:after="120" w:afterAutospacing="0" w:line="276" w:lineRule="auto"/>
        <w:ind w:left="1134" w:hanging="567"/>
        <w:jc w:val="both"/>
        <w:textAlignment w:val="baseline"/>
        <w:rPr>
          <w:rStyle w:val="eop"/>
          <w:rFonts w:asciiTheme="minorHAnsi" w:hAnsiTheme="minorHAnsi" w:cstheme="minorHAnsi"/>
          <w:sz w:val="22"/>
          <w:szCs w:val="22"/>
        </w:rPr>
      </w:pPr>
      <w:r w:rsidRPr="00726A52">
        <w:rPr>
          <w:rStyle w:val="normaltextrun"/>
          <w:rFonts w:asciiTheme="minorHAnsi" w:hAnsiTheme="minorHAnsi" w:cstheme="minorHAnsi"/>
          <w:sz w:val="22"/>
          <w:szCs w:val="22"/>
        </w:rPr>
        <w:t>(b)</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tabchar"/>
          <w:rFonts w:asciiTheme="minorHAnsi" w:hAnsiTheme="minorHAnsi" w:cstheme="minorHAnsi"/>
          <w:sz w:val="22"/>
          <w:szCs w:val="22"/>
          <w:u w:val="single"/>
        </w:rPr>
        <w:t xml:space="preserve">the proposal </w:t>
      </w:r>
      <w:r w:rsidRPr="00726A52">
        <w:rPr>
          <w:rFonts w:asciiTheme="minorHAnsi" w:hAnsiTheme="minorHAnsi" w:cstheme="minorHAnsi"/>
          <w:sz w:val="22"/>
          <w:szCs w:val="22"/>
          <w:u w:val="single"/>
        </w:rPr>
        <w:t>demonstrates that</w:t>
      </w:r>
      <w:r w:rsidRPr="00726A52">
        <w:rPr>
          <w:rStyle w:val="FootnoteReference"/>
          <w:rFonts w:asciiTheme="minorHAnsi" w:hAnsiTheme="minorHAnsi" w:cstheme="minorHAnsi"/>
          <w:sz w:val="22"/>
          <w:szCs w:val="22"/>
        </w:rPr>
        <w:footnoteReference w:id="1465"/>
      </w:r>
      <w:r w:rsidRPr="00726A52">
        <w:rPr>
          <w:rFonts w:asciiTheme="minorHAnsi" w:hAnsiTheme="minorHAnsi" w:cstheme="minorHAnsi"/>
          <w:sz w:val="22"/>
          <w:szCs w:val="22"/>
        </w:rPr>
        <w:t xml:space="preserve"> </w:t>
      </w:r>
      <w:r w:rsidRPr="00726A52">
        <w:rPr>
          <w:rStyle w:val="normaltextrun"/>
          <w:rFonts w:asciiTheme="minorHAnsi" w:hAnsiTheme="minorHAnsi" w:cstheme="minorHAnsi"/>
          <w:sz w:val="22"/>
          <w:szCs w:val="22"/>
        </w:rPr>
        <w:t xml:space="preserve">the offset </w:t>
      </w:r>
      <w:r w:rsidRPr="00726A52">
        <w:rPr>
          <w:rFonts w:asciiTheme="minorHAnsi" w:hAnsiTheme="minorHAnsi" w:cstheme="minorHAnsi"/>
          <w:sz w:val="22"/>
          <w:szCs w:val="22"/>
          <w:u w:val="single"/>
        </w:rPr>
        <w:t>can reasonably</w:t>
      </w:r>
      <w:r w:rsidRPr="00726A52">
        <w:rPr>
          <w:rStyle w:val="FootnoteReference"/>
          <w:rFonts w:asciiTheme="minorHAnsi" w:hAnsiTheme="minorHAnsi" w:cstheme="minorHAnsi"/>
          <w:sz w:val="22"/>
          <w:szCs w:val="22"/>
        </w:rPr>
        <w:footnoteReference w:id="1466"/>
      </w:r>
      <w:r w:rsidRPr="00726A52">
        <w:rPr>
          <w:rFonts w:asciiTheme="minorHAnsi" w:hAnsiTheme="minorHAnsi" w:cstheme="minorHAnsi"/>
          <w:sz w:val="22"/>
          <w:szCs w:val="22"/>
        </w:rPr>
        <w:t xml:space="preserve"> </w:t>
      </w:r>
      <w:r w:rsidRPr="00726A52">
        <w:rPr>
          <w:rStyle w:val="normaltextrun"/>
          <w:rFonts w:asciiTheme="minorHAnsi" w:hAnsiTheme="minorHAnsi" w:cstheme="minorHAnsi"/>
          <w:sz w:val="22"/>
          <w:szCs w:val="22"/>
        </w:rPr>
        <w:t>achieve</w:t>
      </w:r>
      <w:r w:rsidRPr="00726A52">
        <w:rPr>
          <w:rStyle w:val="normaltextrun"/>
          <w:rFonts w:asciiTheme="minorHAnsi" w:hAnsiTheme="minorHAnsi" w:cstheme="minorHAnsi"/>
          <w:strike/>
          <w:sz w:val="22"/>
          <w:szCs w:val="22"/>
        </w:rPr>
        <w:t>s</w:t>
      </w:r>
      <w:r w:rsidRPr="00726A52">
        <w:rPr>
          <w:rStyle w:val="FootnoteReference"/>
          <w:rFonts w:asciiTheme="minorHAnsi" w:hAnsiTheme="minorHAnsi" w:cstheme="minorHAnsi"/>
          <w:sz w:val="22"/>
          <w:szCs w:val="22"/>
        </w:rPr>
        <w:footnoteReference w:id="1467"/>
      </w:r>
      <w:r w:rsidRPr="00726A52">
        <w:rPr>
          <w:rStyle w:val="normaltextrun"/>
          <w:rFonts w:asciiTheme="minorHAnsi" w:hAnsiTheme="minorHAnsi" w:cstheme="minorHAnsi"/>
          <w:sz w:val="22"/>
          <w:szCs w:val="22"/>
        </w:rPr>
        <w:t xml:space="preserve"> no net loss and preferably a net gain in indigenous </w:t>
      </w:r>
      <w:r w:rsidRPr="00726A52">
        <w:rPr>
          <w:rStyle w:val="normaltextrun"/>
          <w:rFonts w:asciiTheme="minorHAnsi" w:hAnsiTheme="minorHAnsi" w:cstheme="minorHAnsi"/>
          <w:i/>
          <w:iCs/>
          <w:sz w:val="22"/>
          <w:szCs w:val="22"/>
        </w:rPr>
        <w:t>biodiversity</w:t>
      </w:r>
      <w:r w:rsidRPr="00726A52">
        <w:rPr>
          <w:rStyle w:val="normaltextrun"/>
          <w:rFonts w:asciiTheme="minorHAnsi" w:hAnsiTheme="minorHAnsi" w:cstheme="minorHAnsi"/>
          <w:sz w:val="22"/>
          <w:szCs w:val="22"/>
        </w:rPr>
        <w:t>, as measured by type, amount and condition at both the impact and offset sites using an explicit loss and gain calculation,</w:t>
      </w:r>
      <w:r w:rsidRPr="00726A52">
        <w:rPr>
          <w:rStyle w:val="eop"/>
          <w:rFonts w:asciiTheme="minorHAnsi" w:hAnsiTheme="minorHAnsi" w:cstheme="minorHAnsi"/>
          <w:sz w:val="22"/>
          <w:szCs w:val="22"/>
        </w:rPr>
        <w:t> </w:t>
      </w:r>
    </w:p>
    <w:p w14:paraId="619F7AAA" w14:textId="2FECFBA1" w:rsidR="00726A52" w:rsidRPr="00726A52" w:rsidRDefault="00726A52" w:rsidP="00726A52">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(c)</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the offset is undertaken where it will result in the best ecological outcome, and </w:t>
      </w:r>
      <w:r w:rsidRPr="00726A52">
        <w:rPr>
          <w:rFonts w:asciiTheme="minorHAnsi" w:hAnsiTheme="minorHAnsi" w:cstheme="minorHAnsi"/>
          <w:sz w:val="22"/>
          <w:szCs w:val="22"/>
          <w:u w:val="single"/>
        </w:rPr>
        <w:t>is preferably</w:t>
      </w:r>
      <w:r w:rsidRPr="00726A52">
        <w:rPr>
          <w:rStyle w:val="normaltextrun"/>
          <w:rFonts w:asciiTheme="minorHAnsi" w:hAnsiTheme="minorHAnsi" w:cstheme="minorHAnsi"/>
          <w:sz w:val="22"/>
          <w:szCs w:val="22"/>
        </w:rPr>
        <w:t xml:space="preserve"> </w:t>
      </w:r>
      <w:r w:rsidRPr="00726A52">
        <w:rPr>
          <w:rStyle w:val="normaltextrun"/>
          <w:rFonts w:asciiTheme="minorHAnsi" w:hAnsiTheme="minorHAnsi" w:cstheme="minorHAnsi"/>
          <w:strike/>
          <w:sz w:val="22"/>
          <w:szCs w:val="22"/>
        </w:rPr>
        <w:t>as the first priority be</w:t>
      </w:r>
      <w:r w:rsidRPr="00726A52">
        <w:rPr>
          <w:rStyle w:val="normaltextrun"/>
          <w:rFonts w:asciiTheme="minorHAnsi" w:hAnsiTheme="minorHAnsi" w:cstheme="minorHAnsi"/>
          <w:sz w:val="22"/>
          <w:szCs w:val="22"/>
        </w:rPr>
        <w:t>:</w:t>
      </w:r>
      <w:r w:rsidRPr="00726A52">
        <w:rPr>
          <w:rStyle w:val="FootnoteReference"/>
          <w:rFonts w:asciiTheme="minorHAnsi" w:hAnsiTheme="minorHAnsi" w:cstheme="minorHAnsi"/>
          <w:sz w:val="22"/>
          <w:szCs w:val="22"/>
        </w:rPr>
        <w:footnoteReference w:id="1468"/>
      </w:r>
      <w:r w:rsidRPr="00726A52">
        <w:rPr>
          <w:rStyle w:val="eop"/>
          <w:rFonts w:asciiTheme="minorHAnsi" w:hAnsiTheme="minorHAnsi" w:cstheme="minorHAnsi"/>
          <w:sz w:val="22"/>
          <w:szCs w:val="22"/>
        </w:rPr>
        <w:t> </w:t>
      </w:r>
    </w:p>
    <w:p w14:paraId="3E31B1D0" w14:textId="317E267B" w:rsidR="00726A52" w:rsidRPr="00726A52" w:rsidRDefault="00726A52" w:rsidP="00726A52">
      <w:pPr>
        <w:pStyle w:val="paragraph"/>
        <w:spacing w:before="0" w:beforeAutospacing="0" w:after="120" w:afterAutospacing="0" w:line="276" w:lineRule="auto"/>
        <w:ind w:left="1701"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(i)</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close to the location of the activity,</w:t>
      </w:r>
      <w:r w:rsidRPr="00726A52">
        <w:rPr>
          <w:rStyle w:val="eop"/>
          <w:rFonts w:asciiTheme="minorHAnsi" w:hAnsiTheme="minorHAnsi" w:cstheme="minorHAnsi"/>
          <w:sz w:val="22"/>
          <w:szCs w:val="22"/>
        </w:rPr>
        <w:t xml:space="preserve"> and </w:t>
      </w:r>
    </w:p>
    <w:p w14:paraId="137F3B2D" w14:textId="352642CE" w:rsidR="00726A52" w:rsidRPr="00726A52" w:rsidRDefault="00726A52" w:rsidP="00726A52">
      <w:pPr>
        <w:pStyle w:val="paragraph"/>
        <w:spacing w:before="0" w:beforeAutospacing="0" w:after="120" w:afterAutospacing="0" w:line="276" w:lineRule="auto"/>
        <w:ind w:left="1701"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lastRenderedPageBreak/>
        <w:t>(ii)</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within the same </w:t>
      </w:r>
      <w:r w:rsidRPr="007E664C">
        <w:rPr>
          <w:rStyle w:val="normaltextrun"/>
          <w:rFonts w:asciiTheme="minorHAnsi" w:hAnsiTheme="minorHAnsi" w:cstheme="minorHAnsi"/>
          <w:sz w:val="22"/>
          <w:szCs w:val="22"/>
        </w:rPr>
        <w:t>ecological district</w:t>
      </w:r>
      <w:r w:rsidR="007E664C" w:rsidRPr="007E664C">
        <w:rPr>
          <w:rStyle w:val="FootnoteReference"/>
          <w:rFonts w:asciiTheme="minorHAnsi" w:hAnsiTheme="minorHAnsi" w:cstheme="minorHAnsi"/>
          <w:sz w:val="20"/>
          <w:szCs w:val="20"/>
          <w:u w:val="single"/>
          <w:shd w:val="clear" w:color="auto" w:fill="D9D9D9" w:themeFill="background1" w:themeFillShade="D9"/>
        </w:rPr>
        <w:footnoteReference w:id="1469"/>
      </w:r>
      <w:r w:rsidRPr="007E664C">
        <w:rPr>
          <w:rStyle w:val="normaltextrun"/>
          <w:rFonts w:asciiTheme="minorHAnsi" w:hAnsiTheme="minorHAnsi" w:cstheme="minorHAnsi"/>
          <w:sz w:val="22"/>
          <w:szCs w:val="22"/>
        </w:rPr>
        <w:t xml:space="preserve"> </w:t>
      </w:r>
      <w:r w:rsidRPr="00726A52">
        <w:rPr>
          <w:rStyle w:val="normaltextrun"/>
          <w:rFonts w:asciiTheme="minorHAnsi" w:hAnsiTheme="minorHAnsi" w:cstheme="minorHAnsi"/>
          <w:strike/>
          <w:sz w:val="22"/>
          <w:szCs w:val="22"/>
        </w:rPr>
        <w:t>or coastal marine biogeographic region</w:t>
      </w:r>
      <w:r w:rsidRPr="00726A52">
        <w:rPr>
          <w:rStyle w:val="normaltextrun"/>
          <w:rFonts w:asciiTheme="minorHAnsi" w:hAnsiTheme="minorHAnsi" w:cstheme="minorHAnsi"/>
          <w:sz w:val="22"/>
          <w:szCs w:val="22"/>
        </w:rPr>
        <w:t>,</w:t>
      </w:r>
      <w:r w:rsidRPr="00726A52">
        <w:rPr>
          <w:rStyle w:val="FootnoteReference"/>
          <w:rFonts w:asciiTheme="minorHAnsi" w:hAnsiTheme="minorHAnsi" w:cstheme="minorHAnsi"/>
          <w:sz w:val="22"/>
          <w:szCs w:val="22"/>
        </w:rPr>
        <w:footnoteReference w:id="1470"/>
      </w:r>
      <w:r w:rsidRPr="00726A52">
        <w:rPr>
          <w:rStyle w:val="eop"/>
          <w:rFonts w:asciiTheme="minorHAnsi" w:hAnsiTheme="minorHAnsi" w:cstheme="minorHAnsi"/>
          <w:sz w:val="22"/>
          <w:szCs w:val="22"/>
        </w:rPr>
        <w:t> </w:t>
      </w:r>
    </w:p>
    <w:p w14:paraId="130DF32F" w14:textId="719E4BFB" w:rsidR="00726A52" w:rsidRPr="00726A52" w:rsidRDefault="00726A52" w:rsidP="00726A52">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(d)</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the offset is applied so that the ecological values being achieved are the same or similar to those being lost,</w:t>
      </w:r>
      <w:r w:rsidRPr="00726A52">
        <w:rPr>
          <w:rStyle w:val="eop"/>
          <w:rFonts w:asciiTheme="minorHAnsi" w:hAnsiTheme="minorHAnsi" w:cstheme="minorHAnsi"/>
          <w:sz w:val="22"/>
          <w:szCs w:val="22"/>
        </w:rPr>
        <w:t xml:space="preserve">   </w:t>
      </w:r>
    </w:p>
    <w:p w14:paraId="193710A4" w14:textId="60D5C289" w:rsidR="00726A52" w:rsidRPr="00726A52" w:rsidRDefault="00726A52" w:rsidP="00D00439">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(e)</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the positive ecological outcomes of the offset endure at least as long as the impact of the activity and preferably in perpetuity,</w:t>
      </w:r>
      <w:r w:rsidRPr="00726A52">
        <w:rPr>
          <w:rStyle w:val="eop"/>
          <w:rFonts w:asciiTheme="minorHAnsi" w:hAnsiTheme="minorHAnsi" w:cstheme="minorHAnsi"/>
          <w:sz w:val="22"/>
          <w:szCs w:val="22"/>
        </w:rPr>
        <w:t> </w:t>
      </w:r>
    </w:p>
    <w:p w14:paraId="708630C0" w14:textId="0394E068" w:rsidR="00726A52" w:rsidRPr="00726A52" w:rsidRDefault="00726A52" w:rsidP="00D00439">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(f)</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u w:val="single"/>
        </w:rPr>
        <w:t xml:space="preserve">the proposal demonstrates that </w:t>
      </w:r>
      <w:r w:rsidRPr="00726A52">
        <w:rPr>
          <w:rStyle w:val="normaltextrun"/>
          <w:rFonts w:asciiTheme="minorHAnsi" w:hAnsiTheme="minorHAnsi" w:cstheme="minorHAnsi"/>
          <w:sz w:val="22"/>
          <w:szCs w:val="22"/>
        </w:rPr>
        <w:t xml:space="preserve">the offset achieves </w:t>
      </w:r>
      <w:r w:rsidRPr="00726A52">
        <w:rPr>
          <w:rStyle w:val="normaltextrun"/>
          <w:rFonts w:asciiTheme="minorHAnsi" w:hAnsiTheme="minorHAnsi" w:cstheme="minorHAnsi"/>
          <w:i/>
          <w:iCs/>
          <w:sz w:val="22"/>
          <w:szCs w:val="22"/>
        </w:rPr>
        <w:t>biodiversity</w:t>
      </w:r>
      <w:r w:rsidRPr="00726A52">
        <w:rPr>
          <w:rStyle w:val="normaltextrun"/>
          <w:rFonts w:asciiTheme="minorHAnsi" w:hAnsiTheme="minorHAnsi" w:cstheme="minorHAnsi"/>
          <w:sz w:val="22"/>
          <w:szCs w:val="22"/>
        </w:rPr>
        <w:t xml:space="preserve"> outcomes </w:t>
      </w:r>
      <w:r w:rsidRPr="00726A52">
        <w:rPr>
          <w:rStyle w:val="normaltextrun"/>
          <w:rFonts w:asciiTheme="minorHAnsi" w:hAnsiTheme="minorHAnsi" w:cstheme="minorHAnsi"/>
          <w:strike/>
          <w:sz w:val="22"/>
          <w:szCs w:val="22"/>
        </w:rPr>
        <w:t>beyond results</w:t>
      </w:r>
      <w:r w:rsidRPr="00726A52">
        <w:rPr>
          <w:rStyle w:val="normaltextrun"/>
          <w:rFonts w:asciiTheme="minorHAnsi" w:hAnsiTheme="minorHAnsi" w:cstheme="minorHAnsi"/>
          <w:sz w:val="22"/>
          <w:szCs w:val="22"/>
        </w:rPr>
        <w:t xml:space="preserve"> </w:t>
      </w:r>
      <w:r w:rsidRPr="00726A52">
        <w:rPr>
          <w:rStyle w:val="normaltextrun"/>
          <w:rFonts w:asciiTheme="minorHAnsi" w:hAnsiTheme="minorHAnsi" w:cstheme="minorHAnsi"/>
          <w:sz w:val="22"/>
          <w:szCs w:val="22"/>
          <w:u w:val="single"/>
        </w:rPr>
        <w:t>that are demonstrably additional to those</w:t>
      </w:r>
      <w:r w:rsidRPr="00726A52">
        <w:rPr>
          <w:rStyle w:val="FootnoteReference"/>
          <w:rFonts w:asciiTheme="minorHAnsi" w:hAnsiTheme="minorHAnsi" w:cstheme="minorHAnsi"/>
          <w:sz w:val="22"/>
          <w:szCs w:val="22"/>
        </w:rPr>
        <w:footnoteReference w:id="1471"/>
      </w:r>
      <w:r w:rsidRPr="00726A52">
        <w:rPr>
          <w:rStyle w:val="normaltextrun"/>
          <w:rFonts w:asciiTheme="minorHAnsi" w:hAnsiTheme="minorHAnsi" w:cstheme="minorHAnsi"/>
          <w:sz w:val="22"/>
          <w:szCs w:val="22"/>
        </w:rPr>
        <w:t xml:space="preserve">  that would have occurred if the offset was not proposed, </w:t>
      </w:r>
      <w:r w:rsidRPr="00726A52">
        <w:rPr>
          <w:rFonts w:asciiTheme="minorHAnsi" w:hAnsiTheme="minorHAnsi" w:cstheme="minorHAnsi"/>
          <w:sz w:val="22"/>
          <w:szCs w:val="22"/>
          <w:u w:val="single"/>
        </w:rPr>
        <w:t>and are additional to any remediation or mitigation undertaken in relation to the adverse effects of the activity,</w:t>
      </w:r>
      <w:r w:rsidRPr="00726A52">
        <w:rPr>
          <w:rStyle w:val="FootnoteReference"/>
          <w:rFonts w:asciiTheme="minorHAnsi" w:hAnsiTheme="minorHAnsi" w:cstheme="minorHAnsi"/>
          <w:sz w:val="22"/>
          <w:szCs w:val="22"/>
        </w:rPr>
        <w:footnoteReference w:id="1472"/>
      </w:r>
      <w:r w:rsidRPr="00726A52">
        <w:rPr>
          <w:rStyle w:val="eop"/>
          <w:rFonts w:asciiTheme="minorHAnsi" w:hAnsiTheme="minorHAnsi" w:cstheme="minorHAnsi"/>
          <w:sz w:val="22"/>
          <w:szCs w:val="22"/>
        </w:rPr>
        <w:t> </w:t>
      </w:r>
    </w:p>
    <w:p w14:paraId="67093966" w14:textId="0171B912" w:rsidR="00726A52" w:rsidRPr="00726A52" w:rsidRDefault="00726A52" w:rsidP="00D00439">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(g)</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the time delay between the loss of </w:t>
      </w:r>
      <w:r w:rsidRPr="00726A52">
        <w:rPr>
          <w:rStyle w:val="normaltextrun"/>
          <w:rFonts w:asciiTheme="minorHAnsi" w:hAnsiTheme="minorHAnsi" w:cstheme="minorHAnsi"/>
          <w:i/>
          <w:iCs/>
          <w:sz w:val="22"/>
          <w:szCs w:val="22"/>
        </w:rPr>
        <w:t>biodiversity</w:t>
      </w:r>
      <w:r w:rsidRPr="00726A52">
        <w:rPr>
          <w:rStyle w:val="normaltextrun"/>
          <w:rFonts w:asciiTheme="minorHAnsi" w:hAnsiTheme="minorHAnsi" w:cstheme="minorHAnsi"/>
          <w:sz w:val="22"/>
          <w:szCs w:val="22"/>
        </w:rPr>
        <w:t xml:space="preserve"> and the </w:t>
      </w:r>
      <w:r w:rsidRPr="00726A52">
        <w:rPr>
          <w:rFonts w:asciiTheme="minorHAnsi" w:hAnsiTheme="minorHAnsi" w:cstheme="minorHAnsi"/>
          <w:sz w:val="22"/>
          <w:szCs w:val="22"/>
          <w:u w:val="single"/>
        </w:rPr>
        <w:t>gain or maturation of the</w:t>
      </w:r>
      <w:r w:rsidRPr="00726A52">
        <w:rPr>
          <w:rStyle w:val="normaltextrun"/>
          <w:rFonts w:asciiTheme="minorHAnsi" w:hAnsiTheme="minorHAnsi" w:cstheme="minorHAnsi"/>
          <w:sz w:val="22"/>
          <w:szCs w:val="22"/>
          <w:u w:val="single"/>
        </w:rPr>
        <w:t xml:space="preserve"> </w:t>
      </w:r>
      <w:r w:rsidRPr="00726A52">
        <w:rPr>
          <w:rFonts w:asciiTheme="minorHAnsi" w:hAnsiTheme="minorHAnsi" w:cstheme="minorHAnsi"/>
          <w:i/>
          <w:iCs/>
          <w:sz w:val="22"/>
          <w:szCs w:val="22"/>
          <w:u w:val="single"/>
        </w:rPr>
        <w:t>biodiversity</w:t>
      </w:r>
      <w:r w:rsidRPr="00726A52">
        <w:rPr>
          <w:rFonts w:asciiTheme="minorHAnsi" w:hAnsiTheme="minorHAnsi" w:cstheme="minorHAnsi"/>
          <w:sz w:val="22"/>
          <w:szCs w:val="22"/>
          <w:u w:val="single"/>
        </w:rPr>
        <w:t xml:space="preserve"> outcomes of the </w:t>
      </w:r>
      <w:r w:rsidRPr="00726A52">
        <w:rPr>
          <w:rStyle w:val="normaltextrun"/>
          <w:rFonts w:asciiTheme="minorHAnsi" w:hAnsiTheme="minorHAnsi" w:cstheme="minorHAnsi"/>
          <w:strike/>
          <w:sz w:val="22"/>
          <w:szCs w:val="22"/>
        </w:rPr>
        <w:t>realisation of the</w:t>
      </w:r>
      <w:r w:rsidRPr="00726A52">
        <w:rPr>
          <w:rStyle w:val="normaltextrun"/>
          <w:rFonts w:asciiTheme="minorHAnsi" w:hAnsiTheme="minorHAnsi" w:cstheme="minorHAnsi"/>
          <w:sz w:val="22"/>
          <w:szCs w:val="22"/>
        </w:rPr>
        <w:t xml:space="preserve"> </w:t>
      </w:r>
      <w:r w:rsidRPr="00726A52">
        <w:rPr>
          <w:rStyle w:val="FootnoteReference"/>
          <w:rFonts w:asciiTheme="minorHAnsi" w:hAnsiTheme="minorHAnsi" w:cstheme="minorHAnsi"/>
          <w:sz w:val="22"/>
          <w:szCs w:val="22"/>
        </w:rPr>
        <w:footnoteReference w:id="1473"/>
      </w:r>
      <w:r w:rsidRPr="00726A52">
        <w:rPr>
          <w:rStyle w:val="normaltextrun"/>
          <w:rFonts w:asciiTheme="minorHAnsi" w:hAnsiTheme="minorHAnsi" w:cstheme="minorHAnsi"/>
          <w:sz w:val="22"/>
          <w:szCs w:val="22"/>
        </w:rPr>
        <w:t>offset is the least necessary to achieve the best possible outcome,</w:t>
      </w:r>
    </w:p>
    <w:p w14:paraId="67EBDD70" w14:textId="02D59F5D" w:rsidR="00726A52" w:rsidRPr="00726A52" w:rsidRDefault="00726A52" w:rsidP="00D00439">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726A52">
        <w:rPr>
          <w:rStyle w:val="normaltextrun"/>
          <w:rFonts w:asciiTheme="minorHAnsi" w:hAnsiTheme="minorHAnsi" w:cstheme="minorHAnsi"/>
          <w:sz w:val="22"/>
          <w:szCs w:val="22"/>
        </w:rPr>
        <w:t>(h)</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the outcome of the offset is achieved within the duration of the </w:t>
      </w:r>
      <w:r w:rsidRPr="00726A52">
        <w:rPr>
          <w:rStyle w:val="normaltextrun"/>
          <w:rFonts w:asciiTheme="minorHAnsi" w:hAnsiTheme="minorHAnsi" w:cstheme="minorHAnsi"/>
          <w:i/>
          <w:iCs/>
          <w:sz w:val="22"/>
          <w:szCs w:val="22"/>
        </w:rPr>
        <w:t>resource consent</w:t>
      </w:r>
      <w:r w:rsidRPr="00726A52">
        <w:rPr>
          <w:rStyle w:val="normaltextrun"/>
          <w:rFonts w:asciiTheme="minorHAnsi" w:hAnsiTheme="minorHAnsi" w:cstheme="minorHAnsi"/>
          <w:sz w:val="22"/>
          <w:szCs w:val="22"/>
        </w:rPr>
        <w:t>, and</w:t>
      </w:r>
      <w:r w:rsidRPr="00726A52">
        <w:rPr>
          <w:rStyle w:val="eop"/>
          <w:rFonts w:asciiTheme="minorHAnsi" w:hAnsiTheme="minorHAnsi" w:cstheme="minorHAnsi"/>
          <w:sz w:val="22"/>
          <w:szCs w:val="22"/>
        </w:rPr>
        <w:t> </w:t>
      </w:r>
    </w:p>
    <w:p w14:paraId="5E9AF44B" w14:textId="6493CDB4" w:rsidR="00726A52" w:rsidRPr="00726A52" w:rsidRDefault="00726A52" w:rsidP="00D00439">
      <w:pPr>
        <w:pStyle w:val="paragraph"/>
        <w:spacing w:before="0" w:beforeAutospacing="0" w:after="120" w:afterAutospacing="0" w:line="276" w:lineRule="auto"/>
        <w:ind w:left="1134" w:hanging="567"/>
        <w:jc w:val="both"/>
        <w:textAlignment w:val="baseline"/>
        <w:rPr>
          <w:rStyle w:val="eop"/>
          <w:rFonts w:asciiTheme="minorHAnsi" w:hAnsiTheme="minorHAnsi" w:cstheme="minorHAnsi"/>
          <w:sz w:val="22"/>
          <w:szCs w:val="22"/>
        </w:rPr>
      </w:pPr>
      <w:r w:rsidRPr="00726A52">
        <w:rPr>
          <w:rStyle w:val="normaltextrun"/>
          <w:rFonts w:asciiTheme="minorHAnsi" w:hAnsiTheme="minorHAnsi" w:cstheme="minorHAnsi"/>
          <w:sz w:val="22"/>
          <w:szCs w:val="22"/>
        </w:rPr>
        <w:t>(i)</w:t>
      </w:r>
      <w:r w:rsidRPr="00726A52">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726A52">
        <w:rPr>
          <w:rStyle w:val="normaltextrun"/>
          <w:rFonts w:asciiTheme="minorHAnsi" w:hAnsiTheme="minorHAnsi" w:cstheme="minorHAnsi"/>
          <w:sz w:val="22"/>
          <w:szCs w:val="22"/>
        </w:rPr>
        <w:t xml:space="preserve">any offset developed in advance of an application for </w:t>
      </w:r>
      <w:r w:rsidRPr="00726A52">
        <w:rPr>
          <w:rStyle w:val="normaltextrun"/>
          <w:rFonts w:asciiTheme="minorHAnsi" w:hAnsiTheme="minorHAnsi" w:cstheme="minorHAnsi"/>
          <w:i/>
          <w:iCs/>
          <w:sz w:val="22"/>
          <w:szCs w:val="22"/>
        </w:rPr>
        <w:t>resource consent</w:t>
      </w:r>
      <w:r w:rsidRPr="00726A52">
        <w:rPr>
          <w:rStyle w:val="normaltextrun"/>
          <w:rFonts w:asciiTheme="minorHAnsi" w:hAnsiTheme="minorHAnsi" w:cstheme="minorHAnsi"/>
          <w:sz w:val="22"/>
          <w:szCs w:val="22"/>
        </w:rPr>
        <w:t xml:space="preserve"> must be shown to have been created or commenced in anticipation of the specific </w:t>
      </w:r>
      <w:r w:rsidRPr="00726A52">
        <w:rPr>
          <w:rStyle w:val="normaltextrun"/>
          <w:rFonts w:asciiTheme="minorHAnsi" w:hAnsiTheme="minorHAnsi" w:cstheme="minorHAnsi"/>
          <w:i/>
          <w:iCs/>
          <w:sz w:val="22"/>
          <w:szCs w:val="22"/>
        </w:rPr>
        <w:t xml:space="preserve">effect </w:t>
      </w:r>
      <w:r w:rsidRPr="00726A52">
        <w:rPr>
          <w:rStyle w:val="normaltextrun"/>
          <w:rFonts w:asciiTheme="minorHAnsi" w:hAnsiTheme="minorHAnsi" w:cstheme="minorHAnsi"/>
          <w:sz w:val="22"/>
          <w:szCs w:val="22"/>
        </w:rPr>
        <w:t xml:space="preserve">of the proposed activity and would not have occurred if that </w:t>
      </w:r>
      <w:r w:rsidRPr="00726A52">
        <w:rPr>
          <w:rStyle w:val="normaltextrun"/>
          <w:rFonts w:asciiTheme="minorHAnsi" w:hAnsiTheme="minorHAnsi" w:cstheme="minorHAnsi"/>
          <w:i/>
          <w:iCs/>
          <w:sz w:val="22"/>
          <w:szCs w:val="22"/>
        </w:rPr>
        <w:t>effect</w:t>
      </w:r>
      <w:r w:rsidRPr="00726A52">
        <w:rPr>
          <w:rStyle w:val="normaltextrun"/>
          <w:rFonts w:asciiTheme="minorHAnsi" w:hAnsiTheme="minorHAnsi" w:cstheme="minorHAnsi"/>
          <w:sz w:val="22"/>
          <w:szCs w:val="22"/>
        </w:rPr>
        <w:t xml:space="preserve"> was not anticipated</w:t>
      </w:r>
      <w:r w:rsidR="00BE68A1" w:rsidRPr="009C2A33">
        <w:rPr>
          <w:rStyle w:val="normaltextrun"/>
          <w:rFonts w:asciiTheme="minorHAnsi" w:hAnsiTheme="minorHAnsi" w:cstheme="minorHAnsi"/>
          <w:strike/>
          <w:sz w:val="22"/>
          <w:szCs w:val="22"/>
        </w:rPr>
        <w:t>.</w:t>
      </w:r>
      <w:r w:rsidR="00BE68A1" w:rsidRPr="009C2A33">
        <w:rPr>
          <w:rStyle w:val="eop"/>
          <w:rFonts w:asciiTheme="minorHAnsi" w:hAnsiTheme="minorHAnsi" w:cstheme="minorHAnsi"/>
          <w:sz w:val="22"/>
          <w:szCs w:val="22"/>
          <w:u w:val="single"/>
        </w:rPr>
        <w:t>, and</w:t>
      </w:r>
      <w:r w:rsidRPr="00726A52">
        <w:rPr>
          <w:rStyle w:val="eop"/>
          <w:rFonts w:asciiTheme="minorHAnsi" w:hAnsiTheme="minorHAnsi" w:cstheme="minorHAnsi"/>
          <w:sz w:val="22"/>
          <w:szCs w:val="22"/>
        </w:rPr>
        <w:t> </w:t>
      </w:r>
    </w:p>
    <w:p w14:paraId="40418A14" w14:textId="6CE2AB5A" w:rsidR="00726A52" w:rsidRPr="00726A52" w:rsidRDefault="00726A52" w:rsidP="00726A52">
      <w:pPr>
        <w:ind w:left="567" w:hanging="567"/>
        <w:rPr>
          <w:rFonts w:cstheme="minorHAnsi"/>
          <w:szCs w:val="22"/>
          <w:u w:val="single"/>
        </w:rPr>
      </w:pPr>
      <w:r w:rsidRPr="00726A52">
        <w:rPr>
          <w:rFonts w:cstheme="minorHAnsi"/>
          <w:szCs w:val="22"/>
          <w:u w:val="single"/>
        </w:rPr>
        <w:t xml:space="preserve">(3) </w:t>
      </w:r>
      <w:r>
        <w:rPr>
          <w:rFonts w:cstheme="minorHAnsi"/>
          <w:u w:val="single"/>
        </w:rPr>
        <w:tab/>
      </w:r>
      <w:r w:rsidRPr="00726A52">
        <w:rPr>
          <w:rFonts w:cstheme="minorHAnsi"/>
          <w:i/>
          <w:iCs/>
          <w:szCs w:val="22"/>
          <w:u w:val="single"/>
        </w:rPr>
        <w:t>Biodiversity</w:t>
      </w:r>
      <w:r w:rsidRPr="00726A52">
        <w:rPr>
          <w:rFonts w:cstheme="minorHAnsi"/>
          <w:szCs w:val="22"/>
          <w:u w:val="single"/>
        </w:rPr>
        <w:t xml:space="preserve"> offsetting proposed in any application for </w:t>
      </w:r>
      <w:r w:rsidRPr="00A8589A">
        <w:rPr>
          <w:rFonts w:cstheme="minorHAnsi"/>
          <w:i/>
          <w:iCs/>
          <w:szCs w:val="22"/>
          <w:u w:val="single"/>
        </w:rPr>
        <w:t>resource consent</w:t>
      </w:r>
      <w:r w:rsidRPr="00726A52">
        <w:rPr>
          <w:rFonts w:cstheme="minorHAnsi"/>
          <w:szCs w:val="22"/>
          <w:u w:val="single"/>
        </w:rPr>
        <w:t>, plan change or notice of requirement, must address all matters i</w:t>
      </w:r>
      <w:r w:rsidR="00D00439">
        <w:rPr>
          <w:rFonts w:cstheme="minorHAnsi"/>
          <w:u w:val="single"/>
        </w:rPr>
        <w:t>n</w:t>
      </w:r>
      <w:r w:rsidRPr="00726A52">
        <w:rPr>
          <w:rFonts w:cstheme="minorHAnsi"/>
          <w:szCs w:val="22"/>
          <w:u w:val="single"/>
        </w:rPr>
        <w:t xml:space="preserve"> APP3(2), and:</w:t>
      </w:r>
    </w:p>
    <w:p w14:paraId="2D5AF51D" w14:textId="7AC3B39E" w:rsidR="00726A52" w:rsidRPr="00D00439" w:rsidRDefault="00726A52" w:rsidP="00D00439">
      <w:pPr>
        <w:ind w:left="1134" w:hanging="567"/>
        <w:rPr>
          <w:rFonts w:cstheme="minorHAnsi"/>
          <w:szCs w:val="22"/>
          <w:u w:val="single"/>
        </w:rPr>
      </w:pPr>
      <w:r w:rsidRPr="00D00439">
        <w:rPr>
          <w:rFonts w:cstheme="minorHAnsi"/>
          <w:szCs w:val="22"/>
          <w:u w:val="single"/>
        </w:rPr>
        <w:t xml:space="preserve">(a) </w:t>
      </w:r>
      <w:r w:rsidRPr="00D00439">
        <w:rPr>
          <w:rFonts w:cstheme="minorHAnsi"/>
          <w:u w:val="single"/>
        </w:rPr>
        <w:tab/>
      </w:r>
      <w:r w:rsidRPr="00D00439">
        <w:rPr>
          <w:rFonts w:cstheme="minorHAnsi"/>
          <w:szCs w:val="22"/>
          <w:u w:val="single"/>
        </w:rPr>
        <w:t xml:space="preserve">use objective counts and measures wherever possible,  </w:t>
      </w:r>
    </w:p>
    <w:p w14:paraId="157A16D4" w14:textId="40CEBA4C" w:rsidR="00726A52" w:rsidRPr="00D00439" w:rsidRDefault="00726A52" w:rsidP="00D00439">
      <w:pPr>
        <w:ind w:left="1134" w:hanging="567"/>
        <w:rPr>
          <w:rFonts w:cstheme="minorHAnsi"/>
          <w:szCs w:val="22"/>
          <w:u w:val="single"/>
        </w:rPr>
      </w:pPr>
      <w:r w:rsidRPr="00D00439">
        <w:rPr>
          <w:rFonts w:cstheme="minorHAnsi"/>
          <w:szCs w:val="22"/>
          <w:u w:val="single"/>
        </w:rPr>
        <w:t xml:space="preserve">(b) </w:t>
      </w:r>
      <w:r w:rsidRPr="00D00439">
        <w:rPr>
          <w:rFonts w:cstheme="minorHAnsi"/>
          <w:u w:val="single"/>
        </w:rPr>
        <w:tab/>
      </w:r>
      <w:r w:rsidRPr="00D00439">
        <w:rPr>
          <w:rFonts w:cstheme="minorHAnsi"/>
          <w:szCs w:val="22"/>
          <w:u w:val="single"/>
        </w:rPr>
        <w:t xml:space="preserve">include </w:t>
      </w:r>
      <w:r w:rsidRPr="00A8589A">
        <w:rPr>
          <w:rFonts w:cstheme="minorHAnsi"/>
          <w:i/>
          <w:iCs/>
          <w:szCs w:val="22"/>
          <w:u w:val="single"/>
        </w:rPr>
        <w:t>high value species or vegetation types</w:t>
      </w:r>
      <w:r w:rsidRPr="00D00439">
        <w:rPr>
          <w:rFonts w:cstheme="minorHAnsi"/>
          <w:szCs w:val="22"/>
          <w:u w:val="single"/>
        </w:rPr>
        <w:t xml:space="preserve"> as components,</w:t>
      </w:r>
    </w:p>
    <w:p w14:paraId="07CA8CD3" w14:textId="7F0BF6AB" w:rsidR="00726A52" w:rsidRPr="00D00439" w:rsidRDefault="00726A52" w:rsidP="00D00439">
      <w:pPr>
        <w:ind w:left="1134" w:hanging="567"/>
        <w:rPr>
          <w:rFonts w:cstheme="minorHAnsi"/>
          <w:sz w:val="18"/>
          <w:szCs w:val="18"/>
          <w:u w:val="single"/>
        </w:rPr>
      </w:pPr>
      <w:r w:rsidRPr="00D00439">
        <w:rPr>
          <w:rFonts w:cstheme="minorHAnsi"/>
          <w:szCs w:val="22"/>
          <w:u w:val="single"/>
        </w:rPr>
        <w:t>(c)</w:t>
      </w:r>
      <w:r w:rsidRPr="00D00439">
        <w:rPr>
          <w:rFonts w:cstheme="minorHAnsi"/>
          <w:u w:val="single"/>
        </w:rPr>
        <w:tab/>
        <w:t>disaggregate</w:t>
      </w:r>
      <w:r w:rsidRPr="00D00439">
        <w:rPr>
          <w:rFonts w:cstheme="minorHAnsi"/>
          <w:szCs w:val="22"/>
          <w:u w:val="single"/>
        </w:rPr>
        <w:t xml:space="preserve"> components of </w:t>
      </w:r>
      <w:r w:rsidRPr="00D00439">
        <w:rPr>
          <w:rFonts w:cstheme="minorHAnsi"/>
          <w:i/>
          <w:iCs/>
          <w:szCs w:val="22"/>
          <w:u w:val="single"/>
        </w:rPr>
        <w:t>high value species and vegetation types</w:t>
      </w:r>
      <w:r w:rsidRPr="00D00439">
        <w:rPr>
          <w:rFonts w:cstheme="minorHAnsi"/>
          <w:szCs w:val="22"/>
          <w:u w:val="single"/>
        </w:rPr>
        <w:t>, so that no trade-offs between them can occur,</w:t>
      </w:r>
    </w:p>
    <w:p w14:paraId="00892AE9" w14:textId="0902F3D6" w:rsidR="00726A52" w:rsidRPr="00D00439" w:rsidRDefault="00726A52" w:rsidP="00D00439">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u w:val="single"/>
        </w:rPr>
      </w:pPr>
      <w:r w:rsidRPr="00D00439">
        <w:rPr>
          <w:rFonts w:asciiTheme="minorHAnsi" w:hAnsiTheme="minorHAnsi" w:cstheme="minorHAnsi"/>
          <w:sz w:val="22"/>
          <w:szCs w:val="22"/>
          <w:u w:val="single"/>
        </w:rPr>
        <w:t xml:space="preserve">(d) </w:t>
      </w:r>
      <w:r w:rsidRPr="00D00439">
        <w:rPr>
          <w:rFonts w:asciiTheme="minorHAnsi" w:hAnsiTheme="minorHAnsi" w:cstheme="minorHAnsi"/>
          <w:sz w:val="22"/>
          <w:szCs w:val="22"/>
          <w:u w:val="single"/>
        </w:rPr>
        <w:tab/>
        <w:t xml:space="preserve">evaluate the ecological context, including the interactions between species, habitats and ecosystems, spatial connections and ecosystem function at the impact site and offset site, and </w:t>
      </w:r>
    </w:p>
    <w:p w14:paraId="293FDF39" w14:textId="3342EC4C" w:rsidR="00726A52" w:rsidRPr="00D00439" w:rsidRDefault="00726A52" w:rsidP="00D00439">
      <w:pPr>
        <w:pStyle w:val="paragraph"/>
        <w:spacing w:before="0" w:beforeAutospacing="0" w:after="120" w:afterAutospacing="0" w:line="276" w:lineRule="auto"/>
        <w:ind w:left="1134" w:hanging="567"/>
        <w:jc w:val="both"/>
        <w:textAlignment w:val="baseline"/>
        <w:rPr>
          <w:rStyle w:val="normaltextrun"/>
          <w:rFonts w:asciiTheme="minorHAnsi" w:hAnsiTheme="minorHAnsi" w:cstheme="minorHAnsi"/>
          <w:sz w:val="22"/>
          <w:szCs w:val="22"/>
          <w:u w:val="single"/>
        </w:rPr>
      </w:pPr>
      <w:r w:rsidRPr="00D00439">
        <w:rPr>
          <w:rStyle w:val="normaltextrun"/>
          <w:rFonts w:asciiTheme="minorHAnsi" w:hAnsiTheme="minorHAnsi" w:cstheme="minorHAnsi"/>
          <w:sz w:val="22"/>
          <w:szCs w:val="22"/>
          <w:u w:val="single"/>
        </w:rPr>
        <w:t>(e)</w:t>
      </w:r>
      <w:r w:rsidRPr="00D00439">
        <w:rPr>
          <w:rStyle w:val="tabchar"/>
          <w:rFonts w:asciiTheme="minorHAnsi" w:hAnsiTheme="minorHAnsi" w:cstheme="minorHAnsi"/>
          <w:sz w:val="22"/>
          <w:szCs w:val="22"/>
          <w:u w:val="single"/>
        </w:rPr>
        <w:t xml:space="preserve"> </w:t>
      </w:r>
      <w:r w:rsidRPr="00D00439">
        <w:rPr>
          <w:rStyle w:val="tabchar"/>
          <w:rFonts w:asciiTheme="minorHAnsi" w:hAnsiTheme="minorHAnsi" w:cstheme="minorHAnsi"/>
          <w:sz w:val="22"/>
          <w:szCs w:val="22"/>
          <w:u w:val="single"/>
        </w:rPr>
        <w:tab/>
      </w:r>
      <w:r w:rsidRPr="00D00439">
        <w:rPr>
          <w:rStyle w:val="normaltextrun"/>
          <w:rFonts w:asciiTheme="minorHAnsi" w:hAnsiTheme="minorHAnsi" w:cstheme="minorHAnsi"/>
          <w:sz w:val="22"/>
          <w:szCs w:val="22"/>
          <w:u w:val="single"/>
        </w:rPr>
        <w:t xml:space="preserve">include consideration of mātauraka Māori, and </w:t>
      </w:r>
    </w:p>
    <w:p w14:paraId="1263587D" w14:textId="296FE42C" w:rsidR="00726A52" w:rsidRPr="00D00439" w:rsidRDefault="00726A52" w:rsidP="00D00439">
      <w:pPr>
        <w:ind w:left="1134" w:hanging="567"/>
        <w:rPr>
          <w:rFonts w:cstheme="minorHAnsi"/>
          <w:u w:val="single"/>
        </w:rPr>
      </w:pPr>
      <w:r w:rsidRPr="00D00439">
        <w:rPr>
          <w:rFonts w:cstheme="minorHAnsi"/>
          <w:szCs w:val="22"/>
          <w:u w:val="single"/>
        </w:rPr>
        <w:t xml:space="preserve">(f) </w:t>
      </w:r>
      <w:bookmarkStart w:id="376" w:name="_Hlk102500341"/>
      <w:r w:rsidRPr="00D00439">
        <w:rPr>
          <w:rFonts w:cstheme="minorHAnsi"/>
          <w:u w:val="single"/>
        </w:rPr>
        <w:tab/>
      </w:r>
      <w:r w:rsidRPr="00D00439">
        <w:rPr>
          <w:rFonts w:cstheme="minorHAnsi"/>
          <w:szCs w:val="22"/>
          <w:u w:val="single"/>
        </w:rPr>
        <w:t>include a separate biodiversity offset management plan prepared in accordance with good practice and which incorporates a monitoring and evaluation regime</w:t>
      </w:r>
      <w:bookmarkEnd w:id="376"/>
      <w:r w:rsidRPr="00D00439">
        <w:rPr>
          <w:rFonts w:cstheme="minorHAnsi"/>
          <w:szCs w:val="22"/>
          <w:u w:val="single"/>
        </w:rPr>
        <w:t xml:space="preserve">.   </w:t>
      </w:r>
    </w:p>
    <w:p w14:paraId="5C0766C2" w14:textId="658F9D57" w:rsidR="00201FD2" w:rsidRPr="00501BDD" w:rsidRDefault="00201FD2" w:rsidP="00201FD2">
      <w:pPr>
        <w:ind w:left="1134" w:hanging="567"/>
        <w:jc w:val="both"/>
        <w:rPr>
          <w:rFonts w:eastAsia="Calibri Light" w:cs="Yu Gothic Light"/>
        </w:rPr>
      </w:pPr>
    </w:p>
    <w:p w14:paraId="22FDFA18" w14:textId="77777777" w:rsidR="00201FD2" w:rsidRDefault="00201FD2" w:rsidP="00201FD2">
      <w:pPr>
        <w:ind w:left="567" w:hanging="567"/>
      </w:pPr>
      <w:r>
        <w:br w:type="page"/>
      </w:r>
    </w:p>
    <w:p w14:paraId="0470277D" w14:textId="77777777" w:rsidR="00201FD2" w:rsidRDefault="00201FD2" w:rsidP="00201FD2">
      <w:pPr>
        <w:pStyle w:val="Heading3"/>
      </w:pPr>
      <w:r>
        <w:lastRenderedPageBreak/>
        <w:t xml:space="preserve">APP4 – Criteria for </w:t>
      </w:r>
      <w:r w:rsidRPr="006920D6">
        <w:rPr>
          <w:i/>
        </w:rPr>
        <w:t>biodiversity</w:t>
      </w:r>
      <w:r>
        <w:t xml:space="preserve"> compensation</w:t>
      </w:r>
    </w:p>
    <w:p w14:paraId="2338C6CD" w14:textId="03A5A1F6" w:rsidR="004D28D7" w:rsidRPr="004D28D7" w:rsidRDefault="004D28D7" w:rsidP="004D28D7">
      <w:pPr>
        <w:pStyle w:val="paragraph"/>
        <w:spacing w:before="0" w:beforeAutospacing="0" w:after="120" w:afterAutospacing="0" w:line="276" w:lineRule="auto"/>
        <w:ind w:left="567" w:hanging="567"/>
        <w:textAlignment w:val="baseline"/>
        <w:rPr>
          <w:rFonts w:asciiTheme="minorHAnsi" w:hAnsiTheme="minorHAnsi" w:cstheme="minorHAnsi"/>
          <w:sz w:val="18"/>
          <w:szCs w:val="18"/>
        </w:rPr>
      </w:pPr>
      <w:r w:rsidRPr="004D28D7">
        <w:rPr>
          <w:rStyle w:val="normaltextrun"/>
          <w:rFonts w:asciiTheme="minorHAnsi" w:hAnsiTheme="minorHAnsi" w:cstheme="minorHAnsi"/>
          <w:sz w:val="22"/>
          <w:szCs w:val="22"/>
        </w:rPr>
        <w:t>(1)</w:t>
      </w:r>
      <w:r w:rsidRPr="004D28D7">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4D28D7">
        <w:rPr>
          <w:rStyle w:val="normaltextrun"/>
          <w:rFonts w:asciiTheme="minorHAnsi" w:hAnsiTheme="minorHAnsi" w:cstheme="minorHAnsi"/>
          <w:i/>
          <w:iCs/>
          <w:sz w:val="22"/>
          <w:szCs w:val="22"/>
        </w:rPr>
        <w:t>Biodiversity</w:t>
      </w:r>
      <w:r w:rsidRPr="004D28D7">
        <w:rPr>
          <w:rStyle w:val="normaltextrun"/>
          <w:rFonts w:asciiTheme="minorHAnsi" w:hAnsiTheme="minorHAnsi" w:cstheme="minorHAnsi"/>
          <w:sz w:val="22"/>
          <w:szCs w:val="22"/>
        </w:rPr>
        <w:t xml:space="preserve"> compensation is not available </w:t>
      </w:r>
      <w:r w:rsidRPr="004D28D7">
        <w:rPr>
          <w:rStyle w:val="normaltextrun"/>
          <w:rFonts w:asciiTheme="minorHAnsi" w:hAnsiTheme="minorHAnsi" w:cstheme="minorHAnsi"/>
          <w:strike/>
          <w:sz w:val="22"/>
          <w:szCs w:val="22"/>
        </w:rPr>
        <w:t>if the</w:t>
      </w:r>
      <w:r w:rsidRPr="004D28D7">
        <w:rPr>
          <w:rStyle w:val="normaltextrun"/>
          <w:rFonts w:asciiTheme="minorHAnsi" w:hAnsiTheme="minorHAnsi" w:cstheme="minorHAnsi"/>
          <w:sz w:val="22"/>
          <w:szCs w:val="22"/>
        </w:rPr>
        <w:t xml:space="preserve"> </w:t>
      </w:r>
      <w:r w:rsidRPr="004D28D7">
        <w:rPr>
          <w:rStyle w:val="normaltextrun"/>
          <w:rFonts w:asciiTheme="minorHAnsi" w:hAnsiTheme="minorHAnsi" w:cstheme="minorHAnsi"/>
          <w:sz w:val="22"/>
          <w:szCs w:val="22"/>
          <w:u w:val="single"/>
        </w:rPr>
        <w:t>for an</w:t>
      </w:r>
      <w:r w:rsidRPr="004D28D7">
        <w:rPr>
          <w:rStyle w:val="FootnoteReference"/>
          <w:rFonts w:asciiTheme="minorHAnsi" w:hAnsiTheme="minorHAnsi" w:cstheme="minorHAnsi"/>
          <w:sz w:val="22"/>
          <w:szCs w:val="22"/>
        </w:rPr>
        <w:footnoteReference w:id="1474"/>
      </w:r>
      <w:r w:rsidRPr="004D28D7">
        <w:rPr>
          <w:rStyle w:val="normaltextrun"/>
          <w:rFonts w:asciiTheme="minorHAnsi" w:hAnsiTheme="minorHAnsi" w:cstheme="minorHAnsi"/>
          <w:sz w:val="22"/>
          <w:szCs w:val="22"/>
        </w:rPr>
        <w:t xml:space="preserve"> activity </w:t>
      </w:r>
      <w:r w:rsidRPr="004D28D7">
        <w:rPr>
          <w:rStyle w:val="normaltextrun"/>
          <w:rFonts w:asciiTheme="minorHAnsi" w:hAnsiTheme="minorHAnsi" w:cstheme="minorHAnsi"/>
          <w:sz w:val="22"/>
          <w:szCs w:val="22"/>
          <w:u w:val="single"/>
        </w:rPr>
        <w:t>that</w:t>
      </w:r>
      <w:r w:rsidRPr="004D28D7">
        <w:rPr>
          <w:rStyle w:val="FootnoteReference"/>
          <w:rFonts w:asciiTheme="minorHAnsi" w:hAnsiTheme="minorHAnsi" w:cstheme="minorHAnsi"/>
          <w:sz w:val="22"/>
          <w:szCs w:val="22"/>
        </w:rPr>
        <w:footnoteReference w:id="1475"/>
      </w:r>
      <w:r w:rsidRPr="004D28D7">
        <w:rPr>
          <w:rStyle w:val="normaltextrun"/>
          <w:rFonts w:asciiTheme="minorHAnsi" w:hAnsiTheme="minorHAnsi" w:cstheme="minorHAnsi"/>
          <w:sz w:val="22"/>
          <w:szCs w:val="22"/>
        </w:rPr>
        <w:t xml:space="preserve"> will result in:</w:t>
      </w:r>
      <w:r w:rsidRPr="004D28D7">
        <w:rPr>
          <w:rStyle w:val="eop"/>
          <w:rFonts w:asciiTheme="minorHAnsi" w:hAnsiTheme="minorHAnsi" w:cstheme="minorHAnsi"/>
          <w:sz w:val="22"/>
          <w:szCs w:val="22"/>
        </w:rPr>
        <w:t> </w:t>
      </w:r>
    </w:p>
    <w:p w14:paraId="542F7A8B" w14:textId="6CA7255B"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4D28D7">
        <w:rPr>
          <w:rStyle w:val="normaltextrun"/>
          <w:rFonts w:asciiTheme="minorHAnsi" w:hAnsiTheme="minorHAnsi" w:cstheme="minorHAnsi"/>
          <w:sz w:val="22"/>
          <w:szCs w:val="22"/>
        </w:rPr>
        <w:t>(a)</w:t>
      </w:r>
      <w:r w:rsidRPr="004D28D7">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the loss </w:t>
      </w:r>
      <w:r w:rsidRPr="004D28D7">
        <w:rPr>
          <w:rStyle w:val="normaltextrun"/>
          <w:rFonts w:asciiTheme="minorHAnsi" w:hAnsiTheme="minorHAnsi" w:cstheme="minorHAnsi"/>
          <w:sz w:val="22"/>
          <w:szCs w:val="22"/>
          <w:u w:val="single"/>
        </w:rPr>
        <w:t xml:space="preserve">from an </w:t>
      </w:r>
      <w:r w:rsidRPr="00702D6F">
        <w:rPr>
          <w:rStyle w:val="normaltextrun"/>
          <w:rFonts w:asciiTheme="minorHAnsi" w:hAnsiTheme="minorHAnsi" w:cstheme="minorHAnsi"/>
          <w:sz w:val="22"/>
          <w:szCs w:val="22"/>
          <w:u w:val="single"/>
        </w:rPr>
        <w:t>ecological district</w:t>
      </w:r>
      <w:r w:rsidR="00702D6F" w:rsidRPr="00702D6F">
        <w:rPr>
          <w:rStyle w:val="FootnoteReference"/>
          <w:rFonts w:asciiTheme="minorHAnsi" w:hAnsiTheme="minorHAnsi" w:cstheme="minorHAnsi"/>
          <w:sz w:val="20"/>
          <w:szCs w:val="20"/>
          <w:u w:val="single"/>
          <w:shd w:val="clear" w:color="auto" w:fill="D9D9D9" w:themeFill="background1" w:themeFillShade="D9"/>
        </w:rPr>
        <w:footnoteReference w:id="1476"/>
      </w:r>
      <w:r w:rsidR="00702D6F">
        <w:rPr>
          <w:rStyle w:val="normaltextrun"/>
          <w:rFonts w:asciiTheme="minorHAnsi" w:hAnsiTheme="minorHAnsi" w:cstheme="minorHAnsi"/>
          <w:i/>
          <w:iCs/>
          <w:sz w:val="22"/>
          <w:szCs w:val="22"/>
          <w:u w:val="single"/>
        </w:rPr>
        <w:t xml:space="preserve"> </w:t>
      </w:r>
      <w:r w:rsidRPr="004D28D7">
        <w:rPr>
          <w:rStyle w:val="FootnoteReference"/>
          <w:rFonts w:asciiTheme="minorHAnsi" w:hAnsiTheme="minorHAnsi" w:cstheme="minorHAnsi"/>
          <w:sz w:val="22"/>
          <w:szCs w:val="22"/>
        </w:rPr>
        <w:footnoteReference w:id="1477"/>
      </w:r>
      <w:r w:rsidRPr="004D28D7">
        <w:rPr>
          <w:rStyle w:val="normaltextrun"/>
          <w:rFonts w:asciiTheme="minorHAnsi" w:hAnsiTheme="minorHAnsi" w:cstheme="minorHAnsi"/>
          <w:sz w:val="22"/>
          <w:szCs w:val="22"/>
        </w:rPr>
        <w:t xml:space="preserve"> of an indigenous </w:t>
      </w:r>
      <w:r w:rsidRPr="004D28D7">
        <w:rPr>
          <w:rStyle w:val="normaltextrun"/>
          <w:rFonts w:asciiTheme="minorHAnsi" w:hAnsiTheme="minorHAnsi" w:cstheme="minorHAnsi"/>
          <w:i/>
          <w:iCs/>
          <w:sz w:val="22"/>
          <w:szCs w:val="22"/>
        </w:rPr>
        <w:t>taxon</w:t>
      </w:r>
      <w:r w:rsidRPr="004D28D7">
        <w:rPr>
          <w:rStyle w:val="normaltextrun"/>
          <w:rFonts w:asciiTheme="minorHAnsi" w:hAnsiTheme="minorHAnsi" w:cstheme="minorHAnsi"/>
          <w:sz w:val="22"/>
          <w:szCs w:val="22"/>
        </w:rPr>
        <w:t xml:space="preserve"> (excluding </w:t>
      </w:r>
      <w:r w:rsidRPr="004D28D7">
        <w:rPr>
          <w:rStyle w:val="normaltextrun"/>
          <w:rFonts w:asciiTheme="minorHAnsi" w:hAnsiTheme="minorHAnsi" w:cstheme="minorHAnsi"/>
          <w:i/>
          <w:iCs/>
          <w:sz w:val="22"/>
          <w:szCs w:val="22"/>
        </w:rPr>
        <w:t>freshwater</w:t>
      </w:r>
      <w:r w:rsidRPr="004D28D7">
        <w:rPr>
          <w:rStyle w:val="normaltextrun"/>
          <w:rFonts w:asciiTheme="minorHAnsi" w:hAnsiTheme="minorHAnsi" w:cstheme="minorHAnsi"/>
          <w:sz w:val="22"/>
          <w:szCs w:val="22"/>
        </w:rPr>
        <w:t xml:space="preserve"> fauna and flora) or of any ecosystem type </w:t>
      </w:r>
      <w:r w:rsidRPr="004D28D7">
        <w:rPr>
          <w:rStyle w:val="normaltextrun"/>
          <w:rFonts w:asciiTheme="minorHAnsi" w:hAnsiTheme="minorHAnsi" w:cstheme="minorHAnsi"/>
          <w:strike/>
          <w:sz w:val="22"/>
          <w:szCs w:val="22"/>
        </w:rPr>
        <w:t xml:space="preserve">from an </w:t>
      </w:r>
      <w:r w:rsidRPr="004D28D7">
        <w:rPr>
          <w:rStyle w:val="normaltextrun"/>
          <w:rFonts w:asciiTheme="minorHAnsi" w:hAnsiTheme="minorHAnsi" w:cstheme="minorHAnsi"/>
          <w:i/>
          <w:iCs/>
          <w:strike/>
          <w:sz w:val="22"/>
          <w:szCs w:val="22"/>
        </w:rPr>
        <w:t>ecological district</w:t>
      </w:r>
      <w:r w:rsidRPr="004D28D7">
        <w:rPr>
          <w:rStyle w:val="normaltextrun"/>
          <w:rFonts w:asciiTheme="minorHAnsi" w:hAnsiTheme="minorHAnsi" w:cstheme="minorHAnsi"/>
          <w:strike/>
          <w:sz w:val="22"/>
          <w:szCs w:val="22"/>
        </w:rPr>
        <w:t xml:space="preserve"> or coastal marine biogeographic region</w:t>
      </w:r>
      <w:r w:rsidRPr="004D28D7">
        <w:rPr>
          <w:rStyle w:val="normaltextrun"/>
          <w:rFonts w:asciiTheme="minorHAnsi" w:hAnsiTheme="minorHAnsi" w:cstheme="minorHAnsi"/>
          <w:sz w:val="22"/>
          <w:szCs w:val="22"/>
        </w:rPr>
        <w:t>,</w:t>
      </w:r>
      <w:r w:rsidRPr="004D28D7">
        <w:rPr>
          <w:rStyle w:val="FootnoteReference"/>
          <w:rFonts w:asciiTheme="minorHAnsi" w:hAnsiTheme="minorHAnsi" w:cstheme="minorHAnsi"/>
          <w:sz w:val="22"/>
          <w:szCs w:val="22"/>
        </w:rPr>
        <w:footnoteReference w:id="1478"/>
      </w:r>
      <w:r w:rsidRPr="004D28D7">
        <w:rPr>
          <w:rStyle w:val="eop"/>
          <w:rFonts w:asciiTheme="minorHAnsi" w:hAnsiTheme="minorHAnsi" w:cstheme="minorHAnsi"/>
          <w:sz w:val="22"/>
          <w:szCs w:val="22"/>
        </w:rPr>
        <w:t> </w:t>
      </w:r>
    </w:p>
    <w:p w14:paraId="3C7CF8B1" w14:textId="1A577613"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4D28D7">
        <w:rPr>
          <w:rStyle w:val="normaltextrun"/>
          <w:rFonts w:asciiTheme="minorHAnsi" w:hAnsiTheme="minorHAnsi" w:cstheme="minorHAnsi"/>
          <w:sz w:val="22"/>
          <w:szCs w:val="22"/>
        </w:rPr>
        <w:t>(b)</w:t>
      </w:r>
      <w:r w:rsidRPr="004D28D7">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removal or loss of viability of </w:t>
      </w:r>
      <w:r w:rsidRPr="004D28D7">
        <w:rPr>
          <w:rStyle w:val="normaltextrun"/>
          <w:rFonts w:asciiTheme="minorHAnsi" w:hAnsiTheme="minorHAnsi" w:cstheme="minorHAnsi"/>
          <w:sz w:val="22"/>
          <w:szCs w:val="22"/>
          <w:u w:val="single"/>
        </w:rPr>
        <w:t>the</w:t>
      </w:r>
      <w:r w:rsidRPr="004D28D7">
        <w:rPr>
          <w:rStyle w:val="FootnoteReference"/>
          <w:rFonts w:asciiTheme="minorHAnsi" w:hAnsiTheme="minorHAnsi" w:cstheme="minorHAnsi"/>
          <w:sz w:val="22"/>
          <w:szCs w:val="22"/>
        </w:rPr>
        <w:footnoteReference w:id="1479"/>
      </w:r>
      <w:r w:rsidRPr="004D28D7">
        <w:rPr>
          <w:rStyle w:val="normaltextrun"/>
          <w:rFonts w:asciiTheme="minorHAnsi" w:hAnsiTheme="minorHAnsi" w:cstheme="minorHAnsi"/>
          <w:sz w:val="22"/>
          <w:szCs w:val="22"/>
        </w:rPr>
        <w:t xml:space="preserve"> habitat of a Threatened </w:t>
      </w:r>
      <w:r w:rsidRPr="004D28D7">
        <w:rPr>
          <w:rStyle w:val="normaltextrun"/>
          <w:rFonts w:asciiTheme="minorHAnsi" w:hAnsiTheme="minorHAnsi" w:cstheme="minorHAnsi"/>
          <w:strike/>
          <w:sz w:val="22"/>
          <w:szCs w:val="22"/>
        </w:rPr>
        <w:t>or At Risk</w:t>
      </w:r>
      <w:r w:rsidRPr="004D28D7">
        <w:rPr>
          <w:rStyle w:val="FootnoteReference"/>
          <w:rFonts w:asciiTheme="minorHAnsi" w:hAnsiTheme="minorHAnsi" w:cstheme="minorHAnsi"/>
          <w:sz w:val="22"/>
          <w:szCs w:val="22"/>
        </w:rPr>
        <w:footnoteReference w:id="1480"/>
      </w:r>
      <w:r w:rsidRPr="004D28D7">
        <w:rPr>
          <w:rStyle w:val="normaltextrun"/>
          <w:rFonts w:asciiTheme="minorHAnsi" w:hAnsiTheme="minorHAnsi" w:cstheme="minorHAnsi"/>
          <w:sz w:val="22"/>
          <w:szCs w:val="22"/>
        </w:rPr>
        <w:t xml:space="preserve"> indigenous species of fauna or flora under the New Zealand Threat Classification System (Townsend et al, 2008),</w:t>
      </w:r>
      <w:r w:rsidRPr="004D28D7">
        <w:rPr>
          <w:rStyle w:val="eop"/>
          <w:rFonts w:asciiTheme="minorHAnsi" w:hAnsiTheme="minorHAnsi" w:cstheme="minorHAnsi"/>
          <w:sz w:val="22"/>
          <w:szCs w:val="22"/>
        </w:rPr>
        <w:t> </w:t>
      </w:r>
    </w:p>
    <w:p w14:paraId="215D821C" w14:textId="28598667"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18"/>
          <w:szCs w:val="18"/>
        </w:rPr>
      </w:pPr>
      <w:r w:rsidRPr="004D28D7">
        <w:rPr>
          <w:rStyle w:val="normaltextrun"/>
          <w:rFonts w:asciiTheme="minorHAnsi" w:hAnsiTheme="minorHAnsi" w:cstheme="minorHAnsi"/>
          <w:sz w:val="22"/>
          <w:szCs w:val="22"/>
        </w:rPr>
        <w:t>(c)</w:t>
      </w:r>
      <w:r w:rsidRPr="004D28D7">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removal or loss of </w:t>
      </w:r>
      <w:r w:rsidRPr="004D28D7">
        <w:rPr>
          <w:rStyle w:val="normaltextrun"/>
          <w:rFonts w:asciiTheme="minorHAnsi" w:hAnsiTheme="minorHAnsi" w:cstheme="minorHAnsi"/>
          <w:strike/>
          <w:sz w:val="22"/>
          <w:szCs w:val="22"/>
        </w:rPr>
        <w:t>viability</w:t>
      </w:r>
      <w:r w:rsidRPr="004D28D7">
        <w:rPr>
          <w:rStyle w:val="normaltextrun"/>
          <w:rFonts w:asciiTheme="minorHAnsi" w:hAnsiTheme="minorHAnsi" w:cstheme="minorHAnsi"/>
          <w:sz w:val="22"/>
          <w:szCs w:val="22"/>
        </w:rPr>
        <w:t xml:space="preserve"> </w:t>
      </w:r>
      <w:r w:rsidRPr="004D28D7">
        <w:rPr>
          <w:rStyle w:val="normaltextrun"/>
          <w:rFonts w:asciiTheme="minorHAnsi" w:hAnsiTheme="minorHAnsi" w:cstheme="minorHAnsi"/>
          <w:sz w:val="22"/>
          <w:szCs w:val="22"/>
          <w:u w:val="single"/>
        </w:rPr>
        <w:t xml:space="preserve">health and </w:t>
      </w:r>
      <w:r w:rsidRPr="004D28D7">
        <w:rPr>
          <w:rStyle w:val="normaltextrun"/>
          <w:rFonts w:asciiTheme="minorHAnsi" w:hAnsiTheme="minorHAnsi" w:cstheme="minorHAnsi"/>
          <w:i/>
          <w:iCs/>
          <w:sz w:val="22"/>
          <w:szCs w:val="22"/>
          <w:u w:val="single"/>
        </w:rPr>
        <w:t>resilience</w:t>
      </w:r>
      <w:r w:rsidRPr="004D28D7">
        <w:rPr>
          <w:rStyle w:val="FootnoteReference"/>
          <w:rFonts w:asciiTheme="minorHAnsi" w:hAnsiTheme="minorHAnsi" w:cstheme="minorHAnsi"/>
          <w:sz w:val="22"/>
          <w:szCs w:val="22"/>
        </w:rPr>
        <w:footnoteReference w:id="1481"/>
      </w:r>
      <w:r w:rsidRPr="004D28D7">
        <w:rPr>
          <w:rStyle w:val="normaltextrun"/>
          <w:rFonts w:asciiTheme="minorHAnsi" w:hAnsiTheme="minorHAnsi" w:cstheme="minorHAnsi"/>
          <w:sz w:val="22"/>
          <w:szCs w:val="22"/>
        </w:rPr>
        <w:t xml:space="preserve"> of a </w:t>
      </w:r>
      <w:r w:rsidRPr="004D28D7">
        <w:rPr>
          <w:rStyle w:val="normaltextrun"/>
          <w:rFonts w:asciiTheme="minorHAnsi" w:hAnsiTheme="minorHAnsi" w:cstheme="minorHAnsi"/>
          <w:i/>
          <w:iCs/>
          <w:strike/>
          <w:sz w:val="22"/>
          <w:szCs w:val="22"/>
        </w:rPr>
        <w:t xml:space="preserve">naturally rare </w:t>
      </w:r>
      <w:r w:rsidRPr="004D28D7">
        <w:rPr>
          <w:rStyle w:val="normaltextrun"/>
          <w:rFonts w:asciiTheme="minorHAnsi" w:hAnsiTheme="minorHAnsi" w:cstheme="minorHAnsi"/>
          <w:strike/>
          <w:sz w:val="22"/>
          <w:szCs w:val="22"/>
        </w:rPr>
        <w:t>or</w:t>
      </w:r>
      <w:r w:rsidRPr="004D28D7">
        <w:rPr>
          <w:rStyle w:val="normaltextrun"/>
          <w:rFonts w:asciiTheme="minorHAnsi" w:hAnsiTheme="minorHAnsi" w:cstheme="minorHAnsi"/>
          <w:sz w:val="22"/>
          <w:szCs w:val="22"/>
        </w:rPr>
        <w:t xml:space="preserve"> </w:t>
      </w:r>
      <w:r w:rsidRPr="004D28D7">
        <w:rPr>
          <w:rStyle w:val="normaltextrun"/>
          <w:rFonts w:asciiTheme="minorHAnsi" w:hAnsiTheme="minorHAnsi" w:cstheme="minorHAnsi"/>
          <w:sz w:val="22"/>
          <w:szCs w:val="22"/>
          <w:u w:val="single"/>
        </w:rPr>
        <w:t>naturally</w:t>
      </w:r>
      <w:r w:rsidRPr="004D28D7">
        <w:rPr>
          <w:rStyle w:val="FootnoteReference"/>
          <w:rFonts w:asciiTheme="minorHAnsi" w:hAnsiTheme="minorHAnsi" w:cstheme="minorHAnsi"/>
          <w:sz w:val="22"/>
          <w:szCs w:val="22"/>
        </w:rPr>
        <w:footnoteReference w:id="1482"/>
      </w:r>
      <w:r w:rsidRPr="004D28D7">
        <w:rPr>
          <w:rStyle w:val="normaltextrun"/>
          <w:rFonts w:asciiTheme="minorHAnsi" w:hAnsiTheme="minorHAnsi" w:cstheme="minorHAnsi"/>
          <w:sz w:val="22"/>
          <w:szCs w:val="22"/>
        </w:rPr>
        <w:t xml:space="preserve"> uncommon ecosystem type that is associated with </w:t>
      </w:r>
      <w:r w:rsidRPr="004D28D7">
        <w:rPr>
          <w:rStyle w:val="normaltextrun"/>
          <w:rFonts w:asciiTheme="minorHAnsi" w:hAnsiTheme="minorHAnsi" w:cstheme="minorHAnsi"/>
          <w:i/>
          <w:iCs/>
          <w:sz w:val="22"/>
          <w:szCs w:val="22"/>
        </w:rPr>
        <w:t>indigenous vegetation</w:t>
      </w:r>
      <w:r w:rsidRPr="004D28D7">
        <w:rPr>
          <w:rStyle w:val="FootnoteReference"/>
          <w:rFonts w:asciiTheme="minorHAnsi" w:hAnsiTheme="minorHAnsi" w:cstheme="minorHAnsi"/>
          <w:i/>
          <w:iCs/>
          <w:sz w:val="22"/>
          <w:szCs w:val="22"/>
        </w:rPr>
        <w:footnoteReference w:id="1483"/>
      </w:r>
      <w:r w:rsidRPr="004D28D7">
        <w:rPr>
          <w:rStyle w:val="normaltextrun"/>
          <w:rFonts w:asciiTheme="minorHAnsi" w:hAnsiTheme="minorHAnsi" w:cstheme="minorHAnsi"/>
          <w:sz w:val="22"/>
          <w:szCs w:val="22"/>
        </w:rPr>
        <w:t xml:space="preserve"> or habitat of indigenous fauna, </w:t>
      </w:r>
      <w:r w:rsidRPr="004D28D7">
        <w:rPr>
          <w:rStyle w:val="normaltextrun"/>
          <w:rFonts w:asciiTheme="minorHAnsi" w:hAnsiTheme="minorHAnsi" w:cstheme="minorHAnsi"/>
          <w:strike/>
          <w:sz w:val="22"/>
          <w:szCs w:val="22"/>
        </w:rPr>
        <w:t>or</w:t>
      </w:r>
      <w:r w:rsidRPr="004D28D7">
        <w:rPr>
          <w:rStyle w:val="FootnoteReference"/>
          <w:rFonts w:asciiTheme="minorHAnsi" w:hAnsiTheme="minorHAnsi" w:cstheme="minorHAnsi"/>
          <w:sz w:val="22"/>
          <w:szCs w:val="22"/>
        </w:rPr>
        <w:footnoteReference w:id="1484"/>
      </w:r>
      <w:r w:rsidRPr="004D28D7">
        <w:rPr>
          <w:rStyle w:val="eop"/>
          <w:rFonts w:asciiTheme="minorHAnsi" w:hAnsiTheme="minorHAnsi" w:cstheme="minorHAnsi"/>
          <w:sz w:val="22"/>
          <w:szCs w:val="22"/>
        </w:rPr>
        <w:t> </w:t>
      </w:r>
    </w:p>
    <w:p w14:paraId="1B551D8D" w14:textId="0380FA59" w:rsidR="004D28D7" w:rsidRPr="004D28D7" w:rsidRDefault="004D28D7" w:rsidP="006E6190">
      <w:pPr>
        <w:pStyle w:val="paragraph"/>
        <w:spacing w:before="0" w:beforeAutospacing="0" w:after="120" w:afterAutospacing="0" w:line="276" w:lineRule="auto"/>
        <w:ind w:left="1134" w:hanging="567"/>
        <w:jc w:val="both"/>
        <w:textAlignment w:val="baseline"/>
        <w:rPr>
          <w:rStyle w:val="normaltextrun"/>
          <w:rFonts w:asciiTheme="minorHAnsi" w:hAnsiTheme="minorHAnsi" w:cstheme="minorHAnsi"/>
          <w:sz w:val="22"/>
          <w:szCs w:val="22"/>
        </w:rPr>
      </w:pPr>
      <w:r w:rsidRPr="004D28D7">
        <w:rPr>
          <w:rStyle w:val="normaltextrun"/>
          <w:rFonts w:asciiTheme="minorHAnsi" w:hAnsiTheme="minorHAnsi" w:cstheme="minorHAnsi"/>
          <w:sz w:val="22"/>
          <w:szCs w:val="22"/>
        </w:rPr>
        <w:t>(d)</w:t>
      </w:r>
      <w:r w:rsidRPr="004D28D7">
        <w:rPr>
          <w:rStyle w:val="tabchar"/>
          <w:rFonts w:asciiTheme="minorHAnsi" w:hAnsiTheme="minorHAnsi" w:cstheme="minorHAnsi"/>
          <w:sz w:val="22"/>
          <w:szCs w:val="22"/>
        </w:rPr>
        <w:t xml:space="preserve"> </w:t>
      </w:r>
      <w:r>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worsening of the </w:t>
      </w:r>
      <w:r w:rsidRPr="004D28D7">
        <w:rPr>
          <w:rStyle w:val="normaltextrun"/>
          <w:rFonts w:asciiTheme="minorHAnsi" w:hAnsiTheme="minorHAnsi" w:cstheme="minorHAnsi"/>
          <w:sz w:val="22"/>
          <w:szCs w:val="22"/>
          <w:u w:val="single"/>
        </w:rPr>
        <w:t>conservation status of any Threatened or At Risk indigenous biodiversity listed under the</w:t>
      </w:r>
      <w:r w:rsidRPr="004D28D7">
        <w:rPr>
          <w:rStyle w:val="FootnoteReference"/>
          <w:rFonts w:asciiTheme="minorHAnsi" w:hAnsiTheme="minorHAnsi" w:cstheme="minorHAnsi"/>
          <w:sz w:val="22"/>
          <w:szCs w:val="22"/>
        </w:rPr>
        <w:footnoteReference w:id="1485"/>
      </w:r>
      <w:r w:rsidRPr="004D28D7">
        <w:rPr>
          <w:rStyle w:val="normaltextrun"/>
          <w:rFonts w:asciiTheme="minorHAnsi" w:hAnsiTheme="minorHAnsi" w:cstheme="minorHAnsi"/>
          <w:sz w:val="22"/>
          <w:szCs w:val="22"/>
        </w:rPr>
        <w:t xml:space="preserve"> New Zealand Threat Classification System (Townsend et al, 2008),</w:t>
      </w:r>
      <w:r w:rsidRPr="004D28D7">
        <w:rPr>
          <w:rStyle w:val="normaltextrun"/>
          <w:rFonts w:asciiTheme="minorHAnsi" w:hAnsiTheme="minorHAnsi" w:cstheme="minorHAnsi"/>
          <w:strike/>
          <w:sz w:val="22"/>
          <w:szCs w:val="22"/>
        </w:rPr>
        <w:t xml:space="preserve"> </w:t>
      </w:r>
      <w:r w:rsidRPr="004D28D7">
        <w:rPr>
          <w:rStyle w:val="normaltextrun"/>
          <w:rFonts w:asciiTheme="minorHAnsi" w:hAnsiTheme="minorHAnsi" w:cstheme="minorHAnsi"/>
          <w:strike/>
          <w:sz w:val="22"/>
          <w:szCs w:val="22"/>
          <w:u w:val="single"/>
        </w:rPr>
        <w:t>conservation status of any Threatened or At Risk indigenous fauna.</w:t>
      </w:r>
      <w:r w:rsidRPr="004D28D7">
        <w:rPr>
          <w:rStyle w:val="FootnoteReference"/>
          <w:rFonts w:asciiTheme="minorHAnsi" w:hAnsiTheme="minorHAnsi" w:cstheme="minorHAnsi"/>
          <w:sz w:val="22"/>
          <w:szCs w:val="22"/>
        </w:rPr>
        <w:footnoteReference w:id="1486"/>
      </w:r>
      <w:r w:rsidRPr="004D28D7">
        <w:rPr>
          <w:rStyle w:val="normaltextrun"/>
          <w:rFonts w:asciiTheme="minorHAnsi" w:hAnsiTheme="minorHAnsi" w:cstheme="minorHAnsi"/>
          <w:sz w:val="22"/>
          <w:szCs w:val="22"/>
          <w:u w:val="single"/>
        </w:rPr>
        <w:t xml:space="preserve"> </w:t>
      </w:r>
      <w:r w:rsidR="009D3560">
        <w:rPr>
          <w:rStyle w:val="normaltextrun"/>
          <w:rFonts w:asciiTheme="minorHAnsi" w:hAnsiTheme="minorHAnsi" w:cstheme="minorHAnsi"/>
          <w:sz w:val="22"/>
          <w:szCs w:val="22"/>
          <w:u w:val="single"/>
        </w:rPr>
        <w:t xml:space="preserve">, </w:t>
      </w:r>
      <w:r w:rsidRPr="004D28D7">
        <w:rPr>
          <w:rStyle w:val="normaltextrun"/>
          <w:rFonts w:asciiTheme="minorHAnsi" w:hAnsiTheme="minorHAnsi" w:cstheme="minorHAnsi"/>
          <w:sz w:val="22"/>
          <w:szCs w:val="22"/>
          <w:u w:val="single"/>
        </w:rPr>
        <w:t>or</w:t>
      </w:r>
      <w:r w:rsidRPr="004D28D7">
        <w:rPr>
          <w:rStyle w:val="FootnoteReference"/>
          <w:rFonts w:asciiTheme="minorHAnsi" w:hAnsiTheme="minorHAnsi" w:cstheme="minorHAnsi"/>
          <w:sz w:val="22"/>
          <w:szCs w:val="22"/>
        </w:rPr>
        <w:footnoteReference w:id="1487"/>
      </w:r>
    </w:p>
    <w:p w14:paraId="2B5B7899" w14:textId="7097D088"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rPr>
      </w:pPr>
      <w:r w:rsidRPr="004D28D7">
        <w:rPr>
          <w:rStyle w:val="normaltextrun"/>
          <w:rFonts w:asciiTheme="minorHAnsi" w:hAnsiTheme="minorHAnsi" w:cstheme="minorHAnsi"/>
          <w:sz w:val="22"/>
          <w:szCs w:val="22"/>
          <w:u w:val="single"/>
        </w:rPr>
        <w:t xml:space="preserve">(e) </w:t>
      </w:r>
      <w:r w:rsidR="006E6190">
        <w:rPr>
          <w:rStyle w:val="normaltextrun"/>
          <w:rFonts w:asciiTheme="minorHAnsi" w:hAnsiTheme="minorHAnsi" w:cstheme="minorHAnsi"/>
          <w:sz w:val="22"/>
          <w:szCs w:val="22"/>
          <w:u w:val="single"/>
        </w:rPr>
        <w:tab/>
      </w:r>
      <w:r w:rsidRPr="004D28D7">
        <w:rPr>
          <w:rFonts w:asciiTheme="minorHAnsi" w:hAnsiTheme="minorHAnsi" w:cstheme="minorHAnsi"/>
          <w:sz w:val="22"/>
          <w:szCs w:val="22"/>
          <w:u w:val="single"/>
        </w:rPr>
        <w:t>the loss (including through cumulative loss) of irreplaceable or vulnerable indigenous biodiversity</w:t>
      </w:r>
      <w:r w:rsidR="006E6190">
        <w:rPr>
          <w:rFonts w:asciiTheme="minorHAnsi" w:hAnsiTheme="minorHAnsi" w:cstheme="minorHAnsi"/>
          <w:sz w:val="22"/>
          <w:szCs w:val="22"/>
          <w:u w:val="single"/>
        </w:rPr>
        <w:t>, and</w:t>
      </w:r>
      <w:r w:rsidRPr="006E6190">
        <w:rPr>
          <w:rFonts w:asciiTheme="minorHAnsi" w:hAnsiTheme="minorHAnsi" w:cstheme="minorHAnsi"/>
          <w:strike/>
          <w:sz w:val="22"/>
          <w:szCs w:val="22"/>
        </w:rPr>
        <w:t>.</w:t>
      </w:r>
      <w:r w:rsidRPr="004D28D7">
        <w:rPr>
          <w:rStyle w:val="FootnoteReference"/>
          <w:rFonts w:asciiTheme="minorHAnsi" w:hAnsiTheme="minorHAnsi" w:cstheme="minorHAnsi"/>
          <w:sz w:val="22"/>
          <w:szCs w:val="22"/>
        </w:rPr>
        <w:footnoteReference w:id="1488"/>
      </w:r>
    </w:p>
    <w:p w14:paraId="6109C42A" w14:textId="0B27DAAF" w:rsidR="004D28D7" w:rsidRPr="004D28D7" w:rsidRDefault="004D28D7" w:rsidP="004D28D7">
      <w:pPr>
        <w:pStyle w:val="paragraph"/>
        <w:spacing w:before="0" w:beforeAutospacing="0" w:after="120" w:afterAutospacing="0" w:line="276" w:lineRule="auto"/>
        <w:ind w:left="567" w:hanging="567"/>
        <w:jc w:val="both"/>
        <w:textAlignment w:val="baseline"/>
        <w:rPr>
          <w:rFonts w:asciiTheme="minorHAnsi" w:eastAsia="Times New Roman" w:hAnsiTheme="minorHAnsi" w:cstheme="minorHAnsi"/>
          <w:sz w:val="18"/>
          <w:szCs w:val="18"/>
        </w:rPr>
      </w:pPr>
      <w:r w:rsidRPr="004D28D7">
        <w:rPr>
          <w:rStyle w:val="normaltextrun"/>
          <w:rFonts w:asciiTheme="minorHAnsi" w:hAnsiTheme="minorHAnsi" w:cstheme="minorHAnsi"/>
          <w:sz w:val="22"/>
          <w:szCs w:val="22"/>
        </w:rPr>
        <w:t>(2)</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i/>
          <w:iCs/>
          <w:sz w:val="22"/>
          <w:szCs w:val="22"/>
        </w:rPr>
        <w:t>Biodiversity</w:t>
      </w:r>
      <w:r w:rsidRPr="004D28D7">
        <w:rPr>
          <w:rStyle w:val="normaltextrun"/>
          <w:rFonts w:asciiTheme="minorHAnsi" w:hAnsiTheme="minorHAnsi" w:cstheme="minorHAnsi"/>
          <w:sz w:val="22"/>
          <w:szCs w:val="22"/>
        </w:rPr>
        <w:t xml:space="preserve"> compensation </w:t>
      </w:r>
      <w:r w:rsidRPr="004D28D7">
        <w:rPr>
          <w:rStyle w:val="normaltextrun"/>
          <w:rFonts w:asciiTheme="minorHAnsi" w:hAnsiTheme="minorHAnsi" w:cstheme="minorHAnsi"/>
          <w:sz w:val="22"/>
          <w:szCs w:val="22"/>
          <w:u w:val="single"/>
        </w:rPr>
        <w:t>may be</w:t>
      </w:r>
      <w:r w:rsidRPr="004D28D7">
        <w:rPr>
          <w:rStyle w:val="FootnoteReference"/>
          <w:rFonts w:asciiTheme="minorHAnsi" w:hAnsiTheme="minorHAnsi" w:cstheme="minorHAnsi"/>
          <w:sz w:val="22"/>
          <w:szCs w:val="22"/>
        </w:rPr>
        <w:footnoteReference w:id="1489"/>
      </w:r>
      <w:r w:rsidRPr="004D28D7">
        <w:rPr>
          <w:rStyle w:val="normaltextrun"/>
          <w:rFonts w:asciiTheme="minorHAnsi" w:hAnsiTheme="minorHAnsi" w:cstheme="minorHAnsi"/>
          <w:sz w:val="22"/>
          <w:szCs w:val="22"/>
        </w:rPr>
        <w:t xml:space="preserve">  available if the following criteria are met:</w:t>
      </w:r>
      <w:r w:rsidRPr="004D28D7">
        <w:rPr>
          <w:rStyle w:val="eop"/>
          <w:rFonts w:asciiTheme="minorHAnsi" w:hAnsiTheme="minorHAnsi" w:cstheme="minorHAnsi"/>
          <w:sz w:val="22"/>
          <w:szCs w:val="22"/>
        </w:rPr>
        <w:t> </w:t>
      </w:r>
    </w:p>
    <w:p w14:paraId="4EB760E4" w14:textId="12FD26FF" w:rsidR="004D28D7" w:rsidRPr="004D28D7" w:rsidRDefault="004D28D7" w:rsidP="006E6190">
      <w:pPr>
        <w:pStyle w:val="paragraph"/>
        <w:spacing w:before="0" w:beforeAutospacing="0" w:after="120" w:afterAutospacing="0" w:line="276" w:lineRule="auto"/>
        <w:ind w:left="1134" w:hanging="567"/>
        <w:jc w:val="both"/>
        <w:textAlignment w:val="baseline"/>
        <w:rPr>
          <w:rStyle w:val="eop"/>
          <w:rFonts w:asciiTheme="minorHAnsi" w:hAnsiTheme="minorHAnsi" w:cstheme="minorHAnsi"/>
          <w:sz w:val="22"/>
          <w:szCs w:val="22"/>
        </w:rPr>
      </w:pPr>
      <w:r w:rsidRPr="004D28D7">
        <w:rPr>
          <w:rStyle w:val="normaltextrun"/>
          <w:rFonts w:asciiTheme="minorHAnsi" w:hAnsiTheme="minorHAnsi" w:cstheme="minorHAnsi"/>
          <w:sz w:val="22"/>
          <w:szCs w:val="22"/>
        </w:rPr>
        <w:t>(a)</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compensation addresses only residual adverse effects that remain after implementing the sequential steps required by ECO–P</w:t>
      </w:r>
      <w:r w:rsidRPr="004D28D7">
        <w:rPr>
          <w:rStyle w:val="normaltextrun"/>
          <w:rFonts w:asciiTheme="minorHAnsi" w:hAnsiTheme="minorHAnsi" w:cstheme="minorHAnsi"/>
          <w:sz w:val="22"/>
          <w:szCs w:val="22"/>
          <w:u w:val="single"/>
        </w:rPr>
        <w:t>6</w:t>
      </w:r>
      <w:r w:rsidRPr="004D28D7">
        <w:rPr>
          <w:rStyle w:val="normaltextrun"/>
          <w:rFonts w:asciiTheme="minorHAnsi" w:hAnsiTheme="minorHAnsi" w:cstheme="minorHAnsi"/>
          <w:strike/>
          <w:sz w:val="22"/>
          <w:szCs w:val="22"/>
        </w:rPr>
        <w:t>5</w:t>
      </w:r>
      <w:r w:rsidRPr="004D28D7">
        <w:rPr>
          <w:rStyle w:val="normaltextrun"/>
          <w:rFonts w:asciiTheme="minorHAnsi" w:hAnsiTheme="minorHAnsi" w:cstheme="minorHAnsi"/>
          <w:sz w:val="22"/>
          <w:szCs w:val="22"/>
        </w:rPr>
        <w:t>(1) to (4),</w:t>
      </w:r>
      <w:r w:rsidRPr="004D28D7">
        <w:rPr>
          <w:rStyle w:val="eop"/>
          <w:rFonts w:asciiTheme="minorHAnsi" w:hAnsiTheme="minorHAnsi" w:cstheme="minorHAnsi"/>
          <w:sz w:val="22"/>
          <w:szCs w:val="22"/>
        </w:rPr>
        <w:t> </w:t>
      </w:r>
    </w:p>
    <w:p w14:paraId="6C0CD84D" w14:textId="14CDB9B0"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eastAsia="Times New Roman" w:hAnsiTheme="minorHAnsi" w:cstheme="minorHAnsi"/>
          <w:sz w:val="18"/>
          <w:szCs w:val="18"/>
        </w:rPr>
      </w:pPr>
      <w:r w:rsidRPr="004D28D7">
        <w:rPr>
          <w:rStyle w:val="normaltextrun"/>
          <w:rFonts w:asciiTheme="minorHAnsi" w:hAnsiTheme="minorHAnsi" w:cstheme="minorHAnsi"/>
          <w:sz w:val="22"/>
          <w:szCs w:val="22"/>
        </w:rPr>
        <w:t>(b)</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compensation is undertaken where it will result in the best ecological outcome and preferably:</w:t>
      </w:r>
      <w:r w:rsidRPr="004D28D7">
        <w:rPr>
          <w:rStyle w:val="eop"/>
          <w:rFonts w:asciiTheme="minorHAnsi" w:hAnsiTheme="minorHAnsi" w:cstheme="minorHAnsi"/>
          <w:sz w:val="22"/>
          <w:szCs w:val="22"/>
        </w:rPr>
        <w:t> </w:t>
      </w:r>
    </w:p>
    <w:p w14:paraId="43D2FB22" w14:textId="33595F7E" w:rsidR="004D28D7" w:rsidRPr="004D28D7" w:rsidRDefault="004D28D7" w:rsidP="006E6190">
      <w:pPr>
        <w:pStyle w:val="paragraph"/>
        <w:spacing w:before="0" w:beforeAutospacing="0" w:after="120" w:afterAutospacing="0" w:line="276" w:lineRule="auto"/>
        <w:ind w:left="1701" w:hanging="567"/>
        <w:jc w:val="both"/>
        <w:textAlignment w:val="baseline"/>
        <w:rPr>
          <w:rFonts w:asciiTheme="minorHAnsi" w:hAnsiTheme="minorHAnsi" w:cstheme="minorHAnsi"/>
          <w:sz w:val="18"/>
          <w:szCs w:val="18"/>
        </w:rPr>
      </w:pPr>
      <w:r w:rsidRPr="004D28D7">
        <w:rPr>
          <w:rStyle w:val="normaltextrun"/>
          <w:rFonts w:asciiTheme="minorHAnsi" w:hAnsiTheme="minorHAnsi" w:cstheme="minorHAnsi"/>
          <w:sz w:val="22"/>
          <w:szCs w:val="22"/>
        </w:rPr>
        <w:t>(i)</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close to the location of the activity,</w:t>
      </w:r>
      <w:r w:rsidRPr="004D28D7">
        <w:rPr>
          <w:rStyle w:val="eop"/>
          <w:rFonts w:asciiTheme="minorHAnsi" w:hAnsiTheme="minorHAnsi" w:cstheme="minorHAnsi"/>
          <w:sz w:val="22"/>
          <w:szCs w:val="22"/>
        </w:rPr>
        <w:t> </w:t>
      </w:r>
      <w:r w:rsidRPr="004D28D7">
        <w:rPr>
          <w:rStyle w:val="eop"/>
          <w:rFonts w:asciiTheme="minorHAnsi" w:hAnsiTheme="minorHAnsi" w:cstheme="minorHAnsi"/>
          <w:strike/>
          <w:sz w:val="22"/>
          <w:szCs w:val="22"/>
        </w:rPr>
        <w:t>and</w:t>
      </w:r>
      <w:r w:rsidRPr="004D28D7">
        <w:rPr>
          <w:rStyle w:val="FootnoteReference"/>
          <w:rFonts w:asciiTheme="minorHAnsi" w:hAnsiTheme="minorHAnsi" w:cstheme="minorHAnsi"/>
          <w:sz w:val="22"/>
          <w:szCs w:val="22"/>
        </w:rPr>
        <w:footnoteReference w:id="1490"/>
      </w:r>
    </w:p>
    <w:p w14:paraId="0FF91641" w14:textId="06B1345A" w:rsidR="004D28D7" w:rsidRPr="004D28D7" w:rsidRDefault="004D28D7" w:rsidP="006E6190">
      <w:pPr>
        <w:pStyle w:val="paragraph"/>
        <w:spacing w:before="0" w:beforeAutospacing="0" w:after="120" w:afterAutospacing="0" w:line="276" w:lineRule="auto"/>
        <w:ind w:left="1701" w:hanging="567"/>
        <w:jc w:val="both"/>
        <w:textAlignment w:val="baseline"/>
        <w:rPr>
          <w:rStyle w:val="eop"/>
          <w:rFonts w:asciiTheme="minorHAnsi" w:hAnsiTheme="minorHAnsi" w:cstheme="minorHAnsi"/>
          <w:sz w:val="22"/>
          <w:szCs w:val="22"/>
        </w:rPr>
      </w:pPr>
      <w:r w:rsidRPr="004D28D7">
        <w:rPr>
          <w:rStyle w:val="normaltextrun"/>
          <w:rFonts w:asciiTheme="minorHAnsi" w:hAnsiTheme="minorHAnsi" w:cstheme="minorHAnsi"/>
          <w:sz w:val="22"/>
          <w:szCs w:val="22"/>
        </w:rPr>
        <w:lastRenderedPageBreak/>
        <w:t>(ii)</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within the same </w:t>
      </w:r>
      <w:r w:rsidRPr="00702D6F">
        <w:rPr>
          <w:rStyle w:val="normaltextrun"/>
          <w:rFonts w:asciiTheme="minorHAnsi" w:hAnsiTheme="minorHAnsi" w:cstheme="minorHAnsi"/>
          <w:sz w:val="22"/>
          <w:szCs w:val="22"/>
        </w:rPr>
        <w:t>ecological district</w:t>
      </w:r>
      <w:r w:rsidR="00702D6F" w:rsidRPr="00702D6F">
        <w:rPr>
          <w:rStyle w:val="FootnoteReference"/>
          <w:rFonts w:asciiTheme="minorHAnsi" w:hAnsiTheme="minorHAnsi" w:cstheme="minorHAnsi"/>
          <w:sz w:val="20"/>
          <w:szCs w:val="20"/>
          <w:u w:val="single"/>
          <w:shd w:val="clear" w:color="auto" w:fill="D9D9D9" w:themeFill="background1" w:themeFillShade="D9"/>
        </w:rPr>
        <w:footnoteReference w:id="1491"/>
      </w:r>
      <w:r w:rsidRPr="004D28D7">
        <w:rPr>
          <w:rStyle w:val="normaltextrun"/>
          <w:rFonts w:asciiTheme="minorHAnsi" w:hAnsiTheme="minorHAnsi" w:cstheme="minorHAnsi"/>
          <w:sz w:val="22"/>
          <w:szCs w:val="22"/>
        </w:rPr>
        <w:t xml:space="preserve"> </w:t>
      </w:r>
      <w:r w:rsidRPr="004D28D7">
        <w:rPr>
          <w:rStyle w:val="normaltextrun"/>
          <w:rFonts w:asciiTheme="minorHAnsi" w:hAnsiTheme="minorHAnsi" w:cstheme="minorHAnsi"/>
          <w:strike/>
          <w:sz w:val="22"/>
          <w:szCs w:val="22"/>
        </w:rPr>
        <w:t>or coastal marine biogeographic region</w:t>
      </w:r>
      <w:r w:rsidRPr="004D28D7">
        <w:rPr>
          <w:rStyle w:val="FootnoteReference"/>
          <w:rFonts w:asciiTheme="minorHAnsi" w:hAnsiTheme="minorHAnsi" w:cstheme="minorHAnsi"/>
          <w:sz w:val="22"/>
          <w:szCs w:val="22"/>
        </w:rPr>
        <w:footnoteReference w:id="1492"/>
      </w:r>
      <w:r w:rsidRPr="004D28D7">
        <w:rPr>
          <w:rStyle w:val="normaltextrun"/>
          <w:rFonts w:asciiTheme="minorHAnsi" w:hAnsiTheme="minorHAnsi" w:cstheme="minorHAnsi"/>
          <w:sz w:val="22"/>
          <w:szCs w:val="22"/>
        </w:rPr>
        <w:t>,</w:t>
      </w:r>
      <w:r w:rsidRPr="004D28D7">
        <w:rPr>
          <w:rStyle w:val="eop"/>
          <w:rFonts w:asciiTheme="minorHAnsi" w:hAnsiTheme="minorHAnsi" w:cstheme="minorHAnsi"/>
          <w:sz w:val="22"/>
          <w:szCs w:val="22"/>
          <w:u w:val="single"/>
        </w:rPr>
        <w:t> and</w:t>
      </w:r>
      <w:r w:rsidRPr="004D28D7">
        <w:rPr>
          <w:rStyle w:val="FootnoteReference"/>
          <w:rFonts w:asciiTheme="minorHAnsi" w:hAnsiTheme="minorHAnsi" w:cstheme="minorHAnsi"/>
          <w:sz w:val="22"/>
          <w:szCs w:val="22"/>
        </w:rPr>
        <w:footnoteReference w:id="1493"/>
      </w:r>
    </w:p>
    <w:p w14:paraId="61D7795A" w14:textId="5732106C" w:rsidR="004D28D7" w:rsidRPr="004D28D7" w:rsidRDefault="004D28D7" w:rsidP="006E6190">
      <w:pPr>
        <w:pStyle w:val="paragraph"/>
        <w:spacing w:before="0" w:beforeAutospacing="0" w:after="120" w:afterAutospacing="0" w:line="276" w:lineRule="auto"/>
        <w:ind w:left="1701" w:hanging="567"/>
        <w:jc w:val="both"/>
        <w:textAlignment w:val="baseline"/>
        <w:rPr>
          <w:rStyle w:val="eop"/>
          <w:rFonts w:asciiTheme="minorHAnsi" w:hAnsiTheme="minorHAnsi" w:cstheme="minorHAnsi"/>
          <w:sz w:val="20"/>
          <w:szCs w:val="20"/>
          <w:vertAlign w:val="superscript"/>
        </w:rPr>
      </w:pPr>
      <w:r w:rsidRPr="006E6190">
        <w:rPr>
          <w:rStyle w:val="eop"/>
          <w:rFonts w:asciiTheme="minorHAnsi" w:hAnsiTheme="minorHAnsi" w:cstheme="minorHAnsi"/>
          <w:sz w:val="22"/>
          <w:szCs w:val="22"/>
          <w:u w:val="single"/>
        </w:rPr>
        <w:t xml:space="preserve">(iii) </w:t>
      </w:r>
      <w:r w:rsidR="006E6190" w:rsidRPr="006E6190">
        <w:rPr>
          <w:rStyle w:val="eop"/>
          <w:rFonts w:asciiTheme="minorHAnsi" w:hAnsiTheme="minorHAnsi" w:cstheme="minorHAnsi"/>
          <w:sz w:val="22"/>
          <w:szCs w:val="22"/>
          <w:u w:val="single"/>
        </w:rPr>
        <w:tab/>
      </w:r>
      <w:r w:rsidRPr="004D28D7">
        <w:rPr>
          <w:rStyle w:val="normaltextrun"/>
          <w:rFonts w:asciiTheme="minorHAnsi" w:hAnsiTheme="minorHAnsi" w:cstheme="minorHAnsi"/>
          <w:sz w:val="22"/>
          <w:szCs w:val="22"/>
          <w:u w:val="single"/>
        </w:rPr>
        <w:t xml:space="preserve">delivers indigenous </w:t>
      </w:r>
      <w:r w:rsidRPr="006E6190">
        <w:rPr>
          <w:rStyle w:val="normaltextrun"/>
          <w:rFonts w:asciiTheme="minorHAnsi" w:hAnsiTheme="minorHAnsi" w:cstheme="minorHAnsi"/>
          <w:i/>
          <w:iCs/>
          <w:sz w:val="22"/>
          <w:szCs w:val="22"/>
          <w:u w:val="single"/>
        </w:rPr>
        <w:t>biodiversity</w:t>
      </w:r>
      <w:r w:rsidRPr="004D28D7">
        <w:rPr>
          <w:rStyle w:val="normaltextrun"/>
          <w:rFonts w:asciiTheme="minorHAnsi" w:hAnsiTheme="minorHAnsi" w:cstheme="minorHAnsi"/>
          <w:sz w:val="22"/>
          <w:szCs w:val="22"/>
          <w:u w:val="single"/>
        </w:rPr>
        <w:t xml:space="preserve"> gains on the ground,</w:t>
      </w:r>
      <w:r w:rsidRPr="004D28D7">
        <w:rPr>
          <w:rStyle w:val="normaltextrun"/>
          <w:rFonts w:asciiTheme="minorHAnsi" w:hAnsiTheme="minorHAnsi" w:cstheme="minorHAnsi"/>
          <w:sz w:val="22"/>
          <w:szCs w:val="22"/>
          <w:vertAlign w:val="superscript"/>
        </w:rPr>
        <w:footnoteReference w:id="1494"/>
      </w:r>
      <w:r w:rsidRPr="004D28D7">
        <w:rPr>
          <w:rStyle w:val="eop"/>
          <w:rFonts w:asciiTheme="minorHAnsi" w:hAnsiTheme="minorHAnsi" w:cstheme="minorHAnsi"/>
          <w:sz w:val="20"/>
          <w:szCs w:val="20"/>
          <w:vertAlign w:val="superscript"/>
        </w:rPr>
        <w:t xml:space="preserve"> </w:t>
      </w:r>
    </w:p>
    <w:p w14:paraId="22576550" w14:textId="36ACF420"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eastAsia="Times New Roman" w:hAnsiTheme="minorHAnsi" w:cstheme="minorHAnsi"/>
          <w:sz w:val="22"/>
          <w:szCs w:val="22"/>
        </w:rPr>
      </w:pPr>
      <w:r w:rsidRPr="006E6190">
        <w:rPr>
          <w:rStyle w:val="eop"/>
          <w:rFonts w:asciiTheme="minorHAnsi" w:hAnsiTheme="minorHAnsi" w:cstheme="minorHAnsi"/>
          <w:sz w:val="22"/>
          <w:szCs w:val="22"/>
          <w:u w:val="single"/>
        </w:rPr>
        <w:t xml:space="preserve">(ba) </w:t>
      </w:r>
      <w:r w:rsidR="006E6190" w:rsidRPr="006E6190">
        <w:rPr>
          <w:rStyle w:val="eop"/>
          <w:rFonts w:asciiTheme="minorHAnsi" w:hAnsiTheme="minorHAnsi" w:cstheme="minorHAnsi"/>
          <w:sz w:val="22"/>
          <w:szCs w:val="22"/>
          <w:u w:val="single"/>
        </w:rPr>
        <w:tab/>
      </w:r>
      <w:r w:rsidRPr="004D28D7">
        <w:rPr>
          <w:rStyle w:val="eop"/>
          <w:rFonts w:asciiTheme="minorHAnsi" w:hAnsiTheme="minorHAnsi" w:cstheme="minorHAnsi"/>
          <w:sz w:val="22"/>
          <w:szCs w:val="22"/>
          <w:u w:val="single"/>
        </w:rPr>
        <w:t>where criterion</w:t>
      </w:r>
      <w:r w:rsidRPr="004D28D7">
        <w:rPr>
          <w:rFonts w:asciiTheme="minorHAnsi" w:hAnsiTheme="minorHAnsi" w:cstheme="minorHAnsi"/>
          <w:sz w:val="22"/>
          <w:szCs w:val="22"/>
          <w:u w:val="single"/>
        </w:rPr>
        <w:t xml:space="preserve"> (2)(b)(iii) is not met any </w:t>
      </w:r>
      <w:r w:rsidRPr="004D28D7">
        <w:rPr>
          <w:rStyle w:val="eop"/>
          <w:rFonts w:asciiTheme="minorHAnsi" w:hAnsiTheme="minorHAnsi" w:cstheme="minorHAnsi"/>
          <w:sz w:val="22"/>
          <w:szCs w:val="22"/>
          <w:u w:val="single"/>
        </w:rPr>
        <w:t xml:space="preserve">financial contributions considered </w:t>
      </w:r>
      <w:r w:rsidRPr="004D28D7">
        <w:rPr>
          <w:rFonts w:asciiTheme="minorHAnsi" w:hAnsiTheme="minorHAnsi" w:cstheme="minorHAnsi"/>
          <w:sz w:val="22"/>
          <w:szCs w:val="22"/>
          <w:u w:val="single"/>
        </w:rPr>
        <w:t>must be directly linked to a specific indigenous biodiversity gain or benefit.</w:t>
      </w:r>
      <w:r w:rsidRPr="004D28D7">
        <w:rPr>
          <w:rStyle w:val="FootnoteReference"/>
          <w:rFonts w:asciiTheme="minorHAnsi" w:hAnsiTheme="minorHAnsi" w:cstheme="minorHAnsi"/>
          <w:sz w:val="22"/>
          <w:szCs w:val="22"/>
          <w:u w:val="single"/>
        </w:rPr>
        <w:footnoteReference w:id="1495"/>
      </w:r>
      <w:r w:rsidRPr="004D28D7">
        <w:rPr>
          <w:rFonts w:asciiTheme="minorHAnsi" w:hAnsiTheme="minorHAnsi" w:cstheme="minorHAnsi"/>
          <w:sz w:val="22"/>
          <w:szCs w:val="22"/>
          <w:u w:val="single"/>
        </w:rPr>
        <w:t xml:space="preserve"> </w:t>
      </w:r>
      <w:r w:rsidRPr="004D28D7">
        <w:rPr>
          <w:rStyle w:val="eop"/>
          <w:rFonts w:asciiTheme="minorHAnsi" w:hAnsiTheme="minorHAnsi" w:cstheme="minorHAnsi"/>
          <w:sz w:val="22"/>
          <w:szCs w:val="22"/>
          <w:u w:val="single"/>
        </w:rPr>
        <w:t xml:space="preserve"> </w:t>
      </w:r>
    </w:p>
    <w:p w14:paraId="0DD66BF5" w14:textId="241E30E4"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u w:val="single"/>
        </w:rPr>
      </w:pPr>
      <w:r w:rsidRPr="004D28D7">
        <w:rPr>
          <w:rStyle w:val="normaltextrun"/>
          <w:rFonts w:asciiTheme="minorHAnsi" w:hAnsiTheme="minorHAnsi" w:cstheme="minorHAnsi"/>
          <w:sz w:val="22"/>
          <w:szCs w:val="22"/>
        </w:rPr>
        <w:t xml:space="preserve">(c) </w:t>
      </w:r>
      <w:r w:rsidR="006E6190">
        <w:rPr>
          <w:rStyle w:val="normaltextrun"/>
          <w:rFonts w:asciiTheme="minorHAnsi" w:hAnsiTheme="minorHAnsi" w:cstheme="minorHAnsi"/>
          <w:sz w:val="22"/>
          <w:szCs w:val="22"/>
        </w:rPr>
        <w:tab/>
      </w:r>
      <w:r w:rsidRPr="004D28D7">
        <w:rPr>
          <w:rFonts w:asciiTheme="minorHAnsi" w:hAnsiTheme="minorHAnsi" w:cstheme="minorHAnsi"/>
          <w:sz w:val="22"/>
          <w:szCs w:val="22"/>
        </w:rPr>
        <w:t xml:space="preserve">compensation achieves positive </w:t>
      </w:r>
      <w:r w:rsidRPr="004D28D7">
        <w:rPr>
          <w:rFonts w:asciiTheme="minorHAnsi" w:hAnsiTheme="minorHAnsi" w:cstheme="minorHAnsi"/>
          <w:i/>
          <w:iCs/>
          <w:sz w:val="22"/>
          <w:szCs w:val="22"/>
        </w:rPr>
        <w:t>biodiversity</w:t>
      </w:r>
      <w:r w:rsidRPr="004D28D7">
        <w:rPr>
          <w:rFonts w:asciiTheme="minorHAnsi" w:hAnsiTheme="minorHAnsi" w:cstheme="minorHAnsi"/>
          <w:sz w:val="22"/>
          <w:szCs w:val="22"/>
        </w:rPr>
        <w:t xml:space="preserve"> outcomes that would not have occurred without that compensation,</w:t>
      </w:r>
      <w:r w:rsidRPr="004D28D7">
        <w:rPr>
          <w:rFonts w:asciiTheme="minorHAnsi" w:hAnsiTheme="minorHAnsi" w:cstheme="minorHAnsi"/>
          <w:sz w:val="22"/>
          <w:szCs w:val="22"/>
          <w:u w:val="single"/>
        </w:rPr>
        <w:t xml:space="preserve"> and are additional to any remediation, mitigation or offset undertaken in response to the adverse effects of the activity,</w:t>
      </w:r>
      <w:r w:rsidRPr="004D28D7">
        <w:rPr>
          <w:rStyle w:val="FootnoteReference"/>
          <w:rFonts w:asciiTheme="minorHAnsi" w:hAnsiTheme="minorHAnsi" w:cstheme="minorHAnsi"/>
          <w:sz w:val="22"/>
          <w:szCs w:val="22"/>
        </w:rPr>
        <w:footnoteReference w:id="1496"/>
      </w:r>
    </w:p>
    <w:p w14:paraId="75F84AD3" w14:textId="35465652"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rPr>
      </w:pPr>
      <w:r w:rsidRPr="004D28D7">
        <w:rPr>
          <w:rStyle w:val="normaltextrun"/>
          <w:rFonts w:asciiTheme="minorHAnsi" w:hAnsiTheme="minorHAnsi" w:cstheme="minorHAnsi"/>
          <w:sz w:val="22"/>
          <w:szCs w:val="22"/>
        </w:rPr>
        <w:t>(d)</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the positive </w:t>
      </w:r>
      <w:r w:rsidRPr="004D28D7">
        <w:rPr>
          <w:rStyle w:val="normaltextrun"/>
          <w:rFonts w:asciiTheme="minorHAnsi" w:hAnsiTheme="minorHAnsi" w:cstheme="minorHAnsi"/>
          <w:i/>
          <w:iCs/>
          <w:sz w:val="22"/>
          <w:szCs w:val="22"/>
        </w:rPr>
        <w:t xml:space="preserve">biodiversity </w:t>
      </w:r>
      <w:r w:rsidRPr="004D28D7">
        <w:rPr>
          <w:rStyle w:val="normaltextrun"/>
          <w:rFonts w:asciiTheme="minorHAnsi" w:hAnsiTheme="minorHAnsi" w:cstheme="minorHAnsi"/>
          <w:sz w:val="22"/>
          <w:szCs w:val="22"/>
        </w:rPr>
        <w:t xml:space="preserve">outcomes of the compensation are enduring </w:t>
      </w:r>
      <w:r w:rsidRPr="004D28D7">
        <w:rPr>
          <w:rStyle w:val="normaltextrun"/>
          <w:rFonts w:asciiTheme="minorHAnsi" w:hAnsiTheme="minorHAnsi" w:cstheme="minorHAnsi"/>
          <w:sz w:val="22"/>
          <w:szCs w:val="22"/>
          <w:u w:val="single"/>
        </w:rPr>
        <w:t>and are commensurate with the biodiversity values lost</w:t>
      </w:r>
      <w:r w:rsidRPr="004D28D7">
        <w:rPr>
          <w:rStyle w:val="FootnoteReference"/>
          <w:rFonts w:asciiTheme="minorHAnsi" w:hAnsiTheme="minorHAnsi" w:cstheme="minorHAnsi"/>
          <w:sz w:val="22"/>
          <w:szCs w:val="22"/>
        </w:rPr>
        <w:footnoteReference w:id="1497"/>
      </w:r>
      <w:r w:rsidRPr="004D28D7">
        <w:rPr>
          <w:rStyle w:val="normaltextrun"/>
          <w:rFonts w:asciiTheme="minorHAnsi" w:hAnsiTheme="minorHAnsi" w:cstheme="minorHAnsi"/>
          <w:sz w:val="22"/>
          <w:szCs w:val="22"/>
        </w:rPr>
        <w:t>,</w:t>
      </w:r>
      <w:r w:rsidRPr="004D28D7">
        <w:rPr>
          <w:rStyle w:val="eop"/>
          <w:rFonts w:asciiTheme="minorHAnsi" w:hAnsiTheme="minorHAnsi" w:cstheme="minorHAnsi"/>
          <w:sz w:val="22"/>
          <w:szCs w:val="22"/>
        </w:rPr>
        <w:t> </w:t>
      </w:r>
    </w:p>
    <w:p w14:paraId="515B8307" w14:textId="666A6A2B"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rPr>
      </w:pPr>
      <w:r w:rsidRPr="004D28D7">
        <w:rPr>
          <w:rStyle w:val="normaltextrun"/>
          <w:rFonts w:asciiTheme="minorHAnsi" w:hAnsiTheme="minorHAnsi" w:cstheme="minorHAnsi"/>
          <w:sz w:val="22"/>
          <w:szCs w:val="22"/>
        </w:rPr>
        <w:t>(e)</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the time delay between the loss of </w:t>
      </w:r>
      <w:r w:rsidRPr="004D28D7">
        <w:rPr>
          <w:rStyle w:val="normaltextrun"/>
          <w:rFonts w:asciiTheme="minorHAnsi" w:hAnsiTheme="minorHAnsi" w:cstheme="minorHAnsi"/>
          <w:i/>
          <w:iCs/>
          <w:sz w:val="22"/>
          <w:szCs w:val="22"/>
        </w:rPr>
        <w:t xml:space="preserve">biodiversity </w:t>
      </w:r>
      <w:r w:rsidRPr="004D28D7">
        <w:rPr>
          <w:rStyle w:val="normaltextrun"/>
          <w:rFonts w:asciiTheme="minorHAnsi" w:hAnsiTheme="minorHAnsi" w:cstheme="minorHAnsi"/>
          <w:strike/>
          <w:sz w:val="22"/>
          <w:szCs w:val="22"/>
        </w:rPr>
        <w:t>through the proposal</w:t>
      </w:r>
      <w:r w:rsidRPr="004D28D7">
        <w:rPr>
          <w:rStyle w:val="normaltextrun"/>
          <w:rFonts w:asciiTheme="minorHAnsi" w:hAnsiTheme="minorHAnsi" w:cstheme="minorHAnsi"/>
          <w:sz w:val="22"/>
          <w:szCs w:val="22"/>
        </w:rPr>
        <w:t xml:space="preserve"> </w:t>
      </w:r>
      <w:r w:rsidRPr="004D28D7">
        <w:rPr>
          <w:rStyle w:val="normaltextrun"/>
          <w:rFonts w:asciiTheme="minorHAnsi" w:hAnsiTheme="minorHAnsi" w:cstheme="minorHAnsi"/>
          <w:sz w:val="22"/>
          <w:szCs w:val="22"/>
          <w:u w:val="single"/>
        </w:rPr>
        <w:t>at the impact site</w:t>
      </w:r>
      <w:r w:rsidRPr="004D28D7">
        <w:rPr>
          <w:rStyle w:val="FootnoteReference"/>
          <w:rFonts w:asciiTheme="minorHAnsi" w:hAnsiTheme="minorHAnsi" w:cstheme="minorHAnsi"/>
          <w:sz w:val="22"/>
          <w:szCs w:val="22"/>
        </w:rPr>
        <w:footnoteReference w:id="1498"/>
      </w:r>
      <w:r w:rsidRPr="004D28D7">
        <w:rPr>
          <w:rStyle w:val="normaltextrun"/>
          <w:rFonts w:asciiTheme="minorHAnsi" w:hAnsiTheme="minorHAnsi" w:cstheme="minorHAnsi"/>
          <w:sz w:val="22"/>
          <w:szCs w:val="22"/>
        </w:rPr>
        <w:t xml:space="preserve"> and the gain or maturation of the </w:t>
      </w:r>
      <w:r w:rsidRPr="004D28D7">
        <w:rPr>
          <w:rStyle w:val="normaltextrun"/>
          <w:rFonts w:asciiTheme="minorHAnsi" w:hAnsiTheme="minorHAnsi" w:cstheme="minorHAnsi"/>
          <w:strike/>
          <w:sz w:val="22"/>
          <w:szCs w:val="22"/>
        </w:rPr>
        <w:t>compensation’s</w:t>
      </w:r>
      <w:r w:rsidRPr="004D28D7">
        <w:rPr>
          <w:rStyle w:val="FootnoteReference"/>
          <w:rFonts w:asciiTheme="minorHAnsi" w:hAnsiTheme="minorHAnsi" w:cstheme="minorHAnsi"/>
          <w:sz w:val="22"/>
          <w:szCs w:val="22"/>
        </w:rPr>
        <w:footnoteReference w:id="1499"/>
      </w:r>
      <w:r w:rsidRPr="004D28D7">
        <w:rPr>
          <w:rStyle w:val="normaltextrun"/>
          <w:rFonts w:asciiTheme="minorHAnsi" w:hAnsiTheme="minorHAnsi" w:cstheme="minorHAnsi"/>
          <w:sz w:val="22"/>
          <w:szCs w:val="22"/>
        </w:rPr>
        <w:t xml:space="preserve"> </w:t>
      </w:r>
      <w:r w:rsidRPr="004D28D7">
        <w:rPr>
          <w:rStyle w:val="normaltextrun"/>
          <w:rFonts w:asciiTheme="minorHAnsi" w:hAnsiTheme="minorHAnsi" w:cstheme="minorHAnsi"/>
          <w:i/>
          <w:iCs/>
          <w:sz w:val="22"/>
          <w:szCs w:val="22"/>
        </w:rPr>
        <w:t>biodiversity</w:t>
      </w:r>
      <w:r w:rsidRPr="004D28D7">
        <w:rPr>
          <w:rStyle w:val="normaltextrun"/>
          <w:rFonts w:asciiTheme="minorHAnsi" w:hAnsiTheme="minorHAnsi" w:cstheme="minorHAnsi"/>
          <w:sz w:val="22"/>
          <w:szCs w:val="22"/>
        </w:rPr>
        <w:t xml:space="preserve"> outcomes </w:t>
      </w:r>
      <w:r w:rsidRPr="004D28D7">
        <w:rPr>
          <w:rStyle w:val="normaltextrun"/>
          <w:rFonts w:asciiTheme="minorHAnsi" w:hAnsiTheme="minorHAnsi" w:cstheme="minorHAnsi"/>
          <w:sz w:val="22"/>
          <w:szCs w:val="22"/>
          <w:u w:val="single"/>
        </w:rPr>
        <w:t>from the compensation</w:t>
      </w:r>
      <w:r w:rsidRPr="004D28D7">
        <w:rPr>
          <w:rStyle w:val="FootnoteReference"/>
          <w:rFonts w:asciiTheme="minorHAnsi" w:hAnsiTheme="minorHAnsi" w:cstheme="minorHAnsi"/>
          <w:sz w:val="22"/>
          <w:szCs w:val="22"/>
        </w:rPr>
        <w:footnoteReference w:id="1500"/>
      </w:r>
      <w:r w:rsidRPr="004D28D7">
        <w:rPr>
          <w:rStyle w:val="normaltextrun"/>
          <w:rFonts w:asciiTheme="minorHAnsi" w:hAnsiTheme="minorHAnsi" w:cstheme="minorHAnsi"/>
          <w:sz w:val="22"/>
          <w:szCs w:val="22"/>
        </w:rPr>
        <w:t xml:space="preserve">, is the least necessary to achieve the best possible </w:t>
      </w:r>
      <w:r w:rsidRPr="004D28D7">
        <w:rPr>
          <w:rStyle w:val="normaltextrun"/>
          <w:rFonts w:asciiTheme="minorHAnsi" w:hAnsiTheme="minorHAnsi" w:cstheme="minorHAnsi"/>
          <w:sz w:val="22"/>
          <w:szCs w:val="22"/>
          <w:u w:val="single"/>
        </w:rPr>
        <w:t>ecological</w:t>
      </w:r>
      <w:r w:rsidRPr="004D28D7">
        <w:rPr>
          <w:rStyle w:val="FootnoteReference"/>
          <w:rFonts w:asciiTheme="minorHAnsi" w:hAnsiTheme="minorHAnsi" w:cstheme="minorHAnsi"/>
          <w:sz w:val="22"/>
          <w:szCs w:val="22"/>
        </w:rPr>
        <w:footnoteReference w:id="1501"/>
      </w:r>
      <w:r w:rsidRPr="004D28D7">
        <w:rPr>
          <w:rStyle w:val="normaltextrun"/>
          <w:rFonts w:asciiTheme="minorHAnsi" w:hAnsiTheme="minorHAnsi" w:cstheme="minorHAnsi"/>
          <w:sz w:val="22"/>
          <w:szCs w:val="22"/>
        </w:rPr>
        <w:t xml:space="preserve"> outcome,</w:t>
      </w:r>
      <w:r w:rsidRPr="004D28D7">
        <w:rPr>
          <w:rStyle w:val="eop"/>
          <w:rFonts w:asciiTheme="minorHAnsi" w:hAnsiTheme="minorHAnsi" w:cstheme="minorHAnsi"/>
          <w:sz w:val="22"/>
          <w:szCs w:val="22"/>
        </w:rPr>
        <w:t> </w:t>
      </w:r>
    </w:p>
    <w:p w14:paraId="3EBE7F7B" w14:textId="1B77E06B"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rPr>
      </w:pPr>
      <w:r w:rsidRPr="004D28D7">
        <w:rPr>
          <w:rStyle w:val="normaltextrun"/>
          <w:rFonts w:asciiTheme="minorHAnsi" w:hAnsiTheme="minorHAnsi" w:cstheme="minorHAnsi"/>
          <w:sz w:val="22"/>
          <w:szCs w:val="22"/>
        </w:rPr>
        <w:t>(f)</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the outcome of the compensation is achieved within the duration of the </w:t>
      </w:r>
      <w:r w:rsidRPr="004D28D7">
        <w:rPr>
          <w:rStyle w:val="normaltextrun"/>
          <w:rFonts w:asciiTheme="minorHAnsi" w:hAnsiTheme="minorHAnsi" w:cstheme="minorHAnsi"/>
          <w:i/>
          <w:iCs/>
          <w:sz w:val="22"/>
          <w:szCs w:val="22"/>
        </w:rPr>
        <w:t>resource consent</w:t>
      </w:r>
      <w:r w:rsidRPr="004D28D7">
        <w:rPr>
          <w:rStyle w:val="normaltextrun"/>
          <w:rFonts w:asciiTheme="minorHAnsi" w:hAnsiTheme="minorHAnsi" w:cstheme="minorHAnsi"/>
          <w:sz w:val="22"/>
          <w:szCs w:val="22"/>
        </w:rPr>
        <w:t>,</w:t>
      </w:r>
      <w:r w:rsidRPr="004D28D7">
        <w:rPr>
          <w:rStyle w:val="eop"/>
          <w:rFonts w:asciiTheme="minorHAnsi" w:hAnsiTheme="minorHAnsi" w:cstheme="minorHAnsi"/>
          <w:sz w:val="22"/>
          <w:szCs w:val="22"/>
        </w:rPr>
        <w:t> </w:t>
      </w:r>
    </w:p>
    <w:p w14:paraId="2D2D66A7" w14:textId="60E938D1"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rPr>
      </w:pPr>
      <w:r w:rsidRPr="006E6190">
        <w:rPr>
          <w:rStyle w:val="normaltextrun"/>
          <w:rFonts w:asciiTheme="minorHAnsi" w:hAnsiTheme="minorHAnsi" w:cstheme="minorHAnsi"/>
          <w:sz w:val="22"/>
          <w:szCs w:val="22"/>
          <w:u w:val="single"/>
        </w:rPr>
        <w:t>(fa)</w:t>
      </w:r>
      <w:r w:rsidRPr="006E6190">
        <w:rPr>
          <w:rStyle w:val="tabchar"/>
          <w:rFonts w:asciiTheme="minorHAnsi" w:hAnsiTheme="minorHAnsi" w:cstheme="minorHAnsi"/>
          <w:sz w:val="22"/>
          <w:szCs w:val="22"/>
          <w:u w:val="single"/>
        </w:rPr>
        <w:t xml:space="preserve"> </w:t>
      </w:r>
      <w:r w:rsidR="006E6190">
        <w:rPr>
          <w:rStyle w:val="tabchar"/>
          <w:rFonts w:asciiTheme="minorHAnsi" w:hAnsiTheme="minorHAnsi" w:cstheme="minorHAnsi"/>
          <w:sz w:val="22"/>
          <w:szCs w:val="22"/>
          <w:u w:val="single"/>
        </w:rPr>
        <w:tab/>
      </w:r>
      <w:r w:rsidRPr="006E6190">
        <w:rPr>
          <w:rStyle w:val="normaltextrun"/>
          <w:rFonts w:asciiTheme="minorHAnsi" w:hAnsiTheme="minorHAnsi" w:cstheme="minorHAnsi"/>
          <w:sz w:val="22"/>
          <w:szCs w:val="22"/>
          <w:u w:val="single"/>
        </w:rPr>
        <w:t>when trading</w:t>
      </w:r>
      <w:r w:rsidRPr="004D28D7">
        <w:rPr>
          <w:rStyle w:val="normaltextrun"/>
          <w:rFonts w:asciiTheme="minorHAnsi" w:hAnsiTheme="minorHAnsi" w:cstheme="minorHAnsi"/>
          <w:sz w:val="22"/>
          <w:szCs w:val="22"/>
          <w:u w:val="single"/>
        </w:rPr>
        <w:t xml:space="preserve"> up forms part of </w:t>
      </w:r>
      <w:r w:rsidRPr="006E6190">
        <w:rPr>
          <w:rStyle w:val="normaltextrun"/>
          <w:rFonts w:asciiTheme="minorHAnsi" w:hAnsiTheme="minorHAnsi" w:cstheme="minorHAnsi"/>
          <w:i/>
          <w:iCs/>
          <w:sz w:val="22"/>
          <w:szCs w:val="22"/>
          <w:u w:val="single"/>
        </w:rPr>
        <w:t>biodiversity</w:t>
      </w:r>
      <w:r w:rsidRPr="004D28D7">
        <w:rPr>
          <w:rStyle w:val="normaltextrun"/>
          <w:rFonts w:asciiTheme="minorHAnsi" w:hAnsiTheme="minorHAnsi" w:cstheme="minorHAnsi"/>
          <w:sz w:val="22"/>
          <w:szCs w:val="22"/>
          <w:u w:val="single"/>
        </w:rPr>
        <w:t xml:space="preserve"> compensation, the proposal must demonstrate the indigenous </w:t>
      </w:r>
      <w:r w:rsidRPr="006E6190">
        <w:rPr>
          <w:rStyle w:val="normaltextrun"/>
          <w:rFonts w:asciiTheme="minorHAnsi" w:hAnsiTheme="minorHAnsi" w:cstheme="minorHAnsi"/>
          <w:i/>
          <w:iCs/>
          <w:sz w:val="22"/>
          <w:szCs w:val="22"/>
          <w:u w:val="single"/>
        </w:rPr>
        <w:t>biodiversity</w:t>
      </w:r>
      <w:r w:rsidRPr="004D28D7">
        <w:rPr>
          <w:rStyle w:val="normaltextrun"/>
          <w:rFonts w:asciiTheme="minorHAnsi" w:hAnsiTheme="minorHAnsi" w:cstheme="minorHAnsi"/>
          <w:sz w:val="22"/>
          <w:szCs w:val="22"/>
          <w:u w:val="single"/>
        </w:rPr>
        <w:t xml:space="preserve"> values gained are demonstrably of higher indigenous </w:t>
      </w:r>
      <w:r w:rsidRPr="006E6190">
        <w:rPr>
          <w:rStyle w:val="normaltextrun"/>
          <w:rFonts w:asciiTheme="minorHAnsi" w:hAnsiTheme="minorHAnsi" w:cstheme="minorHAnsi"/>
          <w:i/>
          <w:iCs/>
          <w:sz w:val="22"/>
          <w:szCs w:val="22"/>
          <w:u w:val="single"/>
        </w:rPr>
        <w:t>biodiversity</w:t>
      </w:r>
      <w:r w:rsidRPr="004D28D7">
        <w:rPr>
          <w:rStyle w:val="normaltextrun"/>
          <w:rFonts w:asciiTheme="minorHAnsi" w:hAnsiTheme="minorHAnsi" w:cstheme="minorHAnsi"/>
          <w:sz w:val="22"/>
          <w:szCs w:val="22"/>
          <w:u w:val="single"/>
        </w:rPr>
        <w:t xml:space="preserve"> value than those lost, or considered vulnerable or irreplaceable,</w:t>
      </w:r>
      <w:r w:rsidRPr="004D28D7">
        <w:rPr>
          <w:rStyle w:val="FootnoteReference"/>
          <w:rFonts w:asciiTheme="minorHAnsi" w:hAnsiTheme="minorHAnsi" w:cstheme="minorHAnsi"/>
          <w:sz w:val="22"/>
          <w:szCs w:val="22"/>
        </w:rPr>
        <w:footnoteReference w:id="1502"/>
      </w:r>
    </w:p>
    <w:p w14:paraId="41C7EDC2" w14:textId="6E35A2DC" w:rsidR="004D28D7" w:rsidRPr="004D28D7" w:rsidRDefault="004D28D7" w:rsidP="006E6190">
      <w:pPr>
        <w:pStyle w:val="paragraph"/>
        <w:spacing w:before="0" w:beforeAutospacing="0" w:after="120" w:afterAutospacing="0" w:line="276" w:lineRule="auto"/>
        <w:ind w:left="1134" w:hanging="567"/>
        <w:jc w:val="both"/>
        <w:textAlignment w:val="baseline"/>
        <w:rPr>
          <w:rFonts w:asciiTheme="minorHAnsi" w:hAnsiTheme="minorHAnsi" w:cstheme="minorHAnsi"/>
          <w:sz w:val="22"/>
          <w:szCs w:val="22"/>
        </w:rPr>
      </w:pPr>
      <w:r w:rsidRPr="004D28D7">
        <w:rPr>
          <w:rStyle w:val="normaltextrun"/>
          <w:rFonts w:asciiTheme="minorHAnsi" w:hAnsiTheme="minorHAnsi" w:cstheme="minorHAnsi"/>
          <w:sz w:val="22"/>
          <w:szCs w:val="22"/>
        </w:rPr>
        <w:t>(g)</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i/>
          <w:iCs/>
          <w:sz w:val="22"/>
          <w:szCs w:val="22"/>
        </w:rPr>
        <w:t>biodiversity</w:t>
      </w:r>
      <w:r w:rsidRPr="004D28D7">
        <w:rPr>
          <w:rStyle w:val="normaltextrun"/>
          <w:rFonts w:asciiTheme="minorHAnsi" w:hAnsiTheme="minorHAnsi" w:cstheme="minorHAnsi"/>
          <w:sz w:val="22"/>
          <w:szCs w:val="22"/>
        </w:rPr>
        <w:t xml:space="preserve"> compensation developed in advance of an application for </w:t>
      </w:r>
      <w:r w:rsidRPr="004D28D7">
        <w:rPr>
          <w:rStyle w:val="normaltextrun"/>
          <w:rFonts w:asciiTheme="minorHAnsi" w:hAnsiTheme="minorHAnsi" w:cstheme="minorHAnsi"/>
          <w:i/>
          <w:iCs/>
          <w:sz w:val="22"/>
          <w:szCs w:val="22"/>
        </w:rPr>
        <w:t>resource consent</w:t>
      </w:r>
      <w:r w:rsidRPr="004D28D7">
        <w:rPr>
          <w:rStyle w:val="normaltextrun"/>
          <w:rFonts w:asciiTheme="minorHAnsi" w:hAnsiTheme="minorHAnsi" w:cstheme="minorHAnsi"/>
          <w:sz w:val="22"/>
          <w:szCs w:val="22"/>
        </w:rPr>
        <w:t xml:space="preserve"> must be shown to have been created or commenced in anticipation of the specific </w:t>
      </w:r>
      <w:r w:rsidRPr="004D28D7">
        <w:rPr>
          <w:rStyle w:val="normaltextrun"/>
          <w:rFonts w:asciiTheme="minorHAnsi" w:hAnsiTheme="minorHAnsi" w:cstheme="minorHAnsi"/>
          <w:i/>
          <w:iCs/>
          <w:sz w:val="22"/>
          <w:szCs w:val="22"/>
        </w:rPr>
        <w:t>effect</w:t>
      </w:r>
      <w:r w:rsidRPr="004D28D7">
        <w:rPr>
          <w:rStyle w:val="normaltextrun"/>
          <w:rFonts w:asciiTheme="minorHAnsi" w:hAnsiTheme="minorHAnsi" w:cstheme="minorHAnsi"/>
          <w:sz w:val="22"/>
          <w:szCs w:val="22"/>
        </w:rPr>
        <w:t xml:space="preserve"> of the proposed activity and would not have occurred if that </w:t>
      </w:r>
      <w:r w:rsidRPr="004D28D7">
        <w:rPr>
          <w:rStyle w:val="normaltextrun"/>
          <w:rFonts w:asciiTheme="minorHAnsi" w:hAnsiTheme="minorHAnsi" w:cstheme="minorHAnsi"/>
          <w:i/>
          <w:iCs/>
          <w:sz w:val="22"/>
          <w:szCs w:val="22"/>
        </w:rPr>
        <w:t>effect</w:t>
      </w:r>
      <w:r w:rsidRPr="004D28D7">
        <w:rPr>
          <w:rStyle w:val="normaltextrun"/>
          <w:rFonts w:asciiTheme="minorHAnsi" w:hAnsiTheme="minorHAnsi" w:cstheme="minorHAnsi"/>
          <w:sz w:val="22"/>
          <w:szCs w:val="22"/>
        </w:rPr>
        <w:t xml:space="preserve"> was not anticipated, and</w:t>
      </w:r>
      <w:r w:rsidRPr="004D28D7">
        <w:rPr>
          <w:rStyle w:val="eop"/>
          <w:rFonts w:asciiTheme="minorHAnsi" w:hAnsiTheme="minorHAnsi" w:cstheme="minorHAnsi"/>
          <w:sz w:val="22"/>
          <w:szCs w:val="22"/>
        </w:rPr>
        <w:t> </w:t>
      </w:r>
    </w:p>
    <w:p w14:paraId="2DF90431" w14:textId="1AB5B235" w:rsidR="004D28D7" w:rsidRPr="004D28D7" w:rsidRDefault="004D28D7" w:rsidP="006E6190">
      <w:pPr>
        <w:pStyle w:val="paragraph"/>
        <w:spacing w:before="0" w:beforeAutospacing="0" w:after="120" w:afterAutospacing="0" w:line="276" w:lineRule="auto"/>
        <w:ind w:left="1134" w:hanging="567"/>
        <w:jc w:val="both"/>
        <w:textAlignment w:val="baseline"/>
        <w:rPr>
          <w:rStyle w:val="eop"/>
          <w:rFonts w:asciiTheme="minorHAnsi" w:hAnsiTheme="minorHAnsi" w:cstheme="minorHAnsi"/>
        </w:rPr>
      </w:pPr>
      <w:r w:rsidRPr="004D28D7">
        <w:rPr>
          <w:rStyle w:val="normaltextrun"/>
          <w:rFonts w:asciiTheme="minorHAnsi" w:hAnsiTheme="minorHAnsi" w:cstheme="minorHAnsi"/>
          <w:sz w:val="22"/>
          <w:szCs w:val="22"/>
        </w:rPr>
        <w:t>(h)</w:t>
      </w:r>
      <w:r w:rsidRPr="004D28D7">
        <w:rPr>
          <w:rStyle w:val="tabchar"/>
          <w:rFonts w:asciiTheme="minorHAnsi" w:hAnsiTheme="minorHAnsi" w:cstheme="minorHAnsi"/>
          <w:sz w:val="22"/>
          <w:szCs w:val="22"/>
        </w:rPr>
        <w:t xml:space="preserve"> </w:t>
      </w:r>
      <w:r w:rsidR="006E6190">
        <w:rPr>
          <w:rStyle w:val="tabchar"/>
          <w:rFonts w:asciiTheme="minorHAnsi" w:hAnsiTheme="minorHAnsi" w:cstheme="minorHAnsi"/>
          <w:sz w:val="22"/>
          <w:szCs w:val="22"/>
        </w:rPr>
        <w:tab/>
      </w:r>
      <w:r w:rsidRPr="004D28D7">
        <w:rPr>
          <w:rStyle w:val="normaltextrun"/>
          <w:rFonts w:asciiTheme="minorHAnsi" w:hAnsiTheme="minorHAnsi" w:cstheme="minorHAnsi"/>
          <w:sz w:val="22"/>
          <w:szCs w:val="22"/>
        </w:rPr>
        <w:t xml:space="preserve">the </w:t>
      </w:r>
      <w:r w:rsidRPr="004D28D7">
        <w:rPr>
          <w:rStyle w:val="normaltextrun"/>
          <w:rFonts w:asciiTheme="minorHAnsi" w:hAnsiTheme="minorHAnsi" w:cstheme="minorHAnsi"/>
          <w:i/>
          <w:iCs/>
          <w:sz w:val="22"/>
          <w:szCs w:val="22"/>
        </w:rPr>
        <w:t>biodiversity</w:t>
      </w:r>
      <w:r w:rsidRPr="004D28D7">
        <w:rPr>
          <w:rStyle w:val="normaltextrun"/>
          <w:rFonts w:asciiTheme="minorHAnsi" w:hAnsiTheme="minorHAnsi" w:cstheme="minorHAnsi"/>
          <w:sz w:val="22"/>
          <w:szCs w:val="22"/>
        </w:rPr>
        <w:t xml:space="preserve"> compensation is demonstrably achievable.</w:t>
      </w:r>
      <w:r w:rsidRPr="004D28D7">
        <w:rPr>
          <w:rStyle w:val="eop"/>
          <w:rFonts w:asciiTheme="minorHAnsi" w:hAnsiTheme="minorHAnsi" w:cstheme="minorHAnsi"/>
          <w:sz w:val="22"/>
          <w:szCs w:val="22"/>
        </w:rPr>
        <w:t> </w:t>
      </w:r>
    </w:p>
    <w:p w14:paraId="5D95521C" w14:textId="73DFE750" w:rsidR="004D28D7" w:rsidRPr="004D28D7" w:rsidRDefault="004D28D7" w:rsidP="004D28D7">
      <w:pPr>
        <w:ind w:left="567" w:hanging="567"/>
        <w:jc w:val="both"/>
        <w:rPr>
          <w:rFonts w:eastAsia="Times New Roman" w:cstheme="minorHAnsi"/>
          <w:szCs w:val="22"/>
          <w:u w:val="single"/>
        </w:rPr>
      </w:pPr>
      <w:r w:rsidRPr="004D28D7">
        <w:rPr>
          <w:rFonts w:eastAsia="Times New Roman" w:cstheme="minorHAnsi"/>
          <w:szCs w:val="22"/>
          <w:u w:val="single"/>
        </w:rPr>
        <w:t xml:space="preserve">(3) </w:t>
      </w:r>
      <w:r w:rsidR="006E6190">
        <w:rPr>
          <w:rFonts w:eastAsia="Times New Roman" w:cstheme="minorHAnsi"/>
          <w:szCs w:val="22"/>
          <w:u w:val="single"/>
        </w:rPr>
        <w:tab/>
      </w:r>
      <w:r w:rsidRPr="006E6190">
        <w:rPr>
          <w:rFonts w:eastAsia="Times New Roman" w:cstheme="minorHAnsi"/>
          <w:i/>
          <w:iCs/>
          <w:szCs w:val="22"/>
          <w:u w:val="single"/>
        </w:rPr>
        <w:t>Biodiversity</w:t>
      </w:r>
      <w:r w:rsidRPr="004D28D7">
        <w:rPr>
          <w:rFonts w:eastAsia="Times New Roman" w:cstheme="minorHAnsi"/>
          <w:szCs w:val="22"/>
          <w:u w:val="single"/>
        </w:rPr>
        <w:t xml:space="preserve"> compensation proposed in any application for </w:t>
      </w:r>
      <w:r w:rsidRPr="006E6190">
        <w:rPr>
          <w:rFonts w:eastAsia="Times New Roman" w:cstheme="minorHAnsi"/>
          <w:i/>
          <w:iCs/>
          <w:szCs w:val="22"/>
          <w:u w:val="single"/>
        </w:rPr>
        <w:t>resource consent</w:t>
      </w:r>
      <w:r w:rsidRPr="004D28D7">
        <w:rPr>
          <w:rFonts w:eastAsia="Times New Roman" w:cstheme="minorHAnsi"/>
          <w:szCs w:val="22"/>
          <w:u w:val="single"/>
        </w:rPr>
        <w:t>, plan change or notice of requirement, must address all matters i</w:t>
      </w:r>
      <w:r w:rsidR="006E6190">
        <w:rPr>
          <w:rFonts w:eastAsia="Times New Roman" w:cstheme="minorHAnsi"/>
          <w:szCs w:val="22"/>
          <w:u w:val="single"/>
        </w:rPr>
        <w:t>n</w:t>
      </w:r>
      <w:r w:rsidRPr="004D28D7">
        <w:rPr>
          <w:rFonts w:eastAsia="Times New Roman" w:cstheme="minorHAnsi"/>
          <w:szCs w:val="22"/>
          <w:u w:val="single"/>
        </w:rPr>
        <w:t xml:space="preserve"> APP4(2), and:</w:t>
      </w:r>
    </w:p>
    <w:p w14:paraId="447BEB24" w14:textId="65F5A7E8" w:rsidR="004D28D7" w:rsidRPr="004D28D7" w:rsidRDefault="004D28D7" w:rsidP="006E6190">
      <w:pPr>
        <w:ind w:left="1134" w:hanging="567"/>
        <w:jc w:val="both"/>
        <w:textAlignment w:val="baseline"/>
        <w:rPr>
          <w:rFonts w:eastAsia="Times New Roman" w:cstheme="minorHAnsi"/>
          <w:szCs w:val="22"/>
          <w:lang w:eastAsia="en-NZ"/>
        </w:rPr>
      </w:pPr>
      <w:r w:rsidRPr="004D28D7">
        <w:rPr>
          <w:rFonts w:eastAsia="Times New Roman" w:cstheme="minorHAnsi"/>
          <w:szCs w:val="22"/>
          <w:u w:val="single"/>
          <w:lang w:eastAsia="en-NZ"/>
        </w:rPr>
        <w:lastRenderedPageBreak/>
        <w:t xml:space="preserve">(a) </w:t>
      </w:r>
      <w:r w:rsidR="006E6190">
        <w:rPr>
          <w:rFonts w:eastAsia="Times New Roman" w:cstheme="minorHAnsi"/>
          <w:szCs w:val="22"/>
          <w:u w:val="single"/>
          <w:lang w:eastAsia="en-NZ"/>
        </w:rPr>
        <w:tab/>
      </w:r>
      <w:r w:rsidRPr="004D28D7">
        <w:rPr>
          <w:rFonts w:eastAsia="Times New Roman" w:cstheme="minorHAnsi"/>
          <w:szCs w:val="22"/>
          <w:u w:val="single"/>
          <w:lang w:eastAsia="en-NZ"/>
        </w:rPr>
        <w:t xml:space="preserve">evaluate the ecological context, including the interactions between species, habitats and ecosystems, spatial connections and ecosystem function at the impact site and compensation site, </w:t>
      </w:r>
    </w:p>
    <w:p w14:paraId="60F89E4A" w14:textId="5D11A0D3" w:rsidR="004D28D7" w:rsidRPr="004D28D7" w:rsidRDefault="004D28D7" w:rsidP="006E6190">
      <w:pPr>
        <w:ind w:left="1134" w:hanging="567"/>
        <w:jc w:val="both"/>
        <w:textAlignment w:val="baseline"/>
        <w:rPr>
          <w:rFonts w:eastAsia="Times New Roman" w:cstheme="minorHAnsi"/>
          <w:szCs w:val="22"/>
          <w:u w:val="single"/>
          <w:lang w:eastAsia="en-NZ"/>
        </w:rPr>
      </w:pPr>
      <w:r w:rsidRPr="004D28D7">
        <w:rPr>
          <w:rFonts w:eastAsia="Times New Roman" w:cstheme="minorHAnsi"/>
          <w:szCs w:val="22"/>
          <w:u w:val="single"/>
          <w:lang w:eastAsia="en-NZ"/>
        </w:rPr>
        <w:t>(b)</w:t>
      </w:r>
      <w:r w:rsidRPr="004D28D7">
        <w:rPr>
          <w:rFonts w:eastAsia="Times New Roman" w:cstheme="minorHAnsi"/>
          <w:szCs w:val="22"/>
          <w:lang w:eastAsia="en-NZ"/>
        </w:rPr>
        <w:t xml:space="preserve"> </w:t>
      </w:r>
      <w:r w:rsidR="006E6190">
        <w:rPr>
          <w:rFonts w:eastAsia="Times New Roman" w:cstheme="minorHAnsi"/>
          <w:szCs w:val="22"/>
          <w:lang w:eastAsia="en-NZ"/>
        </w:rPr>
        <w:tab/>
      </w:r>
      <w:r w:rsidRPr="004D28D7">
        <w:rPr>
          <w:rFonts w:eastAsia="Times New Roman" w:cstheme="minorHAnsi"/>
          <w:szCs w:val="22"/>
          <w:u w:val="single"/>
          <w:lang w:eastAsia="en-NZ"/>
        </w:rPr>
        <w:t xml:space="preserve">include consideration of </w:t>
      </w:r>
      <w:r w:rsidR="006E6190">
        <w:rPr>
          <w:rFonts w:eastAsia="Times New Roman" w:cstheme="minorHAnsi"/>
          <w:szCs w:val="22"/>
          <w:u w:val="single"/>
          <w:lang w:eastAsia="en-NZ"/>
        </w:rPr>
        <w:t>mātauraka</w:t>
      </w:r>
      <w:r w:rsidRPr="004D28D7">
        <w:rPr>
          <w:rFonts w:eastAsia="Times New Roman" w:cstheme="minorHAnsi"/>
          <w:szCs w:val="22"/>
          <w:u w:val="single"/>
          <w:lang w:eastAsia="en-NZ"/>
        </w:rPr>
        <w:t xml:space="preserve"> Māori, and </w:t>
      </w:r>
    </w:p>
    <w:p w14:paraId="1B62FE36" w14:textId="45E462CA" w:rsidR="009C2A33" w:rsidRPr="006E6190" w:rsidRDefault="004D28D7" w:rsidP="006E6190">
      <w:pPr>
        <w:ind w:left="1134" w:hanging="567"/>
        <w:rPr>
          <w:rFonts w:eastAsiaTheme="minorHAnsi" w:cstheme="minorHAnsi"/>
          <w:szCs w:val="22"/>
          <w:lang w:eastAsia="en-NZ"/>
        </w:rPr>
      </w:pPr>
      <w:r w:rsidRPr="004D28D7">
        <w:rPr>
          <w:rFonts w:eastAsia="Times New Roman" w:cstheme="minorHAnsi"/>
          <w:szCs w:val="22"/>
          <w:u w:val="single"/>
        </w:rPr>
        <w:t xml:space="preserve">(c) </w:t>
      </w:r>
      <w:r w:rsidR="006E6190">
        <w:rPr>
          <w:rFonts w:eastAsia="Times New Roman" w:cstheme="minorHAnsi"/>
          <w:szCs w:val="22"/>
          <w:u w:val="single"/>
        </w:rPr>
        <w:tab/>
      </w:r>
      <w:r w:rsidRPr="004D28D7">
        <w:rPr>
          <w:rFonts w:cstheme="minorHAnsi"/>
          <w:szCs w:val="22"/>
          <w:u w:val="single"/>
        </w:rPr>
        <w:t xml:space="preserve">include a separate </w:t>
      </w:r>
      <w:r w:rsidRPr="006E6190">
        <w:rPr>
          <w:rFonts w:cstheme="minorHAnsi"/>
          <w:i/>
          <w:iCs/>
          <w:szCs w:val="22"/>
          <w:u w:val="single"/>
        </w:rPr>
        <w:t>biodiversity</w:t>
      </w:r>
      <w:r w:rsidRPr="004D28D7">
        <w:rPr>
          <w:rFonts w:cstheme="minorHAnsi"/>
          <w:szCs w:val="22"/>
          <w:u w:val="single"/>
        </w:rPr>
        <w:t xml:space="preserve"> compensation management plan prepared in accordance with good practice and which incorporates a monitoring and evaluation regime.</w:t>
      </w:r>
      <w:r w:rsidRPr="004D28D7">
        <w:rPr>
          <w:rStyle w:val="FootnoteReference"/>
          <w:rFonts w:eastAsiaTheme="minorHAnsi" w:cstheme="minorHAnsi"/>
          <w:szCs w:val="22"/>
          <w:lang w:eastAsia="en-NZ"/>
        </w:rPr>
        <w:footnoteReference w:id="1503"/>
      </w:r>
    </w:p>
    <w:p w14:paraId="55F5FE4F" w14:textId="40446853" w:rsidR="009A45CE" w:rsidRPr="00472578" w:rsidRDefault="009A45CE" w:rsidP="00E92686">
      <w:pPr>
        <w:pStyle w:val="Heading3"/>
        <w:jc w:val="both"/>
      </w:pPr>
      <w:r w:rsidRPr="00472578">
        <w:t xml:space="preserve">APP5 – Species prone to </w:t>
      </w:r>
      <w:r w:rsidRPr="00472578">
        <w:rPr>
          <w:i/>
          <w:iCs/>
        </w:rPr>
        <w:t>wilding conifer</w:t>
      </w:r>
      <w:r w:rsidRPr="00472578">
        <w:t xml:space="preserve"> spread</w:t>
      </w:r>
    </w:p>
    <w:p w14:paraId="7740FFAF" w14:textId="7511488D" w:rsidR="004557BC" w:rsidRDefault="004557BC" w:rsidP="004557BC">
      <w:pPr>
        <w:pStyle w:val="Caption"/>
      </w:pPr>
      <w:r>
        <w:t xml:space="preserve">Table </w:t>
      </w:r>
      <w:fldSimple w:instr=" SEQ Table \* ARABIC ">
        <w:r>
          <w:rPr>
            <w:noProof/>
          </w:rPr>
          <w:t>5</w:t>
        </w:r>
      </w:fldSimple>
      <w:r>
        <w:t xml:space="preserve"> </w:t>
      </w:r>
      <w:r w:rsidRPr="00B0152A">
        <w:t>– Species prone to wilding conifer spread</w:t>
      </w:r>
    </w:p>
    <w:tbl>
      <w:tblPr>
        <w:tblStyle w:val="TableGrid"/>
        <w:tblW w:w="0" w:type="auto"/>
        <w:tblLook w:val="04A0" w:firstRow="1" w:lastRow="0" w:firstColumn="1" w:lastColumn="0" w:noHBand="0" w:noVBand="1"/>
      </w:tblPr>
      <w:tblGrid>
        <w:gridCol w:w="4508"/>
        <w:gridCol w:w="4508"/>
      </w:tblGrid>
      <w:tr w:rsidR="009A45CE" w:rsidRPr="00472578" w14:paraId="63713228" w14:textId="77777777" w:rsidTr="00E722D4">
        <w:tc>
          <w:tcPr>
            <w:tcW w:w="4508" w:type="dxa"/>
          </w:tcPr>
          <w:p w14:paraId="39542446" w14:textId="77777777" w:rsidR="009A45CE" w:rsidRPr="00472578" w:rsidRDefault="009A45CE" w:rsidP="00E92686">
            <w:pPr>
              <w:spacing w:before="60" w:after="60"/>
              <w:jc w:val="both"/>
              <w:rPr>
                <w:rFonts w:cstheme="minorHAnsi"/>
                <w:b/>
                <w:sz w:val="20"/>
                <w:szCs w:val="20"/>
              </w:rPr>
            </w:pPr>
            <w:r w:rsidRPr="00472578">
              <w:rPr>
                <w:rFonts w:cstheme="minorHAnsi"/>
                <w:b/>
                <w:color w:val="1F3864" w:themeColor="accent1" w:themeShade="80"/>
                <w:sz w:val="20"/>
                <w:szCs w:val="20"/>
              </w:rPr>
              <w:t>Common name</w:t>
            </w:r>
          </w:p>
        </w:tc>
        <w:tc>
          <w:tcPr>
            <w:tcW w:w="4508" w:type="dxa"/>
          </w:tcPr>
          <w:p w14:paraId="6C0052B1" w14:textId="77777777" w:rsidR="009A45CE" w:rsidRPr="00472578" w:rsidRDefault="009A45CE" w:rsidP="00E92686">
            <w:pPr>
              <w:spacing w:before="60" w:after="60"/>
              <w:jc w:val="both"/>
              <w:rPr>
                <w:rFonts w:cstheme="minorHAnsi"/>
                <w:b/>
                <w:sz w:val="20"/>
                <w:szCs w:val="20"/>
              </w:rPr>
            </w:pPr>
            <w:r w:rsidRPr="00472578">
              <w:rPr>
                <w:rFonts w:cstheme="minorHAnsi"/>
                <w:b/>
                <w:color w:val="1F3864" w:themeColor="accent1" w:themeShade="80"/>
                <w:sz w:val="20"/>
                <w:szCs w:val="20"/>
              </w:rPr>
              <w:t xml:space="preserve">Botanical name </w:t>
            </w:r>
          </w:p>
        </w:tc>
      </w:tr>
      <w:tr w:rsidR="009A45CE" w:rsidRPr="00472578" w14:paraId="596D87C8" w14:textId="77777777" w:rsidTr="00E722D4">
        <w:tc>
          <w:tcPr>
            <w:tcW w:w="4508" w:type="dxa"/>
          </w:tcPr>
          <w:p w14:paraId="089E0B11"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Big cone pine</w:t>
            </w:r>
          </w:p>
        </w:tc>
        <w:tc>
          <w:tcPr>
            <w:tcW w:w="4508" w:type="dxa"/>
          </w:tcPr>
          <w:p w14:paraId="321B392F"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coulteri</w:t>
            </w:r>
          </w:p>
        </w:tc>
      </w:tr>
      <w:tr w:rsidR="009A45CE" w:rsidRPr="00472578" w14:paraId="6B4A3C19" w14:textId="77777777" w:rsidTr="00E722D4">
        <w:tc>
          <w:tcPr>
            <w:tcW w:w="4508" w:type="dxa"/>
          </w:tcPr>
          <w:p w14:paraId="59FED6FA"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Bishops pine</w:t>
            </w:r>
          </w:p>
        </w:tc>
        <w:tc>
          <w:tcPr>
            <w:tcW w:w="4508" w:type="dxa"/>
          </w:tcPr>
          <w:p w14:paraId="208A0E10"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Pinus muricata</w:t>
            </w:r>
          </w:p>
        </w:tc>
      </w:tr>
      <w:tr w:rsidR="009A45CE" w:rsidRPr="00472578" w14:paraId="098C6A98" w14:textId="77777777" w:rsidTr="00E722D4">
        <w:tc>
          <w:tcPr>
            <w:tcW w:w="4508" w:type="dxa"/>
          </w:tcPr>
          <w:p w14:paraId="19F08571"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Contorta (lodgepole) pine</w:t>
            </w:r>
          </w:p>
        </w:tc>
        <w:tc>
          <w:tcPr>
            <w:tcW w:w="4508" w:type="dxa"/>
          </w:tcPr>
          <w:p w14:paraId="3B3C0B5B"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Pinus contorta</w:t>
            </w:r>
          </w:p>
        </w:tc>
      </w:tr>
      <w:tr w:rsidR="009A45CE" w:rsidRPr="00472578" w14:paraId="336CF867" w14:textId="77777777" w:rsidTr="00E722D4">
        <w:tc>
          <w:tcPr>
            <w:tcW w:w="4508" w:type="dxa"/>
          </w:tcPr>
          <w:p w14:paraId="6AE1F619"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 xml:space="preserve">Corsican pine, Black pine </w:t>
            </w:r>
          </w:p>
        </w:tc>
        <w:tc>
          <w:tcPr>
            <w:tcW w:w="4508" w:type="dxa"/>
          </w:tcPr>
          <w:p w14:paraId="79AB15B7"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Pinus nigra</w:t>
            </w:r>
          </w:p>
        </w:tc>
      </w:tr>
      <w:tr w:rsidR="009A45CE" w:rsidRPr="00472578" w14:paraId="4AD9A879" w14:textId="77777777" w:rsidTr="00E722D4">
        <w:tc>
          <w:tcPr>
            <w:tcW w:w="4508" w:type="dxa"/>
          </w:tcPr>
          <w:p w14:paraId="7682690C"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Douglas fir</w:t>
            </w:r>
          </w:p>
        </w:tc>
        <w:tc>
          <w:tcPr>
            <w:tcW w:w="4508" w:type="dxa"/>
          </w:tcPr>
          <w:p w14:paraId="0404E534"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Pseudotsuga menziesii</w:t>
            </w:r>
          </w:p>
        </w:tc>
      </w:tr>
      <w:tr w:rsidR="009A45CE" w:rsidRPr="00472578" w14:paraId="207C45C9" w14:textId="77777777" w:rsidTr="00E722D4">
        <w:tc>
          <w:tcPr>
            <w:tcW w:w="4508" w:type="dxa"/>
          </w:tcPr>
          <w:p w14:paraId="1B2106B9"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Dwarf mountain pine</w:t>
            </w:r>
          </w:p>
        </w:tc>
        <w:tc>
          <w:tcPr>
            <w:tcW w:w="4508" w:type="dxa"/>
          </w:tcPr>
          <w:p w14:paraId="5D0B95BC"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P.uncinata</w:t>
            </w:r>
          </w:p>
        </w:tc>
      </w:tr>
      <w:tr w:rsidR="009A45CE" w:rsidRPr="00472578" w14:paraId="21F27A38" w14:textId="77777777" w:rsidTr="00E722D4">
        <w:tc>
          <w:tcPr>
            <w:tcW w:w="4508" w:type="dxa"/>
          </w:tcPr>
          <w:p w14:paraId="5A8DE67E"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 xml:space="preserve">Japanese cedar </w:t>
            </w:r>
          </w:p>
        </w:tc>
        <w:tc>
          <w:tcPr>
            <w:tcW w:w="4508" w:type="dxa"/>
          </w:tcPr>
          <w:p w14:paraId="10D04BA4"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Cryptomeria japonica</w:t>
            </w:r>
          </w:p>
        </w:tc>
      </w:tr>
      <w:tr w:rsidR="009A45CE" w:rsidRPr="00472578" w14:paraId="151549EA" w14:textId="77777777" w:rsidTr="00E722D4">
        <w:tc>
          <w:tcPr>
            <w:tcW w:w="4508" w:type="dxa"/>
          </w:tcPr>
          <w:p w14:paraId="6E476D30"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 xml:space="preserve">Japanese larch </w:t>
            </w:r>
          </w:p>
        </w:tc>
        <w:tc>
          <w:tcPr>
            <w:tcW w:w="4508" w:type="dxa"/>
          </w:tcPr>
          <w:p w14:paraId="4534C924" w14:textId="77777777" w:rsidR="009A45CE" w:rsidRPr="00472578" w:rsidRDefault="009A45CE" w:rsidP="00E92686">
            <w:pPr>
              <w:spacing w:before="60" w:after="60"/>
              <w:jc w:val="both"/>
              <w:rPr>
                <w:rFonts w:cstheme="minorHAnsi"/>
                <w:i/>
                <w:sz w:val="20"/>
                <w:szCs w:val="20"/>
              </w:rPr>
            </w:pPr>
            <w:bookmarkStart w:id="377" w:name="_Hlk70948293"/>
            <w:r w:rsidRPr="00472578">
              <w:rPr>
                <w:rFonts w:cstheme="minorHAnsi"/>
                <w:i/>
                <w:sz w:val="20"/>
                <w:szCs w:val="20"/>
              </w:rPr>
              <w:t>Larix kaempferi</w:t>
            </w:r>
            <w:bookmarkEnd w:id="377"/>
          </w:p>
        </w:tc>
      </w:tr>
      <w:tr w:rsidR="009A45CE" w:rsidRPr="00472578" w14:paraId="6331377C" w14:textId="77777777" w:rsidTr="00E722D4">
        <w:tc>
          <w:tcPr>
            <w:tcW w:w="4508" w:type="dxa"/>
          </w:tcPr>
          <w:p w14:paraId="6CC155B2"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Larch</w:t>
            </w:r>
          </w:p>
        </w:tc>
        <w:tc>
          <w:tcPr>
            <w:tcW w:w="4508" w:type="dxa"/>
          </w:tcPr>
          <w:p w14:paraId="500176A3"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Larix decidua</w:t>
            </w:r>
          </w:p>
        </w:tc>
      </w:tr>
      <w:tr w:rsidR="009A45CE" w:rsidRPr="00472578" w14:paraId="08F4F6D5" w14:textId="77777777" w:rsidTr="00E722D4">
        <w:tc>
          <w:tcPr>
            <w:tcW w:w="4508" w:type="dxa"/>
          </w:tcPr>
          <w:p w14:paraId="722A7BF1"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Lawson’s cypress</w:t>
            </w:r>
          </w:p>
        </w:tc>
        <w:tc>
          <w:tcPr>
            <w:tcW w:w="4508" w:type="dxa"/>
          </w:tcPr>
          <w:p w14:paraId="62E1BBF8" w14:textId="77777777" w:rsidR="009A45CE" w:rsidRPr="00472578" w:rsidRDefault="009A45CE" w:rsidP="00E92686">
            <w:pPr>
              <w:spacing w:before="60" w:after="60"/>
              <w:jc w:val="both"/>
              <w:rPr>
                <w:rFonts w:cstheme="minorHAnsi"/>
                <w:sz w:val="20"/>
                <w:szCs w:val="20"/>
              </w:rPr>
            </w:pPr>
            <w:r w:rsidRPr="00472578">
              <w:rPr>
                <w:rFonts w:cstheme="minorHAnsi"/>
                <w:i/>
                <w:sz w:val="20"/>
                <w:szCs w:val="20"/>
              </w:rPr>
              <w:t>Chamaecyparis lawsoniana</w:t>
            </w:r>
          </w:p>
        </w:tc>
      </w:tr>
      <w:tr w:rsidR="009A45CE" w:rsidRPr="00472578" w14:paraId="7B3DFCCF" w14:textId="77777777" w:rsidTr="00E722D4">
        <w:tc>
          <w:tcPr>
            <w:tcW w:w="4508" w:type="dxa"/>
          </w:tcPr>
          <w:p w14:paraId="38AE05C6"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Macrocarpa</w:t>
            </w:r>
          </w:p>
        </w:tc>
        <w:tc>
          <w:tcPr>
            <w:tcW w:w="4508" w:type="dxa"/>
          </w:tcPr>
          <w:p w14:paraId="07203FD8"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Cupressus macrocarpa</w:t>
            </w:r>
          </w:p>
        </w:tc>
      </w:tr>
      <w:tr w:rsidR="009A45CE" w:rsidRPr="00472578" w14:paraId="3B85D97D" w14:textId="77777777" w:rsidTr="00E722D4">
        <w:tc>
          <w:tcPr>
            <w:tcW w:w="4508" w:type="dxa"/>
          </w:tcPr>
          <w:p w14:paraId="14188C02"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Maritime pine</w:t>
            </w:r>
          </w:p>
        </w:tc>
        <w:tc>
          <w:tcPr>
            <w:tcW w:w="4508" w:type="dxa"/>
          </w:tcPr>
          <w:p w14:paraId="0CBFF77B"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pinaster</w:t>
            </w:r>
          </w:p>
        </w:tc>
      </w:tr>
      <w:tr w:rsidR="009A45CE" w:rsidRPr="00472578" w14:paraId="27C23B78" w14:textId="77777777" w:rsidTr="00E722D4">
        <w:tc>
          <w:tcPr>
            <w:tcW w:w="4508" w:type="dxa"/>
          </w:tcPr>
          <w:p w14:paraId="18F565E8"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Mountain pine</w:t>
            </w:r>
          </w:p>
        </w:tc>
        <w:tc>
          <w:tcPr>
            <w:tcW w:w="4508" w:type="dxa"/>
          </w:tcPr>
          <w:p w14:paraId="1953326D"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mugo</w:t>
            </w:r>
          </w:p>
        </w:tc>
      </w:tr>
      <w:tr w:rsidR="009A45CE" w:rsidRPr="00472578" w14:paraId="42EB29AE" w14:textId="77777777" w:rsidTr="00E722D4">
        <w:tc>
          <w:tcPr>
            <w:tcW w:w="4508" w:type="dxa"/>
          </w:tcPr>
          <w:p w14:paraId="61702317"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Norfolk Island pine</w:t>
            </w:r>
          </w:p>
        </w:tc>
        <w:tc>
          <w:tcPr>
            <w:tcW w:w="4508" w:type="dxa"/>
          </w:tcPr>
          <w:p w14:paraId="25FF018C" w14:textId="77777777" w:rsidR="009A45CE" w:rsidRPr="00472578" w:rsidRDefault="009A45CE" w:rsidP="00E92686">
            <w:pPr>
              <w:spacing w:before="60" w:after="60"/>
              <w:jc w:val="both"/>
              <w:rPr>
                <w:rFonts w:cstheme="minorHAnsi"/>
                <w:i/>
                <w:sz w:val="20"/>
                <w:szCs w:val="20"/>
              </w:rPr>
            </w:pPr>
            <w:bookmarkStart w:id="378" w:name="_Hlk70948519"/>
            <w:r w:rsidRPr="00472578">
              <w:rPr>
                <w:rFonts w:cstheme="minorHAnsi"/>
                <w:i/>
                <w:sz w:val="20"/>
                <w:szCs w:val="20"/>
              </w:rPr>
              <w:t>Araucaria heterophylla</w:t>
            </w:r>
            <w:bookmarkEnd w:id="378"/>
          </w:p>
        </w:tc>
      </w:tr>
      <w:tr w:rsidR="009A45CE" w:rsidRPr="00472578" w14:paraId="5D3C8666" w14:textId="77777777" w:rsidTr="00E722D4">
        <w:tc>
          <w:tcPr>
            <w:tcW w:w="4508" w:type="dxa"/>
          </w:tcPr>
          <w:p w14:paraId="52AADF89"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Norway spruce</w:t>
            </w:r>
          </w:p>
        </w:tc>
        <w:tc>
          <w:tcPr>
            <w:tcW w:w="4508" w:type="dxa"/>
          </w:tcPr>
          <w:p w14:paraId="004E771F"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Picea abies</w:t>
            </w:r>
          </w:p>
        </w:tc>
      </w:tr>
      <w:tr w:rsidR="009A45CE" w:rsidRPr="00472578" w14:paraId="53A6E971" w14:textId="77777777" w:rsidTr="00E722D4">
        <w:tc>
          <w:tcPr>
            <w:tcW w:w="4508" w:type="dxa"/>
          </w:tcPr>
          <w:p w14:paraId="75FCE25A"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Patula pine</w:t>
            </w:r>
          </w:p>
        </w:tc>
        <w:tc>
          <w:tcPr>
            <w:tcW w:w="4508" w:type="dxa"/>
          </w:tcPr>
          <w:p w14:paraId="0184831F"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 xml:space="preserve">Pinus patula </w:t>
            </w:r>
          </w:p>
        </w:tc>
      </w:tr>
      <w:tr w:rsidR="009A45CE" w:rsidRPr="00472578" w14:paraId="45300D79" w14:textId="77777777" w:rsidTr="00E722D4">
        <w:tc>
          <w:tcPr>
            <w:tcW w:w="4508" w:type="dxa"/>
          </w:tcPr>
          <w:p w14:paraId="45568232"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 xml:space="preserve">Pine </w:t>
            </w:r>
          </w:p>
        </w:tc>
        <w:tc>
          <w:tcPr>
            <w:tcW w:w="4508" w:type="dxa"/>
          </w:tcPr>
          <w:p w14:paraId="22CD9DEB"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sp./Pine</w:t>
            </w:r>
          </w:p>
        </w:tc>
      </w:tr>
      <w:tr w:rsidR="009A45CE" w:rsidRPr="00472578" w14:paraId="366CAC2F" w14:textId="77777777" w:rsidTr="00E722D4">
        <w:tc>
          <w:tcPr>
            <w:tcW w:w="4508" w:type="dxa"/>
          </w:tcPr>
          <w:p w14:paraId="5F81B146"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Ponderosa pine</w:t>
            </w:r>
          </w:p>
        </w:tc>
        <w:tc>
          <w:tcPr>
            <w:tcW w:w="4508" w:type="dxa"/>
          </w:tcPr>
          <w:p w14:paraId="0D7AADDD"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ponderosa</w:t>
            </w:r>
          </w:p>
        </w:tc>
      </w:tr>
      <w:tr w:rsidR="009A45CE" w:rsidRPr="00472578" w14:paraId="6D17DD43" w14:textId="77777777" w:rsidTr="00E722D4">
        <w:tc>
          <w:tcPr>
            <w:tcW w:w="4508" w:type="dxa"/>
          </w:tcPr>
          <w:p w14:paraId="02166A0F"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Radiata pine</w:t>
            </w:r>
          </w:p>
        </w:tc>
        <w:tc>
          <w:tcPr>
            <w:tcW w:w="4508" w:type="dxa"/>
          </w:tcPr>
          <w:p w14:paraId="30EF72E7"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radiata</w:t>
            </w:r>
          </w:p>
        </w:tc>
      </w:tr>
      <w:tr w:rsidR="009A45CE" w:rsidRPr="00472578" w14:paraId="437B4487" w14:textId="77777777" w:rsidTr="00E722D4">
        <w:tc>
          <w:tcPr>
            <w:tcW w:w="4508" w:type="dxa"/>
          </w:tcPr>
          <w:p w14:paraId="47903FE9" w14:textId="77777777" w:rsidR="009A45CE" w:rsidRPr="00472578" w:rsidRDefault="009A45CE" w:rsidP="00E92686">
            <w:pPr>
              <w:tabs>
                <w:tab w:val="center" w:pos="2146"/>
              </w:tabs>
              <w:spacing w:before="60" w:after="60"/>
              <w:jc w:val="both"/>
              <w:rPr>
                <w:rFonts w:cstheme="minorHAnsi"/>
                <w:sz w:val="20"/>
                <w:szCs w:val="20"/>
              </w:rPr>
            </w:pPr>
            <w:r w:rsidRPr="00472578">
              <w:rPr>
                <w:rFonts w:cstheme="minorHAnsi"/>
                <w:sz w:val="20"/>
                <w:szCs w:val="20"/>
              </w:rPr>
              <w:t>Scots pine</w:t>
            </w:r>
            <w:r w:rsidRPr="00472578">
              <w:rPr>
                <w:rFonts w:cstheme="minorHAnsi"/>
                <w:sz w:val="20"/>
                <w:szCs w:val="20"/>
              </w:rPr>
              <w:tab/>
            </w:r>
          </w:p>
        </w:tc>
        <w:tc>
          <w:tcPr>
            <w:tcW w:w="4508" w:type="dxa"/>
          </w:tcPr>
          <w:p w14:paraId="03F0AF21"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sylvestris</w:t>
            </w:r>
          </w:p>
        </w:tc>
      </w:tr>
      <w:tr w:rsidR="009A45CE" w:rsidRPr="00472578" w14:paraId="1CC5BEB9" w14:textId="77777777" w:rsidTr="00E722D4">
        <w:tc>
          <w:tcPr>
            <w:tcW w:w="4508" w:type="dxa"/>
          </w:tcPr>
          <w:p w14:paraId="6B00CA14" w14:textId="77777777" w:rsidR="009A45CE" w:rsidRPr="00472578" w:rsidRDefault="009A45CE" w:rsidP="00E92686">
            <w:pPr>
              <w:tabs>
                <w:tab w:val="center" w:pos="2146"/>
              </w:tabs>
              <w:spacing w:before="60" w:after="60"/>
              <w:jc w:val="both"/>
              <w:rPr>
                <w:rFonts w:cstheme="minorHAnsi"/>
                <w:sz w:val="20"/>
                <w:szCs w:val="20"/>
              </w:rPr>
            </w:pPr>
            <w:r w:rsidRPr="00472578">
              <w:rPr>
                <w:rFonts w:cstheme="minorHAnsi"/>
                <w:sz w:val="20"/>
                <w:szCs w:val="20"/>
              </w:rPr>
              <w:t>Sitka spruce</w:t>
            </w:r>
          </w:p>
        </w:tc>
        <w:tc>
          <w:tcPr>
            <w:tcW w:w="4508" w:type="dxa"/>
          </w:tcPr>
          <w:p w14:paraId="185555B5" w14:textId="77777777" w:rsidR="009A45CE" w:rsidRPr="00472578" w:rsidRDefault="009A45CE" w:rsidP="00E92686">
            <w:pPr>
              <w:spacing w:before="60" w:after="60"/>
              <w:jc w:val="both"/>
              <w:rPr>
                <w:rFonts w:cstheme="minorHAnsi"/>
                <w:i/>
                <w:sz w:val="20"/>
                <w:szCs w:val="20"/>
              </w:rPr>
            </w:pPr>
            <w:bookmarkStart w:id="379" w:name="_Hlk70948630"/>
            <w:r w:rsidRPr="00472578">
              <w:rPr>
                <w:rFonts w:cstheme="minorHAnsi"/>
                <w:i/>
                <w:sz w:val="20"/>
                <w:szCs w:val="20"/>
              </w:rPr>
              <w:t xml:space="preserve">Picea sylvestris </w:t>
            </w:r>
            <w:bookmarkEnd w:id="379"/>
          </w:p>
        </w:tc>
      </w:tr>
      <w:tr w:rsidR="009A45CE" w:rsidRPr="00472578" w14:paraId="7934B523" w14:textId="77777777" w:rsidTr="00E722D4">
        <w:tc>
          <w:tcPr>
            <w:tcW w:w="4508" w:type="dxa"/>
          </w:tcPr>
          <w:p w14:paraId="69327AFF" w14:textId="77777777" w:rsidR="009A45CE" w:rsidRPr="00472578" w:rsidRDefault="009A45CE" w:rsidP="00E92686">
            <w:pPr>
              <w:tabs>
                <w:tab w:val="center" w:pos="2146"/>
              </w:tabs>
              <w:spacing w:before="60" w:after="60"/>
              <w:jc w:val="both"/>
              <w:rPr>
                <w:rFonts w:cstheme="minorHAnsi"/>
                <w:sz w:val="20"/>
                <w:szCs w:val="20"/>
              </w:rPr>
            </w:pPr>
            <w:r w:rsidRPr="00472578">
              <w:rPr>
                <w:rFonts w:cstheme="minorHAnsi"/>
                <w:sz w:val="20"/>
                <w:szCs w:val="20"/>
              </w:rPr>
              <w:t>Slash pine</w:t>
            </w:r>
          </w:p>
        </w:tc>
        <w:tc>
          <w:tcPr>
            <w:tcW w:w="4508" w:type="dxa"/>
          </w:tcPr>
          <w:p w14:paraId="50A586E4" w14:textId="77777777" w:rsidR="009A45CE" w:rsidRPr="00472578" w:rsidRDefault="009A45CE" w:rsidP="00E92686">
            <w:pPr>
              <w:spacing w:before="60" w:after="60"/>
              <w:jc w:val="both"/>
              <w:rPr>
                <w:rFonts w:cstheme="minorHAnsi"/>
                <w:i/>
                <w:sz w:val="20"/>
                <w:szCs w:val="20"/>
              </w:rPr>
            </w:pPr>
            <w:bookmarkStart w:id="380" w:name="_Hlk70948662"/>
            <w:r w:rsidRPr="00472578">
              <w:rPr>
                <w:rFonts w:cstheme="minorHAnsi"/>
                <w:i/>
                <w:sz w:val="20"/>
                <w:szCs w:val="20"/>
              </w:rPr>
              <w:t>Pinus elliottii</w:t>
            </w:r>
            <w:bookmarkEnd w:id="380"/>
          </w:p>
        </w:tc>
      </w:tr>
      <w:tr w:rsidR="009A45CE" w:rsidRPr="00472578" w14:paraId="13948794" w14:textId="77777777" w:rsidTr="00E722D4">
        <w:tc>
          <w:tcPr>
            <w:tcW w:w="4508" w:type="dxa"/>
          </w:tcPr>
          <w:p w14:paraId="7615F786" w14:textId="77777777" w:rsidR="009A45CE" w:rsidRPr="00472578" w:rsidRDefault="009A45CE" w:rsidP="00E92686">
            <w:pPr>
              <w:tabs>
                <w:tab w:val="center" w:pos="2146"/>
              </w:tabs>
              <w:spacing w:before="60" w:after="60"/>
              <w:jc w:val="both"/>
              <w:rPr>
                <w:rFonts w:cstheme="minorHAnsi"/>
                <w:sz w:val="20"/>
                <w:szCs w:val="20"/>
              </w:rPr>
            </w:pPr>
            <w:r w:rsidRPr="00472578">
              <w:rPr>
                <w:rFonts w:cstheme="minorHAnsi"/>
                <w:sz w:val="20"/>
                <w:szCs w:val="20"/>
              </w:rPr>
              <w:t>Spruce</w:t>
            </w:r>
          </w:p>
        </w:tc>
        <w:tc>
          <w:tcPr>
            <w:tcW w:w="4508" w:type="dxa"/>
          </w:tcPr>
          <w:p w14:paraId="43C5BA9A"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Picea sp.</w:t>
            </w:r>
          </w:p>
        </w:tc>
      </w:tr>
      <w:tr w:rsidR="009A45CE" w:rsidRPr="00472578" w14:paraId="5194579D" w14:textId="77777777" w:rsidTr="00E722D4">
        <w:tc>
          <w:tcPr>
            <w:tcW w:w="4508" w:type="dxa"/>
          </w:tcPr>
          <w:p w14:paraId="4422063E" w14:textId="77777777" w:rsidR="009A45CE" w:rsidRPr="00472578" w:rsidRDefault="009A45CE" w:rsidP="00E92686">
            <w:pPr>
              <w:tabs>
                <w:tab w:val="center" w:pos="2146"/>
              </w:tabs>
              <w:spacing w:before="60" w:after="60"/>
              <w:jc w:val="both"/>
              <w:rPr>
                <w:rFonts w:cstheme="minorHAnsi"/>
                <w:sz w:val="20"/>
                <w:szCs w:val="20"/>
              </w:rPr>
            </w:pPr>
            <w:r w:rsidRPr="00472578">
              <w:rPr>
                <w:rFonts w:cstheme="minorHAnsi"/>
                <w:sz w:val="20"/>
                <w:szCs w:val="20"/>
              </w:rPr>
              <w:lastRenderedPageBreak/>
              <w:t>Strobus pine</w:t>
            </w:r>
          </w:p>
        </w:tc>
        <w:tc>
          <w:tcPr>
            <w:tcW w:w="4508" w:type="dxa"/>
          </w:tcPr>
          <w:p w14:paraId="68564B51"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 xml:space="preserve">Pinus strobus </w:t>
            </w:r>
          </w:p>
        </w:tc>
      </w:tr>
      <w:tr w:rsidR="009A45CE" w:rsidRPr="00472578" w14:paraId="4D01E2F0" w14:textId="77777777" w:rsidTr="00E722D4">
        <w:tc>
          <w:tcPr>
            <w:tcW w:w="4508" w:type="dxa"/>
          </w:tcPr>
          <w:p w14:paraId="42F1FF2C"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Western red cedar</w:t>
            </w:r>
          </w:p>
        </w:tc>
        <w:tc>
          <w:tcPr>
            <w:tcW w:w="4508" w:type="dxa"/>
          </w:tcPr>
          <w:p w14:paraId="58D70C5B"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Thuja plicata</w:t>
            </w:r>
          </w:p>
        </w:tc>
      </w:tr>
      <w:tr w:rsidR="009A45CE" w:rsidRPr="00472578" w14:paraId="102E2344" w14:textId="77777777" w:rsidTr="00E722D4">
        <w:tc>
          <w:tcPr>
            <w:tcW w:w="4508" w:type="dxa"/>
          </w:tcPr>
          <w:p w14:paraId="5C6BEFE5"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 xml:space="preserve">Western white pine </w:t>
            </w:r>
          </w:p>
        </w:tc>
        <w:tc>
          <w:tcPr>
            <w:tcW w:w="4508" w:type="dxa"/>
          </w:tcPr>
          <w:p w14:paraId="33DF14CF" w14:textId="77777777" w:rsidR="009A45CE" w:rsidRPr="00472578" w:rsidRDefault="009A45CE" w:rsidP="00E92686">
            <w:pPr>
              <w:spacing w:before="60" w:after="60"/>
              <w:jc w:val="both"/>
              <w:rPr>
                <w:rFonts w:cstheme="minorHAnsi"/>
                <w:i/>
                <w:sz w:val="20"/>
                <w:szCs w:val="20"/>
              </w:rPr>
            </w:pPr>
            <w:r w:rsidRPr="00472578">
              <w:rPr>
                <w:rFonts w:cstheme="minorHAnsi"/>
                <w:i/>
                <w:sz w:val="20"/>
                <w:szCs w:val="20"/>
              </w:rPr>
              <w:t>Pinus monticola</w:t>
            </w:r>
          </w:p>
        </w:tc>
      </w:tr>
    </w:tbl>
    <w:p w14:paraId="03577816" w14:textId="77777777" w:rsidR="009A45CE" w:rsidRPr="00472578" w:rsidRDefault="009A45CE" w:rsidP="00E92686">
      <w:pPr>
        <w:jc w:val="both"/>
        <w:rPr>
          <w:lang w:val="en-US"/>
        </w:rPr>
      </w:pPr>
      <w:r w:rsidRPr="00472578">
        <w:rPr>
          <w:lang w:val="en-US"/>
        </w:rPr>
        <w:br w:type="page"/>
      </w:r>
    </w:p>
    <w:p w14:paraId="11FACE1E" w14:textId="77777777" w:rsidR="00E550F0" w:rsidRPr="00472578" w:rsidRDefault="00E550F0" w:rsidP="00E92686">
      <w:pPr>
        <w:pStyle w:val="Heading3"/>
        <w:jc w:val="both"/>
      </w:pPr>
      <w:r w:rsidRPr="00472578">
        <w:lastRenderedPageBreak/>
        <w:t xml:space="preserve">APP6 – Methodology for </w:t>
      </w:r>
      <w:r w:rsidRPr="00472578">
        <w:rPr>
          <w:i/>
        </w:rPr>
        <w:t>natural hazard risk</w:t>
      </w:r>
      <w:r w:rsidRPr="00472578">
        <w:t xml:space="preserve"> assessment</w:t>
      </w:r>
    </w:p>
    <w:p w14:paraId="5DC2017B" w14:textId="77777777" w:rsidR="00E550F0" w:rsidRPr="00472578" w:rsidRDefault="00E550F0" w:rsidP="00E92686">
      <w:pPr>
        <w:spacing w:before="119"/>
        <w:jc w:val="both"/>
      </w:pPr>
      <w:r w:rsidRPr="00472578">
        <w:t xml:space="preserve">Undertake the following four step process to determine the </w:t>
      </w:r>
      <w:r w:rsidRPr="00472578">
        <w:rPr>
          <w:i/>
        </w:rPr>
        <w:t>natural hazard risk</w:t>
      </w:r>
      <w:r w:rsidRPr="00472578">
        <w:t>.</w:t>
      </w:r>
    </w:p>
    <w:p w14:paraId="31ADF24F" w14:textId="77777777" w:rsidR="00E550F0" w:rsidRPr="00472578" w:rsidRDefault="00E550F0" w:rsidP="00E92686">
      <w:pPr>
        <w:jc w:val="both"/>
        <w:rPr>
          <w:b/>
        </w:rPr>
      </w:pPr>
      <w:r w:rsidRPr="00472578">
        <w:rPr>
          <w:b/>
        </w:rPr>
        <w:t>Step 1 – Determine the likelihood</w:t>
      </w:r>
    </w:p>
    <w:p w14:paraId="793592E4" w14:textId="7AC4ABEB" w:rsidR="00E550F0" w:rsidRPr="00472578" w:rsidRDefault="0048619E" w:rsidP="00E92686">
      <w:pPr>
        <w:pStyle w:val="BodyText"/>
        <w:ind w:left="567" w:hanging="567"/>
      </w:pPr>
      <w:r w:rsidRPr="00472578">
        <w:rPr>
          <w:u w:val="single"/>
        </w:rPr>
        <w:t>(</w:t>
      </w:r>
      <w:r w:rsidR="004F359C" w:rsidRPr="00472578">
        <w:rPr>
          <w:u w:val="single"/>
        </w:rPr>
        <w:t>1)</w:t>
      </w:r>
      <w:r w:rsidR="00841C4B" w:rsidRPr="00472578">
        <w:tab/>
      </w:r>
      <w:r w:rsidR="00E550F0" w:rsidRPr="00472578">
        <w:rPr>
          <w:strike/>
        </w:rPr>
        <w:t xml:space="preserve">Using </w:t>
      </w:r>
      <w:hyperlink r:id="rId53" w:anchor="_bookmark30" w:history="1">
        <w:r w:rsidR="00E550F0" w:rsidRPr="00472578">
          <w:rPr>
            <w:rStyle w:val="Hyperlink"/>
            <w:strike/>
          </w:rPr>
          <w:t>Table 6,</w:t>
        </w:r>
      </w:hyperlink>
      <w:r w:rsidR="00E550F0" w:rsidRPr="00472578">
        <w:rPr>
          <w:strike/>
        </w:rPr>
        <w:t xml:space="preserve"> a</w:t>
      </w:r>
      <w:r w:rsidR="00E550F0" w:rsidRPr="00472578">
        <w:rPr>
          <w:u w:val="single"/>
        </w:rPr>
        <w:t>A</w:t>
      </w:r>
      <w:r w:rsidR="00E550F0" w:rsidRPr="00472578">
        <w:t xml:space="preserve">ssess the likelihood of three </w:t>
      </w:r>
      <w:r w:rsidR="00E550F0" w:rsidRPr="00472578">
        <w:rPr>
          <w:i/>
        </w:rPr>
        <w:t xml:space="preserve">natural hazard </w:t>
      </w:r>
      <w:r w:rsidR="00E550F0" w:rsidRPr="00472578">
        <w:t>scenarios occurring, representing a high likelihood, median likelihood, and the maximum credible event, using the best available information</w:t>
      </w:r>
      <w:r w:rsidR="00E550F0" w:rsidRPr="00472578">
        <w:rPr>
          <w:strike/>
        </w:rPr>
        <w:t>:</w:t>
      </w:r>
      <w:r w:rsidR="00254EE1" w:rsidRPr="00472578">
        <w:rPr>
          <w:u w:val="single"/>
        </w:rPr>
        <w:t>.</w:t>
      </w:r>
    </w:p>
    <w:p w14:paraId="17513F00" w14:textId="0590AAF8" w:rsidR="00E550F0" w:rsidRPr="00472578" w:rsidRDefault="004F359C" w:rsidP="00E92686">
      <w:pPr>
        <w:pStyle w:val="BodyText"/>
        <w:ind w:left="567" w:hanging="567"/>
        <w:rPr>
          <w:u w:val="single"/>
        </w:rPr>
      </w:pPr>
      <w:r w:rsidRPr="00472578">
        <w:rPr>
          <w:u w:val="single"/>
        </w:rPr>
        <w:t>(</w:t>
      </w:r>
      <w:r w:rsidR="004E2B91" w:rsidRPr="00472578">
        <w:rPr>
          <w:u w:val="single"/>
        </w:rPr>
        <w:t>2</w:t>
      </w:r>
      <w:r w:rsidRPr="00472578">
        <w:rPr>
          <w:u w:val="single"/>
        </w:rPr>
        <w:t>)</w:t>
      </w:r>
      <w:r w:rsidR="00E705D4" w:rsidRPr="00472578">
        <w:tab/>
      </w:r>
      <w:r w:rsidR="00E550F0" w:rsidRPr="00472578">
        <w:rPr>
          <w:u w:val="single"/>
        </w:rPr>
        <w:t>Use Table 6 to assign a likelihood descriptor to the three natural hazard scenarios.</w:t>
      </w:r>
    </w:p>
    <w:p w14:paraId="22EA9461" w14:textId="61825E14" w:rsidR="00E550F0" w:rsidRPr="00472578" w:rsidRDefault="004F359C" w:rsidP="00E92686">
      <w:pPr>
        <w:pStyle w:val="BodyText"/>
        <w:ind w:left="567" w:hanging="567"/>
        <w:rPr>
          <w:u w:val="single"/>
        </w:rPr>
      </w:pPr>
      <w:bookmarkStart w:id="381" w:name="_Hlk96077777"/>
      <w:r w:rsidRPr="00472578">
        <w:rPr>
          <w:u w:val="single"/>
        </w:rPr>
        <w:t>(</w:t>
      </w:r>
      <w:r w:rsidR="004E2B91" w:rsidRPr="00472578">
        <w:rPr>
          <w:u w:val="single"/>
        </w:rPr>
        <w:t>3</w:t>
      </w:r>
      <w:r w:rsidRPr="00472578">
        <w:rPr>
          <w:u w:val="single"/>
        </w:rPr>
        <w:t>)</w:t>
      </w:r>
      <w:r w:rsidR="00E705D4" w:rsidRPr="00472578">
        <w:rPr>
          <w:u w:val="single"/>
        </w:rPr>
        <w:tab/>
      </w:r>
      <w:r w:rsidR="00E550F0" w:rsidRPr="00472578">
        <w:rPr>
          <w:u w:val="single"/>
        </w:rPr>
        <w:t>The likelihood assessment shall include consideration of the effect of climate change and Representative Concentration Pathways (RCP) scenarios.</w:t>
      </w:r>
      <w:r w:rsidR="00E550F0" w:rsidRPr="00472578">
        <w:rPr>
          <w:rStyle w:val="FootnoteReference"/>
        </w:rPr>
        <w:footnoteReference w:id="1504"/>
      </w:r>
    </w:p>
    <w:bookmarkEnd w:id="381"/>
    <w:p w14:paraId="1C4B1B9E" w14:textId="28FD8D94" w:rsidR="00E550F0" w:rsidRPr="004557BC" w:rsidRDefault="004557BC" w:rsidP="004557BC">
      <w:pPr>
        <w:pStyle w:val="Caption"/>
        <w:ind w:left="567"/>
        <w:rPr>
          <w:i w:val="0"/>
          <w:color w:val="44536A"/>
        </w:rPr>
      </w:pPr>
      <w:r>
        <w:t xml:space="preserve">Table </w:t>
      </w:r>
      <w:fldSimple w:instr=" SEQ Table \* ARABIC ">
        <w:r>
          <w:rPr>
            <w:noProof/>
          </w:rPr>
          <w:t>6</w:t>
        </w:r>
      </w:fldSimple>
      <w:r>
        <w:t xml:space="preserve"> </w:t>
      </w:r>
      <w:r w:rsidRPr="006252A4">
        <w:t xml:space="preserve">– </w:t>
      </w:r>
      <w:r>
        <w:t>Likelihood scale</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5540"/>
      </w:tblGrid>
      <w:tr w:rsidR="00E550F0" w:rsidRPr="00472578" w14:paraId="4CC78A92" w14:textId="77777777" w:rsidTr="00135436">
        <w:trPr>
          <w:trHeight w:val="388"/>
        </w:trPr>
        <w:tc>
          <w:tcPr>
            <w:tcW w:w="2001" w:type="dxa"/>
            <w:tcBorders>
              <w:top w:val="single" w:sz="4" w:space="0" w:color="000000"/>
              <w:left w:val="single" w:sz="4" w:space="0" w:color="000000"/>
              <w:bottom w:val="single" w:sz="4" w:space="0" w:color="000000"/>
              <w:right w:val="single" w:sz="4" w:space="0" w:color="000000"/>
            </w:tcBorders>
            <w:shd w:val="clear" w:color="auto" w:fill="F4AF83"/>
            <w:hideMark/>
          </w:tcPr>
          <w:p w14:paraId="2C86B64F" w14:textId="77777777" w:rsidR="00E550F0" w:rsidRPr="00472578" w:rsidRDefault="00E550F0" w:rsidP="00E92686">
            <w:pPr>
              <w:pStyle w:val="TableParagraph"/>
              <w:spacing w:before="59" w:line="256" w:lineRule="auto"/>
              <w:ind w:left="111"/>
              <w:jc w:val="both"/>
            </w:pPr>
            <w:r w:rsidRPr="00472578">
              <w:t>Likelihood</w:t>
            </w:r>
          </w:p>
        </w:tc>
        <w:tc>
          <w:tcPr>
            <w:tcW w:w="5540" w:type="dxa"/>
            <w:tcBorders>
              <w:top w:val="single" w:sz="4" w:space="0" w:color="000000"/>
              <w:left w:val="single" w:sz="4" w:space="0" w:color="000000"/>
              <w:bottom w:val="single" w:sz="4" w:space="0" w:color="000000"/>
              <w:right w:val="single" w:sz="4" w:space="0" w:color="000000"/>
            </w:tcBorders>
            <w:shd w:val="clear" w:color="auto" w:fill="F4AF83"/>
            <w:hideMark/>
          </w:tcPr>
          <w:p w14:paraId="470CAFF8" w14:textId="77777777" w:rsidR="00E550F0" w:rsidRPr="00472578" w:rsidRDefault="00E550F0" w:rsidP="00E92686">
            <w:pPr>
              <w:pStyle w:val="TableParagraph"/>
              <w:spacing w:before="59" w:line="256" w:lineRule="auto"/>
              <w:ind w:left="110"/>
              <w:jc w:val="both"/>
            </w:pPr>
            <w:r w:rsidRPr="00472578">
              <w:t>Indicative frequency</w:t>
            </w:r>
          </w:p>
        </w:tc>
      </w:tr>
      <w:tr w:rsidR="00E550F0" w:rsidRPr="00472578" w14:paraId="3ECB34D0" w14:textId="77777777" w:rsidTr="00135436">
        <w:trPr>
          <w:trHeight w:val="388"/>
        </w:trPr>
        <w:tc>
          <w:tcPr>
            <w:tcW w:w="2001" w:type="dxa"/>
            <w:tcBorders>
              <w:top w:val="single" w:sz="4" w:space="0" w:color="000000"/>
              <w:left w:val="single" w:sz="4" w:space="0" w:color="000000"/>
              <w:bottom w:val="single" w:sz="4" w:space="0" w:color="000000"/>
              <w:right w:val="single" w:sz="4" w:space="0" w:color="000000"/>
            </w:tcBorders>
            <w:shd w:val="clear" w:color="auto" w:fill="DEEAF6"/>
            <w:hideMark/>
          </w:tcPr>
          <w:p w14:paraId="1E1BD5D6" w14:textId="77777777" w:rsidR="00E550F0" w:rsidRPr="00472578" w:rsidRDefault="00E550F0" w:rsidP="00E92686">
            <w:pPr>
              <w:pStyle w:val="TableParagraph"/>
              <w:spacing w:before="59" w:line="256" w:lineRule="auto"/>
              <w:ind w:left="111"/>
              <w:jc w:val="both"/>
            </w:pPr>
            <w:r w:rsidRPr="00472578">
              <w:t>Almost certain</w:t>
            </w:r>
          </w:p>
        </w:tc>
        <w:tc>
          <w:tcPr>
            <w:tcW w:w="5540" w:type="dxa"/>
            <w:tcBorders>
              <w:top w:val="single" w:sz="4" w:space="0" w:color="000000"/>
              <w:left w:val="single" w:sz="4" w:space="0" w:color="000000"/>
              <w:bottom w:val="single" w:sz="4" w:space="0" w:color="000000"/>
              <w:right w:val="single" w:sz="4" w:space="0" w:color="000000"/>
            </w:tcBorders>
            <w:shd w:val="clear" w:color="auto" w:fill="DEEAF6"/>
            <w:hideMark/>
          </w:tcPr>
          <w:p w14:paraId="2CE74191" w14:textId="77777777" w:rsidR="00E550F0" w:rsidRPr="00472578" w:rsidRDefault="00E550F0" w:rsidP="00E92686">
            <w:pPr>
              <w:pStyle w:val="TableParagraph"/>
              <w:spacing w:before="59" w:line="256" w:lineRule="auto"/>
              <w:ind w:left="110"/>
              <w:jc w:val="both"/>
            </w:pPr>
            <w:r w:rsidRPr="00472578">
              <w:t>Up to once every 50 years (2% AEP)</w:t>
            </w:r>
          </w:p>
        </w:tc>
      </w:tr>
      <w:tr w:rsidR="00E550F0" w:rsidRPr="00472578" w14:paraId="5FBE1C19" w14:textId="77777777" w:rsidTr="00135436">
        <w:trPr>
          <w:trHeight w:val="388"/>
        </w:trPr>
        <w:tc>
          <w:tcPr>
            <w:tcW w:w="2001" w:type="dxa"/>
            <w:tcBorders>
              <w:top w:val="single" w:sz="4" w:space="0" w:color="000000"/>
              <w:left w:val="single" w:sz="4" w:space="0" w:color="000000"/>
              <w:bottom w:val="single" w:sz="4" w:space="0" w:color="000000"/>
              <w:right w:val="single" w:sz="4" w:space="0" w:color="000000"/>
            </w:tcBorders>
            <w:shd w:val="clear" w:color="auto" w:fill="BCD5ED"/>
            <w:hideMark/>
          </w:tcPr>
          <w:p w14:paraId="14B5E0F0" w14:textId="77777777" w:rsidR="00E550F0" w:rsidRPr="00472578" w:rsidRDefault="00E550F0" w:rsidP="00E92686">
            <w:pPr>
              <w:pStyle w:val="TableParagraph"/>
              <w:spacing w:before="59" w:line="256" w:lineRule="auto"/>
              <w:ind w:left="111"/>
              <w:jc w:val="both"/>
            </w:pPr>
            <w:r w:rsidRPr="00472578">
              <w:t>Likely</w:t>
            </w:r>
          </w:p>
        </w:tc>
        <w:tc>
          <w:tcPr>
            <w:tcW w:w="5540" w:type="dxa"/>
            <w:tcBorders>
              <w:top w:val="single" w:sz="4" w:space="0" w:color="000000"/>
              <w:left w:val="single" w:sz="4" w:space="0" w:color="000000"/>
              <w:bottom w:val="single" w:sz="4" w:space="0" w:color="000000"/>
              <w:right w:val="single" w:sz="4" w:space="0" w:color="000000"/>
            </w:tcBorders>
            <w:shd w:val="clear" w:color="auto" w:fill="BCD5ED"/>
            <w:hideMark/>
          </w:tcPr>
          <w:p w14:paraId="208314B5" w14:textId="77777777" w:rsidR="00E550F0" w:rsidRPr="00472578" w:rsidRDefault="00E550F0" w:rsidP="00E92686">
            <w:pPr>
              <w:pStyle w:val="TableParagraph"/>
              <w:spacing w:before="59" w:line="256" w:lineRule="auto"/>
              <w:ind w:left="110"/>
              <w:jc w:val="both"/>
            </w:pPr>
            <w:r w:rsidRPr="00472578">
              <w:t>Once every 51 – 100 years (2 – 1% AEP)</w:t>
            </w:r>
          </w:p>
        </w:tc>
      </w:tr>
      <w:tr w:rsidR="00E550F0" w:rsidRPr="00472578" w14:paraId="770B24EE" w14:textId="77777777" w:rsidTr="00135436">
        <w:trPr>
          <w:trHeight w:val="388"/>
        </w:trPr>
        <w:tc>
          <w:tcPr>
            <w:tcW w:w="2001" w:type="dxa"/>
            <w:tcBorders>
              <w:top w:val="single" w:sz="4" w:space="0" w:color="000000"/>
              <w:left w:val="single" w:sz="4" w:space="0" w:color="000000"/>
              <w:bottom w:val="single" w:sz="4" w:space="0" w:color="000000"/>
              <w:right w:val="single" w:sz="4" w:space="0" w:color="000000"/>
            </w:tcBorders>
            <w:shd w:val="clear" w:color="auto" w:fill="DEEAF6"/>
            <w:hideMark/>
          </w:tcPr>
          <w:p w14:paraId="1B48DBB4" w14:textId="77777777" w:rsidR="00E550F0" w:rsidRPr="00472578" w:rsidRDefault="00E550F0" w:rsidP="00E92686">
            <w:pPr>
              <w:pStyle w:val="TableParagraph"/>
              <w:spacing w:before="59" w:line="256" w:lineRule="auto"/>
              <w:ind w:left="111"/>
              <w:jc w:val="both"/>
            </w:pPr>
            <w:r w:rsidRPr="00472578">
              <w:t>Possible</w:t>
            </w:r>
          </w:p>
        </w:tc>
        <w:tc>
          <w:tcPr>
            <w:tcW w:w="5540" w:type="dxa"/>
            <w:tcBorders>
              <w:top w:val="single" w:sz="4" w:space="0" w:color="000000"/>
              <w:left w:val="single" w:sz="4" w:space="0" w:color="000000"/>
              <w:bottom w:val="single" w:sz="4" w:space="0" w:color="000000"/>
              <w:right w:val="single" w:sz="4" w:space="0" w:color="000000"/>
            </w:tcBorders>
            <w:shd w:val="clear" w:color="auto" w:fill="DEEAF6"/>
            <w:hideMark/>
          </w:tcPr>
          <w:p w14:paraId="55213C17" w14:textId="77777777" w:rsidR="00E550F0" w:rsidRPr="00472578" w:rsidRDefault="00E550F0" w:rsidP="00E92686">
            <w:pPr>
              <w:pStyle w:val="TableParagraph"/>
              <w:spacing w:before="59" w:line="256" w:lineRule="auto"/>
              <w:ind w:left="110"/>
              <w:jc w:val="both"/>
            </w:pPr>
            <w:r w:rsidRPr="00472578">
              <w:t>Once every 101 – 1,000 years (1 – 0.11% AEP)</w:t>
            </w:r>
          </w:p>
        </w:tc>
      </w:tr>
      <w:tr w:rsidR="00E550F0" w:rsidRPr="00472578" w14:paraId="4E2F070C" w14:textId="77777777" w:rsidTr="00135436">
        <w:trPr>
          <w:trHeight w:val="388"/>
        </w:trPr>
        <w:tc>
          <w:tcPr>
            <w:tcW w:w="2001" w:type="dxa"/>
            <w:tcBorders>
              <w:top w:val="single" w:sz="4" w:space="0" w:color="000000"/>
              <w:left w:val="single" w:sz="4" w:space="0" w:color="000000"/>
              <w:bottom w:val="single" w:sz="4" w:space="0" w:color="000000"/>
              <w:right w:val="single" w:sz="4" w:space="0" w:color="000000"/>
            </w:tcBorders>
            <w:shd w:val="clear" w:color="auto" w:fill="BCD5ED"/>
            <w:hideMark/>
          </w:tcPr>
          <w:p w14:paraId="0194B1DB" w14:textId="77777777" w:rsidR="00E550F0" w:rsidRPr="00472578" w:rsidRDefault="00E550F0" w:rsidP="00E92686">
            <w:pPr>
              <w:pStyle w:val="TableParagraph"/>
              <w:spacing w:line="256" w:lineRule="auto"/>
              <w:ind w:left="111"/>
              <w:jc w:val="both"/>
            </w:pPr>
            <w:r w:rsidRPr="00472578">
              <w:t>Unlikely</w:t>
            </w:r>
          </w:p>
        </w:tc>
        <w:tc>
          <w:tcPr>
            <w:tcW w:w="5540" w:type="dxa"/>
            <w:tcBorders>
              <w:top w:val="single" w:sz="4" w:space="0" w:color="000000"/>
              <w:left w:val="single" w:sz="4" w:space="0" w:color="000000"/>
              <w:bottom w:val="single" w:sz="4" w:space="0" w:color="000000"/>
              <w:right w:val="single" w:sz="4" w:space="0" w:color="000000"/>
            </w:tcBorders>
            <w:shd w:val="clear" w:color="auto" w:fill="BCD5ED"/>
            <w:hideMark/>
          </w:tcPr>
          <w:p w14:paraId="4077C78B" w14:textId="77777777" w:rsidR="00E550F0" w:rsidRPr="00472578" w:rsidRDefault="00E550F0" w:rsidP="00E92686">
            <w:pPr>
              <w:pStyle w:val="TableParagraph"/>
              <w:spacing w:line="256" w:lineRule="auto"/>
              <w:ind w:left="110"/>
              <w:jc w:val="both"/>
            </w:pPr>
            <w:r w:rsidRPr="00472578">
              <w:t>Once every 1,001 – 2,500 years (0.1 – 0.04% AEP)</w:t>
            </w:r>
          </w:p>
        </w:tc>
      </w:tr>
      <w:tr w:rsidR="00E550F0" w:rsidRPr="00472578" w14:paraId="5D67E8BB" w14:textId="77777777" w:rsidTr="00135436">
        <w:trPr>
          <w:trHeight w:val="390"/>
        </w:trPr>
        <w:tc>
          <w:tcPr>
            <w:tcW w:w="2001" w:type="dxa"/>
            <w:tcBorders>
              <w:top w:val="single" w:sz="4" w:space="0" w:color="000000"/>
              <w:left w:val="single" w:sz="4" w:space="0" w:color="000000"/>
              <w:bottom w:val="single" w:sz="4" w:space="0" w:color="000000"/>
              <w:right w:val="single" w:sz="4" w:space="0" w:color="000000"/>
            </w:tcBorders>
            <w:shd w:val="clear" w:color="auto" w:fill="DEEAF6"/>
            <w:hideMark/>
          </w:tcPr>
          <w:p w14:paraId="7D2E3DB5" w14:textId="77777777" w:rsidR="00E550F0" w:rsidRPr="00472578" w:rsidRDefault="00E550F0" w:rsidP="00E92686">
            <w:pPr>
              <w:pStyle w:val="TableParagraph"/>
              <w:spacing w:line="256" w:lineRule="auto"/>
              <w:ind w:left="111"/>
              <w:jc w:val="both"/>
            </w:pPr>
            <w:r w:rsidRPr="00472578">
              <w:t>Rare</w:t>
            </w:r>
          </w:p>
        </w:tc>
        <w:tc>
          <w:tcPr>
            <w:tcW w:w="5540" w:type="dxa"/>
            <w:tcBorders>
              <w:top w:val="single" w:sz="4" w:space="0" w:color="000000"/>
              <w:left w:val="single" w:sz="4" w:space="0" w:color="000000"/>
              <w:bottom w:val="single" w:sz="4" w:space="0" w:color="000000"/>
              <w:right w:val="single" w:sz="4" w:space="0" w:color="000000"/>
            </w:tcBorders>
            <w:shd w:val="clear" w:color="auto" w:fill="DEEAF6"/>
            <w:hideMark/>
          </w:tcPr>
          <w:p w14:paraId="72024D99" w14:textId="77777777" w:rsidR="00E550F0" w:rsidRPr="00472578" w:rsidRDefault="00E550F0" w:rsidP="00E92686">
            <w:pPr>
              <w:pStyle w:val="TableParagraph"/>
              <w:spacing w:line="256" w:lineRule="auto"/>
              <w:ind w:left="110"/>
              <w:jc w:val="both"/>
            </w:pPr>
            <w:r w:rsidRPr="00472578">
              <w:t>2,501 years plus (&lt;0.04% AEP)</w:t>
            </w:r>
          </w:p>
        </w:tc>
      </w:tr>
    </w:tbl>
    <w:p w14:paraId="76583B67" w14:textId="77777777" w:rsidR="00E550F0" w:rsidRPr="00472578" w:rsidRDefault="00E550F0" w:rsidP="00E92686">
      <w:pPr>
        <w:pStyle w:val="BodyText"/>
      </w:pPr>
    </w:p>
    <w:p w14:paraId="31EBC6B8" w14:textId="77777777" w:rsidR="00E550F0" w:rsidRPr="00472578" w:rsidRDefault="00E550F0" w:rsidP="00E92686">
      <w:pPr>
        <w:jc w:val="both"/>
        <w:rPr>
          <w:b/>
        </w:rPr>
      </w:pPr>
      <w:r w:rsidRPr="00472578">
        <w:rPr>
          <w:b/>
        </w:rPr>
        <w:t xml:space="preserve">Step 2 – </w:t>
      </w:r>
      <w:r w:rsidRPr="00472578">
        <w:rPr>
          <w:b/>
          <w:i/>
        </w:rPr>
        <w:t xml:space="preserve">Natural hazard </w:t>
      </w:r>
      <w:r w:rsidRPr="00472578">
        <w:rPr>
          <w:b/>
        </w:rPr>
        <w:t>consequence</w:t>
      </w:r>
    </w:p>
    <w:p w14:paraId="55885AA0" w14:textId="59F4C609" w:rsidR="00B05AE0" w:rsidRPr="00472578" w:rsidRDefault="00B05AE0" w:rsidP="00E92686">
      <w:pPr>
        <w:pStyle w:val="TableParagraph"/>
        <w:spacing w:line="256" w:lineRule="auto"/>
        <w:ind w:left="100" w:right="270"/>
        <w:jc w:val="both"/>
        <w:rPr>
          <w:rFonts w:cs="Arial"/>
          <w:u w:val="single"/>
        </w:rPr>
      </w:pPr>
      <w:r w:rsidRPr="00472578">
        <w:rPr>
          <w:u w:val="single"/>
        </w:rPr>
        <w:t>Note 1:</w:t>
      </w:r>
      <w:r w:rsidRPr="00472578">
        <w:t xml:space="preserve"> </w:t>
      </w:r>
      <w:r w:rsidRPr="00472578">
        <w:rPr>
          <w:u w:val="single"/>
        </w:rPr>
        <w:t>Table</w:t>
      </w:r>
      <w:r w:rsidRPr="00472578">
        <w:rPr>
          <w:rFonts w:cs="Arial"/>
          <w:u w:val="single"/>
        </w:rPr>
        <w:t xml:space="preserve"> 7 shall be utilised by territorial authorities determining the level of risk presented by a hazard(s) when undertaking plan change or plan review processes. </w:t>
      </w:r>
    </w:p>
    <w:p w14:paraId="6B0989EF" w14:textId="77777777" w:rsidR="00B05AE0" w:rsidRPr="00472578" w:rsidRDefault="00B05AE0" w:rsidP="00E92686">
      <w:pPr>
        <w:pStyle w:val="TableParagraph"/>
        <w:spacing w:line="256" w:lineRule="auto"/>
        <w:ind w:left="0" w:right="270"/>
        <w:jc w:val="both"/>
        <w:rPr>
          <w:u w:val="single"/>
        </w:rPr>
      </w:pPr>
    </w:p>
    <w:p w14:paraId="67FD7F8C" w14:textId="08CDCB16" w:rsidR="00B05AE0" w:rsidRPr="00472578" w:rsidRDefault="00B05AE0" w:rsidP="00E92686">
      <w:pPr>
        <w:pStyle w:val="TableParagraph"/>
        <w:spacing w:line="256" w:lineRule="auto"/>
        <w:ind w:left="100" w:right="270"/>
        <w:jc w:val="both"/>
        <w:rPr>
          <w:rFonts w:cs="Arial"/>
          <w:i/>
          <w:iCs/>
          <w:sz w:val="18"/>
          <w:szCs w:val="18"/>
          <w:u w:val="single"/>
        </w:rPr>
      </w:pPr>
      <w:r w:rsidRPr="00472578">
        <w:rPr>
          <w:u w:val="single"/>
        </w:rPr>
        <w:t>Note 2:</w:t>
      </w:r>
      <w:r w:rsidRPr="00472578">
        <w:rPr>
          <w:u w:val="single"/>
          <w:vertAlign w:val="superscript"/>
        </w:rPr>
        <w:t xml:space="preserve"> </w:t>
      </w:r>
      <w:r w:rsidRPr="00472578">
        <w:rPr>
          <w:u w:val="single"/>
        </w:rPr>
        <w:t>The</w:t>
      </w:r>
      <w:r w:rsidRPr="00472578">
        <w:rPr>
          <w:rFonts w:cs="Arial"/>
          <w:u w:val="single"/>
        </w:rPr>
        <w:t xml:space="preserve"> matters listed in (1) to (11) provide useful considerations for territorial authorities, and are the primary considerations for resource consent applications triggering a risk assessment requirement in accordance with HAZ-NH-M3(7)(a) or HAZ-NH-M4(7)(a</w:t>
      </w:r>
      <w:r w:rsidRPr="00472578">
        <w:rPr>
          <w:szCs w:val="28"/>
        </w:rPr>
        <w:t>)</w:t>
      </w:r>
      <w:r w:rsidRPr="639E38F9">
        <w:rPr>
          <w:sz w:val="18"/>
          <w:szCs w:val="18"/>
        </w:rPr>
        <w:t xml:space="preserve">. </w:t>
      </w:r>
      <w:r w:rsidRPr="639E38F9">
        <w:rPr>
          <w:rStyle w:val="FootnoteReference"/>
          <w:sz w:val="18"/>
          <w:szCs w:val="18"/>
        </w:rPr>
        <w:footnoteReference w:id="1505"/>
      </w:r>
    </w:p>
    <w:p w14:paraId="598FFEC5" w14:textId="03130317" w:rsidR="00B05AE0" w:rsidRPr="00472578" w:rsidRDefault="00B05AE0" w:rsidP="00E92686">
      <w:pPr>
        <w:pStyle w:val="BodyText"/>
      </w:pPr>
    </w:p>
    <w:p w14:paraId="3D3354B0" w14:textId="1CEC780D" w:rsidR="00E550F0" w:rsidRPr="00472578" w:rsidRDefault="00E550F0" w:rsidP="00E92686">
      <w:pPr>
        <w:pStyle w:val="BodyText"/>
      </w:pPr>
      <w:r w:rsidRPr="00472578">
        <w:t>Using Table 7</w:t>
      </w:r>
      <w:r w:rsidR="000D63D9" w:rsidRPr="00472578">
        <w:rPr>
          <w:vertAlign w:val="superscript"/>
        </w:rPr>
        <w:t xml:space="preserve"> </w:t>
      </w:r>
      <w:r w:rsidRPr="00472578">
        <w:t xml:space="preserve">and the matters listed in (1) to (10) below, assess the consequence (catastrophic, major, moderate, minor, or insignificant) of the </w:t>
      </w:r>
      <w:r w:rsidRPr="00472578">
        <w:rPr>
          <w:i/>
        </w:rPr>
        <w:t xml:space="preserve">natural hazard </w:t>
      </w:r>
      <w:r w:rsidRPr="00472578">
        <w:t>scenarios identified in step 1 considering:</w:t>
      </w:r>
    </w:p>
    <w:p w14:paraId="7544C797" w14:textId="0B338869" w:rsidR="00E550F0" w:rsidRPr="00472578" w:rsidRDefault="000D63D9" w:rsidP="00E92686">
      <w:pPr>
        <w:widowControl w:val="0"/>
        <w:tabs>
          <w:tab w:val="left" w:pos="867"/>
        </w:tabs>
        <w:autoSpaceDE w:val="0"/>
        <w:autoSpaceDN w:val="0"/>
        <w:spacing w:before="124"/>
        <w:ind w:left="567" w:hanging="567"/>
        <w:jc w:val="both"/>
      </w:pPr>
      <w:r w:rsidRPr="00472578">
        <w:t>(1)</w:t>
      </w:r>
      <w:r w:rsidRPr="00472578">
        <w:tab/>
      </w:r>
      <w:r w:rsidR="00E550F0" w:rsidRPr="00472578">
        <w:t xml:space="preserve">the nature </w:t>
      </w:r>
      <w:r w:rsidR="00E550F0" w:rsidRPr="00472578">
        <w:rPr>
          <w:u w:val="single"/>
        </w:rPr>
        <w:t>and scale</w:t>
      </w:r>
      <w:r w:rsidR="00E550F0" w:rsidRPr="00472578">
        <w:rPr>
          <w:rStyle w:val="FootnoteReference"/>
        </w:rPr>
        <w:footnoteReference w:id="1506"/>
      </w:r>
      <w:r w:rsidR="00E550F0" w:rsidRPr="00472578">
        <w:t xml:space="preserve"> of activities in the area,</w:t>
      </w:r>
    </w:p>
    <w:p w14:paraId="6AA9DC05" w14:textId="0DC86EC5" w:rsidR="00E550F0" w:rsidRPr="00472578" w:rsidRDefault="000D63D9" w:rsidP="00E92686">
      <w:pPr>
        <w:widowControl w:val="0"/>
        <w:tabs>
          <w:tab w:val="left" w:pos="867"/>
        </w:tabs>
        <w:autoSpaceDE w:val="0"/>
        <w:autoSpaceDN w:val="0"/>
        <w:spacing w:before="161"/>
        <w:ind w:left="567" w:hanging="567"/>
        <w:jc w:val="both"/>
      </w:pPr>
      <w:r w:rsidRPr="00472578">
        <w:t>(2)</w:t>
      </w:r>
      <w:r w:rsidRPr="00472578">
        <w:tab/>
      </w:r>
      <w:r w:rsidR="00E550F0" w:rsidRPr="00472578">
        <w:t xml:space="preserve">individual and community vulnerability </w:t>
      </w:r>
      <w:r w:rsidR="00E550F0" w:rsidRPr="00472578">
        <w:rPr>
          <w:u w:val="single"/>
        </w:rPr>
        <w:t>and resilience</w:t>
      </w:r>
      <w:r w:rsidR="00E550F0" w:rsidRPr="00472578">
        <w:t>,</w:t>
      </w:r>
      <w:r w:rsidR="00E550F0" w:rsidRPr="00472578">
        <w:rPr>
          <w:rStyle w:val="FootnoteReference"/>
        </w:rPr>
        <w:footnoteReference w:id="1507"/>
      </w:r>
    </w:p>
    <w:p w14:paraId="116AA8E0" w14:textId="654A2CF8" w:rsidR="00E550F0" w:rsidRPr="00472578" w:rsidRDefault="000D63D9" w:rsidP="00E92686">
      <w:pPr>
        <w:widowControl w:val="0"/>
        <w:tabs>
          <w:tab w:val="left" w:pos="867"/>
        </w:tabs>
        <w:autoSpaceDE w:val="0"/>
        <w:autoSpaceDN w:val="0"/>
        <w:spacing w:before="159"/>
        <w:ind w:left="567" w:hanging="567"/>
        <w:jc w:val="both"/>
      </w:pPr>
      <w:r w:rsidRPr="00472578">
        <w:t>(3)</w:t>
      </w:r>
      <w:r w:rsidRPr="00472578">
        <w:tab/>
      </w:r>
      <w:r w:rsidR="00E550F0" w:rsidRPr="00472578">
        <w:t>impacts on individual and community health and safety,</w:t>
      </w:r>
    </w:p>
    <w:p w14:paraId="43DD52EC" w14:textId="1CFAFD14" w:rsidR="00E550F0" w:rsidRPr="00472578" w:rsidRDefault="000D63D9" w:rsidP="00E92686">
      <w:pPr>
        <w:widowControl w:val="0"/>
        <w:tabs>
          <w:tab w:val="left" w:pos="867"/>
        </w:tabs>
        <w:autoSpaceDE w:val="0"/>
        <w:autoSpaceDN w:val="0"/>
        <w:spacing w:before="161"/>
        <w:ind w:left="567" w:hanging="567"/>
        <w:jc w:val="both"/>
      </w:pPr>
      <w:r w:rsidRPr="00472578">
        <w:t>(4)</w:t>
      </w:r>
      <w:r w:rsidRPr="00472578">
        <w:tab/>
      </w:r>
      <w:r w:rsidR="00E550F0" w:rsidRPr="00472578">
        <w:t>impacts on social, cultural and economic well-being,</w:t>
      </w:r>
    </w:p>
    <w:p w14:paraId="1CC2EE65" w14:textId="11D0CD06" w:rsidR="00E550F0" w:rsidRPr="00472578" w:rsidRDefault="000D63D9" w:rsidP="00E92686">
      <w:pPr>
        <w:widowControl w:val="0"/>
        <w:tabs>
          <w:tab w:val="left" w:pos="867"/>
        </w:tabs>
        <w:autoSpaceDE w:val="0"/>
        <w:autoSpaceDN w:val="0"/>
        <w:spacing w:before="159"/>
        <w:ind w:left="567" w:hanging="567"/>
        <w:jc w:val="both"/>
      </w:pPr>
      <w:r w:rsidRPr="00472578">
        <w:t>(5)</w:t>
      </w:r>
      <w:r w:rsidRPr="00472578">
        <w:tab/>
      </w:r>
      <w:r w:rsidR="00E550F0" w:rsidRPr="00472578">
        <w:t xml:space="preserve">impacts on </w:t>
      </w:r>
      <w:r w:rsidR="00E550F0" w:rsidRPr="00472578">
        <w:rPr>
          <w:i/>
        </w:rPr>
        <w:t xml:space="preserve">infrastructure </w:t>
      </w:r>
      <w:r w:rsidR="00E550F0" w:rsidRPr="00472578">
        <w:t>and property, including access and services,</w:t>
      </w:r>
    </w:p>
    <w:p w14:paraId="7D40572E" w14:textId="028F3D62" w:rsidR="00E550F0" w:rsidRPr="00472578" w:rsidRDefault="000D63D9" w:rsidP="00E92686">
      <w:pPr>
        <w:widowControl w:val="0"/>
        <w:tabs>
          <w:tab w:val="left" w:pos="867"/>
        </w:tabs>
        <w:autoSpaceDE w:val="0"/>
        <w:autoSpaceDN w:val="0"/>
        <w:spacing w:before="161"/>
        <w:ind w:left="567" w:hanging="567"/>
        <w:jc w:val="both"/>
      </w:pPr>
      <w:r w:rsidRPr="00472578">
        <w:lastRenderedPageBreak/>
        <w:t>(6)</w:t>
      </w:r>
      <w:r w:rsidRPr="00472578">
        <w:tab/>
      </w:r>
      <w:r w:rsidR="00E550F0" w:rsidRPr="00472578">
        <w:t xml:space="preserve">available and viable </w:t>
      </w:r>
      <w:r w:rsidR="00E550F0" w:rsidRPr="00472578">
        <w:rPr>
          <w:i/>
        </w:rPr>
        <w:t xml:space="preserve">risk </w:t>
      </w:r>
      <w:r w:rsidR="00E550F0" w:rsidRPr="00472578">
        <w:t>reduction and hazard mitigation measures,</w:t>
      </w:r>
    </w:p>
    <w:p w14:paraId="285D6C49" w14:textId="05BB9A2F" w:rsidR="00E550F0" w:rsidRPr="00472578" w:rsidRDefault="000D63D9" w:rsidP="00E92686">
      <w:pPr>
        <w:widowControl w:val="0"/>
        <w:tabs>
          <w:tab w:val="left" w:pos="867"/>
        </w:tabs>
        <w:autoSpaceDE w:val="0"/>
        <w:autoSpaceDN w:val="0"/>
        <w:spacing w:before="159"/>
        <w:ind w:left="567" w:hanging="567"/>
        <w:jc w:val="both"/>
      </w:pPr>
      <w:r w:rsidRPr="00472578">
        <w:rPr>
          <w:iCs/>
        </w:rPr>
        <w:t>(7)</w:t>
      </w:r>
      <w:r w:rsidRPr="00472578">
        <w:rPr>
          <w:iCs/>
        </w:rPr>
        <w:tab/>
      </w:r>
      <w:r w:rsidR="00E550F0" w:rsidRPr="00472578">
        <w:rPr>
          <w:i/>
        </w:rPr>
        <w:t>lifeline utilities</w:t>
      </w:r>
      <w:r w:rsidR="00E550F0" w:rsidRPr="00472578">
        <w:t>, essential and emergency services, and their co-dependence,</w:t>
      </w:r>
    </w:p>
    <w:p w14:paraId="230FE7A4" w14:textId="53DEE5BF" w:rsidR="00E550F0" w:rsidRPr="00472578" w:rsidRDefault="000D63D9" w:rsidP="00E92686">
      <w:pPr>
        <w:widowControl w:val="0"/>
        <w:tabs>
          <w:tab w:val="left" w:pos="867"/>
        </w:tabs>
        <w:autoSpaceDE w:val="0"/>
        <w:autoSpaceDN w:val="0"/>
        <w:spacing w:before="161"/>
        <w:ind w:left="567" w:hanging="567"/>
        <w:jc w:val="both"/>
      </w:pPr>
      <w:r w:rsidRPr="00472578">
        <w:t>(8)</w:t>
      </w:r>
      <w:r w:rsidRPr="00472578">
        <w:tab/>
      </w:r>
      <w:r w:rsidR="00E550F0" w:rsidRPr="00472578">
        <w:t>implications for civil defence agencies and emergency services,</w:t>
      </w:r>
    </w:p>
    <w:p w14:paraId="34363E1E" w14:textId="13992535" w:rsidR="00E550F0" w:rsidRPr="00472578" w:rsidRDefault="000D63D9" w:rsidP="00E92686">
      <w:pPr>
        <w:widowControl w:val="0"/>
        <w:tabs>
          <w:tab w:val="left" w:pos="867"/>
        </w:tabs>
        <w:autoSpaceDE w:val="0"/>
        <w:autoSpaceDN w:val="0"/>
        <w:spacing w:before="161"/>
        <w:ind w:left="567" w:hanging="567"/>
        <w:jc w:val="both"/>
      </w:pPr>
      <w:r w:rsidRPr="00472578">
        <w:t>(9)</w:t>
      </w:r>
      <w:r w:rsidRPr="00472578">
        <w:tab/>
      </w:r>
      <w:r w:rsidR="00E550F0" w:rsidRPr="00472578">
        <w:t xml:space="preserve">the changing </w:t>
      </w:r>
      <w:r w:rsidR="00E550F0" w:rsidRPr="00472578">
        <w:rPr>
          <w:i/>
        </w:rPr>
        <w:t xml:space="preserve">natural hazard </w:t>
      </w:r>
      <w:r w:rsidR="00E550F0" w:rsidRPr="00472578">
        <w:t>environment,</w:t>
      </w:r>
    </w:p>
    <w:p w14:paraId="1FF9DFF0" w14:textId="0498FC4C" w:rsidR="00E550F0" w:rsidRPr="00472578" w:rsidRDefault="000D63D9" w:rsidP="00E92686">
      <w:pPr>
        <w:widowControl w:val="0"/>
        <w:tabs>
          <w:tab w:val="left" w:pos="867"/>
        </w:tabs>
        <w:autoSpaceDE w:val="0"/>
        <w:autoSpaceDN w:val="0"/>
        <w:spacing w:before="158"/>
        <w:ind w:left="567" w:hanging="567"/>
        <w:jc w:val="both"/>
      </w:pPr>
      <w:r w:rsidRPr="00472578">
        <w:t>(10)</w:t>
      </w:r>
      <w:r w:rsidRPr="00472578">
        <w:tab/>
      </w:r>
      <w:r w:rsidR="00E550F0" w:rsidRPr="00472578">
        <w:t xml:space="preserve">cumulative </w:t>
      </w:r>
      <w:r w:rsidR="00E550F0" w:rsidRPr="00472578">
        <w:rPr>
          <w:i/>
        </w:rPr>
        <w:t xml:space="preserve">effects </w:t>
      </w:r>
      <w:r w:rsidR="00E550F0" w:rsidRPr="00472578">
        <w:t xml:space="preserve">including </w:t>
      </w:r>
      <w:r w:rsidR="00E550F0" w:rsidRPr="00472578">
        <w:rPr>
          <w:i/>
        </w:rPr>
        <w:t xml:space="preserve">multiple </w:t>
      </w:r>
      <w:r w:rsidR="00E550F0" w:rsidRPr="00472578">
        <w:t xml:space="preserve">and </w:t>
      </w:r>
      <w:r w:rsidR="00E550F0" w:rsidRPr="00472578">
        <w:rPr>
          <w:i/>
        </w:rPr>
        <w:t xml:space="preserve">cascading hazards, </w:t>
      </w:r>
      <w:r w:rsidR="00E550F0" w:rsidRPr="00472578">
        <w:t>where present, and</w:t>
      </w:r>
    </w:p>
    <w:p w14:paraId="5010C843" w14:textId="55BBEC97" w:rsidR="00E550F0" w:rsidRPr="00472578" w:rsidRDefault="000D63D9" w:rsidP="00E92686">
      <w:pPr>
        <w:widowControl w:val="0"/>
        <w:tabs>
          <w:tab w:val="left" w:pos="867"/>
        </w:tabs>
        <w:autoSpaceDE w:val="0"/>
        <w:autoSpaceDN w:val="0"/>
        <w:spacing w:before="161"/>
        <w:ind w:left="567" w:hanging="567"/>
        <w:jc w:val="both"/>
      </w:pPr>
      <w:r w:rsidRPr="00472578">
        <w:t>(11)</w:t>
      </w:r>
      <w:r w:rsidRPr="00472578">
        <w:tab/>
      </w:r>
      <w:r w:rsidR="00E550F0" w:rsidRPr="00472578">
        <w:t xml:space="preserve">factors that may exacerbate a </w:t>
      </w:r>
      <w:r w:rsidR="00E550F0" w:rsidRPr="00472578">
        <w:rPr>
          <w:i/>
        </w:rPr>
        <w:t xml:space="preserve">natural hazard </w:t>
      </w:r>
      <w:r w:rsidR="00E550F0" w:rsidRPr="00472578">
        <w:t xml:space="preserve">event including the </w:t>
      </w:r>
      <w:r w:rsidR="00E550F0" w:rsidRPr="00472578">
        <w:rPr>
          <w:i/>
        </w:rPr>
        <w:t xml:space="preserve">effects </w:t>
      </w:r>
      <w:r w:rsidR="00E550F0" w:rsidRPr="00472578">
        <w:t xml:space="preserve">of </w:t>
      </w:r>
      <w:r w:rsidR="00E550F0" w:rsidRPr="00472578">
        <w:rPr>
          <w:i/>
        </w:rPr>
        <w:t>climate change</w:t>
      </w:r>
      <w:r w:rsidR="00E550F0" w:rsidRPr="00472578">
        <w:t>.</w:t>
      </w:r>
    </w:p>
    <w:p w14:paraId="60C10A4E" w14:textId="790BE057" w:rsidR="004557BC" w:rsidRDefault="004557BC" w:rsidP="004557BC">
      <w:pPr>
        <w:pStyle w:val="Caption"/>
        <w:ind w:left="284"/>
        <w:rPr>
          <w:i w:val="0"/>
          <w:color w:val="44536A"/>
        </w:rPr>
      </w:pPr>
      <w:bookmarkStart w:id="382" w:name="_bookmark31"/>
      <w:bookmarkEnd w:id="382"/>
      <w:r>
        <w:t xml:space="preserve">Table </w:t>
      </w:r>
      <w:fldSimple w:instr=" SEQ Table \* ARABIC ">
        <w:r>
          <w:rPr>
            <w:noProof/>
          </w:rPr>
          <w:t>7</w:t>
        </w:r>
      </w:fldSimple>
      <w:r>
        <w:t xml:space="preserve"> </w:t>
      </w:r>
      <w:r w:rsidRPr="00492F37">
        <w:t xml:space="preserve">– </w:t>
      </w:r>
      <w:r>
        <w:t>Consequence table</w:t>
      </w:r>
    </w:p>
    <w:tbl>
      <w:tblPr>
        <w:tblW w:w="9055" w:type="dxa"/>
        <w:tblInd w:w="3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94"/>
        <w:gridCol w:w="1348"/>
        <w:gridCol w:w="1416"/>
        <w:gridCol w:w="1277"/>
        <w:gridCol w:w="2268"/>
        <w:gridCol w:w="1552"/>
      </w:tblGrid>
      <w:tr w:rsidR="00E550F0" w:rsidRPr="00472578" w14:paraId="36A2AE0E" w14:textId="77777777" w:rsidTr="639E38F9">
        <w:trPr>
          <w:trHeight w:val="221"/>
        </w:trPr>
        <w:tc>
          <w:tcPr>
            <w:tcW w:w="1194" w:type="dxa"/>
            <w:vMerge w:val="restart"/>
            <w:tcBorders>
              <w:top w:val="nil"/>
              <w:left w:val="nil"/>
              <w:bottom w:val="single" w:sz="4" w:space="0" w:color="FFFFFF" w:themeColor="background1"/>
              <w:right w:val="nil"/>
            </w:tcBorders>
            <w:shd w:val="clear" w:color="auto" w:fill="EC7C30"/>
            <w:hideMark/>
          </w:tcPr>
          <w:p w14:paraId="5F1C247B" w14:textId="77777777" w:rsidR="00E550F0" w:rsidRPr="00472578" w:rsidRDefault="00E550F0" w:rsidP="00E92686">
            <w:pPr>
              <w:pStyle w:val="TableParagraph"/>
              <w:spacing w:before="2" w:line="256" w:lineRule="auto"/>
              <w:ind w:left="333" w:right="192" w:hanging="144"/>
              <w:jc w:val="both"/>
              <w:rPr>
                <w:b/>
                <w:sz w:val="18"/>
              </w:rPr>
            </w:pPr>
            <w:r w:rsidRPr="00472578">
              <w:rPr>
                <w:b/>
                <w:sz w:val="18"/>
              </w:rPr>
              <w:t>Severity of Impact</w:t>
            </w:r>
          </w:p>
        </w:tc>
        <w:tc>
          <w:tcPr>
            <w:tcW w:w="6309" w:type="dxa"/>
            <w:gridSpan w:val="4"/>
            <w:tcBorders>
              <w:top w:val="nil"/>
              <w:left w:val="nil"/>
              <w:bottom w:val="single" w:sz="4" w:space="0" w:color="FFFFFF" w:themeColor="background1"/>
              <w:right w:val="single" w:sz="4" w:space="0" w:color="FFFFFF" w:themeColor="background1"/>
            </w:tcBorders>
            <w:shd w:val="clear" w:color="auto" w:fill="EC7C30"/>
            <w:hideMark/>
          </w:tcPr>
          <w:p w14:paraId="55B05B2C" w14:textId="77777777" w:rsidR="00E550F0" w:rsidRPr="00472578" w:rsidRDefault="00E550F0" w:rsidP="00E92686">
            <w:pPr>
              <w:pStyle w:val="TableParagraph"/>
              <w:spacing w:before="2" w:line="199" w:lineRule="exact"/>
              <w:ind w:left="2956" w:right="2958"/>
              <w:jc w:val="both"/>
              <w:rPr>
                <w:b/>
                <w:sz w:val="18"/>
              </w:rPr>
            </w:pPr>
            <w:r w:rsidRPr="00472578">
              <w:rPr>
                <w:b/>
                <w:sz w:val="18"/>
              </w:rPr>
              <w:t>Built</w:t>
            </w:r>
          </w:p>
        </w:tc>
        <w:tc>
          <w:tcPr>
            <w:tcW w:w="1552" w:type="dxa"/>
            <w:vMerge w:val="restart"/>
            <w:tcBorders>
              <w:top w:val="nil"/>
              <w:left w:val="single" w:sz="4" w:space="0" w:color="FFFFFF" w:themeColor="background1"/>
              <w:bottom w:val="single" w:sz="4" w:space="0" w:color="FFFFFF" w:themeColor="background1"/>
              <w:right w:val="nil"/>
            </w:tcBorders>
            <w:shd w:val="clear" w:color="auto" w:fill="EC7C30"/>
            <w:hideMark/>
          </w:tcPr>
          <w:p w14:paraId="69A694AD" w14:textId="77777777" w:rsidR="00E550F0" w:rsidRPr="00472578" w:rsidRDefault="00E550F0" w:rsidP="00E92686">
            <w:pPr>
              <w:pStyle w:val="TableParagraph"/>
              <w:spacing w:before="2" w:line="256" w:lineRule="auto"/>
              <w:ind w:left="187"/>
              <w:jc w:val="both"/>
              <w:rPr>
                <w:b/>
                <w:sz w:val="18"/>
              </w:rPr>
            </w:pPr>
            <w:r w:rsidRPr="00472578">
              <w:rPr>
                <w:b/>
                <w:sz w:val="18"/>
              </w:rPr>
              <w:t>Health &amp; Safety</w:t>
            </w:r>
          </w:p>
        </w:tc>
      </w:tr>
      <w:tr w:rsidR="00E550F0" w:rsidRPr="00472578" w14:paraId="61C02DAF" w14:textId="77777777" w:rsidTr="639E38F9">
        <w:trPr>
          <w:trHeight w:val="438"/>
        </w:trPr>
        <w:tc>
          <w:tcPr>
            <w:tcW w:w="1194" w:type="dxa"/>
            <w:vMerge/>
            <w:vAlign w:val="center"/>
            <w:hideMark/>
          </w:tcPr>
          <w:p w14:paraId="19FC1692" w14:textId="77777777" w:rsidR="00E550F0" w:rsidRPr="00472578" w:rsidRDefault="00E550F0" w:rsidP="00E92686">
            <w:pPr>
              <w:spacing w:line="256" w:lineRule="auto"/>
              <w:jc w:val="both"/>
              <w:rPr>
                <w:rFonts w:ascii="Calibri" w:eastAsia="Calibri" w:hAnsi="Calibri" w:cs="Calibri"/>
                <w:b/>
                <w:sz w:val="18"/>
              </w:rPr>
            </w:pPr>
          </w:p>
        </w:tc>
        <w:tc>
          <w:tcPr>
            <w:tcW w:w="1348" w:type="dxa"/>
            <w:tcBorders>
              <w:top w:val="single" w:sz="4" w:space="0" w:color="FFFFFF" w:themeColor="background1"/>
              <w:left w:val="nil"/>
              <w:bottom w:val="single" w:sz="4" w:space="0" w:color="FFFFFF" w:themeColor="background1"/>
              <w:right w:val="single" w:sz="4" w:space="0" w:color="FFFFFF" w:themeColor="background1"/>
            </w:tcBorders>
            <w:shd w:val="clear" w:color="auto" w:fill="F4AF83"/>
            <w:hideMark/>
          </w:tcPr>
          <w:p w14:paraId="76FA9D74" w14:textId="77777777" w:rsidR="00E550F0" w:rsidRPr="00472578" w:rsidRDefault="00E550F0" w:rsidP="00E92686">
            <w:pPr>
              <w:pStyle w:val="TableParagraph"/>
              <w:spacing w:before="1" w:line="256" w:lineRule="auto"/>
              <w:ind w:left="137"/>
              <w:jc w:val="both"/>
              <w:rPr>
                <w:sz w:val="18"/>
              </w:rPr>
            </w:pPr>
            <w:r w:rsidRPr="00472578">
              <w:rPr>
                <w:sz w:val="18"/>
              </w:rPr>
              <w:t>Social/Cultural</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AF83"/>
            <w:hideMark/>
          </w:tcPr>
          <w:p w14:paraId="077750BF" w14:textId="77777777" w:rsidR="00E550F0" w:rsidRPr="00472578" w:rsidRDefault="00E550F0" w:rsidP="00E92686">
            <w:pPr>
              <w:pStyle w:val="TableParagraph"/>
              <w:spacing w:before="1" w:line="256" w:lineRule="auto"/>
              <w:ind w:left="371"/>
              <w:jc w:val="both"/>
              <w:rPr>
                <w:i/>
                <w:sz w:val="18"/>
              </w:rPr>
            </w:pPr>
            <w:r w:rsidRPr="00472578">
              <w:rPr>
                <w:i/>
                <w:sz w:val="18"/>
              </w:rPr>
              <w:t>Buildings</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AF83"/>
            <w:hideMark/>
          </w:tcPr>
          <w:p w14:paraId="07616E8E" w14:textId="77777777" w:rsidR="00E550F0" w:rsidRPr="00472578" w:rsidRDefault="00E550F0" w:rsidP="00E92686">
            <w:pPr>
              <w:pStyle w:val="TableParagraph"/>
              <w:spacing w:before="1" w:line="219" w:lineRule="exact"/>
              <w:ind w:left="381"/>
              <w:jc w:val="both"/>
              <w:rPr>
                <w:sz w:val="18"/>
              </w:rPr>
            </w:pPr>
            <w:r w:rsidRPr="00472578">
              <w:rPr>
                <w:sz w:val="18"/>
              </w:rPr>
              <w:t>Critical</w:t>
            </w:r>
          </w:p>
          <w:p w14:paraId="3FDAF5C8" w14:textId="77777777" w:rsidR="00E550F0" w:rsidRPr="00472578" w:rsidRDefault="00E550F0" w:rsidP="00E92686">
            <w:pPr>
              <w:pStyle w:val="TableParagraph"/>
              <w:spacing w:line="199" w:lineRule="exact"/>
              <w:ind w:left="302"/>
              <w:jc w:val="both"/>
              <w:rPr>
                <w:i/>
                <w:sz w:val="18"/>
              </w:rPr>
            </w:pPr>
            <w:r w:rsidRPr="00472578">
              <w:rPr>
                <w:i/>
                <w:sz w:val="18"/>
              </w:rPr>
              <w:t>Buildings</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AF83"/>
            <w:hideMark/>
          </w:tcPr>
          <w:p w14:paraId="4E13DC56" w14:textId="77777777" w:rsidR="00E550F0" w:rsidRPr="00472578" w:rsidRDefault="00E550F0" w:rsidP="00E92686">
            <w:pPr>
              <w:pStyle w:val="TableParagraph"/>
              <w:spacing w:before="1" w:line="256" w:lineRule="auto"/>
              <w:ind w:left="294" w:right="295"/>
              <w:jc w:val="both"/>
              <w:rPr>
                <w:sz w:val="18"/>
              </w:rPr>
            </w:pPr>
            <w:r w:rsidRPr="00472578">
              <w:rPr>
                <w:sz w:val="18"/>
              </w:rPr>
              <w:t>Lifelines</w:t>
            </w:r>
          </w:p>
        </w:tc>
        <w:tc>
          <w:tcPr>
            <w:tcW w:w="1552" w:type="dxa"/>
            <w:vMerge/>
            <w:vAlign w:val="center"/>
            <w:hideMark/>
          </w:tcPr>
          <w:p w14:paraId="6AF8B18C" w14:textId="77777777" w:rsidR="00E550F0" w:rsidRPr="00472578" w:rsidRDefault="00E550F0" w:rsidP="00E92686">
            <w:pPr>
              <w:spacing w:line="256" w:lineRule="auto"/>
              <w:jc w:val="both"/>
              <w:rPr>
                <w:rFonts w:ascii="Calibri" w:eastAsia="Calibri" w:hAnsi="Calibri" w:cs="Calibri"/>
                <w:b/>
                <w:sz w:val="18"/>
              </w:rPr>
            </w:pPr>
          </w:p>
        </w:tc>
      </w:tr>
      <w:tr w:rsidR="00E550F0" w:rsidRPr="00472578" w14:paraId="5DA07A26" w14:textId="77777777" w:rsidTr="639E38F9">
        <w:trPr>
          <w:trHeight w:val="1758"/>
        </w:trPr>
        <w:tc>
          <w:tcPr>
            <w:tcW w:w="1194" w:type="dxa"/>
            <w:tcBorders>
              <w:top w:val="single" w:sz="4" w:space="0" w:color="FFFFFF" w:themeColor="background1"/>
              <w:left w:val="nil"/>
              <w:bottom w:val="single" w:sz="4" w:space="0" w:color="FFFFFF" w:themeColor="background1"/>
              <w:right w:val="nil"/>
            </w:tcBorders>
            <w:shd w:val="clear" w:color="auto" w:fill="EC7C30"/>
            <w:hideMark/>
          </w:tcPr>
          <w:p w14:paraId="24A58D15" w14:textId="77777777" w:rsidR="00E550F0" w:rsidRPr="00472578" w:rsidRDefault="00E550F0" w:rsidP="00E92686">
            <w:pPr>
              <w:pStyle w:val="TableParagraph"/>
              <w:spacing w:before="1" w:line="720" w:lineRule="auto"/>
              <w:ind w:left="482" w:right="123" w:hanging="363"/>
              <w:jc w:val="both"/>
              <w:rPr>
                <w:b/>
                <w:sz w:val="18"/>
              </w:rPr>
            </w:pPr>
            <w:r w:rsidRPr="00472578">
              <w:rPr>
                <w:b/>
                <w:sz w:val="18"/>
              </w:rPr>
              <w:t>Catastrophic (V)</w:t>
            </w:r>
          </w:p>
        </w:tc>
        <w:tc>
          <w:tcPr>
            <w:tcW w:w="1348" w:type="dxa"/>
            <w:tcBorders>
              <w:top w:val="single" w:sz="4" w:space="0" w:color="FFFFFF" w:themeColor="background1"/>
              <w:left w:val="nil"/>
              <w:bottom w:val="single" w:sz="4" w:space="0" w:color="FFFFFF" w:themeColor="background1"/>
              <w:right w:val="single" w:sz="4" w:space="0" w:color="FFFFFF" w:themeColor="background1"/>
            </w:tcBorders>
            <w:shd w:val="clear" w:color="auto" w:fill="FAE3D4"/>
            <w:hideMark/>
          </w:tcPr>
          <w:p w14:paraId="7E2237CA" w14:textId="77777777" w:rsidR="00E550F0" w:rsidRPr="00472578" w:rsidRDefault="00E550F0" w:rsidP="00E92686">
            <w:pPr>
              <w:pStyle w:val="TableParagraph"/>
              <w:spacing w:before="1" w:line="256" w:lineRule="auto"/>
              <w:ind w:left="154" w:right="151" w:hanging="2"/>
              <w:jc w:val="both"/>
              <w:rPr>
                <w:sz w:val="18"/>
              </w:rPr>
            </w:pPr>
            <w:r w:rsidRPr="639E38F9">
              <w:rPr>
                <w:sz w:val="18"/>
                <w:szCs w:val="18"/>
              </w:rPr>
              <w:t xml:space="preserve">≥25% of </w:t>
            </w:r>
            <w:r w:rsidRPr="639E38F9">
              <w:rPr>
                <w:i/>
                <w:sz w:val="18"/>
                <w:szCs w:val="18"/>
              </w:rPr>
              <w:t xml:space="preserve">buildings </w:t>
            </w:r>
            <w:r w:rsidRPr="639E38F9">
              <w:rPr>
                <w:sz w:val="18"/>
                <w:szCs w:val="18"/>
              </w:rPr>
              <w:t xml:space="preserve">of social/cultural significance within hazard </w:t>
            </w:r>
            <w:r w:rsidRPr="639E38F9">
              <w:rPr>
                <w:strike/>
                <w:sz w:val="18"/>
                <w:szCs w:val="18"/>
              </w:rPr>
              <w:t>zone</w:t>
            </w:r>
            <w:r w:rsidRPr="639E38F9">
              <w:rPr>
                <w:sz w:val="18"/>
                <w:szCs w:val="18"/>
              </w:rPr>
              <w:t xml:space="preserve"> </w:t>
            </w:r>
            <w:r w:rsidRPr="639E38F9">
              <w:rPr>
                <w:sz w:val="18"/>
                <w:szCs w:val="18"/>
                <w:u w:val="single"/>
              </w:rPr>
              <w:t>impact area</w:t>
            </w:r>
            <w:r w:rsidRPr="639E38F9">
              <w:rPr>
                <w:rStyle w:val="FootnoteReference"/>
                <w:sz w:val="18"/>
                <w:szCs w:val="18"/>
              </w:rPr>
              <w:footnoteReference w:id="1508"/>
            </w:r>
            <w:r w:rsidRPr="639E38F9">
              <w:rPr>
                <w:sz w:val="18"/>
                <w:szCs w:val="18"/>
              </w:rPr>
              <w:t xml:space="preserve"> have functionality</w:t>
            </w:r>
          </w:p>
          <w:p w14:paraId="01C3466F" w14:textId="77777777" w:rsidR="00E550F0" w:rsidRPr="00472578" w:rsidRDefault="00E550F0" w:rsidP="00E92686">
            <w:pPr>
              <w:pStyle w:val="TableParagraph"/>
              <w:spacing w:line="199" w:lineRule="exact"/>
              <w:ind w:left="119" w:right="118"/>
              <w:jc w:val="both"/>
              <w:rPr>
                <w:sz w:val="18"/>
              </w:rPr>
            </w:pPr>
            <w:r w:rsidRPr="00472578">
              <w:rPr>
                <w:sz w:val="18"/>
              </w:rPr>
              <w:t>compromised</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3B71C227" w14:textId="637C7801" w:rsidR="00E550F0" w:rsidRPr="00472578" w:rsidRDefault="00E550F0" w:rsidP="00E92686">
            <w:pPr>
              <w:pStyle w:val="TableParagraph"/>
              <w:spacing w:before="1" w:line="256" w:lineRule="auto"/>
              <w:ind w:left="124" w:right="121" w:hanging="5"/>
              <w:jc w:val="both"/>
              <w:rPr>
                <w:sz w:val="18"/>
              </w:rPr>
            </w:pPr>
            <w:r w:rsidRPr="639E38F9">
              <w:rPr>
                <w:sz w:val="18"/>
                <w:szCs w:val="18"/>
              </w:rPr>
              <w:t xml:space="preserve">≥50% of affected </w:t>
            </w: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3C3411" w:rsidRPr="639E38F9">
              <w:rPr>
                <w:rStyle w:val="FootnoteReference"/>
                <w:sz w:val="18"/>
                <w:szCs w:val="18"/>
              </w:rPr>
              <w:footnoteReference w:id="1509"/>
            </w:r>
            <w:r w:rsidR="003C3411" w:rsidRPr="639E38F9">
              <w:rPr>
                <w:sz w:val="18"/>
                <w:szCs w:val="18"/>
              </w:rPr>
              <w:t xml:space="preserve"> </w:t>
            </w:r>
            <w:r w:rsidRPr="639E38F9">
              <w:rPr>
                <w:sz w:val="18"/>
                <w:szCs w:val="18"/>
              </w:rPr>
              <w:t>have functionality compromised</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163223FF" w14:textId="3914B7AC" w:rsidR="00E550F0" w:rsidRPr="00472578" w:rsidRDefault="00E550F0" w:rsidP="00E92686">
            <w:pPr>
              <w:pStyle w:val="TableParagraph"/>
              <w:spacing w:before="1" w:line="256" w:lineRule="auto"/>
              <w:ind w:left="129" w:right="129" w:hanging="2"/>
              <w:jc w:val="both"/>
              <w:rPr>
                <w:sz w:val="18"/>
              </w:rPr>
            </w:pPr>
            <w:r w:rsidRPr="639E38F9">
              <w:rPr>
                <w:sz w:val="18"/>
                <w:szCs w:val="18"/>
              </w:rPr>
              <w:t xml:space="preserve">≥25% of critical facilities within hazard </w:t>
            </w:r>
            <w:r w:rsidRPr="639E38F9">
              <w:rPr>
                <w:strike/>
                <w:sz w:val="18"/>
                <w:szCs w:val="18"/>
              </w:rPr>
              <w:t>zone</w:t>
            </w:r>
            <w:r w:rsidRPr="639E38F9">
              <w:rPr>
                <w:sz w:val="18"/>
                <w:szCs w:val="18"/>
              </w:rPr>
              <w:t xml:space="preserve"> </w:t>
            </w:r>
            <w:r w:rsidRPr="639E38F9">
              <w:rPr>
                <w:sz w:val="18"/>
                <w:szCs w:val="18"/>
                <w:u w:val="single"/>
              </w:rPr>
              <w:t>impact area</w:t>
            </w:r>
            <w:r w:rsidR="003C3411" w:rsidRPr="639E38F9">
              <w:rPr>
                <w:rStyle w:val="FootnoteReference"/>
                <w:sz w:val="18"/>
                <w:szCs w:val="18"/>
              </w:rPr>
              <w:footnoteReference w:id="1510"/>
            </w:r>
            <w:r w:rsidRPr="639E38F9">
              <w:rPr>
                <w:sz w:val="18"/>
                <w:szCs w:val="18"/>
              </w:rPr>
              <w:t xml:space="preserve"> have functionality compromised</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1C9B9F3E" w14:textId="77777777" w:rsidR="00E550F0" w:rsidRPr="00472578" w:rsidRDefault="00E550F0" w:rsidP="00E92686">
            <w:pPr>
              <w:pStyle w:val="TableParagraph"/>
              <w:spacing w:before="1" w:line="256" w:lineRule="auto"/>
              <w:ind w:left="187" w:right="186" w:hanging="1"/>
              <w:jc w:val="both"/>
              <w:rPr>
                <w:sz w:val="18"/>
              </w:rPr>
            </w:pPr>
            <w:r w:rsidRPr="00472578">
              <w:rPr>
                <w:sz w:val="18"/>
              </w:rPr>
              <w:t>Out of service for &gt; 1 month (affecting ≥20% of the town/city population) OR suburbs out of service for &gt; 6 months (affecting</w:t>
            </w:r>
          </w:p>
          <w:p w14:paraId="1938CA71" w14:textId="77777777" w:rsidR="00E550F0" w:rsidRPr="00472578" w:rsidRDefault="00E550F0" w:rsidP="00E92686">
            <w:pPr>
              <w:pStyle w:val="TableParagraph"/>
              <w:spacing w:line="256" w:lineRule="auto"/>
              <w:ind w:left="295" w:right="295"/>
              <w:jc w:val="both"/>
              <w:rPr>
                <w:sz w:val="18"/>
              </w:rPr>
            </w:pPr>
            <w:r w:rsidRPr="00472578">
              <w:rPr>
                <w:sz w:val="18"/>
              </w:rPr>
              <w:t>&lt; 20% of the town/city population)</w:t>
            </w:r>
          </w:p>
        </w:tc>
        <w:tc>
          <w:tcPr>
            <w:tcW w:w="1552" w:type="dxa"/>
            <w:tcBorders>
              <w:top w:val="single" w:sz="4" w:space="0" w:color="FFFFFF" w:themeColor="background1"/>
              <w:left w:val="single" w:sz="4" w:space="0" w:color="FFFFFF" w:themeColor="background1"/>
              <w:bottom w:val="single" w:sz="4" w:space="0" w:color="FFFFFF" w:themeColor="background1"/>
              <w:right w:val="nil"/>
            </w:tcBorders>
            <w:shd w:val="clear" w:color="auto" w:fill="FAE3D4"/>
            <w:hideMark/>
          </w:tcPr>
          <w:p w14:paraId="32BB1E61" w14:textId="77777777" w:rsidR="00E550F0" w:rsidRPr="00472578" w:rsidRDefault="00E550F0" w:rsidP="00E92686">
            <w:pPr>
              <w:pStyle w:val="TableParagraph"/>
              <w:spacing w:before="1" w:line="219" w:lineRule="exact"/>
              <w:ind w:left="106" w:right="101"/>
              <w:jc w:val="both"/>
              <w:rPr>
                <w:sz w:val="18"/>
              </w:rPr>
            </w:pPr>
            <w:r w:rsidRPr="00472578">
              <w:rPr>
                <w:sz w:val="18"/>
              </w:rPr>
              <w:t>&gt; 10</w:t>
            </w:r>
            <w:r w:rsidRPr="00472578">
              <w:rPr>
                <w:strike/>
                <w:sz w:val="18"/>
              </w:rPr>
              <w:t>1</w:t>
            </w:r>
            <w:r w:rsidRPr="00472578">
              <w:rPr>
                <w:sz w:val="18"/>
              </w:rPr>
              <w:t xml:space="preserve"> dead</w:t>
            </w:r>
          </w:p>
          <w:p w14:paraId="4F893419" w14:textId="099C411C" w:rsidR="00E550F0" w:rsidRPr="00472578" w:rsidRDefault="00E550F0" w:rsidP="00E92686">
            <w:pPr>
              <w:pStyle w:val="TableParagraph"/>
              <w:spacing w:line="256" w:lineRule="auto"/>
              <w:ind w:left="106" w:right="99"/>
              <w:jc w:val="both"/>
              <w:rPr>
                <w:sz w:val="18"/>
              </w:rPr>
            </w:pPr>
            <w:r w:rsidRPr="639E38F9">
              <w:rPr>
                <w:sz w:val="18"/>
                <w:szCs w:val="18"/>
              </w:rPr>
              <w:t>and/or &gt; 1001 injured</w:t>
            </w:r>
            <w:r w:rsidR="00B345FA" w:rsidRPr="639E38F9">
              <w:rPr>
                <w:rStyle w:val="FootnoteReference"/>
                <w:sz w:val="18"/>
                <w:szCs w:val="18"/>
              </w:rPr>
              <w:footnoteReference w:id="1511"/>
            </w:r>
          </w:p>
        </w:tc>
      </w:tr>
      <w:tr w:rsidR="00E550F0" w:rsidRPr="00472578" w14:paraId="6BFD2E83" w14:textId="77777777" w:rsidTr="639E38F9">
        <w:trPr>
          <w:trHeight w:val="1755"/>
        </w:trPr>
        <w:tc>
          <w:tcPr>
            <w:tcW w:w="1194" w:type="dxa"/>
            <w:tcBorders>
              <w:top w:val="single" w:sz="4" w:space="0" w:color="FFFFFF" w:themeColor="background1"/>
              <w:left w:val="nil"/>
              <w:bottom w:val="single" w:sz="6" w:space="0" w:color="FFFFFF" w:themeColor="background1"/>
              <w:right w:val="nil"/>
            </w:tcBorders>
            <w:shd w:val="clear" w:color="auto" w:fill="EC7C30"/>
          </w:tcPr>
          <w:p w14:paraId="707AE030" w14:textId="77777777" w:rsidR="00E550F0" w:rsidRPr="00472578" w:rsidRDefault="00E550F0" w:rsidP="00E92686">
            <w:pPr>
              <w:pStyle w:val="TableParagraph"/>
              <w:spacing w:before="1" w:line="256" w:lineRule="auto"/>
              <w:ind w:left="116" w:right="125"/>
              <w:jc w:val="both"/>
              <w:rPr>
                <w:b/>
                <w:sz w:val="18"/>
              </w:rPr>
            </w:pPr>
            <w:r w:rsidRPr="00472578">
              <w:rPr>
                <w:b/>
                <w:sz w:val="18"/>
              </w:rPr>
              <w:t>Major</w:t>
            </w:r>
          </w:p>
          <w:p w14:paraId="34F79038" w14:textId="77777777" w:rsidR="00E550F0" w:rsidRPr="00472578" w:rsidRDefault="00E550F0" w:rsidP="00E92686">
            <w:pPr>
              <w:pStyle w:val="TableParagraph"/>
              <w:spacing w:line="256" w:lineRule="auto"/>
              <w:ind w:left="0"/>
              <w:jc w:val="both"/>
              <w:rPr>
                <w:i/>
                <w:sz w:val="18"/>
              </w:rPr>
            </w:pPr>
          </w:p>
          <w:p w14:paraId="186474B6" w14:textId="77777777" w:rsidR="00E550F0" w:rsidRPr="00472578" w:rsidRDefault="00E550F0" w:rsidP="00E92686">
            <w:pPr>
              <w:pStyle w:val="TableParagraph"/>
              <w:spacing w:line="256" w:lineRule="auto"/>
              <w:ind w:left="0"/>
              <w:jc w:val="both"/>
              <w:rPr>
                <w:i/>
                <w:sz w:val="18"/>
              </w:rPr>
            </w:pPr>
          </w:p>
          <w:p w14:paraId="60DE1EB7" w14:textId="77777777" w:rsidR="00E550F0" w:rsidRPr="00472578" w:rsidRDefault="00E550F0" w:rsidP="00E92686">
            <w:pPr>
              <w:pStyle w:val="TableParagraph"/>
              <w:spacing w:before="11" w:line="256" w:lineRule="auto"/>
              <w:ind w:left="0"/>
              <w:jc w:val="both"/>
              <w:rPr>
                <w:i/>
                <w:sz w:val="17"/>
              </w:rPr>
            </w:pPr>
          </w:p>
          <w:p w14:paraId="444D3FF3" w14:textId="77777777" w:rsidR="00E550F0" w:rsidRPr="00472578" w:rsidRDefault="00E550F0" w:rsidP="00E92686">
            <w:pPr>
              <w:pStyle w:val="TableParagraph"/>
              <w:spacing w:before="1" w:line="256" w:lineRule="auto"/>
              <w:ind w:left="115" w:right="125"/>
              <w:jc w:val="both"/>
              <w:rPr>
                <w:b/>
                <w:sz w:val="18"/>
              </w:rPr>
            </w:pPr>
            <w:r w:rsidRPr="00472578">
              <w:rPr>
                <w:b/>
                <w:sz w:val="18"/>
              </w:rPr>
              <w:t>(IV)</w:t>
            </w:r>
          </w:p>
        </w:tc>
        <w:tc>
          <w:tcPr>
            <w:tcW w:w="1348" w:type="dxa"/>
            <w:tcBorders>
              <w:top w:val="single" w:sz="4" w:space="0" w:color="FFFFFF" w:themeColor="background1"/>
              <w:left w:val="nil"/>
              <w:bottom w:val="single" w:sz="6" w:space="0" w:color="FFFFFF" w:themeColor="background1"/>
              <w:right w:val="single" w:sz="4" w:space="0" w:color="FFFFFF" w:themeColor="background1"/>
            </w:tcBorders>
            <w:shd w:val="clear" w:color="auto" w:fill="F4AF83"/>
            <w:hideMark/>
          </w:tcPr>
          <w:p w14:paraId="629B3593" w14:textId="77777777" w:rsidR="00E550F0" w:rsidRPr="00472578" w:rsidRDefault="00E550F0" w:rsidP="00E92686">
            <w:pPr>
              <w:pStyle w:val="TableParagraph"/>
              <w:spacing w:before="1" w:line="219" w:lineRule="exact"/>
              <w:ind w:left="118" w:right="118"/>
              <w:jc w:val="both"/>
              <w:rPr>
                <w:sz w:val="18"/>
              </w:rPr>
            </w:pPr>
            <w:r w:rsidRPr="00472578">
              <w:rPr>
                <w:sz w:val="18"/>
              </w:rPr>
              <w:t>11-24% of</w:t>
            </w:r>
          </w:p>
          <w:p w14:paraId="7763429B" w14:textId="35F70CF1" w:rsidR="00E550F0" w:rsidRPr="00472578" w:rsidRDefault="00E550F0" w:rsidP="00E92686">
            <w:pPr>
              <w:pStyle w:val="TableParagraph"/>
              <w:spacing w:line="256" w:lineRule="auto"/>
              <w:ind w:left="154" w:right="151" w:hanging="4"/>
              <w:jc w:val="both"/>
              <w:rPr>
                <w:sz w:val="18"/>
              </w:rPr>
            </w:pPr>
            <w:r w:rsidRPr="639E38F9">
              <w:rPr>
                <w:i/>
                <w:sz w:val="18"/>
                <w:szCs w:val="18"/>
              </w:rPr>
              <w:t xml:space="preserve">buildings </w:t>
            </w:r>
            <w:r w:rsidRPr="639E38F9">
              <w:rPr>
                <w:sz w:val="18"/>
                <w:szCs w:val="18"/>
              </w:rPr>
              <w:t xml:space="preserve">of social/cultural significance 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12"/>
            </w:r>
            <w:r w:rsidRPr="639E38F9">
              <w:rPr>
                <w:sz w:val="18"/>
                <w:szCs w:val="18"/>
              </w:rPr>
              <w:t xml:space="preserve"> have functionality</w:t>
            </w:r>
          </w:p>
          <w:p w14:paraId="35FF3E54" w14:textId="77777777" w:rsidR="00E550F0" w:rsidRPr="00472578" w:rsidRDefault="00E550F0" w:rsidP="00E92686">
            <w:pPr>
              <w:pStyle w:val="TableParagraph"/>
              <w:spacing w:line="198" w:lineRule="exact"/>
              <w:ind w:left="119" w:right="118"/>
              <w:jc w:val="both"/>
              <w:rPr>
                <w:sz w:val="18"/>
              </w:rPr>
            </w:pPr>
            <w:r w:rsidRPr="00472578">
              <w:rPr>
                <w:sz w:val="18"/>
              </w:rPr>
              <w:t>compromised</w:t>
            </w:r>
          </w:p>
        </w:tc>
        <w:tc>
          <w:tcPr>
            <w:tcW w:w="1416"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F4AF83"/>
            <w:hideMark/>
          </w:tcPr>
          <w:p w14:paraId="1C06E679" w14:textId="77777777" w:rsidR="00E550F0" w:rsidRPr="00472578" w:rsidRDefault="00E550F0" w:rsidP="00E92686">
            <w:pPr>
              <w:pStyle w:val="TableParagraph"/>
              <w:spacing w:before="1" w:line="219" w:lineRule="exact"/>
              <w:ind w:left="118" w:right="107"/>
              <w:jc w:val="both"/>
              <w:rPr>
                <w:sz w:val="18"/>
              </w:rPr>
            </w:pPr>
            <w:r w:rsidRPr="00472578">
              <w:rPr>
                <w:sz w:val="18"/>
              </w:rPr>
              <w:t>21-49% of</w:t>
            </w:r>
          </w:p>
          <w:p w14:paraId="4FC46E26" w14:textId="42538470" w:rsidR="00E550F0" w:rsidRPr="00472578" w:rsidRDefault="00E550F0" w:rsidP="00E92686">
            <w:pPr>
              <w:pStyle w:val="TableParagraph"/>
              <w:spacing w:line="256" w:lineRule="auto"/>
              <w:ind w:left="260" w:right="104"/>
              <w:jc w:val="both"/>
              <w:rPr>
                <w:sz w:val="18"/>
              </w:rPr>
            </w:pP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13"/>
            </w:r>
            <w:r w:rsidRPr="639E38F9">
              <w:rPr>
                <w:sz w:val="18"/>
                <w:szCs w:val="18"/>
              </w:rPr>
              <w:t xml:space="preserve"> have functionality compromised</w:t>
            </w:r>
          </w:p>
        </w:tc>
        <w:tc>
          <w:tcPr>
            <w:tcW w:w="127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F4AF83"/>
            <w:hideMark/>
          </w:tcPr>
          <w:p w14:paraId="3DC27881" w14:textId="77777777" w:rsidR="00E550F0" w:rsidRPr="00472578" w:rsidRDefault="00E550F0" w:rsidP="00E92686">
            <w:pPr>
              <w:pStyle w:val="TableParagraph"/>
              <w:spacing w:before="1" w:line="219" w:lineRule="exact"/>
              <w:ind w:left="243" w:right="244"/>
              <w:jc w:val="both"/>
              <w:rPr>
                <w:sz w:val="18"/>
              </w:rPr>
            </w:pPr>
            <w:r w:rsidRPr="00472578">
              <w:rPr>
                <w:sz w:val="18"/>
              </w:rPr>
              <w:t>11-24% of</w:t>
            </w:r>
          </w:p>
          <w:p w14:paraId="6895B864" w14:textId="13DD805F" w:rsidR="00E550F0" w:rsidRPr="00472578" w:rsidRDefault="00E550F0" w:rsidP="00E92686">
            <w:pPr>
              <w:pStyle w:val="TableParagraph"/>
              <w:spacing w:line="256" w:lineRule="auto"/>
              <w:ind w:left="129" w:right="129" w:firstLine="1"/>
              <w:jc w:val="both"/>
              <w:rPr>
                <w:sz w:val="18"/>
              </w:rPr>
            </w:pP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14"/>
            </w:r>
            <w:r w:rsidRPr="639E38F9">
              <w:rPr>
                <w:sz w:val="18"/>
                <w:szCs w:val="18"/>
              </w:rPr>
              <w:t xml:space="preserve"> have functionality compromised</w:t>
            </w:r>
          </w:p>
        </w:tc>
        <w:tc>
          <w:tcPr>
            <w:tcW w:w="2268"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F4AF83"/>
            <w:hideMark/>
          </w:tcPr>
          <w:p w14:paraId="52CFB1C3" w14:textId="77777777" w:rsidR="00E550F0" w:rsidRPr="00472578" w:rsidRDefault="00E550F0" w:rsidP="00E92686">
            <w:pPr>
              <w:pStyle w:val="TableParagraph"/>
              <w:spacing w:before="1" w:line="256" w:lineRule="auto"/>
              <w:ind w:left="134" w:right="132" w:firstLine="2"/>
              <w:jc w:val="both"/>
              <w:rPr>
                <w:sz w:val="18"/>
              </w:rPr>
            </w:pPr>
            <w:r w:rsidRPr="00472578">
              <w:rPr>
                <w:sz w:val="18"/>
              </w:rPr>
              <w:t>Out of service for 1 week – 1 month (affecting ≥20% of the town/city population) OR suburbs out of service for 6 weeks to 6 months (affecting &lt; 20% of the town/city population)</w:t>
            </w:r>
          </w:p>
        </w:tc>
        <w:tc>
          <w:tcPr>
            <w:tcW w:w="1552" w:type="dxa"/>
            <w:tcBorders>
              <w:top w:val="single" w:sz="4" w:space="0" w:color="FFFFFF" w:themeColor="background1"/>
              <w:left w:val="single" w:sz="4" w:space="0" w:color="FFFFFF" w:themeColor="background1"/>
              <w:bottom w:val="single" w:sz="6" w:space="0" w:color="FFFFFF" w:themeColor="background1"/>
              <w:right w:val="nil"/>
            </w:tcBorders>
            <w:shd w:val="clear" w:color="auto" w:fill="F4AF83"/>
            <w:hideMark/>
          </w:tcPr>
          <w:p w14:paraId="04E37317" w14:textId="77777777" w:rsidR="00E550F0" w:rsidRPr="00472578" w:rsidRDefault="00E550F0" w:rsidP="00E92686">
            <w:pPr>
              <w:pStyle w:val="TableParagraph"/>
              <w:spacing w:before="1" w:line="219" w:lineRule="exact"/>
              <w:ind w:left="259"/>
              <w:jc w:val="both"/>
              <w:rPr>
                <w:sz w:val="18"/>
              </w:rPr>
            </w:pPr>
            <w:r w:rsidRPr="00472578">
              <w:rPr>
                <w:sz w:val="18"/>
              </w:rPr>
              <w:t>1</w:t>
            </w:r>
            <w:r w:rsidRPr="00472578">
              <w:rPr>
                <w:strike/>
                <w:sz w:val="18"/>
              </w:rPr>
              <w:t>1</w:t>
            </w:r>
            <w:r w:rsidRPr="00472578">
              <w:rPr>
                <w:sz w:val="18"/>
              </w:rPr>
              <w:t xml:space="preserve"> – 10</w:t>
            </w:r>
            <w:r w:rsidRPr="00472578">
              <w:rPr>
                <w:strike/>
                <w:sz w:val="18"/>
              </w:rPr>
              <w:t>0</w:t>
            </w:r>
            <w:r w:rsidRPr="00472578">
              <w:rPr>
                <w:sz w:val="18"/>
              </w:rPr>
              <w:t xml:space="preserve"> dead</w:t>
            </w:r>
          </w:p>
          <w:p w14:paraId="24C2E664" w14:textId="77777777" w:rsidR="00E550F0" w:rsidRPr="00472578" w:rsidRDefault="00E550F0" w:rsidP="00E92686">
            <w:pPr>
              <w:pStyle w:val="TableParagraph"/>
              <w:spacing w:line="219" w:lineRule="exact"/>
              <w:ind w:left="303"/>
              <w:jc w:val="both"/>
              <w:rPr>
                <w:sz w:val="18"/>
              </w:rPr>
            </w:pPr>
            <w:r w:rsidRPr="00472578">
              <w:rPr>
                <w:sz w:val="18"/>
              </w:rPr>
              <w:t>and/or 101 –</w:t>
            </w:r>
          </w:p>
          <w:p w14:paraId="640D442C" w14:textId="37BB491A" w:rsidR="00E550F0" w:rsidRPr="00472578" w:rsidRDefault="00E550F0" w:rsidP="00E92686">
            <w:pPr>
              <w:pStyle w:val="TableParagraph"/>
              <w:spacing w:before="1" w:line="256" w:lineRule="auto"/>
              <w:ind w:left="312"/>
              <w:jc w:val="both"/>
              <w:rPr>
                <w:sz w:val="18"/>
              </w:rPr>
            </w:pPr>
            <w:r w:rsidRPr="639E38F9">
              <w:rPr>
                <w:sz w:val="18"/>
                <w:szCs w:val="18"/>
              </w:rPr>
              <w:t>1000 injured</w:t>
            </w:r>
            <w:r w:rsidR="00B345FA" w:rsidRPr="639E38F9">
              <w:rPr>
                <w:rStyle w:val="FootnoteReference"/>
                <w:sz w:val="18"/>
                <w:szCs w:val="18"/>
              </w:rPr>
              <w:footnoteReference w:id="1515"/>
            </w:r>
          </w:p>
        </w:tc>
      </w:tr>
      <w:tr w:rsidR="00E550F0" w:rsidRPr="00472578" w14:paraId="05D9D535" w14:textId="77777777" w:rsidTr="639E38F9">
        <w:trPr>
          <w:trHeight w:val="1755"/>
        </w:trPr>
        <w:tc>
          <w:tcPr>
            <w:tcW w:w="1194" w:type="dxa"/>
            <w:tcBorders>
              <w:top w:val="single" w:sz="6" w:space="0" w:color="FFFFFF" w:themeColor="background1"/>
              <w:left w:val="nil"/>
              <w:bottom w:val="single" w:sz="4" w:space="0" w:color="FFFFFF" w:themeColor="background1"/>
              <w:right w:val="nil"/>
            </w:tcBorders>
            <w:shd w:val="clear" w:color="auto" w:fill="EC7C30"/>
          </w:tcPr>
          <w:p w14:paraId="6AEE5252" w14:textId="77777777" w:rsidR="00E550F0" w:rsidRPr="00472578" w:rsidRDefault="00E550F0" w:rsidP="00E92686">
            <w:pPr>
              <w:pStyle w:val="TableParagraph"/>
              <w:spacing w:line="217" w:lineRule="exact"/>
              <w:ind w:left="116" w:right="123"/>
              <w:jc w:val="both"/>
              <w:rPr>
                <w:b/>
                <w:sz w:val="18"/>
              </w:rPr>
            </w:pPr>
            <w:r w:rsidRPr="00472578">
              <w:rPr>
                <w:b/>
                <w:sz w:val="18"/>
              </w:rPr>
              <w:t>Moderate</w:t>
            </w:r>
          </w:p>
          <w:p w14:paraId="53D90202" w14:textId="77777777" w:rsidR="00E550F0" w:rsidRPr="00472578" w:rsidRDefault="00E550F0" w:rsidP="00E92686">
            <w:pPr>
              <w:pStyle w:val="TableParagraph"/>
              <w:spacing w:line="256" w:lineRule="auto"/>
              <w:ind w:left="0"/>
              <w:jc w:val="both"/>
              <w:rPr>
                <w:i/>
                <w:sz w:val="18"/>
              </w:rPr>
            </w:pPr>
          </w:p>
          <w:p w14:paraId="472EE80F" w14:textId="77777777" w:rsidR="00E550F0" w:rsidRPr="00472578" w:rsidRDefault="00E550F0" w:rsidP="00E92686">
            <w:pPr>
              <w:pStyle w:val="TableParagraph"/>
              <w:spacing w:line="256" w:lineRule="auto"/>
              <w:ind w:left="0"/>
              <w:jc w:val="both"/>
              <w:rPr>
                <w:i/>
                <w:sz w:val="18"/>
              </w:rPr>
            </w:pPr>
          </w:p>
          <w:p w14:paraId="6D895F6A" w14:textId="77777777" w:rsidR="00E550F0" w:rsidRPr="00472578" w:rsidRDefault="00E550F0" w:rsidP="00E92686">
            <w:pPr>
              <w:pStyle w:val="TableParagraph"/>
              <w:spacing w:before="11" w:line="256" w:lineRule="auto"/>
              <w:ind w:left="0"/>
              <w:jc w:val="both"/>
              <w:rPr>
                <w:i/>
                <w:sz w:val="17"/>
              </w:rPr>
            </w:pPr>
          </w:p>
          <w:p w14:paraId="4A1E48CA" w14:textId="77777777" w:rsidR="00E550F0" w:rsidRPr="00472578" w:rsidRDefault="00E550F0" w:rsidP="00E92686">
            <w:pPr>
              <w:pStyle w:val="TableParagraph"/>
              <w:spacing w:line="256" w:lineRule="auto"/>
              <w:ind w:left="115" w:right="125"/>
              <w:jc w:val="both"/>
              <w:rPr>
                <w:b/>
                <w:sz w:val="18"/>
              </w:rPr>
            </w:pPr>
            <w:r w:rsidRPr="00472578">
              <w:rPr>
                <w:b/>
                <w:sz w:val="18"/>
              </w:rPr>
              <w:t>(III)</w:t>
            </w:r>
          </w:p>
        </w:tc>
        <w:tc>
          <w:tcPr>
            <w:tcW w:w="1348" w:type="dxa"/>
            <w:tcBorders>
              <w:top w:val="single" w:sz="6" w:space="0" w:color="FFFFFF" w:themeColor="background1"/>
              <w:left w:val="nil"/>
              <w:bottom w:val="single" w:sz="4" w:space="0" w:color="FFFFFF" w:themeColor="background1"/>
              <w:right w:val="single" w:sz="4" w:space="0" w:color="FFFFFF" w:themeColor="background1"/>
            </w:tcBorders>
            <w:shd w:val="clear" w:color="auto" w:fill="FAE3D4"/>
            <w:hideMark/>
          </w:tcPr>
          <w:p w14:paraId="06DB3ACA" w14:textId="77777777" w:rsidR="00E550F0" w:rsidRPr="00472578" w:rsidRDefault="00E550F0" w:rsidP="00E92686">
            <w:pPr>
              <w:pStyle w:val="TableParagraph"/>
              <w:spacing w:line="217" w:lineRule="exact"/>
              <w:ind w:left="118" w:right="118"/>
              <w:jc w:val="both"/>
              <w:rPr>
                <w:sz w:val="18"/>
              </w:rPr>
            </w:pPr>
            <w:r w:rsidRPr="00472578">
              <w:rPr>
                <w:sz w:val="18"/>
              </w:rPr>
              <w:t>6-10% of</w:t>
            </w:r>
          </w:p>
          <w:p w14:paraId="236AFCD9" w14:textId="1623B476" w:rsidR="00E550F0" w:rsidRPr="00472578" w:rsidRDefault="00E550F0" w:rsidP="00E92686">
            <w:pPr>
              <w:pStyle w:val="TableParagraph"/>
              <w:spacing w:before="1" w:line="256" w:lineRule="auto"/>
              <w:ind w:left="154" w:right="151" w:hanging="4"/>
              <w:jc w:val="both"/>
              <w:rPr>
                <w:sz w:val="18"/>
              </w:rPr>
            </w:pPr>
            <w:r w:rsidRPr="639E38F9">
              <w:rPr>
                <w:i/>
                <w:sz w:val="18"/>
                <w:szCs w:val="18"/>
              </w:rPr>
              <w:t xml:space="preserve">buildings </w:t>
            </w:r>
            <w:r w:rsidRPr="639E38F9">
              <w:rPr>
                <w:sz w:val="18"/>
                <w:szCs w:val="18"/>
              </w:rPr>
              <w:t xml:space="preserve">of social/cultural significance 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16"/>
            </w:r>
            <w:r w:rsidRPr="639E38F9">
              <w:rPr>
                <w:sz w:val="18"/>
                <w:szCs w:val="18"/>
              </w:rPr>
              <w:t xml:space="preserve"> have functionality</w:t>
            </w:r>
          </w:p>
          <w:p w14:paraId="5A72E3C7" w14:textId="77777777" w:rsidR="00E550F0" w:rsidRPr="00472578" w:rsidRDefault="00E550F0" w:rsidP="00E92686">
            <w:pPr>
              <w:pStyle w:val="TableParagraph"/>
              <w:spacing w:line="198" w:lineRule="exact"/>
              <w:ind w:left="119" w:right="118"/>
              <w:jc w:val="both"/>
              <w:rPr>
                <w:sz w:val="18"/>
              </w:rPr>
            </w:pPr>
            <w:r w:rsidRPr="00472578">
              <w:rPr>
                <w:sz w:val="18"/>
              </w:rPr>
              <w:t>compromised</w:t>
            </w:r>
          </w:p>
        </w:tc>
        <w:tc>
          <w:tcPr>
            <w:tcW w:w="1416"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0255BBFC" w14:textId="429167B6" w:rsidR="00E550F0" w:rsidRPr="00472578" w:rsidRDefault="00E550F0" w:rsidP="00E92686">
            <w:pPr>
              <w:pStyle w:val="TableParagraph"/>
              <w:spacing w:line="217" w:lineRule="exact"/>
              <w:ind w:left="118" w:right="107"/>
              <w:jc w:val="both"/>
              <w:rPr>
                <w:sz w:val="18"/>
              </w:rPr>
            </w:pPr>
            <w:r w:rsidRPr="639E38F9">
              <w:rPr>
                <w:sz w:val="18"/>
                <w:szCs w:val="18"/>
              </w:rPr>
              <w:t>11-20% of</w:t>
            </w:r>
            <w:r w:rsidR="00251408" w:rsidRPr="639E38F9">
              <w:rPr>
                <w:sz w:val="18"/>
                <w:szCs w:val="18"/>
              </w:rPr>
              <w:t xml:space="preserve"> </w:t>
            </w: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17"/>
            </w:r>
            <w:r w:rsidRPr="639E38F9">
              <w:rPr>
                <w:sz w:val="18"/>
                <w:szCs w:val="18"/>
              </w:rPr>
              <w:t xml:space="preserve"> have functionality compromised</w:t>
            </w:r>
          </w:p>
        </w:tc>
        <w:tc>
          <w:tcPr>
            <w:tcW w:w="127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2E195E4E" w14:textId="77777777" w:rsidR="00E550F0" w:rsidRPr="00472578" w:rsidRDefault="00E550F0" w:rsidP="00E92686">
            <w:pPr>
              <w:pStyle w:val="TableParagraph"/>
              <w:spacing w:line="217" w:lineRule="exact"/>
              <w:ind w:left="243" w:right="244"/>
              <w:jc w:val="both"/>
              <w:rPr>
                <w:sz w:val="18"/>
              </w:rPr>
            </w:pPr>
            <w:r w:rsidRPr="00472578">
              <w:rPr>
                <w:sz w:val="18"/>
              </w:rPr>
              <w:t>6-10% of</w:t>
            </w:r>
          </w:p>
          <w:p w14:paraId="1E43B32D" w14:textId="5F449632" w:rsidR="00E550F0" w:rsidRPr="00472578" w:rsidRDefault="00E550F0" w:rsidP="00E92686">
            <w:pPr>
              <w:pStyle w:val="TableParagraph"/>
              <w:spacing w:before="1" w:line="256" w:lineRule="auto"/>
              <w:ind w:left="129" w:right="129" w:firstLine="1"/>
              <w:jc w:val="both"/>
              <w:rPr>
                <w:sz w:val="18"/>
              </w:rPr>
            </w:pP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18"/>
            </w:r>
            <w:r w:rsidRPr="639E38F9">
              <w:rPr>
                <w:sz w:val="18"/>
                <w:szCs w:val="18"/>
              </w:rPr>
              <w:t xml:space="preserve"> have functionality compromised</w:t>
            </w:r>
          </w:p>
        </w:tc>
        <w:tc>
          <w:tcPr>
            <w:tcW w:w="2268"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263D91DA" w14:textId="77777777" w:rsidR="00E550F0" w:rsidRPr="00472578" w:rsidRDefault="00E550F0" w:rsidP="00E92686">
            <w:pPr>
              <w:pStyle w:val="TableParagraph"/>
              <w:spacing w:line="256" w:lineRule="auto"/>
              <w:ind w:left="108" w:right="105" w:hanging="2"/>
              <w:jc w:val="both"/>
              <w:rPr>
                <w:sz w:val="18"/>
              </w:rPr>
            </w:pPr>
            <w:r w:rsidRPr="00472578">
              <w:rPr>
                <w:sz w:val="18"/>
              </w:rPr>
              <w:t>Out of service for 1 day to 1 week (affecting ≥20% of the town/city population) OR suburbs out of service for 1 week to 6 weeks (affecting</w:t>
            </w:r>
          </w:p>
          <w:p w14:paraId="23111D22" w14:textId="77777777" w:rsidR="00E550F0" w:rsidRPr="00472578" w:rsidRDefault="00E550F0" w:rsidP="00E92686">
            <w:pPr>
              <w:pStyle w:val="TableParagraph"/>
              <w:spacing w:line="256" w:lineRule="auto"/>
              <w:ind w:left="295" w:right="295"/>
              <w:jc w:val="both"/>
              <w:rPr>
                <w:sz w:val="18"/>
              </w:rPr>
            </w:pPr>
            <w:r w:rsidRPr="00472578">
              <w:rPr>
                <w:sz w:val="18"/>
              </w:rPr>
              <w:t>&lt; 20% of the town/city population)</w:t>
            </w:r>
          </w:p>
        </w:tc>
        <w:tc>
          <w:tcPr>
            <w:tcW w:w="1552" w:type="dxa"/>
            <w:tcBorders>
              <w:top w:val="single" w:sz="6" w:space="0" w:color="FFFFFF" w:themeColor="background1"/>
              <w:left w:val="single" w:sz="4" w:space="0" w:color="FFFFFF" w:themeColor="background1"/>
              <w:bottom w:val="single" w:sz="4" w:space="0" w:color="FFFFFF" w:themeColor="background1"/>
              <w:right w:val="nil"/>
            </w:tcBorders>
            <w:shd w:val="clear" w:color="auto" w:fill="FAE3D4"/>
            <w:hideMark/>
          </w:tcPr>
          <w:p w14:paraId="62975906" w14:textId="77777777" w:rsidR="00E550F0" w:rsidRPr="00472578" w:rsidRDefault="00E550F0" w:rsidP="00E92686">
            <w:pPr>
              <w:pStyle w:val="TableParagraph"/>
              <w:spacing w:line="217" w:lineRule="exact"/>
              <w:ind w:left="104" w:right="101"/>
              <w:jc w:val="both"/>
              <w:rPr>
                <w:strike/>
                <w:sz w:val="18"/>
              </w:rPr>
            </w:pPr>
            <w:r w:rsidRPr="00472578">
              <w:rPr>
                <w:strike/>
                <w:sz w:val="18"/>
              </w:rPr>
              <w:t>2 – 20 dead</w:t>
            </w:r>
          </w:p>
          <w:p w14:paraId="633F1372" w14:textId="57FD8F5B" w:rsidR="00E550F0" w:rsidRPr="00472578" w:rsidRDefault="00E550F0" w:rsidP="00E92686">
            <w:pPr>
              <w:pStyle w:val="TableParagraph"/>
              <w:spacing w:before="1" w:line="256" w:lineRule="auto"/>
              <w:ind w:left="106" w:right="101"/>
              <w:jc w:val="both"/>
              <w:rPr>
                <w:sz w:val="18"/>
              </w:rPr>
            </w:pPr>
            <w:r w:rsidRPr="639E38F9">
              <w:rPr>
                <w:strike/>
                <w:sz w:val="18"/>
                <w:szCs w:val="18"/>
              </w:rPr>
              <w:t>and/or</w:t>
            </w:r>
            <w:r w:rsidRPr="639E38F9">
              <w:rPr>
                <w:sz w:val="18"/>
                <w:szCs w:val="18"/>
              </w:rPr>
              <w:t xml:space="preserve"> 11 – 100 injured</w:t>
            </w:r>
            <w:r w:rsidR="008502CC" w:rsidRPr="639E38F9">
              <w:rPr>
                <w:rStyle w:val="FootnoteReference"/>
                <w:sz w:val="18"/>
                <w:szCs w:val="18"/>
              </w:rPr>
              <w:footnoteReference w:id="1519"/>
            </w:r>
          </w:p>
        </w:tc>
      </w:tr>
      <w:tr w:rsidR="00E550F0" w:rsidRPr="00472578" w14:paraId="21795207" w14:textId="77777777" w:rsidTr="639E38F9">
        <w:trPr>
          <w:trHeight w:val="1759"/>
        </w:trPr>
        <w:tc>
          <w:tcPr>
            <w:tcW w:w="1194" w:type="dxa"/>
            <w:tcBorders>
              <w:top w:val="single" w:sz="4" w:space="0" w:color="FFFFFF" w:themeColor="background1"/>
              <w:left w:val="nil"/>
              <w:bottom w:val="single" w:sz="4" w:space="0" w:color="FFFFFF" w:themeColor="background1"/>
              <w:right w:val="nil"/>
            </w:tcBorders>
            <w:shd w:val="clear" w:color="auto" w:fill="EC7C30"/>
          </w:tcPr>
          <w:p w14:paraId="10D50F19" w14:textId="77777777" w:rsidR="00E550F0" w:rsidRPr="00472578" w:rsidRDefault="00E550F0" w:rsidP="00E92686">
            <w:pPr>
              <w:pStyle w:val="TableParagraph"/>
              <w:spacing w:before="1" w:line="256" w:lineRule="auto"/>
              <w:ind w:left="116" w:right="125"/>
              <w:jc w:val="both"/>
              <w:rPr>
                <w:b/>
                <w:sz w:val="18"/>
              </w:rPr>
            </w:pPr>
            <w:r w:rsidRPr="00472578">
              <w:rPr>
                <w:b/>
                <w:sz w:val="18"/>
              </w:rPr>
              <w:lastRenderedPageBreak/>
              <w:t>Minor</w:t>
            </w:r>
          </w:p>
          <w:p w14:paraId="58B0F870" w14:textId="77777777" w:rsidR="00E550F0" w:rsidRPr="00472578" w:rsidRDefault="00E550F0" w:rsidP="00E92686">
            <w:pPr>
              <w:pStyle w:val="TableParagraph"/>
              <w:spacing w:line="256" w:lineRule="auto"/>
              <w:ind w:left="0"/>
              <w:jc w:val="both"/>
              <w:rPr>
                <w:i/>
                <w:sz w:val="18"/>
              </w:rPr>
            </w:pPr>
          </w:p>
          <w:p w14:paraId="1837D009" w14:textId="77777777" w:rsidR="00E550F0" w:rsidRPr="00472578" w:rsidRDefault="00E550F0" w:rsidP="00E92686">
            <w:pPr>
              <w:pStyle w:val="TableParagraph"/>
              <w:spacing w:line="256" w:lineRule="auto"/>
              <w:ind w:left="0"/>
              <w:jc w:val="both"/>
              <w:rPr>
                <w:i/>
                <w:sz w:val="18"/>
              </w:rPr>
            </w:pPr>
          </w:p>
          <w:p w14:paraId="30349999" w14:textId="77777777" w:rsidR="00E550F0" w:rsidRPr="00472578" w:rsidRDefault="00E550F0" w:rsidP="00E92686">
            <w:pPr>
              <w:pStyle w:val="TableParagraph"/>
              <w:spacing w:before="11" w:line="256" w:lineRule="auto"/>
              <w:ind w:left="0"/>
              <w:jc w:val="both"/>
              <w:rPr>
                <w:i/>
                <w:sz w:val="17"/>
              </w:rPr>
            </w:pPr>
          </w:p>
          <w:p w14:paraId="6CF5627D" w14:textId="77777777" w:rsidR="00E550F0" w:rsidRPr="00472578" w:rsidRDefault="00E550F0" w:rsidP="00E92686">
            <w:pPr>
              <w:pStyle w:val="TableParagraph"/>
              <w:spacing w:before="1" w:line="256" w:lineRule="auto"/>
              <w:ind w:left="115" w:right="125"/>
              <w:jc w:val="both"/>
              <w:rPr>
                <w:b/>
                <w:sz w:val="18"/>
              </w:rPr>
            </w:pPr>
            <w:r w:rsidRPr="00472578">
              <w:rPr>
                <w:b/>
                <w:sz w:val="18"/>
              </w:rPr>
              <w:t>(II)</w:t>
            </w:r>
          </w:p>
        </w:tc>
        <w:tc>
          <w:tcPr>
            <w:tcW w:w="1348" w:type="dxa"/>
            <w:tcBorders>
              <w:top w:val="single" w:sz="4" w:space="0" w:color="FFFFFF" w:themeColor="background1"/>
              <w:left w:val="nil"/>
              <w:bottom w:val="single" w:sz="4" w:space="0" w:color="FFFFFF" w:themeColor="background1"/>
              <w:right w:val="single" w:sz="4" w:space="0" w:color="FFFFFF" w:themeColor="background1"/>
            </w:tcBorders>
            <w:shd w:val="clear" w:color="auto" w:fill="F4AF83"/>
            <w:hideMark/>
          </w:tcPr>
          <w:p w14:paraId="1CD0426F" w14:textId="37312614" w:rsidR="00E550F0" w:rsidRPr="00472578" w:rsidRDefault="00E550F0" w:rsidP="00E92686">
            <w:pPr>
              <w:pStyle w:val="TableParagraph"/>
              <w:spacing w:before="1" w:line="256" w:lineRule="auto"/>
              <w:ind w:left="154" w:right="151" w:hanging="2"/>
              <w:jc w:val="both"/>
              <w:rPr>
                <w:sz w:val="18"/>
              </w:rPr>
            </w:pPr>
            <w:r w:rsidRPr="639E38F9">
              <w:rPr>
                <w:sz w:val="18"/>
                <w:szCs w:val="18"/>
              </w:rPr>
              <w:t xml:space="preserve">1-5% of </w:t>
            </w:r>
            <w:r w:rsidRPr="639E38F9">
              <w:rPr>
                <w:i/>
                <w:sz w:val="18"/>
                <w:szCs w:val="18"/>
              </w:rPr>
              <w:t xml:space="preserve">buildings </w:t>
            </w:r>
            <w:r w:rsidRPr="639E38F9">
              <w:rPr>
                <w:sz w:val="18"/>
                <w:szCs w:val="18"/>
              </w:rPr>
              <w:t xml:space="preserve">of social/cultural significance 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20"/>
            </w:r>
            <w:r w:rsidRPr="639E38F9">
              <w:rPr>
                <w:sz w:val="18"/>
                <w:szCs w:val="18"/>
              </w:rPr>
              <w:t xml:space="preserve"> have functionality</w:t>
            </w:r>
          </w:p>
          <w:p w14:paraId="7C915AE3" w14:textId="77777777" w:rsidR="00E550F0" w:rsidRPr="00472578" w:rsidRDefault="00E550F0" w:rsidP="00E92686">
            <w:pPr>
              <w:pStyle w:val="TableParagraph"/>
              <w:spacing w:before="1" w:line="199" w:lineRule="exact"/>
              <w:ind w:left="119" w:right="118"/>
              <w:jc w:val="both"/>
              <w:rPr>
                <w:sz w:val="18"/>
              </w:rPr>
            </w:pPr>
            <w:r w:rsidRPr="00472578">
              <w:rPr>
                <w:sz w:val="18"/>
              </w:rPr>
              <w:t>compromised</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AF83"/>
            <w:hideMark/>
          </w:tcPr>
          <w:p w14:paraId="377EC5CD" w14:textId="41183AB7" w:rsidR="00E550F0" w:rsidRPr="00472578" w:rsidRDefault="00E550F0" w:rsidP="00E92686">
            <w:pPr>
              <w:pStyle w:val="TableParagraph"/>
              <w:spacing w:before="1" w:line="219" w:lineRule="exact"/>
              <w:ind w:left="0" w:right="107"/>
              <w:jc w:val="both"/>
              <w:rPr>
                <w:sz w:val="18"/>
              </w:rPr>
            </w:pPr>
            <w:r w:rsidRPr="639E38F9">
              <w:rPr>
                <w:sz w:val="18"/>
                <w:szCs w:val="18"/>
              </w:rPr>
              <w:t>2-10% of</w:t>
            </w:r>
            <w:r w:rsidR="00251408" w:rsidRPr="639E38F9">
              <w:rPr>
                <w:sz w:val="18"/>
                <w:szCs w:val="18"/>
              </w:rPr>
              <w:t xml:space="preserve"> </w:t>
            </w: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21"/>
            </w:r>
            <w:r w:rsidRPr="639E38F9">
              <w:rPr>
                <w:sz w:val="18"/>
                <w:szCs w:val="18"/>
              </w:rPr>
              <w:t xml:space="preserve"> have functionality compromised</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AF83"/>
            <w:hideMark/>
          </w:tcPr>
          <w:p w14:paraId="1577106F" w14:textId="38BF4A69" w:rsidR="00E550F0" w:rsidRPr="00472578" w:rsidRDefault="00E550F0" w:rsidP="00E92686">
            <w:pPr>
              <w:pStyle w:val="TableParagraph"/>
              <w:spacing w:before="1" w:line="256" w:lineRule="auto"/>
              <w:ind w:left="129" w:right="129" w:hanging="2"/>
              <w:jc w:val="both"/>
              <w:rPr>
                <w:sz w:val="18"/>
              </w:rPr>
            </w:pPr>
            <w:r w:rsidRPr="639E38F9">
              <w:rPr>
                <w:sz w:val="18"/>
                <w:szCs w:val="18"/>
              </w:rPr>
              <w:t xml:space="preserve">1-5% of </w:t>
            </w: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22"/>
            </w:r>
            <w:r w:rsidRPr="639E38F9">
              <w:rPr>
                <w:sz w:val="18"/>
                <w:szCs w:val="18"/>
              </w:rPr>
              <w:t xml:space="preserve"> have functionality compromised</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AF83"/>
            <w:hideMark/>
          </w:tcPr>
          <w:p w14:paraId="13BE2654" w14:textId="77777777" w:rsidR="00E550F0" w:rsidRPr="00472578" w:rsidRDefault="00E550F0" w:rsidP="00E92686">
            <w:pPr>
              <w:pStyle w:val="TableParagraph"/>
              <w:spacing w:before="1" w:line="256" w:lineRule="auto"/>
              <w:ind w:left="148" w:right="146" w:hanging="2"/>
              <w:jc w:val="both"/>
              <w:rPr>
                <w:sz w:val="18"/>
              </w:rPr>
            </w:pPr>
            <w:r w:rsidRPr="00472578">
              <w:rPr>
                <w:sz w:val="18"/>
              </w:rPr>
              <w:t>Out of service for 2 hours to 1 day (affecting ≥20% of the town/city population) OR suburbs out of service for 1 day to 1 week (affecting &lt; 20% of the town/city population</w:t>
            </w:r>
          </w:p>
        </w:tc>
        <w:tc>
          <w:tcPr>
            <w:tcW w:w="1552" w:type="dxa"/>
            <w:tcBorders>
              <w:top w:val="single" w:sz="4" w:space="0" w:color="FFFFFF" w:themeColor="background1"/>
              <w:left w:val="single" w:sz="4" w:space="0" w:color="FFFFFF" w:themeColor="background1"/>
              <w:bottom w:val="single" w:sz="4" w:space="0" w:color="FFFFFF" w:themeColor="background1"/>
              <w:right w:val="nil"/>
            </w:tcBorders>
            <w:shd w:val="clear" w:color="auto" w:fill="F4AF83"/>
            <w:hideMark/>
          </w:tcPr>
          <w:p w14:paraId="00D11A3E" w14:textId="77777777" w:rsidR="00E550F0" w:rsidRPr="00472578" w:rsidRDefault="00E550F0" w:rsidP="00E92686">
            <w:pPr>
              <w:pStyle w:val="TableParagraph"/>
              <w:spacing w:before="1" w:line="219" w:lineRule="exact"/>
              <w:ind w:left="106" w:right="101"/>
              <w:jc w:val="both"/>
              <w:rPr>
                <w:strike/>
                <w:sz w:val="18"/>
              </w:rPr>
            </w:pPr>
            <w:r w:rsidRPr="00472578">
              <w:rPr>
                <w:strike/>
                <w:sz w:val="18"/>
              </w:rPr>
              <w:t>1 dead and/or 1 –</w:t>
            </w:r>
          </w:p>
          <w:p w14:paraId="70E87910" w14:textId="77777777" w:rsidR="00E550F0" w:rsidRPr="00472578" w:rsidRDefault="00E550F0" w:rsidP="00E92686">
            <w:pPr>
              <w:pStyle w:val="TableParagraph"/>
              <w:spacing w:line="219" w:lineRule="exact"/>
              <w:ind w:left="104" w:right="101"/>
              <w:jc w:val="both"/>
              <w:rPr>
                <w:sz w:val="18"/>
              </w:rPr>
            </w:pPr>
            <w:r w:rsidRPr="00472578">
              <w:rPr>
                <w:sz w:val="18"/>
              </w:rPr>
              <w:t>10 injured</w:t>
            </w:r>
          </w:p>
        </w:tc>
      </w:tr>
      <w:tr w:rsidR="00E550F0" w:rsidRPr="00472578" w14:paraId="062D2F23" w14:textId="77777777" w:rsidTr="639E38F9">
        <w:trPr>
          <w:trHeight w:val="1538"/>
        </w:trPr>
        <w:tc>
          <w:tcPr>
            <w:tcW w:w="1194" w:type="dxa"/>
            <w:tcBorders>
              <w:top w:val="single" w:sz="4" w:space="0" w:color="FFFFFF" w:themeColor="background1"/>
              <w:left w:val="nil"/>
              <w:bottom w:val="single" w:sz="4" w:space="0" w:color="FFFFFF" w:themeColor="background1"/>
              <w:right w:val="nil"/>
            </w:tcBorders>
            <w:shd w:val="clear" w:color="auto" w:fill="EC7C30"/>
          </w:tcPr>
          <w:p w14:paraId="464C9542" w14:textId="77777777" w:rsidR="00E550F0" w:rsidRPr="00472578" w:rsidRDefault="00E550F0" w:rsidP="00E92686">
            <w:pPr>
              <w:pStyle w:val="TableParagraph"/>
              <w:spacing w:line="219" w:lineRule="exact"/>
              <w:ind w:left="116" w:right="125"/>
              <w:jc w:val="both"/>
              <w:rPr>
                <w:b/>
                <w:sz w:val="18"/>
              </w:rPr>
            </w:pPr>
            <w:r w:rsidRPr="00472578">
              <w:rPr>
                <w:b/>
                <w:sz w:val="18"/>
              </w:rPr>
              <w:t>Insignificant</w:t>
            </w:r>
          </w:p>
          <w:p w14:paraId="0306E018" w14:textId="77777777" w:rsidR="00E550F0" w:rsidRPr="00472578" w:rsidRDefault="00E550F0" w:rsidP="00E92686">
            <w:pPr>
              <w:pStyle w:val="TableParagraph"/>
              <w:spacing w:line="256" w:lineRule="auto"/>
              <w:ind w:left="0"/>
              <w:jc w:val="both"/>
              <w:rPr>
                <w:i/>
                <w:sz w:val="18"/>
              </w:rPr>
            </w:pPr>
          </w:p>
          <w:p w14:paraId="39CFA766" w14:textId="77777777" w:rsidR="00E550F0" w:rsidRPr="00472578" w:rsidRDefault="00E550F0" w:rsidP="00E92686">
            <w:pPr>
              <w:pStyle w:val="TableParagraph"/>
              <w:spacing w:line="256" w:lineRule="auto"/>
              <w:ind w:left="0"/>
              <w:jc w:val="both"/>
              <w:rPr>
                <w:i/>
                <w:sz w:val="18"/>
              </w:rPr>
            </w:pPr>
          </w:p>
          <w:p w14:paraId="6E55D41D" w14:textId="77777777" w:rsidR="00E550F0" w:rsidRPr="00472578" w:rsidRDefault="00E550F0" w:rsidP="00E92686">
            <w:pPr>
              <w:pStyle w:val="TableParagraph"/>
              <w:spacing w:before="11" w:line="256" w:lineRule="auto"/>
              <w:ind w:left="0"/>
              <w:jc w:val="both"/>
              <w:rPr>
                <w:i/>
                <w:sz w:val="17"/>
              </w:rPr>
            </w:pPr>
          </w:p>
          <w:p w14:paraId="6DB74821" w14:textId="77777777" w:rsidR="00E550F0" w:rsidRPr="00472578" w:rsidRDefault="00E550F0" w:rsidP="00E92686">
            <w:pPr>
              <w:pStyle w:val="TableParagraph"/>
              <w:spacing w:line="256" w:lineRule="auto"/>
              <w:ind w:left="115" w:right="125"/>
              <w:jc w:val="both"/>
              <w:rPr>
                <w:b/>
                <w:sz w:val="18"/>
              </w:rPr>
            </w:pPr>
            <w:r w:rsidRPr="00472578">
              <w:rPr>
                <w:b/>
                <w:sz w:val="18"/>
              </w:rPr>
              <w:t>(I)</w:t>
            </w:r>
          </w:p>
        </w:tc>
        <w:tc>
          <w:tcPr>
            <w:tcW w:w="1348" w:type="dxa"/>
            <w:tcBorders>
              <w:top w:val="single" w:sz="4" w:space="0" w:color="FFFFFF" w:themeColor="background1"/>
              <w:left w:val="nil"/>
              <w:bottom w:val="single" w:sz="4" w:space="0" w:color="FFFFFF" w:themeColor="background1"/>
              <w:right w:val="single" w:sz="4" w:space="0" w:color="FFFFFF" w:themeColor="background1"/>
            </w:tcBorders>
            <w:shd w:val="clear" w:color="auto" w:fill="FAE3D4"/>
            <w:hideMark/>
          </w:tcPr>
          <w:p w14:paraId="2B5713E6" w14:textId="2D77F366" w:rsidR="00E550F0" w:rsidRPr="00472578" w:rsidRDefault="00E550F0" w:rsidP="00E92686">
            <w:pPr>
              <w:pStyle w:val="TableParagraph"/>
              <w:spacing w:line="256" w:lineRule="auto"/>
              <w:ind w:left="121" w:right="118"/>
              <w:jc w:val="both"/>
              <w:rPr>
                <w:sz w:val="18"/>
              </w:rPr>
            </w:pPr>
            <w:r w:rsidRPr="639E38F9">
              <w:rPr>
                <w:sz w:val="18"/>
                <w:szCs w:val="18"/>
              </w:rPr>
              <w:t xml:space="preserve">No </w:t>
            </w:r>
            <w:r w:rsidRPr="639E38F9">
              <w:rPr>
                <w:i/>
                <w:sz w:val="18"/>
                <w:szCs w:val="18"/>
              </w:rPr>
              <w:t xml:space="preserve">buildings </w:t>
            </w:r>
            <w:r w:rsidRPr="639E38F9">
              <w:rPr>
                <w:sz w:val="18"/>
                <w:szCs w:val="18"/>
              </w:rPr>
              <w:t xml:space="preserve">of social/cultural significance 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23"/>
            </w:r>
            <w:r w:rsidRPr="639E38F9">
              <w:rPr>
                <w:sz w:val="18"/>
                <w:szCs w:val="18"/>
              </w:rPr>
              <w:t xml:space="preserve"> have functionality</w:t>
            </w:r>
          </w:p>
          <w:p w14:paraId="46A32669" w14:textId="77777777" w:rsidR="00E550F0" w:rsidRPr="00472578" w:rsidRDefault="00E550F0" w:rsidP="00E92686">
            <w:pPr>
              <w:pStyle w:val="TableParagraph"/>
              <w:spacing w:line="199" w:lineRule="exact"/>
              <w:ind w:left="119" w:right="118"/>
              <w:jc w:val="both"/>
              <w:rPr>
                <w:sz w:val="18"/>
              </w:rPr>
            </w:pPr>
            <w:r w:rsidRPr="00472578">
              <w:rPr>
                <w:sz w:val="18"/>
              </w:rPr>
              <w:t>compromised</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7C056B66" w14:textId="2B793C5F" w:rsidR="00E550F0" w:rsidRPr="00472578" w:rsidRDefault="00E550F0" w:rsidP="00E92686">
            <w:pPr>
              <w:pStyle w:val="TableParagraph"/>
              <w:spacing w:line="256" w:lineRule="auto"/>
              <w:ind w:left="0" w:right="108"/>
              <w:jc w:val="both"/>
              <w:rPr>
                <w:sz w:val="18"/>
              </w:rPr>
            </w:pPr>
            <w:r w:rsidRPr="639E38F9">
              <w:rPr>
                <w:sz w:val="18"/>
                <w:szCs w:val="18"/>
              </w:rPr>
              <w:t xml:space="preserve">&lt; 1% of affected </w:t>
            </w:r>
            <w:r w:rsidRPr="639E38F9">
              <w:rPr>
                <w:i/>
                <w:sz w:val="18"/>
                <w:szCs w:val="18"/>
              </w:rPr>
              <w:t xml:space="preserve">buildings </w:t>
            </w:r>
            <w:r w:rsidRPr="639E38F9">
              <w:rPr>
                <w:sz w:val="18"/>
                <w:szCs w:val="18"/>
              </w:rPr>
              <w:t xml:space="preserve">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24"/>
            </w:r>
            <w:r w:rsidRPr="639E38F9">
              <w:rPr>
                <w:sz w:val="18"/>
                <w:szCs w:val="18"/>
              </w:rPr>
              <w:t xml:space="preserve"> have functionality compromised</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76F61F6A" w14:textId="5E6702C0" w:rsidR="00E550F0" w:rsidRPr="00472578" w:rsidRDefault="00E550F0" w:rsidP="00E92686">
            <w:pPr>
              <w:pStyle w:val="TableParagraph"/>
              <w:spacing w:line="256" w:lineRule="auto"/>
              <w:ind w:left="136" w:right="133" w:hanging="1"/>
              <w:jc w:val="both"/>
              <w:rPr>
                <w:sz w:val="18"/>
              </w:rPr>
            </w:pPr>
            <w:r w:rsidRPr="639E38F9">
              <w:rPr>
                <w:sz w:val="18"/>
                <w:szCs w:val="18"/>
              </w:rPr>
              <w:t xml:space="preserve">No damage within hazard </w:t>
            </w:r>
            <w:r w:rsidRPr="639E38F9">
              <w:rPr>
                <w:strike/>
                <w:sz w:val="18"/>
                <w:szCs w:val="18"/>
              </w:rPr>
              <w:t>zone</w:t>
            </w:r>
            <w:r w:rsidRPr="639E38F9">
              <w:rPr>
                <w:sz w:val="18"/>
                <w:szCs w:val="18"/>
              </w:rPr>
              <w:t xml:space="preserve"> </w:t>
            </w:r>
            <w:r w:rsidRPr="639E38F9">
              <w:rPr>
                <w:sz w:val="18"/>
                <w:szCs w:val="18"/>
                <w:u w:val="single"/>
              </w:rPr>
              <w:t>impact area</w:t>
            </w:r>
            <w:r w:rsidR="00251408" w:rsidRPr="639E38F9">
              <w:rPr>
                <w:rStyle w:val="FootnoteReference"/>
                <w:sz w:val="18"/>
                <w:szCs w:val="18"/>
              </w:rPr>
              <w:footnoteReference w:id="1525"/>
            </w:r>
            <w:r w:rsidRPr="639E38F9">
              <w:rPr>
                <w:sz w:val="18"/>
                <w:szCs w:val="18"/>
              </w:rPr>
              <w:t>, fully functional</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E3D4"/>
            <w:hideMark/>
          </w:tcPr>
          <w:p w14:paraId="5B200CFC" w14:textId="77777777" w:rsidR="00E550F0" w:rsidRPr="00472578" w:rsidRDefault="00E550F0" w:rsidP="00E92686">
            <w:pPr>
              <w:pStyle w:val="TableParagraph"/>
              <w:spacing w:line="256" w:lineRule="auto"/>
              <w:ind w:left="158" w:right="158" w:firstLine="1"/>
              <w:jc w:val="both"/>
              <w:rPr>
                <w:sz w:val="18"/>
              </w:rPr>
            </w:pPr>
            <w:r w:rsidRPr="00472578">
              <w:rPr>
                <w:sz w:val="18"/>
              </w:rPr>
              <w:t>Out of service for up to 2 hours (affecting ≥20% of the town/city population) OR suburbs out of service for up to 1 day (affecting &lt; 20% of the town/city</w:t>
            </w:r>
          </w:p>
          <w:p w14:paraId="779EF38A" w14:textId="77777777" w:rsidR="00E550F0" w:rsidRPr="00472578" w:rsidRDefault="00E550F0" w:rsidP="00E92686">
            <w:pPr>
              <w:pStyle w:val="TableParagraph"/>
              <w:spacing w:line="199" w:lineRule="exact"/>
              <w:ind w:left="294" w:right="295"/>
              <w:jc w:val="both"/>
              <w:rPr>
                <w:sz w:val="18"/>
              </w:rPr>
            </w:pPr>
            <w:r w:rsidRPr="00472578">
              <w:rPr>
                <w:sz w:val="18"/>
              </w:rPr>
              <w:t>population</w:t>
            </w:r>
          </w:p>
        </w:tc>
        <w:tc>
          <w:tcPr>
            <w:tcW w:w="1552" w:type="dxa"/>
            <w:tcBorders>
              <w:top w:val="single" w:sz="4" w:space="0" w:color="FFFFFF" w:themeColor="background1"/>
              <w:left w:val="single" w:sz="4" w:space="0" w:color="FFFFFF" w:themeColor="background1"/>
              <w:bottom w:val="single" w:sz="4" w:space="0" w:color="FFFFFF" w:themeColor="background1"/>
              <w:right w:val="nil"/>
            </w:tcBorders>
            <w:shd w:val="clear" w:color="auto" w:fill="FAE3D4"/>
            <w:hideMark/>
          </w:tcPr>
          <w:p w14:paraId="27F1E6BA" w14:textId="77777777" w:rsidR="00E550F0" w:rsidRPr="00472578" w:rsidRDefault="00E550F0" w:rsidP="00E92686">
            <w:pPr>
              <w:pStyle w:val="TableParagraph"/>
              <w:spacing w:line="256" w:lineRule="auto"/>
              <w:ind w:left="389" w:right="381" w:firstLine="76"/>
              <w:jc w:val="both"/>
              <w:rPr>
                <w:sz w:val="18"/>
              </w:rPr>
            </w:pPr>
            <w:r w:rsidRPr="00472578">
              <w:rPr>
                <w:sz w:val="18"/>
              </w:rPr>
              <w:t>No dead No injured</w:t>
            </w:r>
          </w:p>
        </w:tc>
      </w:tr>
      <w:tr w:rsidR="00E550F0" w:rsidRPr="00472578" w14:paraId="3DA1E87C" w14:textId="77777777" w:rsidTr="639E38F9">
        <w:trPr>
          <w:trHeight w:val="274"/>
        </w:trPr>
        <w:tc>
          <w:tcPr>
            <w:tcW w:w="9055" w:type="dxa"/>
            <w:gridSpan w:val="6"/>
            <w:tcBorders>
              <w:top w:val="single" w:sz="4" w:space="0" w:color="FFFFFF" w:themeColor="background1"/>
              <w:left w:val="nil"/>
              <w:bottom w:val="nil"/>
              <w:right w:val="nil"/>
            </w:tcBorders>
            <w:shd w:val="clear" w:color="auto" w:fill="EC7C30"/>
          </w:tcPr>
          <w:p w14:paraId="0E7602B9" w14:textId="77777777" w:rsidR="00E550F0" w:rsidRPr="00472578" w:rsidRDefault="00E550F0" w:rsidP="00E92686">
            <w:pPr>
              <w:pStyle w:val="TableParagraph"/>
              <w:spacing w:before="1" w:line="256" w:lineRule="auto"/>
              <w:ind w:left="100" w:right="62"/>
              <w:jc w:val="both"/>
              <w:rPr>
                <w:sz w:val="18"/>
              </w:rPr>
            </w:pPr>
            <w:r w:rsidRPr="00472578">
              <w:rPr>
                <w:sz w:val="18"/>
              </w:rPr>
              <w:t xml:space="preserve">When assessing consequences within this matrix, the final level of impact is assessed on the ‘first past the post’ principle, in that the consequence with the highest severity of impact applies. For example, if a </w:t>
            </w:r>
            <w:r w:rsidRPr="00472578">
              <w:rPr>
                <w:i/>
                <w:sz w:val="18"/>
              </w:rPr>
              <w:t xml:space="preserve">natural hazard </w:t>
            </w:r>
            <w:r w:rsidRPr="00472578">
              <w:rPr>
                <w:sz w:val="18"/>
              </w:rPr>
              <w:t xml:space="preserve">event resulted in moderate severity of impact across all of the categories, with the exception of critical </w:t>
            </w:r>
            <w:r w:rsidRPr="00472578">
              <w:rPr>
                <w:i/>
                <w:sz w:val="18"/>
              </w:rPr>
              <w:t xml:space="preserve">buildings </w:t>
            </w:r>
            <w:r w:rsidRPr="00472578">
              <w:rPr>
                <w:sz w:val="18"/>
              </w:rPr>
              <w:t xml:space="preserve">which had a ‘major’ severity of impact, the major impact is what the proposal would be assessed on. If a </w:t>
            </w:r>
            <w:r w:rsidRPr="00472578">
              <w:rPr>
                <w:i/>
                <w:sz w:val="18"/>
              </w:rPr>
              <w:t xml:space="preserve">natural hazard </w:t>
            </w:r>
            <w:r w:rsidRPr="00472578">
              <w:rPr>
                <w:sz w:val="18"/>
              </w:rPr>
              <w:t>event resulted in all of the consequences being at the same level (for example, all of the consequences are rated moderate), then the level of consequence is considered to be moderate.</w:t>
            </w:r>
          </w:p>
          <w:p w14:paraId="60531EBD" w14:textId="77777777" w:rsidR="00E550F0" w:rsidRPr="00472578" w:rsidRDefault="00E550F0" w:rsidP="00E92686">
            <w:pPr>
              <w:pStyle w:val="TableParagraph"/>
              <w:spacing w:line="256" w:lineRule="auto"/>
              <w:ind w:left="0"/>
              <w:jc w:val="both"/>
              <w:rPr>
                <w:i/>
                <w:sz w:val="18"/>
              </w:rPr>
            </w:pPr>
          </w:p>
          <w:p w14:paraId="6FCF26F4" w14:textId="7A59DD8C" w:rsidR="00E550F0" w:rsidRPr="00472578" w:rsidRDefault="00E550F0" w:rsidP="00E92686">
            <w:pPr>
              <w:pStyle w:val="TableParagraph"/>
              <w:spacing w:before="1" w:line="256" w:lineRule="auto"/>
              <w:ind w:left="100" w:right="62"/>
              <w:jc w:val="both"/>
              <w:rPr>
                <w:strike/>
              </w:rPr>
            </w:pPr>
            <w:bookmarkStart w:id="383" w:name="_Hlk96078059"/>
            <w:r w:rsidRPr="639E38F9">
              <w:rPr>
                <w:strike/>
                <w:sz w:val="18"/>
                <w:szCs w:val="18"/>
              </w:rPr>
              <w:t xml:space="preserve">When this assessment is being undertaken in accordance with HAZ-NH-M3(7)(a) or HAZ-NH-M4(7)(a) the text within Step 2 shall guide the assessment of </w:t>
            </w:r>
            <w:r w:rsidRPr="639E38F9">
              <w:rPr>
                <w:i/>
                <w:strike/>
                <w:sz w:val="18"/>
                <w:szCs w:val="18"/>
              </w:rPr>
              <w:t xml:space="preserve">natural hazard </w:t>
            </w:r>
            <w:r w:rsidRPr="639E38F9">
              <w:rPr>
                <w:strike/>
                <w:sz w:val="18"/>
                <w:szCs w:val="18"/>
              </w:rPr>
              <w:t>consequence</w:t>
            </w:r>
            <w:r w:rsidRPr="00472578">
              <w:rPr>
                <w:strike/>
              </w:rPr>
              <w:t>.</w:t>
            </w:r>
            <w:r w:rsidR="00B05AE0" w:rsidRPr="639E38F9">
              <w:rPr>
                <w:rStyle w:val="FootnoteReference"/>
                <w:sz w:val="18"/>
                <w:szCs w:val="18"/>
              </w:rPr>
              <w:t xml:space="preserve"> </w:t>
            </w:r>
            <w:r w:rsidR="00B05AE0" w:rsidRPr="639E38F9">
              <w:rPr>
                <w:rStyle w:val="FootnoteReference"/>
                <w:sz w:val="18"/>
                <w:szCs w:val="18"/>
              </w:rPr>
              <w:footnoteReference w:id="1526"/>
            </w:r>
          </w:p>
          <w:p w14:paraId="791646DD" w14:textId="77777777" w:rsidR="00E550F0" w:rsidRPr="00472578" w:rsidRDefault="00E550F0" w:rsidP="00E92686">
            <w:pPr>
              <w:pStyle w:val="TableParagraph"/>
              <w:spacing w:before="1" w:line="256" w:lineRule="auto"/>
              <w:ind w:left="100" w:right="62"/>
              <w:jc w:val="both"/>
              <w:rPr>
                <w:strike/>
              </w:rPr>
            </w:pPr>
          </w:p>
          <w:bookmarkEnd w:id="383"/>
          <w:p w14:paraId="2B46290F" w14:textId="77777777" w:rsidR="00E550F0" w:rsidRPr="00472578" w:rsidRDefault="00E550F0" w:rsidP="00E92686">
            <w:pPr>
              <w:pStyle w:val="TableParagraph"/>
              <w:spacing w:line="256" w:lineRule="auto"/>
              <w:ind w:left="100" w:right="270"/>
              <w:jc w:val="both"/>
              <w:rPr>
                <w:strike/>
              </w:rPr>
            </w:pPr>
          </w:p>
        </w:tc>
      </w:tr>
    </w:tbl>
    <w:p w14:paraId="0760B431" w14:textId="77777777" w:rsidR="00E550F0" w:rsidRPr="00472578" w:rsidRDefault="00E550F0" w:rsidP="00E92686">
      <w:pPr>
        <w:spacing w:before="37"/>
        <w:ind w:left="299"/>
        <w:jc w:val="both"/>
        <w:rPr>
          <w:rFonts w:ascii="Calibri" w:eastAsia="Calibri" w:hAnsi="Calibri" w:cs="Calibri"/>
          <w:b/>
        </w:rPr>
      </w:pPr>
    </w:p>
    <w:p w14:paraId="23ED78CB" w14:textId="77777777" w:rsidR="00E550F0" w:rsidRPr="00472578" w:rsidRDefault="00E550F0" w:rsidP="00E92686">
      <w:pPr>
        <w:spacing w:before="37"/>
        <w:jc w:val="both"/>
        <w:rPr>
          <w:b/>
          <w:i/>
        </w:rPr>
      </w:pPr>
      <w:r w:rsidRPr="00472578">
        <w:rPr>
          <w:b/>
        </w:rPr>
        <w:t xml:space="preserve">Step 3 – Assessing </w:t>
      </w:r>
      <w:r w:rsidRPr="00472578">
        <w:rPr>
          <w:b/>
          <w:strike/>
        </w:rPr>
        <w:t>activities for</w:t>
      </w:r>
      <w:r w:rsidRPr="00472578">
        <w:rPr>
          <w:rStyle w:val="FootnoteReference"/>
          <w:bCs/>
        </w:rPr>
        <w:footnoteReference w:id="1527"/>
      </w:r>
      <w:r w:rsidRPr="00472578">
        <w:rPr>
          <w:b/>
        </w:rPr>
        <w:t xml:space="preserve"> </w:t>
      </w:r>
      <w:r w:rsidRPr="00472578">
        <w:rPr>
          <w:b/>
          <w:i/>
        </w:rPr>
        <w:t>natural hazard risk</w:t>
      </w:r>
    </w:p>
    <w:p w14:paraId="683FD80A" w14:textId="3068DE89" w:rsidR="00E550F0" w:rsidRPr="00472578" w:rsidRDefault="00E550F0" w:rsidP="00E92686">
      <w:pPr>
        <w:pStyle w:val="BodyText"/>
        <w:rPr>
          <w:strike/>
        </w:rPr>
      </w:pPr>
      <w:r w:rsidRPr="00472578">
        <w:t xml:space="preserve">Using the information within steps 1 and 2 above, </w:t>
      </w:r>
      <w:bookmarkStart w:id="384" w:name="_Hlk96078303"/>
      <w:r w:rsidRPr="00472578">
        <w:rPr>
          <w:u w:val="single"/>
        </w:rPr>
        <w:t xml:space="preserve">complete Table 8 for each of the hazard scenarios considered, and identify if the risk from each of the scenarios is </w:t>
      </w:r>
      <w:bookmarkStart w:id="385" w:name="_Hlk96078370"/>
      <w:bookmarkEnd w:id="384"/>
      <w:r w:rsidRPr="00472578">
        <w:rPr>
          <w:strike/>
        </w:rPr>
        <w:t>and</w:t>
      </w:r>
      <w:r w:rsidRPr="00472578">
        <w:t xml:space="preserve"> </w:t>
      </w:r>
      <w:r w:rsidRPr="00472578">
        <w:rPr>
          <w:strike/>
        </w:rPr>
        <w:t xml:space="preserve">Table 8, assess whether the </w:t>
      </w:r>
      <w:r w:rsidRPr="00472578">
        <w:rPr>
          <w:i/>
          <w:strike/>
        </w:rPr>
        <w:t xml:space="preserve">natural hazard </w:t>
      </w:r>
      <w:r w:rsidRPr="00472578">
        <w:rPr>
          <w:strike/>
        </w:rPr>
        <w:t>scenarios will have an</w:t>
      </w:r>
      <w:r w:rsidRPr="00472578">
        <w:rPr>
          <w:rStyle w:val="FootnoteReference"/>
        </w:rPr>
        <w:footnoteReference w:id="1528"/>
      </w:r>
      <w:r w:rsidRPr="00472578">
        <w:t xml:space="preserve"> </w:t>
      </w:r>
      <w:bookmarkEnd w:id="385"/>
      <w:r w:rsidRPr="00472578">
        <w:t xml:space="preserve">acceptable, tolerable, or significant </w:t>
      </w:r>
      <w:r w:rsidRPr="00472578">
        <w:rPr>
          <w:i/>
          <w:strike/>
        </w:rPr>
        <w:t>risk</w:t>
      </w:r>
      <w:r w:rsidRPr="00472578">
        <w:rPr>
          <w:i/>
        </w:rPr>
        <w:t xml:space="preserve"> </w:t>
      </w:r>
      <w:r w:rsidRPr="00472578">
        <w:rPr>
          <w:strike/>
        </w:rPr>
        <w:t>to people, property and communities, by considering:</w:t>
      </w:r>
    </w:p>
    <w:p w14:paraId="744FDEBB" w14:textId="0B53BD1B" w:rsidR="00E550F0" w:rsidRPr="00472578" w:rsidRDefault="00A320AF" w:rsidP="00E92686">
      <w:pPr>
        <w:widowControl w:val="0"/>
        <w:tabs>
          <w:tab w:val="left" w:pos="867"/>
        </w:tabs>
        <w:autoSpaceDE w:val="0"/>
        <w:autoSpaceDN w:val="0"/>
        <w:spacing w:before="120"/>
        <w:ind w:left="567" w:hanging="567"/>
        <w:jc w:val="both"/>
        <w:rPr>
          <w:strike/>
        </w:rPr>
      </w:pPr>
      <w:r w:rsidRPr="00472578">
        <w:rPr>
          <w:strike/>
        </w:rPr>
        <w:t>(1)</w:t>
      </w:r>
      <w:r w:rsidRPr="00472578">
        <w:rPr>
          <w:strike/>
        </w:rPr>
        <w:tab/>
      </w:r>
      <w:r w:rsidR="00E550F0" w:rsidRPr="00472578">
        <w:rPr>
          <w:strike/>
        </w:rPr>
        <w:t xml:space="preserve">the </w:t>
      </w:r>
      <w:r w:rsidR="00E550F0" w:rsidRPr="00472578">
        <w:rPr>
          <w:i/>
          <w:strike/>
        </w:rPr>
        <w:t xml:space="preserve">natural hazard risk </w:t>
      </w:r>
      <w:r w:rsidR="00E550F0" w:rsidRPr="00472578">
        <w:rPr>
          <w:strike/>
        </w:rPr>
        <w:t xml:space="preserve">identified, including </w:t>
      </w:r>
      <w:r w:rsidR="00E550F0" w:rsidRPr="00472578">
        <w:rPr>
          <w:i/>
          <w:strike/>
        </w:rPr>
        <w:t>residual risk</w:t>
      </w:r>
      <w:r w:rsidR="00E550F0" w:rsidRPr="00472578">
        <w:rPr>
          <w:strike/>
        </w:rPr>
        <w:t>,</w:t>
      </w:r>
    </w:p>
    <w:p w14:paraId="3720A9BD" w14:textId="04CE3C11" w:rsidR="00E550F0" w:rsidRPr="00472578" w:rsidRDefault="00A320AF" w:rsidP="00E92686">
      <w:pPr>
        <w:widowControl w:val="0"/>
        <w:tabs>
          <w:tab w:val="left" w:pos="867"/>
        </w:tabs>
        <w:autoSpaceDE w:val="0"/>
        <w:autoSpaceDN w:val="0"/>
        <w:spacing w:before="161"/>
        <w:ind w:left="567" w:hanging="567"/>
        <w:jc w:val="both"/>
        <w:rPr>
          <w:strike/>
        </w:rPr>
      </w:pPr>
      <w:r w:rsidRPr="00472578">
        <w:rPr>
          <w:strike/>
        </w:rPr>
        <w:t>(2)</w:t>
      </w:r>
      <w:r w:rsidRPr="00472578">
        <w:rPr>
          <w:strike/>
        </w:rPr>
        <w:tab/>
      </w:r>
      <w:r w:rsidR="00E550F0" w:rsidRPr="00472578">
        <w:rPr>
          <w:strike/>
        </w:rPr>
        <w:t xml:space="preserve">any measures to avoid, remedy or mitigate those </w:t>
      </w:r>
      <w:r w:rsidR="00E550F0" w:rsidRPr="00472578">
        <w:rPr>
          <w:i/>
          <w:strike/>
        </w:rPr>
        <w:t>risks</w:t>
      </w:r>
      <w:r w:rsidR="00E550F0" w:rsidRPr="00472578">
        <w:rPr>
          <w:strike/>
        </w:rPr>
        <w:t>, including relocation and recovery methods,</w:t>
      </w:r>
    </w:p>
    <w:p w14:paraId="7B1C9099" w14:textId="20678F6A" w:rsidR="00E550F0" w:rsidRPr="00472578" w:rsidRDefault="00A320AF" w:rsidP="00E92686">
      <w:pPr>
        <w:widowControl w:val="0"/>
        <w:tabs>
          <w:tab w:val="left" w:pos="867"/>
        </w:tabs>
        <w:autoSpaceDE w:val="0"/>
        <w:autoSpaceDN w:val="0"/>
        <w:spacing w:before="161"/>
        <w:ind w:left="567" w:hanging="567"/>
        <w:jc w:val="both"/>
        <w:rPr>
          <w:strike/>
        </w:rPr>
      </w:pPr>
      <w:r w:rsidRPr="00472578">
        <w:rPr>
          <w:strike/>
        </w:rPr>
        <w:t>(3)</w:t>
      </w:r>
      <w:r w:rsidRPr="00472578">
        <w:rPr>
          <w:strike/>
        </w:rPr>
        <w:tab/>
      </w:r>
      <w:r w:rsidR="00E550F0" w:rsidRPr="00472578">
        <w:rPr>
          <w:strike/>
        </w:rPr>
        <w:t>the long-term viability and affordability of those measures,</w:t>
      </w:r>
    </w:p>
    <w:p w14:paraId="11E42EBA" w14:textId="50939A6C" w:rsidR="00E550F0" w:rsidRPr="00472578" w:rsidRDefault="00A320AF" w:rsidP="00E92686">
      <w:pPr>
        <w:widowControl w:val="0"/>
        <w:tabs>
          <w:tab w:val="left" w:pos="867"/>
        </w:tabs>
        <w:autoSpaceDE w:val="0"/>
        <w:autoSpaceDN w:val="0"/>
        <w:spacing w:before="159"/>
        <w:ind w:left="567" w:hanging="567"/>
        <w:jc w:val="both"/>
        <w:rPr>
          <w:strike/>
        </w:rPr>
      </w:pPr>
      <w:r w:rsidRPr="00472578">
        <w:rPr>
          <w:strike/>
        </w:rPr>
        <w:t>(4)</w:t>
      </w:r>
      <w:r w:rsidRPr="00472578">
        <w:rPr>
          <w:strike/>
        </w:rPr>
        <w:tab/>
      </w:r>
      <w:r w:rsidR="00E550F0" w:rsidRPr="00472578">
        <w:rPr>
          <w:strike/>
        </w:rPr>
        <w:t xml:space="preserve">flow on </w:t>
      </w:r>
      <w:r w:rsidR="00E550F0" w:rsidRPr="00472578">
        <w:rPr>
          <w:i/>
          <w:strike/>
        </w:rPr>
        <w:t xml:space="preserve">effects </w:t>
      </w:r>
      <w:r w:rsidR="00E550F0" w:rsidRPr="00472578">
        <w:rPr>
          <w:strike/>
        </w:rPr>
        <w:t xml:space="preserve">of the </w:t>
      </w:r>
      <w:r w:rsidR="00E550F0" w:rsidRPr="00472578">
        <w:rPr>
          <w:i/>
          <w:strike/>
        </w:rPr>
        <w:t xml:space="preserve">risk </w:t>
      </w:r>
      <w:r w:rsidR="00E550F0" w:rsidRPr="00472578">
        <w:rPr>
          <w:strike/>
        </w:rPr>
        <w:t>to other activities, individuals and communities, and</w:t>
      </w:r>
    </w:p>
    <w:p w14:paraId="79E153D5" w14:textId="068D064B" w:rsidR="00E550F0" w:rsidRPr="00472578" w:rsidRDefault="00A320AF" w:rsidP="00E92686">
      <w:pPr>
        <w:widowControl w:val="0"/>
        <w:tabs>
          <w:tab w:val="left" w:pos="867"/>
        </w:tabs>
        <w:autoSpaceDE w:val="0"/>
        <w:autoSpaceDN w:val="0"/>
        <w:spacing w:before="161"/>
        <w:ind w:left="567" w:right="119" w:hanging="567"/>
        <w:jc w:val="both"/>
        <w:rPr>
          <w:strike/>
        </w:rPr>
      </w:pPr>
      <w:r w:rsidRPr="00472578">
        <w:rPr>
          <w:strike/>
        </w:rPr>
        <w:t>(5)</w:t>
      </w:r>
      <w:r w:rsidRPr="00472578">
        <w:rPr>
          <w:strike/>
        </w:rPr>
        <w:tab/>
      </w:r>
      <w:r w:rsidR="00E550F0" w:rsidRPr="00472578">
        <w:rPr>
          <w:strike/>
        </w:rPr>
        <w:t xml:space="preserve">the availability of, and ability to provide, </w:t>
      </w:r>
      <w:r w:rsidR="00E550F0" w:rsidRPr="00472578">
        <w:rPr>
          <w:i/>
          <w:strike/>
        </w:rPr>
        <w:t>lifeline utilities</w:t>
      </w:r>
      <w:r w:rsidR="00E550F0" w:rsidRPr="00472578">
        <w:rPr>
          <w:strike/>
        </w:rPr>
        <w:t xml:space="preserve">, and essential and emergency services, </w:t>
      </w:r>
      <w:r w:rsidR="00E550F0" w:rsidRPr="00472578">
        <w:rPr>
          <w:strike/>
        </w:rPr>
        <w:lastRenderedPageBreak/>
        <w:t xml:space="preserve">during and after a </w:t>
      </w:r>
      <w:r w:rsidR="00E550F0" w:rsidRPr="00472578">
        <w:rPr>
          <w:i/>
          <w:strike/>
        </w:rPr>
        <w:t xml:space="preserve">natural hazard </w:t>
      </w:r>
      <w:r w:rsidR="00E550F0" w:rsidRPr="00472578">
        <w:rPr>
          <w:strike/>
        </w:rPr>
        <w:t>event.</w:t>
      </w:r>
      <w:r w:rsidR="00E550F0" w:rsidRPr="00472578">
        <w:rPr>
          <w:rStyle w:val="FootnoteReference"/>
        </w:rPr>
        <w:footnoteReference w:id="1529"/>
      </w:r>
    </w:p>
    <w:p w14:paraId="43281125" w14:textId="19C3189A" w:rsidR="004557BC" w:rsidRDefault="004557BC" w:rsidP="004557BC">
      <w:pPr>
        <w:pStyle w:val="Caption"/>
        <w:ind w:left="426"/>
        <w:rPr>
          <w:i w:val="0"/>
          <w:color w:val="44536A"/>
        </w:rPr>
      </w:pPr>
      <w:bookmarkStart w:id="386" w:name="_bookmark32"/>
      <w:bookmarkEnd w:id="386"/>
      <w:r>
        <w:t xml:space="preserve">Table </w:t>
      </w:r>
      <w:fldSimple w:instr=" SEQ Table \* ARABIC ">
        <w:r>
          <w:rPr>
            <w:noProof/>
          </w:rPr>
          <w:t>8</w:t>
        </w:r>
      </w:fldSimple>
      <w:r>
        <w:t xml:space="preserve"> </w:t>
      </w:r>
      <w:r w:rsidRPr="00DB5E54">
        <w:t xml:space="preserve">– </w:t>
      </w:r>
      <w:r>
        <w:t>Risk table</w:t>
      </w:r>
    </w:p>
    <w:tbl>
      <w:tblPr>
        <w:tblW w:w="9014" w:type="dxa"/>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6"/>
        <w:gridCol w:w="1501"/>
        <w:gridCol w:w="1378"/>
        <w:gridCol w:w="1435"/>
        <w:gridCol w:w="1378"/>
        <w:gridCol w:w="1476"/>
      </w:tblGrid>
      <w:tr w:rsidR="00E550F0" w:rsidRPr="00472578" w14:paraId="6A56AF65" w14:textId="77777777" w:rsidTr="00A320AF">
        <w:trPr>
          <w:trHeight w:val="388"/>
        </w:trPr>
        <w:tc>
          <w:tcPr>
            <w:tcW w:w="1846" w:type="dxa"/>
            <w:vMerge w:val="restart"/>
            <w:tcBorders>
              <w:top w:val="single" w:sz="6" w:space="0" w:color="000000"/>
              <w:left w:val="single" w:sz="6" w:space="0" w:color="000000"/>
              <w:bottom w:val="single" w:sz="6" w:space="0" w:color="000000"/>
              <w:right w:val="single" w:sz="6" w:space="0" w:color="000000"/>
            </w:tcBorders>
          </w:tcPr>
          <w:p w14:paraId="587BE5C6" w14:textId="77777777" w:rsidR="00E550F0" w:rsidRPr="00472578" w:rsidRDefault="00E550F0" w:rsidP="00E92686">
            <w:pPr>
              <w:pStyle w:val="TableParagraph"/>
              <w:spacing w:before="4" w:line="256" w:lineRule="auto"/>
              <w:ind w:left="87"/>
              <w:jc w:val="both"/>
              <w:rPr>
                <w:i/>
              </w:rPr>
            </w:pPr>
          </w:p>
          <w:p w14:paraId="242ABE6A" w14:textId="77777777" w:rsidR="00E550F0" w:rsidRPr="00472578" w:rsidRDefault="00E550F0" w:rsidP="00E92686">
            <w:pPr>
              <w:pStyle w:val="TableParagraph"/>
              <w:spacing w:line="256" w:lineRule="auto"/>
              <w:ind w:left="87"/>
              <w:jc w:val="both"/>
              <w:rPr>
                <w:b/>
              </w:rPr>
            </w:pPr>
            <w:r w:rsidRPr="00472578">
              <w:rPr>
                <w:b/>
              </w:rPr>
              <w:t>Likelihood</w:t>
            </w:r>
          </w:p>
        </w:tc>
        <w:tc>
          <w:tcPr>
            <w:tcW w:w="7168" w:type="dxa"/>
            <w:gridSpan w:val="5"/>
            <w:tcBorders>
              <w:top w:val="single" w:sz="6" w:space="0" w:color="000000"/>
              <w:left w:val="single" w:sz="6" w:space="0" w:color="000000"/>
              <w:bottom w:val="single" w:sz="6" w:space="0" w:color="000000"/>
              <w:right w:val="single" w:sz="6" w:space="0" w:color="000000"/>
            </w:tcBorders>
            <w:hideMark/>
          </w:tcPr>
          <w:p w14:paraId="16D7A80D" w14:textId="77777777" w:rsidR="00E550F0" w:rsidRPr="00472578" w:rsidRDefault="00E550F0" w:rsidP="00E92686">
            <w:pPr>
              <w:pStyle w:val="TableParagraph"/>
              <w:spacing w:before="59" w:line="256" w:lineRule="auto"/>
              <w:ind w:left="2908" w:right="2898"/>
              <w:jc w:val="both"/>
              <w:rPr>
                <w:b/>
              </w:rPr>
            </w:pPr>
            <w:r w:rsidRPr="00472578">
              <w:rPr>
                <w:b/>
              </w:rPr>
              <w:t>Consequences</w:t>
            </w:r>
          </w:p>
        </w:tc>
      </w:tr>
      <w:tr w:rsidR="00E550F0" w:rsidRPr="00472578" w14:paraId="4849035C" w14:textId="77777777" w:rsidTr="00A320AF">
        <w:trPr>
          <w:trHeight w:val="409"/>
        </w:trPr>
        <w:tc>
          <w:tcPr>
            <w:tcW w:w="1846" w:type="dxa"/>
            <w:vMerge/>
            <w:tcBorders>
              <w:top w:val="single" w:sz="6" w:space="0" w:color="000000"/>
              <w:left w:val="single" w:sz="6" w:space="0" w:color="000000"/>
              <w:bottom w:val="single" w:sz="6" w:space="0" w:color="000000"/>
              <w:right w:val="single" w:sz="6" w:space="0" w:color="000000"/>
            </w:tcBorders>
            <w:vAlign w:val="center"/>
            <w:hideMark/>
          </w:tcPr>
          <w:p w14:paraId="1A93AA22" w14:textId="77777777" w:rsidR="00E550F0" w:rsidRPr="00472578" w:rsidRDefault="00E550F0" w:rsidP="00E92686">
            <w:pPr>
              <w:spacing w:line="256" w:lineRule="auto"/>
              <w:ind w:left="87"/>
              <w:jc w:val="both"/>
              <w:rPr>
                <w:rFonts w:ascii="Calibri" w:eastAsia="Calibri" w:hAnsi="Calibri" w:cs="Calibri"/>
                <w:b/>
              </w:rPr>
            </w:pPr>
          </w:p>
        </w:tc>
        <w:tc>
          <w:tcPr>
            <w:tcW w:w="1501" w:type="dxa"/>
            <w:tcBorders>
              <w:top w:val="single" w:sz="6" w:space="0" w:color="000000"/>
              <w:left w:val="single" w:sz="6" w:space="0" w:color="000000"/>
              <w:bottom w:val="single" w:sz="6" w:space="0" w:color="000000"/>
              <w:right w:val="single" w:sz="6" w:space="0" w:color="000000"/>
            </w:tcBorders>
            <w:hideMark/>
          </w:tcPr>
          <w:p w14:paraId="2DF2982B" w14:textId="77777777" w:rsidR="00E550F0" w:rsidRPr="00472578" w:rsidRDefault="00E550F0" w:rsidP="00E92686">
            <w:pPr>
              <w:pStyle w:val="TableParagraph"/>
              <w:spacing w:before="71" w:line="256" w:lineRule="auto"/>
              <w:ind w:left="208"/>
              <w:jc w:val="both"/>
            </w:pPr>
            <w:r w:rsidRPr="00472578">
              <w:t>Insignificant</w:t>
            </w:r>
          </w:p>
        </w:tc>
        <w:tc>
          <w:tcPr>
            <w:tcW w:w="1378" w:type="dxa"/>
            <w:tcBorders>
              <w:top w:val="single" w:sz="6" w:space="0" w:color="000000"/>
              <w:left w:val="single" w:sz="6" w:space="0" w:color="000000"/>
              <w:bottom w:val="single" w:sz="6" w:space="0" w:color="000000"/>
              <w:right w:val="single" w:sz="6" w:space="0" w:color="000000"/>
            </w:tcBorders>
            <w:hideMark/>
          </w:tcPr>
          <w:p w14:paraId="4EC47DD7" w14:textId="77777777" w:rsidR="00E550F0" w:rsidRPr="00472578" w:rsidRDefault="00E550F0" w:rsidP="00E92686">
            <w:pPr>
              <w:pStyle w:val="TableParagraph"/>
              <w:spacing w:before="71" w:line="256" w:lineRule="auto"/>
              <w:ind w:left="414"/>
              <w:jc w:val="both"/>
            </w:pPr>
            <w:r w:rsidRPr="00472578">
              <w:t>Minor</w:t>
            </w:r>
          </w:p>
        </w:tc>
        <w:tc>
          <w:tcPr>
            <w:tcW w:w="1435" w:type="dxa"/>
            <w:tcBorders>
              <w:top w:val="single" w:sz="6" w:space="0" w:color="000000"/>
              <w:left w:val="single" w:sz="6" w:space="0" w:color="000000"/>
              <w:bottom w:val="single" w:sz="6" w:space="0" w:color="000000"/>
              <w:right w:val="single" w:sz="6" w:space="0" w:color="000000"/>
            </w:tcBorders>
            <w:hideMark/>
          </w:tcPr>
          <w:p w14:paraId="631C813D" w14:textId="77777777" w:rsidR="00E550F0" w:rsidRPr="00472578" w:rsidRDefault="00E550F0" w:rsidP="00E92686">
            <w:pPr>
              <w:pStyle w:val="TableParagraph"/>
              <w:spacing w:before="71" w:line="256" w:lineRule="auto"/>
              <w:ind w:left="267"/>
              <w:jc w:val="both"/>
            </w:pPr>
            <w:r w:rsidRPr="00472578">
              <w:t>Moderate</w:t>
            </w:r>
          </w:p>
        </w:tc>
        <w:tc>
          <w:tcPr>
            <w:tcW w:w="1378" w:type="dxa"/>
            <w:tcBorders>
              <w:top w:val="single" w:sz="6" w:space="0" w:color="000000"/>
              <w:left w:val="single" w:sz="6" w:space="0" w:color="000000"/>
              <w:bottom w:val="single" w:sz="6" w:space="0" w:color="000000"/>
              <w:right w:val="single" w:sz="6" w:space="0" w:color="000000"/>
            </w:tcBorders>
            <w:hideMark/>
          </w:tcPr>
          <w:p w14:paraId="5796DCB9" w14:textId="77777777" w:rsidR="00E550F0" w:rsidRPr="00472578" w:rsidRDefault="00E550F0" w:rsidP="00E92686">
            <w:pPr>
              <w:pStyle w:val="TableParagraph"/>
              <w:spacing w:before="71" w:line="256" w:lineRule="auto"/>
              <w:ind w:left="416"/>
              <w:jc w:val="both"/>
            </w:pPr>
            <w:r w:rsidRPr="00472578">
              <w:t>Major</w:t>
            </w:r>
          </w:p>
        </w:tc>
        <w:tc>
          <w:tcPr>
            <w:tcW w:w="1476" w:type="dxa"/>
            <w:tcBorders>
              <w:top w:val="single" w:sz="6" w:space="0" w:color="000000"/>
              <w:left w:val="single" w:sz="6" w:space="0" w:color="000000"/>
              <w:bottom w:val="single" w:sz="6" w:space="0" w:color="000000"/>
              <w:right w:val="single" w:sz="6" w:space="0" w:color="000000"/>
            </w:tcBorders>
            <w:hideMark/>
          </w:tcPr>
          <w:p w14:paraId="519E7DB2" w14:textId="77777777" w:rsidR="00E550F0" w:rsidRPr="00472578" w:rsidRDefault="00E550F0" w:rsidP="00E92686">
            <w:pPr>
              <w:pStyle w:val="TableParagraph"/>
              <w:spacing w:before="71" w:line="256" w:lineRule="auto"/>
              <w:ind w:left="169"/>
              <w:jc w:val="both"/>
            </w:pPr>
            <w:r w:rsidRPr="00472578">
              <w:t>Catastrophic</w:t>
            </w:r>
          </w:p>
        </w:tc>
      </w:tr>
      <w:tr w:rsidR="00E550F0" w:rsidRPr="00472578" w14:paraId="668EA29C" w14:textId="77777777" w:rsidTr="00A320AF">
        <w:trPr>
          <w:trHeight w:val="388"/>
        </w:trPr>
        <w:tc>
          <w:tcPr>
            <w:tcW w:w="1846" w:type="dxa"/>
            <w:tcBorders>
              <w:top w:val="single" w:sz="6" w:space="0" w:color="000000"/>
              <w:left w:val="single" w:sz="6" w:space="0" w:color="000000"/>
              <w:bottom w:val="single" w:sz="6" w:space="0" w:color="000000"/>
              <w:right w:val="single" w:sz="6" w:space="0" w:color="000000"/>
            </w:tcBorders>
            <w:hideMark/>
          </w:tcPr>
          <w:p w14:paraId="3412B744" w14:textId="77777777" w:rsidR="00E550F0" w:rsidRPr="00472578" w:rsidRDefault="00E550F0" w:rsidP="00E92686">
            <w:pPr>
              <w:pStyle w:val="TableParagraph"/>
              <w:spacing w:before="59" w:line="256" w:lineRule="auto"/>
              <w:ind w:left="87"/>
              <w:jc w:val="both"/>
            </w:pPr>
            <w:r w:rsidRPr="00472578">
              <w:t>Almost certain</w:t>
            </w:r>
          </w:p>
        </w:tc>
        <w:tc>
          <w:tcPr>
            <w:tcW w:w="1501" w:type="dxa"/>
            <w:tcBorders>
              <w:top w:val="single" w:sz="6" w:space="0" w:color="000000"/>
              <w:left w:val="single" w:sz="6" w:space="0" w:color="000000"/>
              <w:bottom w:val="single" w:sz="6" w:space="0" w:color="000000"/>
              <w:right w:val="single" w:sz="6" w:space="0" w:color="000000"/>
            </w:tcBorders>
            <w:shd w:val="clear" w:color="auto" w:fill="A8D08D"/>
          </w:tcPr>
          <w:p w14:paraId="4D0D732F"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FFFF00"/>
          </w:tcPr>
          <w:p w14:paraId="1808B6DB" w14:textId="77777777" w:rsidR="00E550F0" w:rsidRPr="00472578" w:rsidRDefault="00E550F0" w:rsidP="00E92686">
            <w:pPr>
              <w:pStyle w:val="TableParagraph"/>
              <w:spacing w:line="256" w:lineRule="auto"/>
              <w:ind w:left="0"/>
              <w:jc w:val="both"/>
              <w:rPr>
                <w:rFonts w:ascii="Times New Roman"/>
              </w:rPr>
            </w:pPr>
          </w:p>
        </w:tc>
        <w:tc>
          <w:tcPr>
            <w:tcW w:w="1435" w:type="dxa"/>
            <w:tcBorders>
              <w:top w:val="single" w:sz="6" w:space="0" w:color="000000"/>
              <w:left w:val="single" w:sz="6" w:space="0" w:color="000000"/>
              <w:bottom w:val="single" w:sz="6" w:space="0" w:color="000000"/>
              <w:right w:val="single" w:sz="6" w:space="0" w:color="000000"/>
            </w:tcBorders>
            <w:shd w:val="clear" w:color="auto" w:fill="FFFF00"/>
          </w:tcPr>
          <w:p w14:paraId="215BAECD"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FF0000"/>
          </w:tcPr>
          <w:p w14:paraId="554DADA3" w14:textId="77777777" w:rsidR="00E550F0" w:rsidRPr="00472578" w:rsidRDefault="00E550F0" w:rsidP="00E92686">
            <w:pPr>
              <w:pStyle w:val="TableParagraph"/>
              <w:spacing w:line="256" w:lineRule="auto"/>
              <w:ind w:left="0"/>
              <w:jc w:val="both"/>
              <w:rPr>
                <w:rFonts w:ascii="Times New Roman"/>
              </w:rPr>
            </w:pPr>
          </w:p>
        </w:tc>
        <w:tc>
          <w:tcPr>
            <w:tcW w:w="1476" w:type="dxa"/>
            <w:tcBorders>
              <w:top w:val="single" w:sz="6" w:space="0" w:color="000000"/>
              <w:left w:val="single" w:sz="6" w:space="0" w:color="000000"/>
              <w:bottom w:val="single" w:sz="6" w:space="0" w:color="000000"/>
              <w:right w:val="single" w:sz="6" w:space="0" w:color="000000"/>
            </w:tcBorders>
            <w:shd w:val="clear" w:color="auto" w:fill="FF0000"/>
          </w:tcPr>
          <w:p w14:paraId="200B24C7" w14:textId="77777777" w:rsidR="00E550F0" w:rsidRPr="00472578" w:rsidRDefault="00E550F0" w:rsidP="00E92686">
            <w:pPr>
              <w:pStyle w:val="TableParagraph"/>
              <w:spacing w:line="256" w:lineRule="auto"/>
              <w:ind w:left="0"/>
              <w:jc w:val="both"/>
              <w:rPr>
                <w:rFonts w:ascii="Times New Roman"/>
              </w:rPr>
            </w:pPr>
          </w:p>
        </w:tc>
      </w:tr>
      <w:tr w:rsidR="00E550F0" w:rsidRPr="00472578" w14:paraId="4DD04A91" w14:textId="77777777" w:rsidTr="00A320AF">
        <w:trPr>
          <w:trHeight w:val="388"/>
        </w:trPr>
        <w:tc>
          <w:tcPr>
            <w:tcW w:w="1846" w:type="dxa"/>
            <w:tcBorders>
              <w:top w:val="single" w:sz="6" w:space="0" w:color="000000"/>
              <w:left w:val="single" w:sz="6" w:space="0" w:color="000000"/>
              <w:bottom w:val="single" w:sz="6" w:space="0" w:color="000000"/>
              <w:right w:val="single" w:sz="6" w:space="0" w:color="000000"/>
            </w:tcBorders>
            <w:hideMark/>
          </w:tcPr>
          <w:p w14:paraId="09011CFB" w14:textId="77777777" w:rsidR="00E550F0" w:rsidRPr="00472578" w:rsidRDefault="00E550F0" w:rsidP="00E92686">
            <w:pPr>
              <w:pStyle w:val="TableParagraph"/>
              <w:spacing w:before="59" w:line="256" w:lineRule="auto"/>
              <w:ind w:left="87"/>
              <w:jc w:val="both"/>
            </w:pPr>
            <w:r w:rsidRPr="00472578">
              <w:t>Likely</w:t>
            </w:r>
          </w:p>
        </w:tc>
        <w:tc>
          <w:tcPr>
            <w:tcW w:w="1501" w:type="dxa"/>
            <w:tcBorders>
              <w:top w:val="single" w:sz="6" w:space="0" w:color="000000"/>
              <w:left w:val="single" w:sz="6" w:space="0" w:color="000000"/>
              <w:bottom w:val="single" w:sz="6" w:space="0" w:color="000000"/>
              <w:right w:val="single" w:sz="6" w:space="0" w:color="000000"/>
            </w:tcBorders>
            <w:shd w:val="clear" w:color="auto" w:fill="A8D08D"/>
          </w:tcPr>
          <w:p w14:paraId="0AC188A7"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A8D08D"/>
          </w:tcPr>
          <w:p w14:paraId="3DA41C60" w14:textId="77777777" w:rsidR="00E550F0" w:rsidRPr="00472578" w:rsidRDefault="00E550F0" w:rsidP="00E92686">
            <w:pPr>
              <w:pStyle w:val="TableParagraph"/>
              <w:spacing w:line="256" w:lineRule="auto"/>
              <w:ind w:left="0"/>
              <w:jc w:val="both"/>
              <w:rPr>
                <w:rFonts w:ascii="Times New Roman"/>
              </w:rPr>
            </w:pPr>
          </w:p>
        </w:tc>
        <w:tc>
          <w:tcPr>
            <w:tcW w:w="1435" w:type="dxa"/>
            <w:tcBorders>
              <w:top w:val="single" w:sz="6" w:space="0" w:color="000000"/>
              <w:left w:val="single" w:sz="6" w:space="0" w:color="000000"/>
              <w:bottom w:val="single" w:sz="6" w:space="0" w:color="000000"/>
              <w:right w:val="single" w:sz="6" w:space="0" w:color="000000"/>
            </w:tcBorders>
            <w:shd w:val="clear" w:color="auto" w:fill="FFFF00"/>
          </w:tcPr>
          <w:p w14:paraId="5BE16112"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FFFF00"/>
          </w:tcPr>
          <w:p w14:paraId="7055D357" w14:textId="77777777" w:rsidR="00E550F0" w:rsidRPr="00472578" w:rsidRDefault="00E550F0" w:rsidP="00E92686">
            <w:pPr>
              <w:pStyle w:val="TableParagraph"/>
              <w:spacing w:line="256" w:lineRule="auto"/>
              <w:ind w:left="0"/>
              <w:jc w:val="both"/>
              <w:rPr>
                <w:rFonts w:ascii="Times New Roman"/>
              </w:rPr>
            </w:pPr>
          </w:p>
        </w:tc>
        <w:tc>
          <w:tcPr>
            <w:tcW w:w="1476" w:type="dxa"/>
            <w:tcBorders>
              <w:top w:val="single" w:sz="6" w:space="0" w:color="000000"/>
              <w:left w:val="single" w:sz="6" w:space="0" w:color="000000"/>
              <w:bottom w:val="single" w:sz="6" w:space="0" w:color="000000"/>
              <w:right w:val="single" w:sz="6" w:space="0" w:color="000000"/>
            </w:tcBorders>
            <w:shd w:val="clear" w:color="auto" w:fill="FF0000"/>
          </w:tcPr>
          <w:p w14:paraId="2799AEB6" w14:textId="77777777" w:rsidR="00E550F0" w:rsidRPr="00472578" w:rsidRDefault="00E550F0" w:rsidP="00E92686">
            <w:pPr>
              <w:pStyle w:val="TableParagraph"/>
              <w:spacing w:line="256" w:lineRule="auto"/>
              <w:ind w:left="0"/>
              <w:jc w:val="both"/>
              <w:rPr>
                <w:rFonts w:ascii="Times New Roman"/>
              </w:rPr>
            </w:pPr>
          </w:p>
        </w:tc>
      </w:tr>
      <w:tr w:rsidR="00E550F0" w:rsidRPr="00472578" w14:paraId="1B059316" w14:textId="77777777" w:rsidTr="00A320AF">
        <w:trPr>
          <w:trHeight w:val="388"/>
        </w:trPr>
        <w:tc>
          <w:tcPr>
            <w:tcW w:w="1846" w:type="dxa"/>
            <w:tcBorders>
              <w:top w:val="single" w:sz="6" w:space="0" w:color="000000"/>
              <w:left w:val="single" w:sz="6" w:space="0" w:color="000000"/>
              <w:bottom w:val="single" w:sz="6" w:space="0" w:color="000000"/>
              <w:right w:val="single" w:sz="6" w:space="0" w:color="000000"/>
            </w:tcBorders>
            <w:hideMark/>
          </w:tcPr>
          <w:p w14:paraId="4AC97D55" w14:textId="77777777" w:rsidR="00E550F0" w:rsidRPr="00472578" w:rsidRDefault="00E550F0" w:rsidP="00E92686">
            <w:pPr>
              <w:pStyle w:val="TableParagraph"/>
              <w:spacing w:before="59" w:line="256" w:lineRule="auto"/>
              <w:ind w:left="87"/>
              <w:jc w:val="both"/>
            </w:pPr>
            <w:r w:rsidRPr="00472578">
              <w:t>Possible</w:t>
            </w:r>
          </w:p>
        </w:tc>
        <w:tc>
          <w:tcPr>
            <w:tcW w:w="1501" w:type="dxa"/>
            <w:tcBorders>
              <w:top w:val="single" w:sz="6" w:space="0" w:color="000000"/>
              <w:left w:val="single" w:sz="6" w:space="0" w:color="000000"/>
              <w:bottom w:val="single" w:sz="6" w:space="0" w:color="000000"/>
              <w:right w:val="single" w:sz="6" w:space="0" w:color="000000"/>
            </w:tcBorders>
            <w:shd w:val="clear" w:color="auto" w:fill="A8D08D"/>
          </w:tcPr>
          <w:p w14:paraId="2EDA0BDC"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A8D08D"/>
          </w:tcPr>
          <w:p w14:paraId="7E05B290" w14:textId="77777777" w:rsidR="00E550F0" w:rsidRPr="00472578" w:rsidRDefault="00E550F0" w:rsidP="00E92686">
            <w:pPr>
              <w:pStyle w:val="TableParagraph"/>
              <w:spacing w:line="256" w:lineRule="auto"/>
              <w:ind w:left="0"/>
              <w:jc w:val="both"/>
              <w:rPr>
                <w:rFonts w:ascii="Times New Roman"/>
              </w:rPr>
            </w:pPr>
          </w:p>
        </w:tc>
        <w:tc>
          <w:tcPr>
            <w:tcW w:w="1435" w:type="dxa"/>
            <w:tcBorders>
              <w:top w:val="single" w:sz="6" w:space="0" w:color="000000"/>
              <w:left w:val="single" w:sz="6" w:space="0" w:color="000000"/>
              <w:bottom w:val="single" w:sz="6" w:space="0" w:color="000000"/>
              <w:right w:val="single" w:sz="6" w:space="0" w:color="000000"/>
            </w:tcBorders>
            <w:shd w:val="clear" w:color="auto" w:fill="FFFF00"/>
          </w:tcPr>
          <w:p w14:paraId="3BA02EA1"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FFFF00"/>
          </w:tcPr>
          <w:p w14:paraId="0B29BB1F" w14:textId="77777777" w:rsidR="00E550F0" w:rsidRPr="00472578" w:rsidRDefault="00E550F0" w:rsidP="00E92686">
            <w:pPr>
              <w:pStyle w:val="TableParagraph"/>
              <w:spacing w:line="256" w:lineRule="auto"/>
              <w:ind w:left="0"/>
              <w:jc w:val="both"/>
              <w:rPr>
                <w:rFonts w:ascii="Times New Roman"/>
              </w:rPr>
            </w:pPr>
          </w:p>
        </w:tc>
        <w:tc>
          <w:tcPr>
            <w:tcW w:w="1476" w:type="dxa"/>
            <w:tcBorders>
              <w:top w:val="single" w:sz="6" w:space="0" w:color="000000"/>
              <w:left w:val="single" w:sz="6" w:space="0" w:color="000000"/>
              <w:bottom w:val="single" w:sz="6" w:space="0" w:color="000000"/>
              <w:right w:val="single" w:sz="6" w:space="0" w:color="000000"/>
            </w:tcBorders>
            <w:shd w:val="clear" w:color="auto" w:fill="FF0000"/>
          </w:tcPr>
          <w:p w14:paraId="5AFC4590" w14:textId="77777777" w:rsidR="00E550F0" w:rsidRPr="00472578" w:rsidRDefault="00E550F0" w:rsidP="00E92686">
            <w:pPr>
              <w:pStyle w:val="TableParagraph"/>
              <w:spacing w:line="256" w:lineRule="auto"/>
              <w:ind w:left="0"/>
              <w:jc w:val="both"/>
              <w:rPr>
                <w:rFonts w:ascii="Times New Roman"/>
              </w:rPr>
            </w:pPr>
          </w:p>
        </w:tc>
      </w:tr>
      <w:tr w:rsidR="00E550F0" w:rsidRPr="00472578" w14:paraId="146A523A" w14:textId="77777777" w:rsidTr="00A320AF">
        <w:trPr>
          <w:trHeight w:val="388"/>
        </w:trPr>
        <w:tc>
          <w:tcPr>
            <w:tcW w:w="1846" w:type="dxa"/>
            <w:tcBorders>
              <w:top w:val="single" w:sz="6" w:space="0" w:color="000000"/>
              <w:left w:val="single" w:sz="6" w:space="0" w:color="000000"/>
              <w:bottom w:val="single" w:sz="6" w:space="0" w:color="000000"/>
              <w:right w:val="single" w:sz="6" w:space="0" w:color="000000"/>
            </w:tcBorders>
            <w:hideMark/>
          </w:tcPr>
          <w:p w14:paraId="3FE86A71" w14:textId="77777777" w:rsidR="00E550F0" w:rsidRPr="00472578" w:rsidRDefault="00E550F0" w:rsidP="00E92686">
            <w:pPr>
              <w:pStyle w:val="TableParagraph"/>
              <w:spacing w:before="59" w:line="256" w:lineRule="auto"/>
              <w:ind w:left="87"/>
              <w:jc w:val="both"/>
            </w:pPr>
            <w:r w:rsidRPr="00472578">
              <w:t>Unlikely</w:t>
            </w:r>
          </w:p>
        </w:tc>
        <w:tc>
          <w:tcPr>
            <w:tcW w:w="1501" w:type="dxa"/>
            <w:tcBorders>
              <w:top w:val="single" w:sz="6" w:space="0" w:color="000000"/>
              <w:left w:val="single" w:sz="6" w:space="0" w:color="000000"/>
              <w:bottom w:val="single" w:sz="6" w:space="0" w:color="000000"/>
              <w:right w:val="single" w:sz="6" w:space="0" w:color="000000"/>
            </w:tcBorders>
            <w:shd w:val="clear" w:color="auto" w:fill="A8D08D"/>
          </w:tcPr>
          <w:p w14:paraId="52483469"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A8D08D"/>
          </w:tcPr>
          <w:p w14:paraId="370F854C" w14:textId="77777777" w:rsidR="00E550F0" w:rsidRPr="00472578" w:rsidRDefault="00E550F0" w:rsidP="00E92686">
            <w:pPr>
              <w:pStyle w:val="TableParagraph"/>
              <w:spacing w:line="256" w:lineRule="auto"/>
              <w:ind w:left="0"/>
              <w:jc w:val="both"/>
              <w:rPr>
                <w:rFonts w:ascii="Times New Roman"/>
              </w:rPr>
            </w:pPr>
          </w:p>
        </w:tc>
        <w:tc>
          <w:tcPr>
            <w:tcW w:w="1435" w:type="dxa"/>
            <w:tcBorders>
              <w:top w:val="single" w:sz="6" w:space="0" w:color="000000"/>
              <w:left w:val="single" w:sz="6" w:space="0" w:color="000000"/>
              <w:bottom w:val="single" w:sz="6" w:space="0" w:color="000000"/>
              <w:right w:val="single" w:sz="6" w:space="0" w:color="000000"/>
            </w:tcBorders>
            <w:shd w:val="clear" w:color="auto" w:fill="A8D08D"/>
          </w:tcPr>
          <w:p w14:paraId="697996B0"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A8D08D"/>
          </w:tcPr>
          <w:p w14:paraId="7896D538" w14:textId="77777777" w:rsidR="00E550F0" w:rsidRPr="00472578" w:rsidRDefault="00E550F0" w:rsidP="00E92686">
            <w:pPr>
              <w:pStyle w:val="TableParagraph"/>
              <w:spacing w:line="256" w:lineRule="auto"/>
              <w:ind w:left="0"/>
              <w:jc w:val="both"/>
              <w:rPr>
                <w:rFonts w:ascii="Times New Roman"/>
              </w:rPr>
            </w:pPr>
          </w:p>
        </w:tc>
        <w:tc>
          <w:tcPr>
            <w:tcW w:w="1476" w:type="dxa"/>
            <w:tcBorders>
              <w:top w:val="single" w:sz="6" w:space="0" w:color="000000"/>
              <w:left w:val="single" w:sz="6" w:space="0" w:color="000000"/>
              <w:bottom w:val="single" w:sz="6" w:space="0" w:color="000000"/>
              <w:right w:val="single" w:sz="6" w:space="0" w:color="000000"/>
            </w:tcBorders>
            <w:shd w:val="clear" w:color="auto" w:fill="FFFF00"/>
          </w:tcPr>
          <w:p w14:paraId="4D7ECC24" w14:textId="77777777" w:rsidR="00E550F0" w:rsidRPr="00472578" w:rsidRDefault="00E550F0" w:rsidP="00E92686">
            <w:pPr>
              <w:pStyle w:val="TableParagraph"/>
              <w:spacing w:line="256" w:lineRule="auto"/>
              <w:ind w:left="0"/>
              <w:jc w:val="both"/>
              <w:rPr>
                <w:rFonts w:ascii="Times New Roman"/>
              </w:rPr>
            </w:pPr>
          </w:p>
        </w:tc>
      </w:tr>
      <w:tr w:rsidR="00E550F0" w:rsidRPr="00472578" w14:paraId="6E238C58" w14:textId="77777777" w:rsidTr="00A320AF">
        <w:trPr>
          <w:trHeight w:val="388"/>
        </w:trPr>
        <w:tc>
          <w:tcPr>
            <w:tcW w:w="1846" w:type="dxa"/>
            <w:tcBorders>
              <w:top w:val="single" w:sz="6" w:space="0" w:color="000000"/>
              <w:left w:val="single" w:sz="6" w:space="0" w:color="000000"/>
              <w:bottom w:val="single" w:sz="6" w:space="0" w:color="000000"/>
              <w:right w:val="single" w:sz="6" w:space="0" w:color="000000"/>
            </w:tcBorders>
            <w:hideMark/>
          </w:tcPr>
          <w:p w14:paraId="4DE14A0B" w14:textId="77777777" w:rsidR="00E550F0" w:rsidRPr="00472578" w:rsidRDefault="00E550F0" w:rsidP="00E92686">
            <w:pPr>
              <w:pStyle w:val="TableParagraph"/>
              <w:spacing w:line="256" w:lineRule="auto"/>
              <w:ind w:left="87"/>
              <w:jc w:val="both"/>
            </w:pPr>
            <w:r w:rsidRPr="00472578">
              <w:t>Rare</w:t>
            </w:r>
          </w:p>
        </w:tc>
        <w:tc>
          <w:tcPr>
            <w:tcW w:w="1501" w:type="dxa"/>
            <w:tcBorders>
              <w:top w:val="single" w:sz="6" w:space="0" w:color="000000"/>
              <w:left w:val="single" w:sz="6" w:space="0" w:color="000000"/>
              <w:bottom w:val="single" w:sz="6" w:space="0" w:color="000000"/>
              <w:right w:val="single" w:sz="6" w:space="0" w:color="000000"/>
            </w:tcBorders>
            <w:shd w:val="clear" w:color="auto" w:fill="A8D08D"/>
          </w:tcPr>
          <w:p w14:paraId="56E27311"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A8D08D"/>
          </w:tcPr>
          <w:p w14:paraId="486542AB" w14:textId="77777777" w:rsidR="00E550F0" w:rsidRPr="00472578" w:rsidRDefault="00E550F0" w:rsidP="00E92686">
            <w:pPr>
              <w:pStyle w:val="TableParagraph"/>
              <w:spacing w:line="256" w:lineRule="auto"/>
              <w:ind w:left="0"/>
              <w:jc w:val="both"/>
              <w:rPr>
                <w:rFonts w:ascii="Times New Roman"/>
              </w:rPr>
            </w:pPr>
          </w:p>
        </w:tc>
        <w:tc>
          <w:tcPr>
            <w:tcW w:w="1435" w:type="dxa"/>
            <w:tcBorders>
              <w:top w:val="single" w:sz="6" w:space="0" w:color="000000"/>
              <w:left w:val="single" w:sz="6" w:space="0" w:color="000000"/>
              <w:bottom w:val="single" w:sz="6" w:space="0" w:color="000000"/>
              <w:right w:val="single" w:sz="6" w:space="0" w:color="000000"/>
            </w:tcBorders>
            <w:shd w:val="clear" w:color="auto" w:fill="A8D08D"/>
          </w:tcPr>
          <w:p w14:paraId="6FBB7EBF" w14:textId="77777777" w:rsidR="00E550F0" w:rsidRPr="00472578" w:rsidRDefault="00E550F0" w:rsidP="00E92686">
            <w:pPr>
              <w:pStyle w:val="TableParagraph"/>
              <w:spacing w:line="256" w:lineRule="auto"/>
              <w:ind w:left="0"/>
              <w:jc w:val="both"/>
              <w:rPr>
                <w:rFonts w:ascii="Times New Roman"/>
              </w:rPr>
            </w:pPr>
          </w:p>
        </w:tc>
        <w:tc>
          <w:tcPr>
            <w:tcW w:w="1378" w:type="dxa"/>
            <w:tcBorders>
              <w:top w:val="single" w:sz="6" w:space="0" w:color="000000"/>
              <w:left w:val="single" w:sz="6" w:space="0" w:color="000000"/>
              <w:bottom w:val="single" w:sz="6" w:space="0" w:color="000000"/>
              <w:right w:val="single" w:sz="6" w:space="0" w:color="000000"/>
            </w:tcBorders>
            <w:shd w:val="clear" w:color="auto" w:fill="A8D08D"/>
          </w:tcPr>
          <w:p w14:paraId="06FA636C" w14:textId="77777777" w:rsidR="00E550F0" w:rsidRPr="00472578" w:rsidRDefault="00E550F0" w:rsidP="00E92686">
            <w:pPr>
              <w:pStyle w:val="TableParagraph"/>
              <w:spacing w:line="256" w:lineRule="auto"/>
              <w:ind w:left="0"/>
              <w:jc w:val="both"/>
              <w:rPr>
                <w:rFonts w:ascii="Times New Roman"/>
              </w:rPr>
            </w:pPr>
          </w:p>
        </w:tc>
        <w:tc>
          <w:tcPr>
            <w:tcW w:w="1476" w:type="dxa"/>
            <w:tcBorders>
              <w:top w:val="single" w:sz="6" w:space="0" w:color="000000"/>
              <w:left w:val="single" w:sz="6" w:space="0" w:color="000000"/>
              <w:bottom w:val="single" w:sz="6" w:space="0" w:color="000000"/>
              <w:right w:val="single" w:sz="6" w:space="0" w:color="000000"/>
            </w:tcBorders>
            <w:shd w:val="clear" w:color="auto" w:fill="FFFF00"/>
          </w:tcPr>
          <w:p w14:paraId="4EC4C76D" w14:textId="77777777" w:rsidR="00E550F0" w:rsidRPr="00472578" w:rsidRDefault="00E550F0" w:rsidP="00E92686">
            <w:pPr>
              <w:pStyle w:val="TableParagraph"/>
              <w:spacing w:line="256" w:lineRule="auto"/>
              <w:ind w:left="0"/>
              <w:jc w:val="both"/>
              <w:rPr>
                <w:rFonts w:ascii="Times New Roman"/>
              </w:rPr>
            </w:pPr>
          </w:p>
        </w:tc>
      </w:tr>
      <w:tr w:rsidR="00E550F0" w:rsidRPr="00472578" w14:paraId="7E613AC0" w14:textId="77777777" w:rsidTr="00A320AF">
        <w:trPr>
          <w:trHeight w:val="391"/>
        </w:trPr>
        <w:tc>
          <w:tcPr>
            <w:tcW w:w="9014" w:type="dxa"/>
            <w:gridSpan w:val="6"/>
            <w:tcBorders>
              <w:top w:val="single" w:sz="6" w:space="0" w:color="000000"/>
              <w:left w:val="single" w:sz="6" w:space="0" w:color="000000"/>
              <w:bottom w:val="single" w:sz="6" w:space="0" w:color="000000"/>
              <w:right w:val="single" w:sz="6" w:space="0" w:color="000000"/>
            </w:tcBorders>
            <w:vAlign w:val="center"/>
            <w:hideMark/>
          </w:tcPr>
          <w:p w14:paraId="64CBED73" w14:textId="77777777" w:rsidR="00E550F0" w:rsidRPr="00472578" w:rsidRDefault="00E550F0" w:rsidP="00E92686">
            <w:pPr>
              <w:pStyle w:val="TableParagraph"/>
              <w:spacing w:line="256" w:lineRule="auto"/>
              <w:ind w:left="87"/>
              <w:jc w:val="both"/>
              <w:rPr>
                <w:i/>
              </w:rPr>
            </w:pPr>
            <w:r w:rsidRPr="00472578">
              <w:t xml:space="preserve">Green, Acceptable </w:t>
            </w:r>
            <w:r w:rsidRPr="00472578">
              <w:rPr>
                <w:i/>
              </w:rPr>
              <w:t>Risk</w:t>
            </w:r>
            <w:r w:rsidRPr="00472578">
              <w:t xml:space="preserve">: Yellow, Tolerable </w:t>
            </w:r>
            <w:r w:rsidRPr="00472578">
              <w:rPr>
                <w:i/>
              </w:rPr>
              <w:t>Risk</w:t>
            </w:r>
            <w:r w:rsidRPr="00472578">
              <w:t xml:space="preserve">: Red, Significant </w:t>
            </w:r>
            <w:r w:rsidRPr="00472578">
              <w:rPr>
                <w:i/>
              </w:rPr>
              <w:t>Risk</w:t>
            </w:r>
          </w:p>
        </w:tc>
      </w:tr>
    </w:tbl>
    <w:p w14:paraId="7317E01E" w14:textId="77777777" w:rsidR="00E550F0" w:rsidRPr="00472578" w:rsidRDefault="00E550F0" w:rsidP="00E92686">
      <w:pPr>
        <w:pStyle w:val="BodyText"/>
      </w:pPr>
    </w:p>
    <w:p w14:paraId="2503559C" w14:textId="77777777" w:rsidR="00E550F0" w:rsidRPr="00472578" w:rsidRDefault="00E550F0" w:rsidP="00E92686">
      <w:pPr>
        <w:pStyle w:val="BodyText"/>
        <w:ind w:right="-23"/>
      </w:pPr>
      <w:r w:rsidRPr="00472578">
        <w:t>Notes:</w:t>
      </w:r>
    </w:p>
    <w:p w14:paraId="0BF8196B" w14:textId="3BDC3987" w:rsidR="00E550F0" w:rsidRPr="00472578" w:rsidRDefault="00E550F0" w:rsidP="00E92686">
      <w:pPr>
        <w:pStyle w:val="BodyText"/>
        <w:ind w:right="-23"/>
      </w:pPr>
      <w:r w:rsidRPr="00472578">
        <w:t xml:space="preserve">Table 8 above has been included as a region-wide baseline. As set out in HAZ-NH-M2(1) </w:t>
      </w:r>
      <w:r w:rsidRPr="00472578">
        <w:rPr>
          <w:i/>
        </w:rPr>
        <w:t xml:space="preserve">local authorities </w:t>
      </w:r>
      <w:r w:rsidRPr="00472578">
        <w:t xml:space="preserve">are required to undertake a consultation process with communities, stakeholders and partners regarding </w:t>
      </w:r>
      <w:r w:rsidRPr="00472578">
        <w:rPr>
          <w:i/>
        </w:rPr>
        <w:t xml:space="preserve">risk </w:t>
      </w:r>
      <w:r w:rsidRPr="00472578">
        <w:t xml:space="preserve">levels thresholds and develop a </w:t>
      </w:r>
      <w:r w:rsidRPr="00472578">
        <w:rPr>
          <w:i/>
        </w:rPr>
        <w:t xml:space="preserve">risk </w:t>
      </w:r>
      <w:r w:rsidRPr="00472578">
        <w:t xml:space="preserve">table at a district or community scale. This region-wide baseline is to be used in the absence of a district or community scale </w:t>
      </w:r>
      <w:r w:rsidRPr="00472578">
        <w:rPr>
          <w:i/>
        </w:rPr>
        <w:t xml:space="preserve">risk </w:t>
      </w:r>
      <w:r w:rsidRPr="00472578">
        <w:t>table being developed.</w:t>
      </w:r>
    </w:p>
    <w:p w14:paraId="47F3C5E2" w14:textId="77777777" w:rsidR="00E550F0" w:rsidRPr="00472578" w:rsidRDefault="00E550F0" w:rsidP="00E92686">
      <w:pPr>
        <w:pStyle w:val="BodyText"/>
        <w:ind w:right="-23"/>
      </w:pPr>
      <w:r w:rsidRPr="00472578">
        <w:rPr>
          <w:strike/>
        </w:rPr>
        <w:t xml:space="preserve">When this assessment is being undertaken in accordance with HAZ-NH-M3(7)(a) or HAZ-NH-M4(7)(a) the text within Step 3 shall guide the assessment of </w:t>
      </w:r>
      <w:r w:rsidRPr="00472578">
        <w:rPr>
          <w:i/>
          <w:strike/>
        </w:rPr>
        <w:t>natural hazard risk</w:t>
      </w:r>
      <w:r w:rsidRPr="00472578">
        <w:t>.</w:t>
      </w:r>
      <w:r w:rsidRPr="00472578">
        <w:rPr>
          <w:rStyle w:val="FootnoteReference"/>
        </w:rPr>
        <w:footnoteReference w:id="1530"/>
      </w:r>
    </w:p>
    <w:p w14:paraId="6DFB48CA" w14:textId="77777777" w:rsidR="00E550F0" w:rsidRPr="00472578" w:rsidRDefault="00E550F0" w:rsidP="00E92686">
      <w:pPr>
        <w:pStyle w:val="BodyText"/>
      </w:pPr>
    </w:p>
    <w:p w14:paraId="5C24577B" w14:textId="77777777" w:rsidR="00E550F0" w:rsidRPr="00472578" w:rsidRDefault="00E550F0" w:rsidP="00E92686">
      <w:pPr>
        <w:spacing w:before="1"/>
        <w:jc w:val="both"/>
        <w:rPr>
          <w:b/>
        </w:rPr>
      </w:pPr>
      <w:r w:rsidRPr="00472578">
        <w:rPr>
          <w:b/>
        </w:rPr>
        <w:t xml:space="preserve">Step 4 – Undertake a quantitative </w:t>
      </w:r>
      <w:r w:rsidRPr="00472578">
        <w:rPr>
          <w:b/>
          <w:i/>
        </w:rPr>
        <w:t xml:space="preserve">risk </w:t>
      </w:r>
      <w:r w:rsidRPr="00472578">
        <w:rPr>
          <w:b/>
        </w:rPr>
        <w:t>assessment</w:t>
      </w:r>
    </w:p>
    <w:p w14:paraId="793CEB50" w14:textId="77777777" w:rsidR="00E550F0" w:rsidRPr="00472578" w:rsidRDefault="00E550F0" w:rsidP="00E92686">
      <w:pPr>
        <w:pStyle w:val="BodyText"/>
      </w:pPr>
      <w:r w:rsidRPr="00472578">
        <w:t xml:space="preserve">While Steps 1-3 will qualitatively categorise </w:t>
      </w:r>
      <w:r w:rsidRPr="00472578">
        <w:rPr>
          <w:i/>
        </w:rPr>
        <w:t xml:space="preserve">natural hazard risk </w:t>
      </w:r>
      <w:r w:rsidRPr="00472578">
        <w:t xml:space="preserve">based on a community’s understanding and acceptance level of </w:t>
      </w:r>
      <w:r w:rsidRPr="00472578">
        <w:rPr>
          <w:i/>
        </w:rPr>
        <w:t>risk</w:t>
      </w:r>
      <w:r w:rsidRPr="00472578">
        <w:t xml:space="preserve">, it will not provide quantitative understanding of the </w:t>
      </w:r>
      <w:r w:rsidRPr="00472578">
        <w:rPr>
          <w:i/>
        </w:rPr>
        <w:t xml:space="preserve">risk </w:t>
      </w:r>
      <w:r w:rsidRPr="00472578">
        <w:t xml:space="preserve">a </w:t>
      </w:r>
      <w:r w:rsidRPr="00472578">
        <w:rPr>
          <w:i/>
        </w:rPr>
        <w:t xml:space="preserve">natural hazard </w:t>
      </w:r>
      <w:r w:rsidRPr="00472578">
        <w:t>presents to the built environment, or health and safety.</w:t>
      </w:r>
    </w:p>
    <w:p w14:paraId="311C4FE7" w14:textId="11AE2314" w:rsidR="00E550F0" w:rsidRPr="00472578" w:rsidRDefault="00E550F0" w:rsidP="00E92686">
      <w:pPr>
        <w:pStyle w:val="BodyText"/>
      </w:pPr>
      <w:r w:rsidRPr="00472578">
        <w:t xml:space="preserve">If the assessment undertaken in Steps 1-3 determines that one of the three </w:t>
      </w:r>
      <w:r w:rsidRPr="00472578">
        <w:rPr>
          <w:i/>
        </w:rPr>
        <w:t xml:space="preserve">natural hazard </w:t>
      </w:r>
      <w:r w:rsidRPr="00472578">
        <w:t xml:space="preserve">scenarios generate </w:t>
      </w:r>
      <w:r w:rsidRPr="00472578">
        <w:rPr>
          <w:i/>
        </w:rPr>
        <w:t xml:space="preserve">risk </w:t>
      </w:r>
      <w:r w:rsidRPr="00472578">
        <w:t xml:space="preserve">that is significant, undertake a quantitative </w:t>
      </w:r>
      <w:r w:rsidRPr="00472578">
        <w:rPr>
          <w:i/>
        </w:rPr>
        <w:t xml:space="preserve">risk </w:t>
      </w:r>
      <w:r w:rsidRPr="00472578">
        <w:t>assessment utilising the following methodolog</w:t>
      </w:r>
      <w:r w:rsidR="00194C77" w:rsidRPr="00472578">
        <w:t>y:</w:t>
      </w:r>
      <w:r w:rsidR="00194C77" w:rsidRPr="00472578">
        <w:rPr>
          <w:rStyle w:val="FootnoteReference"/>
          <w:highlight w:val="lightGray"/>
          <w:u w:val="single"/>
        </w:rPr>
        <w:footnoteReference w:id="1531"/>
      </w:r>
    </w:p>
    <w:p w14:paraId="263223DE" w14:textId="4991E252" w:rsidR="00E550F0" w:rsidRPr="00472578" w:rsidRDefault="00A320AF" w:rsidP="00E92686">
      <w:pPr>
        <w:widowControl w:val="0"/>
        <w:tabs>
          <w:tab w:val="left" w:pos="867"/>
        </w:tabs>
        <w:autoSpaceDE w:val="0"/>
        <w:autoSpaceDN w:val="0"/>
        <w:spacing w:before="57" w:line="256" w:lineRule="auto"/>
        <w:ind w:left="567" w:right="-46" w:hanging="567"/>
        <w:jc w:val="both"/>
      </w:pPr>
      <w:r w:rsidRPr="00472578">
        <w:t>(1)</w:t>
      </w:r>
      <w:r w:rsidRPr="00472578">
        <w:tab/>
      </w:r>
      <w:r w:rsidR="00E550F0" w:rsidRPr="00472578">
        <w:t xml:space="preserve">Based on the likelihood of a </w:t>
      </w:r>
      <w:r w:rsidR="00E550F0" w:rsidRPr="00472578">
        <w:rPr>
          <w:i/>
        </w:rPr>
        <w:t xml:space="preserve">natural hazard </w:t>
      </w:r>
      <w:r w:rsidR="00E550F0" w:rsidRPr="00472578">
        <w:t xml:space="preserve">event within the hazard zone (see Step 1), and including the potential impacts of </w:t>
      </w:r>
      <w:r w:rsidR="00E550F0" w:rsidRPr="00472578">
        <w:rPr>
          <w:i/>
        </w:rPr>
        <w:t xml:space="preserve">climate change </w:t>
      </w:r>
      <w:r w:rsidR="00E550F0" w:rsidRPr="00472578">
        <w:t xml:space="preserve">and sea level rise, select a representative range of at least </w:t>
      </w:r>
      <w:r w:rsidR="00E550F0" w:rsidRPr="00472578">
        <w:rPr>
          <w:strike/>
        </w:rPr>
        <w:t>five</w:t>
      </w:r>
      <w:r w:rsidR="00E550F0" w:rsidRPr="00472578">
        <w:t xml:space="preserve"> </w:t>
      </w:r>
      <w:r w:rsidR="00E550F0" w:rsidRPr="00472578">
        <w:rPr>
          <w:u w:val="single"/>
        </w:rPr>
        <w:t>three</w:t>
      </w:r>
      <w:r w:rsidR="00E550F0" w:rsidRPr="00472578">
        <w:rPr>
          <w:rStyle w:val="FootnoteReference"/>
        </w:rPr>
        <w:footnoteReference w:id="1532"/>
      </w:r>
      <w:r w:rsidR="00E550F0" w:rsidRPr="00472578">
        <w:t xml:space="preserve"> hazard scenarios with varying likelihoods to model,</w:t>
      </w:r>
      <w:r w:rsidR="00462D47" w:rsidRPr="00472578">
        <w:rPr>
          <w:rStyle w:val="FootnoteReference"/>
          <w:highlight w:val="lightGray"/>
        </w:rPr>
        <w:footnoteReference w:id="1533"/>
      </w:r>
      <w:r w:rsidR="00E550F0" w:rsidRPr="00472578">
        <w:t xml:space="preserve"> including the maximum credible event.</w:t>
      </w:r>
    </w:p>
    <w:p w14:paraId="6C96B20B" w14:textId="07A47D7F" w:rsidR="00E550F0" w:rsidRPr="00472578" w:rsidRDefault="00A320AF" w:rsidP="00E92686">
      <w:pPr>
        <w:widowControl w:val="0"/>
        <w:tabs>
          <w:tab w:val="left" w:pos="867"/>
        </w:tabs>
        <w:autoSpaceDE w:val="0"/>
        <w:autoSpaceDN w:val="0"/>
        <w:spacing w:before="162" w:line="254" w:lineRule="auto"/>
        <w:ind w:left="567" w:right="302" w:hanging="567"/>
        <w:jc w:val="both"/>
      </w:pPr>
      <w:r w:rsidRPr="00472578">
        <w:t>(2)</w:t>
      </w:r>
      <w:r w:rsidRPr="00472578">
        <w:tab/>
      </w:r>
      <w:r w:rsidR="00E550F0" w:rsidRPr="00472578">
        <w:t>Model the Annual Individual Fatality Risk (AIFR)</w:t>
      </w:r>
      <w:r w:rsidR="005E7D3C" w:rsidRPr="00472578">
        <w:rPr>
          <w:rStyle w:val="FootnoteReference"/>
          <w:highlight w:val="lightGray"/>
        </w:rPr>
        <w:footnoteReference w:id="1534"/>
      </w:r>
      <w:r w:rsidR="00E550F0" w:rsidRPr="00472578">
        <w:rPr>
          <w:vertAlign w:val="superscript"/>
        </w:rPr>
        <w:t xml:space="preserve"> </w:t>
      </w:r>
      <w:r w:rsidR="00E550F0" w:rsidRPr="00472578">
        <w:t>and Annual Property Risk (APR)</w:t>
      </w:r>
      <w:r w:rsidR="00895AE3" w:rsidRPr="00472578">
        <w:rPr>
          <w:rStyle w:val="FootnoteReference"/>
          <w:highlight w:val="lightGray"/>
        </w:rPr>
        <w:footnoteReference w:id="1535"/>
      </w:r>
      <w:r w:rsidR="00E550F0" w:rsidRPr="00472578">
        <w:rPr>
          <w:vertAlign w:val="superscript"/>
        </w:rPr>
        <w:t xml:space="preserve"> </w:t>
      </w:r>
      <w:r w:rsidR="00E550F0" w:rsidRPr="00472578">
        <w:t xml:space="preserve">for the </w:t>
      </w:r>
      <w:r w:rsidR="00E550F0" w:rsidRPr="00472578">
        <w:lastRenderedPageBreak/>
        <w:t>range of hazard scenarios across the hazard zone, and create loss exceedance distributions.</w:t>
      </w:r>
    </w:p>
    <w:p w14:paraId="6C394B40" w14:textId="27DB725F" w:rsidR="00E550F0" w:rsidRPr="00472578" w:rsidRDefault="00A320AF" w:rsidP="00E92686">
      <w:pPr>
        <w:widowControl w:val="0"/>
        <w:tabs>
          <w:tab w:val="left" w:pos="867"/>
        </w:tabs>
        <w:autoSpaceDE w:val="0"/>
        <w:autoSpaceDN w:val="0"/>
        <w:spacing w:before="165"/>
        <w:ind w:left="567" w:hanging="567"/>
        <w:jc w:val="both"/>
      </w:pPr>
      <w:r w:rsidRPr="00472578">
        <w:t>(3)</w:t>
      </w:r>
      <w:r w:rsidRPr="00472578">
        <w:tab/>
      </w:r>
      <w:r w:rsidR="00E550F0" w:rsidRPr="00472578">
        <w:t>Analyse loss exceedance distributions and determine losses.</w:t>
      </w:r>
    </w:p>
    <w:p w14:paraId="6D08CECF" w14:textId="5AECC7A4" w:rsidR="00E550F0" w:rsidRPr="00472578" w:rsidRDefault="00A320AF" w:rsidP="00E92686">
      <w:pPr>
        <w:widowControl w:val="0"/>
        <w:tabs>
          <w:tab w:val="left" w:pos="867"/>
        </w:tabs>
        <w:autoSpaceDE w:val="0"/>
        <w:autoSpaceDN w:val="0"/>
        <w:spacing w:before="180"/>
        <w:ind w:left="567" w:hanging="567"/>
        <w:jc w:val="both"/>
      </w:pPr>
      <w:r w:rsidRPr="00472578">
        <w:t>(4)</w:t>
      </w:r>
      <w:r w:rsidRPr="00472578">
        <w:tab/>
      </w:r>
      <w:r w:rsidR="00E550F0" w:rsidRPr="00472578">
        <w:rPr>
          <w:u w:val="single"/>
        </w:rPr>
        <w:t>Assign the risk level</w:t>
      </w:r>
      <w:r w:rsidR="00E550F0" w:rsidRPr="00472578">
        <w:t xml:space="preserve"> </w:t>
      </w:r>
      <w:bookmarkStart w:id="387" w:name="_Hlk96078523"/>
      <w:r w:rsidR="00E550F0" w:rsidRPr="00472578">
        <w:rPr>
          <w:strike/>
        </w:rPr>
        <w:t>Implementing a first-past-the-post principle for the AIFR and APR</w:t>
      </w:r>
      <w:bookmarkEnd w:id="387"/>
      <w:r w:rsidR="00E550F0" w:rsidRPr="00472578">
        <w:t>:</w:t>
      </w:r>
      <w:r w:rsidR="00E550F0" w:rsidRPr="00472578">
        <w:rPr>
          <w:rStyle w:val="FootnoteReference"/>
        </w:rPr>
        <w:footnoteReference w:id="1536"/>
      </w:r>
    </w:p>
    <w:p w14:paraId="05F2BF15" w14:textId="31275A73" w:rsidR="00E550F0" w:rsidRPr="00472578" w:rsidRDefault="00895AE3" w:rsidP="00E92686">
      <w:pPr>
        <w:widowControl w:val="0"/>
        <w:tabs>
          <w:tab w:val="left" w:pos="1433"/>
        </w:tabs>
        <w:autoSpaceDE w:val="0"/>
        <w:autoSpaceDN w:val="0"/>
        <w:spacing w:before="183"/>
        <w:ind w:left="1134" w:hanging="567"/>
        <w:jc w:val="both"/>
      </w:pPr>
      <w:r w:rsidRPr="00472578">
        <w:t>(a)</w:t>
      </w:r>
      <w:r w:rsidRPr="00472578">
        <w:tab/>
      </w:r>
      <w:r w:rsidR="00E550F0" w:rsidRPr="00472578">
        <w:t>for areas of new development where the</w:t>
      </w:r>
      <w:r w:rsidR="00E550F0" w:rsidRPr="00472578">
        <w:rPr>
          <w:strike/>
        </w:rPr>
        <w:t xml:space="preserve"> greatest</w:t>
      </w:r>
      <w:r w:rsidR="00E550F0" w:rsidRPr="00472578">
        <w:rPr>
          <w:rStyle w:val="FootnoteReference"/>
        </w:rPr>
        <w:footnoteReference w:id="1537"/>
      </w:r>
      <w:r w:rsidR="00E550F0" w:rsidRPr="00472578">
        <w:t xml:space="preserve"> AIFR or APR is:</w:t>
      </w:r>
    </w:p>
    <w:p w14:paraId="4C99410D" w14:textId="1F5FF043" w:rsidR="00E550F0" w:rsidRPr="00472578" w:rsidRDefault="00895AE3" w:rsidP="00E92686">
      <w:pPr>
        <w:widowControl w:val="0"/>
        <w:tabs>
          <w:tab w:val="left" w:pos="2002"/>
        </w:tabs>
        <w:autoSpaceDE w:val="0"/>
        <w:autoSpaceDN w:val="0"/>
        <w:spacing w:before="175"/>
        <w:ind w:left="1701" w:hanging="567"/>
        <w:jc w:val="both"/>
      </w:pPr>
      <w:r w:rsidRPr="00472578">
        <w:t>(i)</w:t>
      </w:r>
      <w:r w:rsidRPr="00472578">
        <w:tab/>
      </w:r>
      <w:r w:rsidR="00E550F0" w:rsidRPr="00472578">
        <w:t>less than 1 x 10</w:t>
      </w:r>
      <w:r w:rsidR="00E550F0" w:rsidRPr="00472578">
        <w:rPr>
          <w:vertAlign w:val="superscript"/>
        </w:rPr>
        <w:t>-6</w:t>
      </w:r>
      <w:r w:rsidR="00E550F0" w:rsidRPr="00472578">
        <w:t xml:space="preserve"> per year, the </w:t>
      </w:r>
      <w:r w:rsidR="00E550F0" w:rsidRPr="00472578">
        <w:rPr>
          <w:i/>
        </w:rPr>
        <w:t xml:space="preserve">risk </w:t>
      </w:r>
      <w:r w:rsidR="00E550F0" w:rsidRPr="00472578">
        <w:t>is re-categorised as acceptable,</w:t>
      </w:r>
    </w:p>
    <w:p w14:paraId="2E6160F2" w14:textId="32489F03" w:rsidR="00E550F0" w:rsidRPr="00472578" w:rsidRDefault="00895AE3" w:rsidP="00E92686">
      <w:pPr>
        <w:widowControl w:val="0"/>
        <w:tabs>
          <w:tab w:val="left" w:pos="2002"/>
        </w:tabs>
        <w:autoSpaceDE w:val="0"/>
        <w:autoSpaceDN w:val="0"/>
        <w:spacing w:before="176"/>
        <w:ind w:left="1701" w:hanging="567"/>
        <w:jc w:val="both"/>
      </w:pPr>
      <w:r w:rsidRPr="00472578">
        <w:t>(ii)</w:t>
      </w:r>
      <w:r w:rsidRPr="00472578">
        <w:tab/>
      </w:r>
      <w:r w:rsidR="00E550F0" w:rsidRPr="00472578">
        <w:t>between 1 x 10</w:t>
      </w:r>
      <w:r w:rsidR="00E550F0" w:rsidRPr="00472578">
        <w:rPr>
          <w:vertAlign w:val="superscript"/>
        </w:rPr>
        <w:t>-6</w:t>
      </w:r>
      <w:r w:rsidR="00E550F0" w:rsidRPr="00472578">
        <w:t xml:space="preserve"> and 1 x 10</w:t>
      </w:r>
      <w:r w:rsidR="00E550F0" w:rsidRPr="00472578">
        <w:rPr>
          <w:vertAlign w:val="superscript"/>
        </w:rPr>
        <w:t>-5</w:t>
      </w:r>
      <w:r w:rsidR="00E550F0" w:rsidRPr="00472578">
        <w:t xml:space="preserve"> per year, the </w:t>
      </w:r>
      <w:r w:rsidR="00E550F0" w:rsidRPr="00472578">
        <w:rPr>
          <w:i/>
        </w:rPr>
        <w:t xml:space="preserve">risk </w:t>
      </w:r>
      <w:r w:rsidR="00E550F0" w:rsidRPr="00472578">
        <w:t>is re-categorised as tolerable, or</w:t>
      </w:r>
    </w:p>
    <w:p w14:paraId="68D0F9DB" w14:textId="17201FCE" w:rsidR="00E550F0" w:rsidRPr="00472578" w:rsidRDefault="00895AE3" w:rsidP="00E92686">
      <w:pPr>
        <w:widowControl w:val="0"/>
        <w:tabs>
          <w:tab w:val="left" w:pos="2002"/>
        </w:tabs>
        <w:autoSpaceDE w:val="0"/>
        <w:autoSpaceDN w:val="0"/>
        <w:spacing w:before="175"/>
        <w:ind w:left="1701" w:hanging="567"/>
        <w:jc w:val="both"/>
      </w:pPr>
      <w:r w:rsidRPr="00472578">
        <w:t>(iii)</w:t>
      </w:r>
      <w:r w:rsidRPr="00472578">
        <w:tab/>
      </w:r>
      <w:r w:rsidR="00E550F0" w:rsidRPr="00472578">
        <w:t>greater than 1 x 10</w:t>
      </w:r>
      <w:r w:rsidR="00E550F0" w:rsidRPr="00472578">
        <w:rPr>
          <w:vertAlign w:val="superscript"/>
        </w:rPr>
        <w:t>-5</w:t>
      </w:r>
      <w:r w:rsidR="00E550F0" w:rsidRPr="00472578">
        <w:t xml:space="preserve"> per year, the </w:t>
      </w:r>
      <w:r w:rsidR="00E550F0" w:rsidRPr="00472578">
        <w:rPr>
          <w:i/>
        </w:rPr>
        <w:t xml:space="preserve">risk </w:t>
      </w:r>
      <w:r w:rsidR="00E550F0" w:rsidRPr="00472578">
        <w:t>is re-categorised as significant.</w:t>
      </w:r>
    </w:p>
    <w:p w14:paraId="340E2D83" w14:textId="58939B28" w:rsidR="00E550F0" w:rsidRPr="00472578" w:rsidRDefault="00895AE3" w:rsidP="00E92686">
      <w:pPr>
        <w:widowControl w:val="0"/>
        <w:tabs>
          <w:tab w:val="left" w:pos="1433"/>
        </w:tabs>
        <w:autoSpaceDE w:val="0"/>
        <w:autoSpaceDN w:val="0"/>
        <w:spacing w:before="176"/>
        <w:ind w:left="1134" w:hanging="567"/>
        <w:jc w:val="both"/>
      </w:pPr>
      <w:r w:rsidRPr="00472578">
        <w:t>(b)</w:t>
      </w:r>
      <w:r w:rsidRPr="00472578">
        <w:tab/>
      </w:r>
      <w:r w:rsidR="00E550F0" w:rsidRPr="00472578">
        <w:t xml:space="preserve">for areas with existing development, where the </w:t>
      </w:r>
      <w:bookmarkStart w:id="388" w:name="_Hlk96078580"/>
      <w:r w:rsidR="00E550F0" w:rsidRPr="00472578">
        <w:rPr>
          <w:strike/>
        </w:rPr>
        <w:t>greatest</w:t>
      </w:r>
      <w:r w:rsidR="00E550F0" w:rsidRPr="00472578">
        <w:rPr>
          <w:rStyle w:val="FootnoteReference"/>
        </w:rPr>
        <w:footnoteReference w:id="1538"/>
      </w:r>
      <w:r w:rsidR="00E550F0" w:rsidRPr="00472578">
        <w:t xml:space="preserve"> </w:t>
      </w:r>
      <w:bookmarkEnd w:id="388"/>
      <w:r w:rsidR="00E550F0" w:rsidRPr="00472578">
        <w:t>AIFR or APR is:</w:t>
      </w:r>
    </w:p>
    <w:p w14:paraId="1EF4C419" w14:textId="2B5B571F" w:rsidR="00E550F0" w:rsidRPr="00472578" w:rsidRDefault="00895AE3" w:rsidP="00E92686">
      <w:pPr>
        <w:widowControl w:val="0"/>
        <w:tabs>
          <w:tab w:val="left" w:pos="2002"/>
        </w:tabs>
        <w:autoSpaceDE w:val="0"/>
        <w:autoSpaceDN w:val="0"/>
        <w:spacing w:before="176"/>
        <w:ind w:left="1701" w:hanging="567"/>
        <w:jc w:val="both"/>
      </w:pPr>
      <w:r w:rsidRPr="00472578">
        <w:t>(i)</w:t>
      </w:r>
      <w:r w:rsidRPr="00472578">
        <w:tab/>
      </w:r>
      <w:r w:rsidR="00E550F0" w:rsidRPr="00472578">
        <w:t>less than 1 x 10</w:t>
      </w:r>
      <w:r w:rsidR="00E550F0" w:rsidRPr="00472578">
        <w:rPr>
          <w:vertAlign w:val="superscript"/>
        </w:rPr>
        <w:t>-5</w:t>
      </w:r>
      <w:r w:rsidR="00E550F0" w:rsidRPr="00472578">
        <w:t xml:space="preserve"> per year, the </w:t>
      </w:r>
      <w:r w:rsidR="00E550F0" w:rsidRPr="00472578">
        <w:rPr>
          <w:i/>
        </w:rPr>
        <w:t xml:space="preserve">risk </w:t>
      </w:r>
      <w:r w:rsidR="00E550F0" w:rsidRPr="00472578">
        <w:t>is re-categorised as acceptable;</w:t>
      </w:r>
    </w:p>
    <w:p w14:paraId="2F13ADD4" w14:textId="421957FC" w:rsidR="00E550F0" w:rsidRPr="00472578" w:rsidRDefault="00895AE3" w:rsidP="00E92686">
      <w:pPr>
        <w:widowControl w:val="0"/>
        <w:tabs>
          <w:tab w:val="left" w:pos="2002"/>
        </w:tabs>
        <w:autoSpaceDE w:val="0"/>
        <w:autoSpaceDN w:val="0"/>
        <w:spacing w:before="175"/>
        <w:ind w:left="1701" w:hanging="567"/>
        <w:jc w:val="both"/>
      </w:pPr>
      <w:r w:rsidRPr="00472578">
        <w:t>(ii)</w:t>
      </w:r>
      <w:r w:rsidRPr="00472578">
        <w:tab/>
      </w:r>
      <w:r w:rsidR="00E550F0" w:rsidRPr="00472578">
        <w:t>between 1 x 10</w:t>
      </w:r>
      <w:r w:rsidR="00E550F0" w:rsidRPr="00472578">
        <w:rPr>
          <w:vertAlign w:val="superscript"/>
        </w:rPr>
        <w:t>-5</w:t>
      </w:r>
      <w:r w:rsidR="00E550F0" w:rsidRPr="00472578">
        <w:t xml:space="preserve"> and 1 x 10</w:t>
      </w:r>
      <w:r w:rsidR="00E550F0" w:rsidRPr="00472578">
        <w:rPr>
          <w:vertAlign w:val="superscript"/>
        </w:rPr>
        <w:t>-4</w:t>
      </w:r>
      <w:r w:rsidR="00E550F0" w:rsidRPr="00472578">
        <w:t xml:space="preserve"> per year, the </w:t>
      </w:r>
      <w:r w:rsidR="00E550F0" w:rsidRPr="00472578">
        <w:rPr>
          <w:i/>
        </w:rPr>
        <w:t xml:space="preserve">risk </w:t>
      </w:r>
      <w:r w:rsidR="00E550F0" w:rsidRPr="00472578">
        <w:t>is re-categorised as tolerable; or</w:t>
      </w:r>
    </w:p>
    <w:p w14:paraId="21006114" w14:textId="23F847E8" w:rsidR="00E550F0" w:rsidRPr="00472578" w:rsidRDefault="00895AE3" w:rsidP="00E92686">
      <w:pPr>
        <w:widowControl w:val="0"/>
        <w:tabs>
          <w:tab w:val="left" w:pos="2002"/>
        </w:tabs>
        <w:autoSpaceDE w:val="0"/>
        <w:autoSpaceDN w:val="0"/>
        <w:spacing w:before="175"/>
        <w:ind w:left="1701" w:hanging="567"/>
        <w:jc w:val="both"/>
      </w:pPr>
      <w:r w:rsidRPr="00472578">
        <w:t>(iii)</w:t>
      </w:r>
      <w:r w:rsidRPr="00472578">
        <w:tab/>
      </w:r>
      <w:r w:rsidR="00E550F0" w:rsidRPr="00472578">
        <w:t>greater than 1 x 10</w:t>
      </w:r>
      <w:r w:rsidR="00E550F0" w:rsidRPr="00472578">
        <w:rPr>
          <w:vertAlign w:val="superscript"/>
        </w:rPr>
        <w:t>-4</w:t>
      </w:r>
      <w:r w:rsidR="00E550F0" w:rsidRPr="00472578">
        <w:t xml:space="preserve"> per year, the </w:t>
      </w:r>
      <w:r w:rsidR="00E550F0" w:rsidRPr="00472578">
        <w:rPr>
          <w:i/>
        </w:rPr>
        <w:t xml:space="preserve">risk </w:t>
      </w:r>
      <w:r w:rsidR="00E550F0" w:rsidRPr="00472578">
        <w:t>is re-categorised as significant.</w:t>
      </w:r>
    </w:p>
    <w:p w14:paraId="2699058C" w14:textId="25E57943" w:rsidR="00E550F0" w:rsidRPr="00472578" w:rsidRDefault="00895AE3" w:rsidP="00E92686">
      <w:pPr>
        <w:widowControl w:val="0"/>
        <w:tabs>
          <w:tab w:val="left" w:pos="867"/>
        </w:tabs>
        <w:autoSpaceDE w:val="0"/>
        <w:autoSpaceDN w:val="0"/>
        <w:spacing w:before="176"/>
        <w:ind w:left="567" w:hanging="567"/>
        <w:jc w:val="both"/>
        <w:rPr>
          <w:strike/>
        </w:rPr>
      </w:pPr>
      <w:r w:rsidRPr="00472578">
        <w:rPr>
          <w:strike/>
        </w:rPr>
        <w:t>(5)</w:t>
      </w:r>
      <w:r w:rsidRPr="00472578">
        <w:rPr>
          <w:strike/>
        </w:rPr>
        <w:tab/>
      </w:r>
      <w:r w:rsidR="00E550F0" w:rsidRPr="00472578">
        <w:rPr>
          <w:strike/>
        </w:rPr>
        <w:t xml:space="preserve">Following the quantitative </w:t>
      </w:r>
      <w:r w:rsidR="00E550F0" w:rsidRPr="00472578">
        <w:rPr>
          <w:i/>
          <w:strike/>
        </w:rPr>
        <w:t xml:space="preserve">risk </w:t>
      </w:r>
      <w:r w:rsidR="00E550F0" w:rsidRPr="00472578">
        <w:rPr>
          <w:strike/>
        </w:rPr>
        <w:t xml:space="preserve">assessment, a </w:t>
      </w:r>
      <w:r w:rsidR="00E550F0" w:rsidRPr="00472578">
        <w:rPr>
          <w:i/>
          <w:strike/>
        </w:rPr>
        <w:t xml:space="preserve">risk </w:t>
      </w:r>
      <w:r w:rsidR="00E550F0" w:rsidRPr="00472578">
        <w:rPr>
          <w:strike/>
        </w:rPr>
        <w:t>level is assigned to the hazard area.</w:t>
      </w:r>
      <w:r w:rsidR="00E550F0" w:rsidRPr="00472578">
        <w:rPr>
          <w:rStyle w:val="FootnoteReference"/>
        </w:rPr>
        <w:footnoteReference w:id="1539"/>
      </w:r>
    </w:p>
    <w:p w14:paraId="5776980F" w14:textId="77777777" w:rsidR="00E550F0" w:rsidRPr="00472578" w:rsidRDefault="00E550F0" w:rsidP="00E92686">
      <w:pPr>
        <w:pStyle w:val="BodyText"/>
      </w:pPr>
      <w:r w:rsidRPr="00472578">
        <w:t xml:space="preserve">AIFR and APR are the selected </w:t>
      </w:r>
      <w:r w:rsidRPr="00472578">
        <w:rPr>
          <w:i/>
        </w:rPr>
        <w:t xml:space="preserve">risk </w:t>
      </w:r>
      <w:r w:rsidRPr="00472578">
        <w:t xml:space="preserve">metrics as they represent the likely consequences of a wide range of </w:t>
      </w:r>
      <w:r w:rsidRPr="00472578">
        <w:rPr>
          <w:i/>
        </w:rPr>
        <w:t>natural hazards</w:t>
      </w:r>
      <w:r w:rsidRPr="00472578">
        <w:t xml:space="preserve">. For example, some </w:t>
      </w:r>
      <w:r w:rsidRPr="00472578">
        <w:rPr>
          <w:i/>
        </w:rPr>
        <w:t>natural hazards</w:t>
      </w:r>
      <w:r w:rsidRPr="00472578">
        <w:t xml:space="preserve">, generally, do not have the capacity to cause fatalities, but may result in widespread damage to property, while other </w:t>
      </w:r>
      <w:r w:rsidRPr="00472578">
        <w:rPr>
          <w:i/>
        </w:rPr>
        <w:t xml:space="preserve">natural hazards </w:t>
      </w:r>
      <w:r w:rsidRPr="00472578">
        <w:t xml:space="preserve">have a high capacity to cause fatalities. A first-past-the-post principle to the re-categorisation of </w:t>
      </w:r>
      <w:r w:rsidRPr="00472578">
        <w:rPr>
          <w:i/>
        </w:rPr>
        <w:t xml:space="preserve">risk </w:t>
      </w:r>
      <w:r w:rsidRPr="00472578">
        <w:t xml:space="preserve">is applied to ensure that decisions are based on the greatest </w:t>
      </w:r>
      <w:r w:rsidRPr="00472578">
        <w:rPr>
          <w:i/>
        </w:rPr>
        <w:t xml:space="preserve">risk </w:t>
      </w:r>
      <w:r w:rsidRPr="00472578">
        <w:t>present between the two metrics.</w:t>
      </w:r>
    </w:p>
    <w:p w14:paraId="7BB46D3C" w14:textId="77777777" w:rsidR="00E550F0" w:rsidRPr="00472578" w:rsidRDefault="00E550F0" w:rsidP="00E92686">
      <w:pPr>
        <w:pStyle w:val="BodyText"/>
      </w:pPr>
      <w:r w:rsidRPr="00472578">
        <w:t xml:space="preserve">If the level of knowledge or uncertainty regarding the likelihood or consequences of a </w:t>
      </w:r>
      <w:r w:rsidRPr="00472578">
        <w:rPr>
          <w:i/>
        </w:rPr>
        <w:t xml:space="preserve">natural hazard </w:t>
      </w:r>
      <w:r w:rsidRPr="00472578">
        <w:t xml:space="preserve">event precludes the use of Step 4, then a precautionary approach to assessing and managing the </w:t>
      </w:r>
      <w:r w:rsidRPr="00472578">
        <w:rPr>
          <w:i/>
        </w:rPr>
        <w:t xml:space="preserve">risk </w:t>
      </w:r>
      <w:r w:rsidRPr="00472578">
        <w:t>should be applied, as set out in HAZ-NH-P5.</w:t>
      </w:r>
    </w:p>
    <w:p w14:paraId="37184C7C" w14:textId="76EA34DC" w:rsidR="009A45CE" w:rsidRPr="00472578" w:rsidRDefault="009A45CE" w:rsidP="00E92686">
      <w:pPr>
        <w:jc w:val="both"/>
        <w:rPr>
          <w:rFonts w:eastAsiaTheme="majorEastAsia" w:cstheme="majorBidi"/>
          <w:b/>
          <w:color w:val="1F3864" w:themeColor="accent1" w:themeShade="80"/>
          <w:sz w:val="28"/>
          <w:szCs w:val="24"/>
          <w:lang w:val="en-US"/>
        </w:rPr>
      </w:pPr>
      <w:r w:rsidRPr="00472578">
        <w:rPr>
          <w:lang w:val="en-US"/>
        </w:rPr>
        <w:br w:type="page"/>
      </w:r>
    </w:p>
    <w:p w14:paraId="3B35AF66" w14:textId="06564817" w:rsidR="009A45CE" w:rsidRPr="00472578" w:rsidRDefault="009A45CE" w:rsidP="00E92686">
      <w:pPr>
        <w:pStyle w:val="Heading3"/>
        <w:jc w:val="both"/>
        <w:rPr>
          <w:b w:val="0"/>
          <w:lang w:val="en-US"/>
        </w:rPr>
      </w:pPr>
      <w:r w:rsidRPr="00472578">
        <w:rPr>
          <w:lang w:val="en-US"/>
        </w:rPr>
        <w:lastRenderedPageBreak/>
        <w:t xml:space="preserve">APP7 – Identifying </w:t>
      </w:r>
      <w:r w:rsidRPr="00472578">
        <w:rPr>
          <w:i/>
          <w:iCs/>
          <w:lang w:val="en-US"/>
        </w:rPr>
        <w:t>wāhi t</w:t>
      </w:r>
      <w:r w:rsidRPr="00472578">
        <w:rPr>
          <w:rFonts w:cstheme="minorHAnsi"/>
          <w:i/>
          <w:iCs/>
          <w:lang w:val="en-US"/>
        </w:rPr>
        <w:t>ū</w:t>
      </w:r>
      <w:r w:rsidRPr="00472578">
        <w:rPr>
          <w:i/>
          <w:iCs/>
          <w:lang w:val="en-US"/>
        </w:rPr>
        <w:t>puna</w:t>
      </w:r>
    </w:p>
    <w:p w14:paraId="1596AB68" w14:textId="66186DAD" w:rsidR="009A45CE" w:rsidRPr="00472578" w:rsidRDefault="009A45CE" w:rsidP="00E92686">
      <w:pPr>
        <w:jc w:val="both"/>
        <w:rPr>
          <w:sz w:val="16"/>
          <w:lang w:val="en-US"/>
        </w:rPr>
      </w:pPr>
      <w:r w:rsidRPr="00472578">
        <w:rPr>
          <w:lang w:val="en-US"/>
        </w:rPr>
        <w:t xml:space="preserve">This appendix is a guide to assist in identifying </w:t>
      </w:r>
      <w:r w:rsidRPr="00472578">
        <w:rPr>
          <w:i/>
          <w:iCs/>
          <w:lang w:val="en-US"/>
        </w:rPr>
        <w:t>wāhi tūpuna</w:t>
      </w:r>
      <w:r w:rsidRPr="00472578">
        <w:rPr>
          <w:lang w:val="en-US"/>
        </w:rPr>
        <w:t xml:space="preserve">. It is not a complete list of all </w:t>
      </w:r>
      <w:r w:rsidR="00EB6E23" w:rsidRPr="00472578">
        <w:rPr>
          <w:i/>
          <w:iCs/>
          <w:lang w:val="en-US"/>
        </w:rPr>
        <w:t>wāhi tūpuna</w:t>
      </w:r>
      <w:r w:rsidRPr="00472578">
        <w:rPr>
          <w:lang w:val="en-US"/>
        </w:rPr>
        <w:t xml:space="preserve"> in Otago.</w:t>
      </w:r>
    </w:p>
    <w:p w14:paraId="503A75F8" w14:textId="77777777" w:rsidR="009A45CE" w:rsidRPr="00472578" w:rsidRDefault="009A45CE" w:rsidP="00E92686">
      <w:pPr>
        <w:jc w:val="both"/>
        <w:rPr>
          <w:lang w:val="en-US"/>
        </w:rPr>
      </w:pPr>
      <w:r w:rsidRPr="00472578">
        <w:rPr>
          <w:lang w:val="en-US"/>
        </w:rPr>
        <w:t xml:space="preserve">Kāi Tahu use the term </w:t>
      </w:r>
      <w:r w:rsidRPr="00472578">
        <w:rPr>
          <w:i/>
          <w:iCs/>
          <w:lang w:val="en-US"/>
        </w:rPr>
        <w:t>'wāhi tūpuna'</w:t>
      </w:r>
      <w:r w:rsidRPr="00472578">
        <w:rPr>
          <w:lang w:val="en-US"/>
        </w:rPr>
        <w:t xml:space="preserve"> to describe landscapes </w:t>
      </w:r>
      <w:r w:rsidRPr="00472578">
        <w:rPr>
          <w:strike/>
          <w:lang w:val="en-US"/>
        </w:rPr>
        <w:t>that embody the customary and contemporary relationship of Kāi Tahu and their culture and traditions with Otago</w:t>
      </w:r>
      <w:r w:rsidRPr="00472578">
        <w:rPr>
          <w:lang w:val="en-US"/>
        </w:rPr>
        <w:t xml:space="preserve"> </w:t>
      </w:r>
      <w:r w:rsidRPr="00472578">
        <w:rPr>
          <w:u w:val="single"/>
          <w:lang w:val="en-US"/>
        </w:rPr>
        <w:t>and places that embody the relationship of manawhenua and their culture and traditions with their ancestral lands, water, sites. wāhi tapu and other taoka</w:t>
      </w:r>
      <w:r w:rsidRPr="00472578">
        <w:rPr>
          <w:lang w:val="en-US"/>
        </w:rPr>
        <w:t>.</w:t>
      </w:r>
      <w:r w:rsidRPr="00472578">
        <w:rPr>
          <w:rStyle w:val="FootnoteReference"/>
          <w:lang w:val="en-US"/>
        </w:rPr>
        <w:footnoteReference w:id="1540"/>
      </w:r>
      <w:r w:rsidRPr="00472578">
        <w:rPr>
          <w:lang w:val="en-US"/>
        </w:rPr>
        <w:t xml:space="preserve"> It is important to understand this concept in the context of the distinctive seasonal lifestyle that Kāi Tahu evolved in the south. The sites and resources used by Kāi Tahu are spread throughout Otago. These places did not function in isolation from one another but were part of a wider cultural setting and pattern of seasonal resource use. The different elements of these </w:t>
      </w:r>
      <w:r w:rsidRPr="00472578">
        <w:rPr>
          <w:strike/>
          <w:lang w:val="en-US"/>
        </w:rPr>
        <w:t>sites</w:t>
      </w:r>
      <w:r w:rsidRPr="00472578">
        <w:rPr>
          <w:lang w:val="en-US"/>
        </w:rPr>
        <w:t xml:space="preserve"> </w:t>
      </w:r>
      <w:r w:rsidRPr="00472578">
        <w:rPr>
          <w:u w:val="single"/>
          <w:lang w:val="en-US"/>
        </w:rPr>
        <w:t>areas</w:t>
      </w:r>
      <w:r w:rsidRPr="00472578">
        <w:rPr>
          <w:rStyle w:val="FootnoteReference"/>
        </w:rPr>
        <w:footnoteReference w:id="1541"/>
      </w:r>
      <w:r w:rsidRPr="00472578">
        <w:rPr>
          <w:lang w:val="en-US"/>
        </w:rPr>
        <w:t xml:space="preserve"> of significance include:</w:t>
      </w:r>
    </w:p>
    <w:p w14:paraId="6DCC85FB" w14:textId="5E7803B6" w:rsidR="009A45CE" w:rsidRPr="00472578" w:rsidRDefault="009A45CE" w:rsidP="00E92686">
      <w:pPr>
        <w:pStyle w:val="Caption"/>
        <w:jc w:val="both"/>
        <w:rPr>
          <w:lang w:val="en-US"/>
        </w:rPr>
      </w:pPr>
      <w:r w:rsidRPr="00472578">
        <w:t xml:space="preserve">Table </w:t>
      </w:r>
      <w:r w:rsidRPr="00472578">
        <w:fldChar w:fldCharType="begin"/>
      </w:r>
      <w:r w:rsidRPr="00472578">
        <w:instrText>SEQ Table \* ARABIC</w:instrText>
      </w:r>
      <w:r w:rsidRPr="00472578">
        <w:fldChar w:fldCharType="separate"/>
      </w:r>
      <w:r w:rsidR="004557BC">
        <w:rPr>
          <w:noProof/>
        </w:rPr>
        <w:t>9</w:t>
      </w:r>
      <w:r w:rsidRPr="00472578">
        <w:fldChar w:fldCharType="end"/>
      </w:r>
      <w:r w:rsidR="004557BC">
        <w:t xml:space="preserve"> – </w:t>
      </w:r>
      <w:r w:rsidRPr="00472578">
        <w:rPr>
          <w:strike/>
        </w:rPr>
        <w:t>Sites</w:t>
      </w:r>
      <w:r w:rsidRPr="00472578">
        <w:t xml:space="preserve"> </w:t>
      </w:r>
      <w:r w:rsidRPr="00472578">
        <w:rPr>
          <w:u w:val="single"/>
        </w:rPr>
        <w:t>Areas</w:t>
      </w:r>
      <w:r w:rsidRPr="00BD33F3">
        <w:rPr>
          <w:rStyle w:val="FootnoteReference"/>
          <w:i w:val="0"/>
          <w:color w:val="auto"/>
        </w:rPr>
        <w:footnoteReference w:id="1542"/>
      </w:r>
      <w:r w:rsidRPr="00472578">
        <w:t xml:space="preserve"> of significance to K</w:t>
      </w:r>
      <w:r w:rsidRPr="639E38F9">
        <w:t>ā</w:t>
      </w:r>
      <w:r w:rsidRPr="00472578">
        <w:t>i Tahu</w:t>
      </w:r>
    </w:p>
    <w:tbl>
      <w:tblPr>
        <w:tblStyle w:val="TableGrid"/>
        <w:tblW w:w="0" w:type="auto"/>
        <w:tblLook w:val="04A0" w:firstRow="1" w:lastRow="0" w:firstColumn="1" w:lastColumn="0" w:noHBand="0" w:noVBand="1"/>
      </w:tblPr>
      <w:tblGrid>
        <w:gridCol w:w="1838"/>
        <w:gridCol w:w="7178"/>
      </w:tblGrid>
      <w:tr w:rsidR="009A45CE" w:rsidRPr="00472578" w14:paraId="362FEF1C"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5A3CD4AF" w14:textId="77777777" w:rsidR="009A45CE" w:rsidRPr="00472578" w:rsidRDefault="009A45CE" w:rsidP="00E92686">
            <w:pPr>
              <w:spacing w:before="60" w:after="60"/>
              <w:jc w:val="both"/>
              <w:rPr>
                <w:rFonts w:cstheme="minorHAnsi"/>
                <w:b/>
                <w:sz w:val="20"/>
                <w:szCs w:val="20"/>
              </w:rPr>
            </w:pPr>
            <w:r w:rsidRPr="639E38F9">
              <w:rPr>
                <w:b/>
                <w:strike/>
                <w:sz w:val="20"/>
                <w:szCs w:val="20"/>
              </w:rPr>
              <w:t>Site</w:t>
            </w:r>
            <w:r w:rsidRPr="639E38F9">
              <w:rPr>
                <w:b/>
                <w:sz w:val="20"/>
                <w:szCs w:val="20"/>
              </w:rPr>
              <w:t xml:space="preserve"> </w:t>
            </w:r>
            <w:r w:rsidRPr="639E38F9">
              <w:rPr>
                <w:b/>
                <w:sz w:val="20"/>
                <w:szCs w:val="20"/>
                <w:u w:val="single"/>
              </w:rPr>
              <w:t>Area</w:t>
            </w:r>
            <w:r w:rsidRPr="00472578">
              <w:rPr>
                <w:rStyle w:val="FootnoteReference"/>
              </w:rPr>
              <w:footnoteReference w:id="1543"/>
            </w:r>
            <w:r w:rsidRPr="639E38F9">
              <w:rPr>
                <w:b/>
                <w:sz w:val="20"/>
                <w:szCs w:val="20"/>
              </w:rPr>
              <w:t xml:space="preserve"> of significance</w:t>
            </w:r>
          </w:p>
        </w:tc>
        <w:tc>
          <w:tcPr>
            <w:tcW w:w="7178" w:type="dxa"/>
            <w:tcBorders>
              <w:top w:val="single" w:sz="4" w:space="0" w:color="auto"/>
              <w:left w:val="single" w:sz="4" w:space="0" w:color="auto"/>
              <w:bottom w:val="single" w:sz="4" w:space="0" w:color="auto"/>
              <w:right w:val="single" w:sz="4" w:space="0" w:color="auto"/>
            </w:tcBorders>
            <w:hideMark/>
          </w:tcPr>
          <w:p w14:paraId="6AB829FE" w14:textId="77777777" w:rsidR="009A45CE" w:rsidRPr="00472578" w:rsidRDefault="009A45CE" w:rsidP="00E92686">
            <w:pPr>
              <w:spacing w:before="60" w:after="60"/>
              <w:jc w:val="both"/>
              <w:rPr>
                <w:rFonts w:cstheme="minorHAnsi"/>
                <w:b/>
                <w:sz w:val="20"/>
                <w:szCs w:val="20"/>
              </w:rPr>
            </w:pPr>
            <w:r w:rsidRPr="00472578">
              <w:rPr>
                <w:rFonts w:cstheme="minorHAnsi"/>
                <w:b/>
                <w:sz w:val="20"/>
                <w:szCs w:val="20"/>
              </w:rPr>
              <w:t>Explanation</w:t>
            </w:r>
          </w:p>
        </w:tc>
      </w:tr>
      <w:tr w:rsidR="009A45CE" w:rsidRPr="00472578" w14:paraId="501BB5BF"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67F4C5FC"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Ara Tawhito</w:t>
            </w:r>
          </w:p>
        </w:tc>
        <w:tc>
          <w:tcPr>
            <w:tcW w:w="7178" w:type="dxa"/>
            <w:tcBorders>
              <w:top w:val="single" w:sz="4" w:space="0" w:color="auto"/>
              <w:left w:val="single" w:sz="4" w:space="0" w:color="auto"/>
              <w:bottom w:val="single" w:sz="4" w:space="0" w:color="auto"/>
              <w:right w:val="single" w:sz="4" w:space="0" w:color="auto"/>
            </w:tcBorders>
            <w:hideMark/>
          </w:tcPr>
          <w:p w14:paraId="345C32F5" w14:textId="19EEB039" w:rsidR="009A45CE" w:rsidRPr="00472578" w:rsidRDefault="009A45CE" w:rsidP="00E92686">
            <w:pPr>
              <w:spacing w:before="60" w:after="60"/>
              <w:jc w:val="both"/>
              <w:rPr>
                <w:rFonts w:cstheme="minorHAnsi"/>
                <w:sz w:val="20"/>
                <w:szCs w:val="20"/>
              </w:rPr>
            </w:pPr>
            <w:r w:rsidRPr="639E38F9">
              <w:rPr>
                <w:sz w:val="20"/>
                <w:szCs w:val="20"/>
              </w:rPr>
              <w:t xml:space="preserve">Ancient trails. A network of trails crossed the region linking the permanent villages with seasonal inland campsites and along the coast, providing access to a range of </w:t>
            </w:r>
            <w:r w:rsidRPr="00A00191">
              <w:rPr>
                <w:strike/>
                <w:sz w:val="20"/>
                <w:szCs w:val="20"/>
              </w:rPr>
              <w:t>mahika kai</w:t>
            </w:r>
            <w:r w:rsidRPr="00A00191">
              <w:rPr>
                <w:sz w:val="20"/>
                <w:szCs w:val="20"/>
              </w:rPr>
              <w:t xml:space="preserve"> </w:t>
            </w:r>
            <w:r w:rsidR="00A00191" w:rsidRPr="00645B28">
              <w:rPr>
                <w:i/>
                <w:iCs/>
                <w:sz w:val="20"/>
                <w:szCs w:val="20"/>
                <w:u w:val="single"/>
              </w:rPr>
              <w:t>mahika kai</w:t>
            </w:r>
            <w:r w:rsidR="00A00191" w:rsidRPr="00A00191">
              <w:rPr>
                <w:rStyle w:val="FootnoteReference"/>
                <w:sz w:val="20"/>
                <w:szCs w:val="20"/>
              </w:rPr>
              <w:footnoteReference w:id="1544"/>
            </w:r>
            <w:r w:rsidR="00A00191" w:rsidRPr="00A00191">
              <w:rPr>
                <w:iCs/>
                <w:sz w:val="20"/>
                <w:szCs w:val="20"/>
              </w:rPr>
              <w:t xml:space="preserve"> </w:t>
            </w:r>
            <w:r w:rsidRPr="639E38F9">
              <w:rPr>
                <w:sz w:val="20"/>
                <w:szCs w:val="20"/>
              </w:rPr>
              <w:t>resources and inland stone resources, including pounamu and silcrete.</w:t>
            </w:r>
          </w:p>
        </w:tc>
      </w:tr>
      <w:tr w:rsidR="009A45CE" w:rsidRPr="00472578" w14:paraId="50735408"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52184AEF"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Kāika</w:t>
            </w:r>
          </w:p>
        </w:tc>
        <w:tc>
          <w:tcPr>
            <w:tcW w:w="7178" w:type="dxa"/>
            <w:tcBorders>
              <w:top w:val="single" w:sz="4" w:space="0" w:color="auto"/>
              <w:left w:val="single" w:sz="4" w:space="0" w:color="auto"/>
              <w:bottom w:val="single" w:sz="4" w:space="0" w:color="auto"/>
              <w:right w:val="single" w:sz="4" w:space="0" w:color="auto"/>
            </w:tcBorders>
            <w:hideMark/>
          </w:tcPr>
          <w:p w14:paraId="08FF97E8"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Permanent settlements or occupation sites. These occurred throughout Otago, particularly in coastal areas.</w:t>
            </w:r>
          </w:p>
        </w:tc>
      </w:tr>
      <w:tr w:rsidR="009A45CE" w:rsidRPr="00472578" w14:paraId="070CBCFD"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736B8BF2"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Nohoaka</w:t>
            </w:r>
          </w:p>
        </w:tc>
        <w:tc>
          <w:tcPr>
            <w:tcW w:w="7178" w:type="dxa"/>
            <w:tcBorders>
              <w:top w:val="single" w:sz="4" w:space="0" w:color="auto"/>
              <w:left w:val="single" w:sz="4" w:space="0" w:color="auto"/>
              <w:bottom w:val="single" w:sz="4" w:space="0" w:color="auto"/>
              <w:right w:val="single" w:sz="4" w:space="0" w:color="auto"/>
            </w:tcBorders>
            <w:hideMark/>
          </w:tcPr>
          <w:p w14:paraId="7FE4C955"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These were a network of seasonal settlements. Kāi Tahu were based largely on the coast in permanent settlements and ranged inland on a seasonal basis. Iwi history shows, through place names and whakapapa, continuous occupation of a network of seasonal settlements, which were distributed along the main river systems from the source lakes to the sea.</w:t>
            </w:r>
          </w:p>
        </w:tc>
      </w:tr>
      <w:tr w:rsidR="009A45CE" w:rsidRPr="00472578" w14:paraId="725D8A1C"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0EBAFA2C" w14:textId="1B4A47D6" w:rsidR="009A45CE" w:rsidRPr="00472578" w:rsidRDefault="009A45CE" w:rsidP="00E92686">
            <w:pPr>
              <w:spacing w:before="60" w:after="60"/>
              <w:jc w:val="both"/>
              <w:rPr>
                <w:rFonts w:cstheme="minorHAnsi"/>
                <w:sz w:val="20"/>
                <w:szCs w:val="20"/>
              </w:rPr>
            </w:pPr>
            <w:r w:rsidRPr="639E38F9">
              <w:rPr>
                <w:sz w:val="20"/>
                <w:szCs w:val="20"/>
              </w:rPr>
              <w:t xml:space="preserve">Wāhi </w:t>
            </w:r>
            <w:r w:rsidR="00A00191" w:rsidRPr="00A00191">
              <w:rPr>
                <w:strike/>
                <w:sz w:val="20"/>
                <w:szCs w:val="20"/>
              </w:rPr>
              <w:t>mahika kai</w:t>
            </w:r>
            <w:r w:rsidR="00A00191" w:rsidRPr="00A00191">
              <w:rPr>
                <w:sz w:val="20"/>
                <w:szCs w:val="20"/>
              </w:rPr>
              <w:t xml:space="preserve"> </w:t>
            </w:r>
            <w:r w:rsidR="00A00191" w:rsidRPr="00A00191">
              <w:rPr>
                <w:i/>
                <w:iCs/>
                <w:sz w:val="20"/>
                <w:szCs w:val="20"/>
              </w:rPr>
              <w:t>mahika kai</w:t>
            </w:r>
            <w:r w:rsidR="00A00191" w:rsidRPr="00A00191">
              <w:rPr>
                <w:rStyle w:val="FootnoteReference"/>
                <w:sz w:val="20"/>
                <w:szCs w:val="20"/>
              </w:rPr>
              <w:footnoteReference w:id="1545"/>
            </w:r>
          </w:p>
        </w:tc>
        <w:tc>
          <w:tcPr>
            <w:tcW w:w="7178" w:type="dxa"/>
            <w:tcBorders>
              <w:top w:val="single" w:sz="4" w:space="0" w:color="auto"/>
              <w:left w:val="single" w:sz="4" w:space="0" w:color="auto"/>
              <w:bottom w:val="single" w:sz="4" w:space="0" w:color="auto"/>
              <w:right w:val="single" w:sz="4" w:space="0" w:color="auto"/>
            </w:tcBorders>
            <w:hideMark/>
          </w:tcPr>
          <w:p w14:paraId="361C2FAB" w14:textId="7D35144B" w:rsidR="009A45CE" w:rsidRPr="00472578" w:rsidRDefault="009A45CE" w:rsidP="00E92686">
            <w:pPr>
              <w:spacing w:before="60" w:after="60"/>
              <w:jc w:val="both"/>
              <w:rPr>
                <w:rFonts w:cstheme="minorHAnsi"/>
                <w:sz w:val="20"/>
                <w:szCs w:val="20"/>
              </w:rPr>
            </w:pPr>
            <w:r w:rsidRPr="639E38F9">
              <w:rPr>
                <w:sz w:val="20"/>
                <w:szCs w:val="20"/>
              </w:rPr>
              <w:t xml:space="preserve">The places where the customary gathering of food or natural materials occurs. </w:t>
            </w:r>
            <w:r w:rsidRPr="639E38F9">
              <w:rPr>
                <w:strike/>
                <w:sz w:val="20"/>
                <w:szCs w:val="20"/>
              </w:rPr>
              <w:t>M</w:t>
            </w:r>
            <w:r w:rsidRPr="00A00191">
              <w:rPr>
                <w:strike/>
                <w:sz w:val="20"/>
                <w:szCs w:val="20"/>
              </w:rPr>
              <w:t>ahika kai</w:t>
            </w:r>
            <w:r w:rsidRPr="00A00191">
              <w:rPr>
                <w:sz w:val="20"/>
                <w:szCs w:val="20"/>
              </w:rPr>
              <w:t xml:space="preserve"> </w:t>
            </w:r>
            <w:r w:rsidR="00A00191" w:rsidRPr="00645B28">
              <w:rPr>
                <w:i/>
                <w:iCs/>
                <w:sz w:val="20"/>
                <w:szCs w:val="20"/>
                <w:u w:val="single"/>
              </w:rPr>
              <w:t>Mahika kai</w:t>
            </w:r>
            <w:r w:rsidR="00A00191" w:rsidRPr="00A00191">
              <w:rPr>
                <w:rStyle w:val="FootnoteReference"/>
                <w:sz w:val="20"/>
                <w:szCs w:val="20"/>
              </w:rPr>
              <w:footnoteReference w:id="1546"/>
            </w:r>
            <w:r w:rsidR="00A00191" w:rsidRPr="00A00191">
              <w:rPr>
                <w:iCs/>
                <w:sz w:val="20"/>
                <w:szCs w:val="20"/>
              </w:rPr>
              <w:t xml:space="preserve"> </w:t>
            </w:r>
            <w:r w:rsidRPr="639E38F9">
              <w:rPr>
                <w:sz w:val="20"/>
                <w:szCs w:val="20"/>
              </w:rPr>
              <w:t>is one of the cornerstones of Kāi Tahu culture.</w:t>
            </w:r>
          </w:p>
        </w:tc>
      </w:tr>
      <w:tr w:rsidR="009A45CE" w:rsidRPr="00472578" w14:paraId="618F44B3"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09884FF5"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Mauka</w:t>
            </w:r>
          </w:p>
        </w:tc>
        <w:tc>
          <w:tcPr>
            <w:tcW w:w="7178" w:type="dxa"/>
            <w:tcBorders>
              <w:top w:val="single" w:sz="4" w:space="0" w:color="auto"/>
              <w:left w:val="single" w:sz="4" w:space="0" w:color="auto"/>
              <w:bottom w:val="single" w:sz="4" w:space="0" w:color="auto"/>
              <w:right w:val="single" w:sz="4" w:space="0" w:color="auto"/>
            </w:tcBorders>
            <w:hideMark/>
          </w:tcPr>
          <w:p w14:paraId="4D70202D"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Important mountains. Mountains are of great cultural importance to Kāi Tahu. Many are places of spiritual presence, and prominent peaks in the district are linked to Kāi Tahu creation stories, identity and mana.</w:t>
            </w:r>
          </w:p>
        </w:tc>
      </w:tr>
      <w:tr w:rsidR="009A45CE" w:rsidRPr="00472578" w14:paraId="58372666"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504B6583"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Marae</w:t>
            </w:r>
          </w:p>
        </w:tc>
        <w:tc>
          <w:tcPr>
            <w:tcW w:w="7178" w:type="dxa"/>
            <w:tcBorders>
              <w:top w:val="single" w:sz="4" w:space="0" w:color="auto"/>
              <w:left w:val="single" w:sz="4" w:space="0" w:color="auto"/>
              <w:bottom w:val="single" w:sz="4" w:space="0" w:color="auto"/>
              <w:right w:val="single" w:sz="4" w:space="0" w:color="auto"/>
            </w:tcBorders>
            <w:hideMark/>
          </w:tcPr>
          <w:p w14:paraId="77822E4D"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The marae atea and the buildings around it, including the wharenui, wharekai, church and urupā. The sheltering havens of Kāi Tahu cultural expression, a place to gather, kōrero and to welcome visitors. Marae are expressions of Kāi Tahu past and present.</w:t>
            </w:r>
          </w:p>
        </w:tc>
      </w:tr>
      <w:tr w:rsidR="009A45CE" w:rsidRPr="00472578" w14:paraId="3A36489E"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56C8FC95" w14:textId="77777777" w:rsidR="009A45CE" w:rsidRPr="00472578" w:rsidRDefault="009A45CE" w:rsidP="00E92686">
            <w:pPr>
              <w:spacing w:before="60" w:after="60"/>
              <w:jc w:val="both"/>
              <w:rPr>
                <w:rFonts w:cstheme="minorHAnsi"/>
                <w:sz w:val="20"/>
                <w:szCs w:val="20"/>
              </w:rPr>
            </w:pPr>
            <w:r w:rsidRPr="639E38F9">
              <w:rPr>
                <w:sz w:val="20"/>
                <w:szCs w:val="20"/>
              </w:rPr>
              <w:lastRenderedPageBreak/>
              <w:t xml:space="preserve">Repo </w:t>
            </w:r>
            <w:r w:rsidRPr="639E38F9">
              <w:rPr>
                <w:strike/>
                <w:sz w:val="20"/>
                <w:szCs w:val="20"/>
              </w:rPr>
              <w:t>raupo</w:t>
            </w:r>
            <w:r w:rsidRPr="639E38F9">
              <w:rPr>
                <w:sz w:val="20"/>
                <w:szCs w:val="20"/>
              </w:rPr>
              <w:t xml:space="preserve"> </w:t>
            </w:r>
            <w:r w:rsidRPr="639E38F9">
              <w:rPr>
                <w:sz w:val="20"/>
                <w:szCs w:val="20"/>
                <w:u w:val="single"/>
              </w:rPr>
              <w:t>raupō</w:t>
            </w:r>
            <w:r w:rsidRPr="00472578">
              <w:rPr>
                <w:rStyle w:val="FootnoteReference"/>
              </w:rPr>
              <w:footnoteReference w:id="1547"/>
            </w:r>
          </w:p>
        </w:tc>
        <w:tc>
          <w:tcPr>
            <w:tcW w:w="7178" w:type="dxa"/>
            <w:tcBorders>
              <w:top w:val="single" w:sz="4" w:space="0" w:color="auto"/>
              <w:left w:val="single" w:sz="4" w:space="0" w:color="auto"/>
              <w:bottom w:val="single" w:sz="4" w:space="0" w:color="auto"/>
              <w:right w:val="single" w:sz="4" w:space="0" w:color="auto"/>
            </w:tcBorders>
            <w:hideMark/>
          </w:tcPr>
          <w:p w14:paraId="778EBEAF" w14:textId="7808D7E6" w:rsidR="009A45CE" w:rsidRPr="00472578" w:rsidRDefault="009A45CE" w:rsidP="00E92686">
            <w:pPr>
              <w:spacing w:before="60" w:after="60"/>
              <w:jc w:val="both"/>
              <w:rPr>
                <w:rFonts w:cstheme="minorHAnsi"/>
                <w:sz w:val="20"/>
                <w:szCs w:val="20"/>
              </w:rPr>
            </w:pPr>
            <w:r w:rsidRPr="639E38F9">
              <w:rPr>
                <w:sz w:val="20"/>
                <w:szCs w:val="20"/>
              </w:rPr>
              <w:t xml:space="preserve">Wetlands or swamps. These provide valued habitat for taoka species and </w:t>
            </w:r>
            <w:r w:rsidRPr="00617B59">
              <w:rPr>
                <w:strike/>
                <w:sz w:val="20"/>
                <w:szCs w:val="20"/>
              </w:rPr>
              <w:t>mahika kai</w:t>
            </w:r>
            <w:r w:rsidRPr="00617B59">
              <w:rPr>
                <w:sz w:val="20"/>
                <w:szCs w:val="20"/>
              </w:rPr>
              <w:t xml:space="preserve"> </w:t>
            </w:r>
            <w:r w:rsidR="00617B59" w:rsidRPr="00645B28">
              <w:rPr>
                <w:i/>
                <w:iCs/>
                <w:sz w:val="20"/>
                <w:szCs w:val="20"/>
                <w:u w:val="single"/>
              </w:rPr>
              <w:t>mahika kai</w:t>
            </w:r>
            <w:r w:rsidR="00617B59" w:rsidRPr="00617B59">
              <w:rPr>
                <w:rStyle w:val="FootnoteReference"/>
                <w:sz w:val="20"/>
                <w:szCs w:val="20"/>
              </w:rPr>
              <w:footnoteReference w:id="1548"/>
            </w:r>
            <w:r w:rsidR="00727067">
              <w:rPr>
                <w:iCs/>
                <w:sz w:val="20"/>
                <w:szCs w:val="20"/>
              </w:rPr>
              <w:t xml:space="preserve"> </w:t>
            </w:r>
            <w:r w:rsidRPr="639E38F9">
              <w:rPr>
                <w:sz w:val="20"/>
                <w:szCs w:val="20"/>
              </w:rPr>
              <w:t>resources.</w:t>
            </w:r>
          </w:p>
        </w:tc>
      </w:tr>
      <w:tr w:rsidR="006B4C2C" w:rsidRPr="00472578" w14:paraId="69FE76D1" w14:textId="77777777" w:rsidTr="006B4C2C">
        <w:tc>
          <w:tcPr>
            <w:tcW w:w="1838" w:type="dxa"/>
            <w:hideMark/>
          </w:tcPr>
          <w:p w14:paraId="4F55B1C6" w14:textId="77777777" w:rsidR="006B4C2C" w:rsidRPr="00472578" w:rsidRDefault="006B4C2C" w:rsidP="00E92686">
            <w:pPr>
              <w:spacing w:before="60" w:after="60"/>
              <w:jc w:val="both"/>
              <w:rPr>
                <w:rFonts w:cstheme="minorHAnsi"/>
                <w:sz w:val="20"/>
                <w:szCs w:val="20"/>
                <w:u w:val="single"/>
              </w:rPr>
            </w:pPr>
            <w:r w:rsidRPr="639E38F9">
              <w:rPr>
                <w:sz w:val="20"/>
                <w:szCs w:val="20"/>
                <w:u w:val="single"/>
              </w:rPr>
              <w:t>Taumanu</w:t>
            </w:r>
            <w:r w:rsidRPr="639E38F9">
              <w:rPr>
                <w:rStyle w:val="FootnoteReference"/>
                <w:sz w:val="20"/>
                <w:szCs w:val="20"/>
              </w:rPr>
              <w:footnoteReference w:id="1549"/>
            </w:r>
          </w:p>
        </w:tc>
        <w:tc>
          <w:tcPr>
            <w:tcW w:w="7178" w:type="dxa"/>
            <w:hideMark/>
          </w:tcPr>
          <w:p w14:paraId="2591EB59" w14:textId="77777777" w:rsidR="006B4C2C" w:rsidRPr="00472578" w:rsidRDefault="006B4C2C" w:rsidP="00E92686">
            <w:pPr>
              <w:spacing w:before="60" w:after="60"/>
              <w:jc w:val="both"/>
              <w:rPr>
                <w:rFonts w:cstheme="minorHAnsi"/>
                <w:sz w:val="20"/>
                <w:szCs w:val="20"/>
                <w:u w:val="single"/>
              </w:rPr>
            </w:pPr>
            <w:r w:rsidRPr="00472578">
              <w:rPr>
                <w:rFonts w:cstheme="minorHAnsi"/>
                <w:sz w:val="20"/>
                <w:szCs w:val="20"/>
                <w:u w:val="single"/>
              </w:rPr>
              <w:t>Fishing sites. These are traditional fishing easements which have been gazetted by the South Island Māori Land Court.</w:t>
            </w:r>
          </w:p>
        </w:tc>
      </w:tr>
      <w:tr w:rsidR="009A45CE" w:rsidRPr="00472578" w14:paraId="3388544E"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4F8CB7C7"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Tauraka waka</w:t>
            </w:r>
          </w:p>
        </w:tc>
        <w:tc>
          <w:tcPr>
            <w:tcW w:w="7178" w:type="dxa"/>
            <w:tcBorders>
              <w:top w:val="single" w:sz="4" w:space="0" w:color="auto"/>
              <w:left w:val="single" w:sz="4" w:space="0" w:color="auto"/>
              <w:bottom w:val="single" w:sz="4" w:space="0" w:color="auto"/>
              <w:right w:val="single" w:sz="4" w:space="0" w:color="auto"/>
            </w:tcBorders>
            <w:hideMark/>
          </w:tcPr>
          <w:p w14:paraId="64733A16"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Canoe mooring sites. These were important for transport and gathering kai.</w:t>
            </w:r>
          </w:p>
        </w:tc>
      </w:tr>
      <w:tr w:rsidR="009A45CE" w:rsidRPr="00472578" w14:paraId="51F3C6BD"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34E046D0"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Tūāhu</w:t>
            </w:r>
          </w:p>
        </w:tc>
        <w:tc>
          <w:tcPr>
            <w:tcW w:w="7178" w:type="dxa"/>
            <w:tcBorders>
              <w:top w:val="single" w:sz="4" w:space="0" w:color="auto"/>
              <w:left w:val="single" w:sz="4" w:space="0" w:color="auto"/>
              <w:bottom w:val="single" w:sz="4" w:space="0" w:color="auto"/>
              <w:right w:val="single" w:sz="4" w:space="0" w:color="auto"/>
            </w:tcBorders>
            <w:hideMark/>
          </w:tcPr>
          <w:p w14:paraId="1B0961A5"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Places of importance to Māori identity. These are generally sacred ground and marked by an object, or a place used for purposes of divination.</w:t>
            </w:r>
          </w:p>
        </w:tc>
      </w:tr>
      <w:tr w:rsidR="009A45CE" w:rsidRPr="00472578" w14:paraId="25F29456" w14:textId="77777777" w:rsidTr="00E722D4">
        <w:tc>
          <w:tcPr>
            <w:tcW w:w="1838" w:type="dxa"/>
            <w:tcBorders>
              <w:top w:val="single" w:sz="4" w:space="0" w:color="auto"/>
              <w:left w:val="single" w:sz="4" w:space="0" w:color="auto"/>
              <w:bottom w:val="single" w:sz="4" w:space="0" w:color="auto"/>
              <w:right w:val="single" w:sz="4" w:space="0" w:color="auto"/>
            </w:tcBorders>
          </w:tcPr>
          <w:p w14:paraId="101C2BA9" w14:textId="77777777" w:rsidR="009A45CE" w:rsidRPr="00472578" w:rsidRDefault="009A45CE" w:rsidP="00E92686">
            <w:pPr>
              <w:spacing w:before="60" w:after="60"/>
              <w:jc w:val="both"/>
              <w:rPr>
                <w:rFonts w:cstheme="minorHAnsi"/>
                <w:sz w:val="20"/>
                <w:szCs w:val="20"/>
              </w:rPr>
            </w:pPr>
            <w:r w:rsidRPr="639E38F9">
              <w:rPr>
                <w:sz w:val="20"/>
                <w:szCs w:val="20"/>
                <w:u w:val="single"/>
              </w:rPr>
              <w:t>Tuhituhi neherā</w:t>
            </w:r>
            <w:r w:rsidRPr="00472578">
              <w:rPr>
                <w:rStyle w:val="FootnoteReference"/>
              </w:rPr>
              <w:footnoteReference w:id="1550"/>
            </w:r>
          </w:p>
        </w:tc>
        <w:tc>
          <w:tcPr>
            <w:tcW w:w="7178" w:type="dxa"/>
            <w:tcBorders>
              <w:top w:val="single" w:sz="4" w:space="0" w:color="auto"/>
              <w:left w:val="single" w:sz="4" w:space="0" w:color="auto"/>
              <w:bottom w:val="single" w:sz="4" w:space="0" w:color="auto"/>
              <w:right w:val="single" w:sz="4" w:space="0" w:color="auto"/>
            </w:tcBorders>
          </w:tcPr>
          <w:p w14:paraId="23C3B48F" w14:textId="77777777" w:rsidR="009A45CE" w:rsidRPr="00472578" w:rsidRDefault="009A45CE" w:rsidP="00E92686">
            <w:pPr>
              <w:spacing w:before="60" w:after="60"/>
              <w:jc w:val="both"/>
              <w:rPr>
                <w:rFonts w:cstheme="minorHAnsi"/>
                <w:sz w:val="20"/>
                <w:szCs w:val="20"/>
                <w:u w:val="single"/>
              </w:rPr>
            </w:pPr>
            <w:r w:rsidRPr="00472578">
              <w:rPr>
                <w:rFonts w:cstheme="minorHAnsi"/>
                <w:sz w:val="20"/>
                <w:szCs w:val="20"/>
                <w:u w:val="single"/>
              </w:rPr>
              <w:t>Rock art sites</w:t>
            </w:r>
          </w:p>
        </w:tc>
      </w:tr>
      <w:tr w:rsidR="009A45CE" w:rsidRPr="00472578" w14:paraId="31505715"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66317E88" w14:textId="77777777" w:rsidR="009A45CE" w:rsidRPr="00472578" w:rsidRDefault="009A45CE" w:rsidP="00E92686">
            <w:pPr>
              <w:spacing w:before="60" w:after="60"/>
              <w:jc w:val="both"/>
              <w:rPr>
                <w:rFonts w:cstheme="minorHAnsi"/>
                <w:strike/>
                <w:sz w:val="20"/>
                <w:szCs w:val="20"/>
              </w:rPr>
            </w:pPr>
            <w:r w:rsidRPr="639E38F9">
              <w:rPr>
                <w:strike/>
                <w:sz w:val="20"/>
                <w:szCs w:val="20"/>
              </w:rPr>
              <w:t>Taumanu</w:t>
            </w:r>
            <w:r w:rsidRPr="639E38F9">
              <w:rPr>
                <w:rStyle w:val="FootnoteReference"/>
                <w:sz w:val="20"/>
                <w:szCs w:val="20"/>
              </w:rPr>
              <w:footnoteReference w:id="1551"/>
            </w:r>
          </w:p>
        </w:tc>
        <w:tc>
          <w:tcPr>
            <w:tcW w:w="7178" w:type="dxa"/>
            <w:tcBorders>
              <w:top w:val="single" w:sz="4" w:space="0" w:color="auto"/>
              <w:left w:val="single" w:sz="4" w:space="0" w:color="auto"/>
              <w:bottom w:val="single" w:sz="4" w:space="0" w:color="auto"/>
              <w:right w:val="single" w:sz="4" w:space="0" w:color="auto"/>
            </w:tcBorders>
            <w:hideMark/>
          </w:tcPr>
          <w:p w14:paraId="13D018B3" w14:textId="77777777" w:rsidR="009A45CE" w:rsidRPr="00472578" w:rsidRDefault="009A45CE" w:rsidP="00E92686">
            <w:pPr>
              <w:spacing w:before="60" w:after="60"/>
              <w:jc w:val="both"/>
              <w:rPr>
                <w:rFonts w:cstheme="minorHAnsi"/>
                <w:strike/>
                <w:sz w:val="20"/>
                <w:szCs w:val="20"/>
              </w:rPr>
            </w:pPr>
            <w:r w:rsidRPr="00472578">
              <w:rPr>
                <w:rFonts w:cstheme="minorHAnsi"/>
                <w:strike/>
                <w:sz w:val="20"/>
                <w:szCs w:val="20"/>
              </w:rPr>
              <w:t>Fishing sites. These are traditional fishing easements which have been gazetted by the South Island Māori Land Court.</w:t>
            </w:r>
          </w:p>
        </w:tc>
      </w:tr>
      <w:tr w:rsidR="009A45CE" w:rsidRPr="00472578" w14:paraId="47ACFEB4"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7229821D"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Umu, Umu</w:t>
            </w:r>
            <w:r w:rsidRPr="00472578">
              <w:rPr>
                <w:rFonts w:cstheme="minorHAnsi"/>
                <w:sz w:val="20"/>
                <w:szCs w:val="20"/>
              </w:rPr>
              <w:softHyphen/>
              <w:t>tī</w:t>
            </w:r>
          </w:p>
        </w:tc>
        <w:tc>
          <w:tcPr>
            <w:tcW w:w="7178" w:type="dxa"/>
            <w:tcBorders>
              <w:top w:val="single" w:sz="4" w:space="0" w:color="auto"/>
              <w:left w:val="single" w:sz="4" w:space="0" w:color="auto"/>
              <w:bottom w:val="single" w:sz="4" w:space="0" w:color="auto"/>
              <w:right w:val="single" w:sz="4" w:space="0" w:color="auto"/>
            </w:tcBorders>
            <w:hideMark/>
          </w:tcPr>
          <w:p w14:paraId="3D71894C"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Earth ovens. Used for cooking tī</w:t>
            </w:r>
            <w:r w:rsidRPr="00472578">
              <w:rPr>
                <w:rFonts w:cstheme="minorHAnsi"/>
                <w:sz w:val="20"/>
                <w:szCs w:val="20"/>
              </w:rPr>
              <w:softHyphen/>
              <w:t>kōuka (cabbage tree), are found in a diversity of areas, including old stream banks and ancient river terraces, on low spurs or ridges, and in association with other features, such as kāika nohoaka.</w:t>
            </w:r>
          </w:p>
        </w:tc>
      </w:tr>
      <w:tr w:rsidR="009A45CE" w:rsidRPr="00472578" w14:paraId="2A5975B6"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52B40DEA"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Urupā</w:t>
            </w:r>
          </w:p>
        </w:tc>
        <w:tc>
          <w:tcPr>
            <w:tcW w:w="7178" w:type="dxa"/>
            <w:tcBorders>
              <w:top w:val="single" w:sz="4" w:space="0" w:color="auto"/>
              <w:left w:val="single" w:sz="4" w:space="0" w:color="auto"/>
              <w:bottom w:val="single" w:sz="4" w:space="0" w:color="auto"/>
              <w:right w:val="single" w:sz="4" w:space="0" w:color="auto"/>
            </w:tcBorders>
            <w:hideMark/>
          </w:tcPr>
          <w:p w14:paraId="6086B1A2"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Human burial sites. These include historic burial sites associated with kāika, and contemporary sites, such as the urupā at Ōtākou and Puketeraki marae.</w:t>
            </w:r>
          </w:p>
        </w:tc>
      </w:tr>
      <w:tr w:rsidR="009A45CE" w:rsidRPr="00472578" w14:paraId="1D672DC1"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45058323"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Wāhi kōhatu</w:t>
            </w:r>
          </w:p>
        </w:tc>
        <w:tc>
          <w:tcPr>
            <w:tcW w:w="7178" w:type="dxa"/>
            <w:tcBorders>
              <w:top w:val="single" w:sz="4" w:space="0" w:color="auto"/>
              <w:left w:val="single" w:sz="4" w:space="0" w:color="auto"/>
              <w:bottom w:val="single" w:sz="4" w:space="0" w:color="auto"/>
              <w:right w:val="single" w:sz="4" w:space="0" w:color="auto"/>
            </w:tcBorders>
            <w:hideMark/>
          </w:tcPr>
          <w:p w14:paraId="7F849C25"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Rock outcrops. Rocky outcrops provided excellent shelters and were intensively occupied by Māori from the moa</w:t>
            </w:r>
            <w:r w:rsidRPr="00472578">
              <w:rPr>
                <w:rFonts w:cstheme="minorHAnsi"/>
                <w:sz w:val="20"/>
                <w:szCs w:val="20"/>
              </w:rPr>
              <w:softHyphen/>
              <w:t>hunter period into early European settlement during seasonal hikoi. Tuhituhi neherā (rock art) may be present due to the occupation of such places by the tūpuna.</w:t>
            </w:r>
          </w:p>
        </w:tc>
      </w:tr>
      <w:tr w:rsidR="009A45CE" w:rsidRPr="00472578" w14:paraId="609648F2"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1A5317C3"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Wāhi pakaka</w:t>
            </w:r>
          </w:p>
        </w:tc>
        <w:tc>
          <w:tcPr>
            <w:tcW w:w="7178" w:type="dxa"/>
            <w:tcBorders>
              <w:top w:val="single" w:sz="4" w:space="0" w:color="auto"/>
              <w:left w:val="single" w:sz="4" w:space="0" w:color="auto"/>
              <w:bottom w:val="single" w:sz="4" w:space="0" w:color="auto"/>
              <w:right w:val="single" w:sz="4" w:space="0" w:color="auto"/>
            </w:tcBorders>
            <w:hideMark/>
          </w:tcPr>
          <w:p w14:paraId="00C354BB" w14:textId="52348440" w:rsidR="009A45CE" w:rsidRPr="00472578" w:rsidRDefault="009A45CE" w:rsidP="00E92686">
            <w:pPr>
              <w:spacing w:before="60" w:after="60"/>
              <w:jc w:val="both"/>
              <w:rPr>
                <w:rFonts w:cstheme="minorHAnsi"/>
                <w:sz w:val="20"/>
                <w:szCs w:val="20"/>
              </w:rPr>
            </w:pPr>
            <w:r w:rsidRPr="639E38F9">
              <w:rPr>
                <w:sz w:val="20"/>
                <w:szCs w:val="20"/>
              </w:rPr>
              <w:t>Battle sites. Historic battle sites occur throughout Otago, such as that at Ohinepouwera (</w:t>
            </w:r>
            <w:r w:rsidRPr="00472578">
              <w:rPr>
                <w:strike/>
                <w:sz w:val="20"/>
                <w:szCs w:val="20"/>
              </w:rPr>
              <w:t>Waikouaiti</w:t>
            </w:r>
            <w:r w:rsidRPr="00472578">
              <w:rPr>
                <w:sz w:val="20"/>
                <w:szCs w:val="20"/>
              </w:rPr>
              <w:t xml:space="preserve"> </w:t>
            </w:r>
            <w:r w:rsidRPr="00472578">
              <w:rPr>
                <w:sz w:val="20"/>
                <w:szCs w:val="20"/>
                <w:u w:val="single"/>
              </w:rPr>
              <w:t>Waik</w:t>
            </w:r>
            <w:r w:rsidR="006B4317" w:rsidRPr="00472578">
              <w:rPr>
                <w:sz w:val="20"/>
                <w:szCs w:val="20"/>
                <w:u w:val="single"/>
              </w:rPr>
              <w:t>ō</w:t>
            </w:r>
            <w:r w:rsidRPr="00472578">
              <w:rPr>
                <w:sz w:val="20"/>
                <w:szCs w:val="20"/>
                <w:u w:val="single"/>
              </w:rPr>
              <w:t>uaiti</w:t>
            </w:r>
            <w:r w:rsidRPr="00472578">
              <w:rPr>
                <w:rStyle w:val="FootnoteReference"/>
              </w:rPr>
              <w:footnoteReference w:id="1552"/>
            </w:r>
            <w:r w:rsidRPr="00472578">
              <w:t xml:space="preserve"> </w:t>
            </w:r>
            <w:r w:rsidRPr="639E38F9">
              <w:rPr>
                <w:sz w:val="20"/>
                <w:szCs w:val="20"/>
              </w:rPr>
              <w:t>sandspit) where Taoka’s warriors camped for six months while they laid siege on Te Wera on the Huriawa Peninsula.</w:t>
            </w:r>
          </w:p>
        </w:tc>
      </w:tr>
      <w:tr w:rsidR="009A45CE" w:rsidRPr="00472578" w14:paraId="20418218"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007962E8"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Wāhi paripari</w:t>
            </w:r>
          </w:p>
        </w:tc>
        <w:tc>
          <w:tcPr>
            <w:tcW w:w="7178" w:type="dxa"/>
            <w:tcBorders>
              <w:top w:val="single" w:sz="4" w:space="0" w:color="auto"/>
              <w:left w:val="single" w:sz="4" w:space="0" w:color="auto"/>
              <w:bottom w:val="single" w:sz="4" w:space="0" w:color="auto"/>
              <w:right w:val="single" w:sz="4" w:space="0" w:color="auto"/>
            </w:tcBorders>
            <w:hideMark/>
          </w:tcPr>
          <w:p w14:paraId="4BD407F1"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Cliff areas.</w:t>
            </w:r>
          </w:p>
        </w:tc>
      </w:tr>
      <w:tr w:rsidR="009A45CE" w:rsidRPr="00472578" w14:paraId="28A2F004"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0C2893FC"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Wāhi taoka</w:t>
            </w:r>
          </w:p>
        </w:tc>
        <w:tc>
          <w:tcPr>
            <w:tcW w:w="7178" w:type="dxa"/>
            <w:tcBorders>
              <w:top w:val="single" w:sz="4" w:space="0" w:color="auto"/>
              <w:left w:val="single" w:sz="4" w:space="0" w:color="auto"/>
              <w:bottom w:val="single" w:sz="4" w:space="0" w:color="auto"/>
              <w:right w:val="single" w:sz="4" w:space="0" w:color="auto"/>
            </w:tcBorders>
            <w:hideMark/>
          </w:tcPr>
          <w:p w14:paraId="0BC1E60B"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 xml:space="preserve">Resources, places and sites treasured by </w:t>
            </w:r>
            <w:r w:rsidRPr="00472578">
              <w:rPr>
                <w:rFonts w:cstheme="minorHAnsi"/>
                <w:i/>
                <w:sz w:val="20"/>
                <w:szCs w:val="20"/>
              </w:rPr>
              <w:t>mana whenua</w:t>
            </w:r>
            <w:r w:rsidRPr="00472578">
              <w:rPr>
                <w:rFonts w:cstheme="minorHAnsi"/>
                <w:sz w:val="20"/>
                <w:szCs w:val="20"/>
              </w:rPr>
              <w:t>. These valued places reflect the long history and association of Kāi Tahu with Otago.</w:t>
            </w:r>
          </w:p>
        </w:tc>
      </w:tr>
      <w:tr w:rsidR="009A45CE" w:rsidRPr="00472578" w14:paraId="52E90014"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0DDE8FE4"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Wāhi tapu</w:t>
            </w:r>
          </w:p>
        </w:tc>
        <w:tc>
          <w:tcPr>
            <w:tcW w:w="7178" w:type="dxa"/>
            <w:tcBorders>
              <w:top w:val="single" w:sz="4" w:space="0" w:color="auto"/>
              <w:left w:val="single" w:sz="4" w:space="0" w:color="auto"/>
              <w:bottom w:val="single" w:sz="4" w:space="0" w:color="auto"/>
              <w:right w:val="single" w:sz="4" w:space="0" w:color="auto"/>
            </w:tcBorders>
            <w:hideMark/>
          </w:tcPr>
          <w:p w14:paraId="2E42C76A"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Places sacred to Kāi Tahu. These occur throughout Otago and include urupā (human burial sites).</w:t>
            </w:r>
          </w:p>
        </w:tc>
      </w:tr>
      <w:tr w:rsidR="009A45CE" w:rsidRPr="00472578" w14:paraId="7CE884AB"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4FB4DF8C"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Wāhi tohu</w:t>
            </w:r>
          </w:p>
        </w:tc>
        <w:tc>
          <w:tcPr>
            <w:tcW w:w="7178" w:type="dxa"/>
            <w:tcBorders>
              <w:top w:val="single" w:sz="4" w:space="0" w:color="auto"/>
              <w:left w:val="single" w:sz="4" w:space="0" w:color="auto"/>
              <w:bottom w:val="single" w:sz="4" w:space="0" w:color="auto"/>
              <w:right w:val="single" w:sz="4" w:space="0" w:color="auto"/>
            </w:tcBorders>
            <w:hideMark/>
          </w:tcPr>
          <w:p w14:paraId="68F0E75B"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Features used as location markers within the landscape. Prominent landforms formed part of the network of trails along the coast and inland.</w:t>
            </w:r>
          </w:p>
        </w:tc>
      </w:tr>
      <w:tr w:rsidR="009A45CE" w:rsidRPr="00472578" w14:paraId="34F300C6" w14:textId="77777777" w:rsidTr="00E722D4">
        <w:tc>
          <w:tcPr>
            <w:tcW w:w="1838" w:type="dxa"/>
            <w:tcBorders>
              <w:top w:val="single" w:sz="4" w:space="0" w:color="auto"/>
              <w:left w:val="single" w:sz="4" w:space="0" w:color="auto"/>
              <w:bottom w:val="single" w:sz="4" w:space="0" w:color="auto"/>
              <w:right w:val="single" w:sz="4" w:space="0" w:color="auto"/>
            </w:tcBorders>
            <w:hideMark/>
          </w:tcPr>
          <w:p w14:paraId="7F368290"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Wai Māori</w:t>
            </w:r>
          </w:p>
        </w:tc>
        <w:tc>
          <w:tcPr>
            <w:tcW w:w="7178" w:type="dxa"/>
            <w:tcBorders>
              <w:top w:val="single" w:sz="4" w:space="0" w:color="auto"/>
              <w:left w:val="single" w:sz="4" w:space="0" w:color="auto"/>
              <w:bottom w:val="single" w:sz="4" w:space="0" w:color="auto"/>
              <w:right w:val="single" w:sz="4" w:space="0" w:color="auto"/>
            </w:tcBorders>
            <w:hideMark/>
          </w:tcPr>
          <w:p w14:paraId="693BC49F" w14:textId="77777777" w:rsidR="009A45CE" w:rsidRPr="00472578" w:rsidRDefault="009A45CE" w:rsidP="00E92686">
            <w:pPr>
              <w:spacing w:before="60" w:after="60"/>
              <w:jc w:val="both"/>
              <w:rPr>
                <w:rFonts w:cstheme="minorHAnsi"/>
                <w:sz w:val="20"/>
                <w:szCs w:val="20"/>
              </w:rPr>
            </w:pPr>
            <w:r w:rsidRPr="00472578">
              <w:rPr>
                <w:rFonts w:cstheme="minorHAnsi"/>
                <w:sz w:val="20"/>
                <w:szCs w:val="20"/>
              </w:rPr>
              <w:t>Freshwater areas important to Māori, including wai puna (springs), roto (lakes) and awa (rivers).</w:t>
            </w:r>
          </w:p>
        </w:tc>
      </w:tr>
    </w:tbl>
    <w:p w14:paraId="69716CD1" w14:textId="77777777" w:rsidR="009A45CE" w:rsidRPr="00472578" w:rsidRDefault="009A45CE" w:rsidP="00E92686">
      <w:pPr>
        <w:spacing w:after="0" w:line="240" w:lineRule="auto"/>
        <w:jc w:val="both"/>
        <w:rPr>
          <w:rFonts w:ascii="Calibri" w:hAnsi="Calibri" w:cs="Calibri"/>
          <w:lang w:val="en-US"/>
        </w:rPr>
      </w:pPr>
    </w:p>
    <w:p w14:paraId="4EEF497E" w14:textId="77777777" w:rsidR="009A45CE" w:rsidRPr="00472578" w:rsidRDefault="009A45CE" w:rsidP="00E92686">
      <w:pPr>
        <w:jc w:val="both"/>
        <w:rPr>
          <w:rFonts w:eastAsiaTheme="majorEastAsia" w:cstheme="majorBidi"/>
          <w:b/>
          <w:color w:val="1F3864" w:themeColor="accent1" w:themeShade="80"/>
          <w:sz w:val="28"/>
          <w:szCs w:val="24"/>
        </w:rPr>
      </w:pPr>
      <w:r w:rsidRPr="00472578">
        <w:br w:type="page"/>
      </w:r>
    </w:p>
    <w:p w14:paraId="3F68734E" w14:textId="77F6B79F" w:rsidR="009A45CE" w:rsidRPr="00472578" w:rsidRDefault="009A45CE" w:rsidP="00E92686">
      <w:pPr>
        <w:pStyle w:val="Heading3"/>
        <w:jc w:val="both"/>
      </w:pPr>
      <w:r w:rsidRPr="00472578">
        <w:lastRenderedPageBreak/>
        <w:t xml:space="preserve">APP8 – Identification criteria for places and areas of </w:t>
      </w:r>
      <w:r w:rsidRPr="00472578">
        <w:rPr>
          <w:i/>
        </w:rPr>
        <w:t>historic heritage</w:t>
      </w:r>
    </w:p>
    <w:p w14:paraId="251C47F6" w14:textId="0E298AA9" w:rsidR="009A45CE" w:rsidRPr="00472578" w:rsidRDefault="009A45CE" w:rsidP="00E92686">
      <w:pPr>
        <w:jc w:val="both"/>
      </w:pPr>
      <w:r w:rsidRPr="00472578">
        <w:t xml:space="preserve">A place or area is considered to have </w:t>
      </w:r>
      <w:r w:rsidRPr="00472578">
        <w:rPr>
          <w:i/>
        </w:rPr>
        <w:t>historic heritage</w:t>
      </w:r>
      <w:r w:rsidRPr="00472578">
        <w:t xml:space="preserve"> if it meets any one or more of </w:t>
      </w:r>
      <w:r w:rsidRPr="00472578">
        <w:rPr>
          <w:u w:val="single"/>
        </w:rPr>
        <w:t>the</w:t>
      </w:r>
      <w:r w:rsidR="006B4317" w:rsidRPr="00472578">
        <w:rPr>
          <w:rStyle w:val="FootnoteReference"/>
        </w:rPr>
        <w:footnoteReference w:id="1553"/>
      </w:r>
      <w:r w:rsidR="002117C5" w:rsidRPr="00472578">
        <w:t xml:space="preserve"> </w:t>
      </w:r>
      <w:r w:rsidRPr="00472578">
        <w:t>criteria below:</w:t>
      </w:r>
      <w:r w:rsidR="002117C5" w:rsidRPr="00472578">
        <w:rPr>
          <w:rStyle w:val="FootnoteReference"/>
          <w:i/>
          <w:iCs/>
          <w:u w:val="single"/>
        </w:rPr>
        <w:t xml:space="preserve"> </w:t>
      </w:r>
      <w:r w:rsidR="002117C5" w:rsidRPr="00D1635E">
        <w:rPr>
          <w:rStyle w:val="FootnoteReference"/>
          <w:iCs/>
          <w:highlight w:val="lightGray"/>
          <w:u w:val="single"/>
        </w:rPr>
        <w:footnoteReference w:id="1554"/>
      </w:r>
    </w:p>
    <w:tbl>
      <w:tblPr>
        <w:tblW w:w="0" w:type="auto"/>
        <w:tblLook w:val="04A0" w:firstRow="1" w:lastRow="0" w:firstColumn="1" w:lastColumn="0" w:noHBand="0" w:noVBand="1"/>
      </w:tblPr>
      <w:tblGrid>
        <w:gridCol w:w="1701"/>
        <w:gridCol w:w="7088"/>
      </w:tblGrid>
      <w:tr w:rsidR="009A45CE" w:rsidRPr="00472578" w14:paraId="32F432A5" w14:textId="77777777" w:rsidTr="00E722D4">
        <w:tc>
          <w:tcPr>
            <w:tcW w:w="1701" w:type="dxa"/>
            <w:hideMark/>
          </w:tcPr>
          <w:p w14:paraId="1D92708B" w14:textId="7CBF3466"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color w:val="000000"/>
                <w:lang w:eastAsia="en-NZ" w:bidi="en-US"/>
              </w:rPr>
              <w:t xml:space="preserve">Aesthetic </w:t>
            </w:r>
            <w:r w:rsidRPr="00472578">
              <w:rPr>
                <w:rFonts w:ascii="Calibri" w:eastAsia="Times New Roman" w:hAnsi="Calibri" w:cs="Arial"/>
                <w:b/>
                <w:color w:val="000000"/>
                <w:u w:val="single"/>
                <w:lang w:eastAsia="en-NZ" w:bidi="en-US"/>
              </w:rPr>
              <w:t>value</w:t>
            </w:r>
          </w:p>
        </w:tc>
        <w:tc>
          <w:tcPr>
            <w:tcW w:w="7088" w:type="dxa"/>
          </w:tcPr>
          <w:p w14:paraId="15F4350D" w14:textId="77777777" w:rsidR="009A45CE" w:rsidRPr="00472578" w:rsidRDefault="009A45CE" w:rsidP="00E92686">
            <w:pPr>
              <w:autoSpaceDE w:val="0"/>
              <w:autoSpaceDN w:val="0"/>
              <w:adjustRightInd w:val="0"/>
              <w:spacing w:before="60" w:after="60" w:line="240" w:lineRule="auto"/>
              <w:jc w:val="both"/>
            </w:pPr>
            <w:r w:rsidRPr="00472578">
              <w:t>The place has, or includes, aesthetic qualities that are considered to be especially pleasing, particularly beautiful, or overwhelming to the senses, eliciting an emotional response. These qualities are demonstrably valued, either by an existing community or the general public, to the extent that they could be expected to experience a sense of loss if the qualities which evoke the aesthetic value were no longer there.</w:t>
            </w:r>
          </w:p>
          <w:p w14:paraId="54A4022C"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7E5A8989" w14:textId="77777777" w:rsidTr="00E722D4">
        <w:tc>
          <w:tcPr>
            <w:tcW w:w="1701" w:type="dxa"/>
          </w:tcPr>
          <w:p w14:paraId="5D47A38E" w14:textId="7707AE86"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bCs/>
                <w:color w:val="000000"/>
                <w:lang w:eastAsia="en-NZ" w:bidi="en-US"/>
              </w:rPr>
              <w:t>Archaeological</w:t>
            </w:r>
            <w:r w:rsidRPr="00472578">
              <w:rPr>
                <w:rFonts w:ascii="Calibri" w:eastAsia="Times New Roman" w:hAnsi="Calibri" w:cs="Arial"/>
                <w:b/>
                <w:color w:val="000000"/>
                <w:u w:val="single"/>
                <w:lang w:eastAsia="en-NZ" w:bidi="en-US"/>
              </w:rPr>
              <w:t xml:space="preserve"> value</w:t>
            </w:r>
          </w:p>
        </w:tc>
        <w:tc>
          <w:tcPr>
            <w:tcW w:w="7088" w:type="dxa"/>
          </w:tcPr>
          <w:p w14:paraId="205A6098" w14:textId="77777777" w:rsidR="009A45CE" w:rsidRPr="00472578" w:rsidRDefault="009A45CE" w:rsidP="00E92686">
            <w:pPr>
              <w:autoSpaceDE w:val="0"/>
              <w:autoSpaceDN w:val="0"/>
              <w:adjustRightInd w:val="0"/>
              <w:spacing w:before="60" w:after="60" w:line="240" w:lineRule="auto"/>
              <w:jc w:val="both"/>
            </w:pPr>
            <w:r w:rsidRPr="00472578">
              <w:t>The place provides, or is demonstrably likely to provide, physical evidence of human activity that could be investigated using archaeological methods. Evidence obtained from an archaeological investigation could be expected to be of significance in answering research questions, or as a new or important source of information about an aspect of New Zealand history.</w:t>
            </w:r>
          </w:p>
          <w:p w14:paraId="4638712C"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5F3E557C" w14:textId="77777777" w:rsidTr="00E722D4">
        <w:tc>
          <w:tcPr>
            <w:tcW w:w="1701" w:type="dxa"/>
          </w:tcPr>
          <w:p w14:paraId="725B43D4" w14:textId="530EBA23"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bCs/>
                <w:color w:val="000000"/>
                <w:lang w:eastAsia="en-NZ" w:bidi="en-US"/>
              </w:rPr>
              <w:t>Architectural</w:t>
            </w:r>
            <w:r w:rsidRPr="00472578">
              <w:rPr>
                <w:rFonts w:ascii="Calibri" w:eastAsia="Times New Roman" w:hAnsi="Calibri" w:cs="Arial"/>
                <w:b/>
                <w:color w:val="000000"/>
                <w:u w:val="single"/>
                <w:lang w:eastAsia="en-NZ" w:bidi="en-US"/>
              </w:rPr>
              <w:t xml:space="preserve"> value</w:t>
            </w:r>
          </w:p>
        </w:tc>
        <w:tc>
          <w:tcPr>
            <w:tcW w:w="7088" w:type="dxa"/>
          </w:tcPr>
          <w:p w14:paraId="32460DFC" w14:textId="77777777" w:rsidR="009A45CE" w:rsidRPr="00472578" w:rsidRDefault="009A45CE" w:rsidP="00E92686">
            <w:pPr>
              <w:autoSpaceDE w:val="0"/>
              <w:autoSpaceDN w:val="0"/>
              <w:adjustRightInd w:val="0"/>
              <w:spacing w:before="60" w:after="60" w:line="240" w:lineRule="auto"/>
              <w:jc w:val="both"/>
            </w:pPr>
            <w:r w:rsidRPr="00472578">
              <w:t>The place reflects identifiable methods of construction or architectural styles or movements. When compared with other similar examples, or in the view of experts or relevant practitioners, it has characteristics reflecting a significant development in this country’s architecture. Alternatively, or in conjunction with this, the place is an important or representative example of architecture associated with a particular region or the wider New Zealand landscape.</w:t>
            </w:r>
          </w:p>
          <w:p w14:paraId="44933AAA"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43B6AF04" w14:textId="77777777" w:rsidTr="00E722D4">
        <w:tc>
          <w:tcPr>
            <w:tcW w:w="1701" w:type="dxa"/>
          </w:tcPr>
          <w:p w14:paraId="75626C0E" w14:textId="3FC3BBF7"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bCs/>
                <w:color w:val="000000"/>
                <w:lang w:eastAsia="en-NZ" w:bidi="en-US"/>
              </w:rPr>
              <w:t>Cultural</w:t>
            </w:r>
            <w:r w:rsidRPr="00472578">
              <w:rPr>
                <w:rFonts w:ascii="Calibri" w:eastAsia="Times New Roman" w:hAnsi="Calibri" w:cs="Arial"/>
                <w:b/>
                <w:color w:val="000000"/>
                <w:u w:val="single"/>
                <w:lang w:eastAsia="en-NZ" w:bidi="en-US"/>
              </w:rPr>
              <w:t xml:space="preserve"> value</w:t>
            </w:r>
          </w:p>
        </w:tc>
        <w:tc>
          <w:tcPr>
            <w:tcW w:w="7088" w:type="dxa"/>
          </w:tcPr>
          <w:p w14:paraId="5BD85882" w14:textId="77777777" w:rsidR="009A45CE" w:rsidRPr="00472578" w:rsidRDefault="009A45CE" w:rsidP="00E92686">
            <w:pPr>
              <w:autoSpaceDE w:val="0"/>
              <w:autoSpaceDN w:val="0"/>
              <w:adjustRightInd w:val="0"/>
              <w:spacing w:before="60" w:after="60" w:line="240" w:lineRule="auto"/>
              <w:jc w:val="both"/>
            </w:pPr>
            <w:r w:rsidRPr="00472578">
              <w:t>The place reflects significant aspects of an identifiable culture and it can be demonstrated that the place is valued by the associated cultural group as an important or representative expression of that culture.</w:t>
            </w:r>
          </w:p>
          <w:p w14:paraId="15C86425"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6DFA48ED" w14:textId="77777777" w:rsidTr="00E722D4">
        <w:tc>
          <w:tcPr>
            <w:tcW w:w="1701" w:type="dxa"/>
          </w:tcPr>
          <w:p w14:paraId="5265028C" w14:textId="3B2645B1"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bCs/>
                <w:color w:val="000000"/>
                <w:lang w:eastAsia="en-NZ" w:bidi="en-US"/>
              </w:rPr>
              <w:t>Historic</w:t>
            </w:r>
            <w:r w:rsidRPr="00472578">
              <w:rPr>
                <w:rFonts w:ascii="Calibri" w:eastAsia="Times New Roman" w:hAnsi="Calibri" w:cs="Arial"/>
                <w:b/>
                <w:color w:val="000000"/>
                <w:u w:val="single"/>
                <w:lang w:eastAsia="en-NZ" w:bidi="en-US"/>
              </w:rPr>
              <w:t xml:space="preserve"> value</w:t>
            </w:r>
          </w:p>
        </w:tc>
        <w:tc>
          <w:tcPr>
            <w:tcW w:w="7088" w:type="dxa"/>
          </w:tcPr>
          <w:p w14:paraId="081F8363" w14:textId="77777777" w:rsidR="009A45CE" w:rsidRPr="00472578" w:rsidRDefault="009A45CE" w:rsidP="00E92686">
            <w:pPr>
              <w:autoSpaceDE w:val="0"/>
              <w:autoSpaceDN w:val="0"/>
              <w:adjustRightInd w:val="0"/>
              <w:spacing w:before="60" w:after="60" w:line="240" w:lineRule="auto"/>
              <w:jc w:val="both"/>
            </w:pPr>
            <w:r w:rsidRPr="00472578">
              <w:t>The place contributes to the understanding of a significant aspect of New Zealand history and has characteristics making it particularly useful for enhancing understanding of this aspect of history, especially when compared to other similar places.</w:t>
            </w:r>
          </w:p>
          <w:p w14:paraId="3C002E3A"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36E17A4B" w14:textId="77777777" w:rsidTr="00E722D4">
        <w:tc>
          <w:tcPr>
            <w:tcW w:w="1701" w:type="dxa"/>
          </w:tcPr>
          <w:p w14:paraId="35CC8E7B" w14:textId="33D9873F"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bCs/>
                <w:color w:val="000000"/>
                <w:lang w:eastAsia="en-NZ" w:bidi="en-US"/>
              </w:rPr>
              <w:t>Scientific</w:t>
            </w:r>
            <w:r w:rsidRPr="00472578">
              <w:rPr>
                <w:rFonts w:ascii="Calibri" w:eastAsia="Times New Roman" w:hAnsi="Calibri" w:cs="Arial"/>
                <w:b/>
                <w:color w:val="000000"/>
                <w:u w:val="single"/>
                <w:lang w:eastAsia="en-NZ" w:bidi="en-US"/>
              </w:rPr>
              <w:t xml:space="preserve"> </w:t>
            </w:r>
            <w:r w:rsidR="00405B72" w:rsidRPr="00472578">
              <w:rPr>
                <w:rFonts w:ascii="Calibri" w:eastAsia="Times New Roman" w:hAnsi="Calibri" w:cs="Arial"/>
                <w:b/>
                <w:color w:val="000000"/>
                <w:u w:val="single"/>
                <w:lang w:eastAsia="en-NZ" w:bidi="en-US"/>
              </w:rPr>
              <w:t>value</w:t>
            </w:r>
          </w:p>
        </w:tc>
        <w:tc>
          <w:tcPr>
            <w:tcW w:w="7088" w:type="dxa"/>
          </w:tcPr>
          <w:p w14:paraId="0382CB32" w14:textId="77777777" w:rsidR="009A45CE" w:rsidRPr="00472578" w:rsidRDefault="009A45CE" w:rsidP="00E92686">
            <w:pPr>
              <w:autoSpaceDE w:val="0"/>
              <w:autoSpaceDN w:val="0"/>
              <w:adjustRightInd w:val="0"/>
              <w:spacing w:before="60" w:after="60" w:line="240" w:lineRule="auto"/>
              <w:jc w:val="both"/>
            </w:pPr>
            <w:r w:rsidRPr="00472578">
              <w:t>The place includes, or is demonstrably likely to include, fabric expected to be of significance in answering research questions or a new or important source of information about an aspect of New Zealand’s cultural or historical past through the use of specified scientific methods of enquiry.</w:t>
            </w:r>
          </w:p>
          <w:p w14:paraId="4BB9EDB8"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311C127C" w14:textId="77777777" w:rsidTr="00E722D4">
        <w:tc>
          <w:tcPr>
            <w:tcW w:w="1701" w:type="dxa"/>
          </w:tcPr>
          <w:p w14:paraId="031D6FE8" w14:textId="5BAA0F94"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color w:val="000000"/>
                <w:lang w:eastAsia="en-NZ" w:bidi="en-US"/>
              </w:rPr>
              <w:t>Social</w:t>
            </w:r>
            <w:r w:rsidRPr="00472578">
              <w:rPr>
                <w:rFonts w:ascii="Calibri" w:eastAsia="Times New Roman" w:hAnsi="Calibri" w:cs="Arial"/>
                <w:b/>
                <w:color w:val="000000"/>
                <w:u w:val="single"/>
                <w:lang w:eastAsia="en-NZ" w:bidi="en-US"/>
              </w:rPr>
              <w:t xml:space="preserve"> value</w:t>
            </w:r>
          </w:p>
        </w:tc>
        <w:tc>
          <w:tcPr>
            <w:tcW w:w="7088" w:type="dxa"/>
          </w:tcPr>
          <w:p w14:paraId="1B5AD6E6" w14:textId="77777777" w:rsidR="009A45CE" w:rsidRPr="00472578" w:rsidRDefault="009A45CE" w:rsidP="00E92686">
            <w:pPr>
              <w:autoSpaceDE w:val="0"/>
              <w:autoSpaceDN w:val="0"/>
              <w:adjustRightInd w:val="0"/>
              <w:spacing w:before="60" w:after="60" w:line="240" w:lineRule="auto"/>
              <w:jc w:val="both"/>
            </w:pPr>
            <w:r w:rsidRPr="00472578">
              <w:t xml:space="preserve">The place has a clearly associated community that developed because of the place, and its special characteristics. The community has demonstrated that </w:t>
            </w:r>
            <w:r w:rsidRPr="00472578">
              <w:lastRenderedPageBreak/>
              <w:t>it values the place to a significant degree because it brings its members together, and they might be expected to feel a collective sense of loss if they were no longer able to use, see, experience or interact with the place.</w:t>
            </w:r>
          </w:p>
          <w:p w14:paraId="06F2F134"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613C547E" w14:textId="77777777" w:rsidTr="00E722D4">
        <w:tc>
          <w:tcPr>
            <w:tcW w:w="1701" w:type="dxa"/>
          </w:tcPr>
          <w:p w14:paraId="1CFDFA89" w14:textId="6C8A373D"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color w:val="000000"/>
                <w:lang w:eastAsia="en-NZ" w:bidi="en-US"/>
              </w:rPr>
              <w:lastRenderedPageBreak/>
              <w:t>Spiritual</w:t>
            </w:r>
            <w:r w:rsidRPr="00472578">
              <w:rPr>
                <w:rFonts w:ascii="Calibri" w:eastAsia="Times New Roman" w:hAnsi="Calibri" w:cs="Arial"/>
                <w:b/>
                <w:color w:val="000000"/>
                <w:u w:val="single"/>
                <w:lang w:eastAsia="en-NZ" w:bidi="en-US"/>
              </w:rPr>
              <w:t xml:space="preserve"> value</w:t>
            </w:r>
          </w:p>
        </w:tc>
        <w:tc>
          <w:tcPr>
            <w:tcW w:w="7088" w:type="dxa"/>
          </w:tcPr>
          <w:p w14:paraId="56812B4A" w14:textId="77777777" w:rsidR="009A45CE" w:rsidRPr="00472578" w:rsidRDefault="009A45CE" w:rsidP="00E92686">
            <w:pPr>
              <w:autoSpaceDE w:val="0"/>
              <w:autoSpaceDN w:val="0"/>
              <w:adjustRightInd w:val="0"/>
              <w:spacing w:before="60" w:after="60" w:line="240" w:lineRule="auto"/>
              <w:jc w:val="both"/>
            </w:pPr>
            <w:r w:rsidRPr="00472578">
              <w:t>The place is associated with a community or group who value the place for its religious, mystical or sacred meaning, association or symbolism. The community or group regard the place with reverence, veneration and respect, and they might be expected to feel a collective sense of loss if they were no longer able to use, see, experience or interact with the place.</w:t>
            </w:r>
          </w:p>
          <w:p w14:paraId="3466A7B3"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1DCC35FA" w14:textId="77777777" w:rsidTr="00E722D4">
        <w:tc>
          <w:tcPr>
            <w:tcW w:w="1701" w:type="dxa"/>
          </w:tcPr>
          <w:p w14:paraId="62825723" w14:textId="3E415C99"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bCs/>
                <w:color w:val="000000"/>
                <w:lang w:eastAsia="en-NZ" w:bidi="en-US"/>
              </w:rPr>
              <w:t>Technological</w:t>
            </w:r>
            <w:r w:rsidRPr="00472578">
              <w:rPr>
                <w:rFonts w:ascii="Calibri" w:eastAsia="Times New Roman" w:hAnsi="Calibri" w:cs="Arial"/>
                <w:b/>
                <w:color w:val="000000"/>
                <w:u w:val="single"/>
                <w:lang w:eastAsia="en-NZ" w:bidi="en-US"/>
              </w:rPr>
              <w:t xml:space="preserve"> value</w:t>
            </w:r>
          </w:p>
        </w:tc>
        <w:tc>
          <w:tcPr>
            <w:tcW w:w="7088" w:type="dxa"/>
          </w:tcPr>
          <w:p w14:paraId="3D55D319" w14:textId="77777777" w:rsidR="009A45CE" w:rsidRPr="00472578" w:rsidRDefault="009A45CE" w:rsidP="00E92686">
            <w:pPr>
              <w:autoSpaceDE w:val="0"/>
              <w:autoSpaceDN w:val="0"/>
              <w:adjustRightInd w:val="0"/>
              <w:spacing w:before="60" w:after="60" w:line="240" w:lineRule="auto"/>
              <w:jc w:val="both"/>
            </w:pPr>
            <w:r w:rsidRPr="00472578">
              <w:t xml:space="preserve">The place includes physical evidence of a technological advance or method that was widely adopted, particularly innovative, or which made a significant contribution to New Zealand history </w:t>
            </w:r>
          </w:p>
          <w:p w14:paraId="209049D0" w14:textId="77777777" w:rsidR="009A45CE" w:rsidRPr="00472578" w:rsidRDefault="009A45CE" w:rsidP="00E92686">
            <w:pPr>
              <w:autoSpaceDE w:val="0"/>
              <w:autoSpaceDN w:val="0"/>
              <w:adjustRightInd w:val="0"/>
              <w:spacing w:before="60" w:after="60" w:line="240" w:lineRule="auto"/>
              <w:jc w:val="both"/>
            </w:pPr>
            <w:r w:rsidRPr="00472578">
              <w:t xml:space="preserve">OR </w:t>
            </w:r>
          </w:p>
          <w:p w14:paraId="5A6C8155" w14:textId="77777777" w:rsidR="009A45CE" w:rsidRPr="00472578" w:rsidRDefault="009A45CE" w:rsidP="00E92686">
            <w:pPr>
              <w:autoSpaceDE w:val="0"/>
              <w:autoSpaceDN w:val="0"/>
              <w:adjustRightInd w:val="0"/>
              <w:spacing w:before="60" w:after="60" w:line="240" w:lineRule="auto"/>
              <w:jc w:val="both"/>
            </w:pPr>
            <w:r w:rsidRPr="00472578">
              <w:t>The place reflects significant technical accomplishment in comparison with other similar examples or, in the view of experts or practitioners in the field, has characteristics making the place particularly able to contribute towards our understanding of this technology.</w:t>
            </w:r>
          </w:p>
          <w:p w14:paraId="0FAA92BE"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p>
        </w:tc>
      </w:tr>
      <w:tr w:rsidR="009A45CE" w:rsidRPr="00472578" w14:paraId="4A281AAE" w14:textId="77777777" w:rsidTr="00E722D4">
        <w:tc>
          <w:tcPr>
            <w:tcW w:w="1701" w:type="dxa"/>
          </w:tcPr>
          <w:p w14:paraId="3E3F7F14" w14:textId="065F4FB3" w:rsidR="009A45CE" w:rsidRPr="00472578" w:rsidRDefault="009A45CE" w:rsidP="00E92686">
            <w:pPr>
              <w:spacing w:before="60" w:after="60" w:line="240" w:lineRule="auto"/>
              <w:ind w:left="-105"/>
              <w:jc w:val="both"/>
              <w:rPr>
                <w:rFonts w:ascii="Calibri" w:eastAsia="Times New Roman" w:hAnsi="Calibri" w:cs="Arial"/>
                <w:b/>
                <w:bCs/>
                <w:color w:val="000000"/>
                <w:lang w:eastAsia="en-NZ" w:bidi="en-US"/>
              </w:rPr>
            </w:pPr>
            <w:r w:rsidRPr="00472578">
              <w:rPr>
                <w:rFonts w:ascii="Calibri" w:eastAsia="Times New Roman" w:hAnsi="Calibri" w:cs="Arial"/>
                <w:b/>
                <w:color w:val="000000"/>
                <w:lang w:eastAsia="en-NZ" w:bidi="en-US"/>
              </w:rPr>
              <w:t>Traditional</w:t>
            </w:r>
            <w:r w:rsidRPr="00472578">
              <w:rPr>
                <w:rFonts w:ascii="Calibri" w:eastAsia="Times New Roman" w:hAnsi="Calibri" w:cs="Arial"/>
                <w:b/>
                <w:color w:val="000000"/>
                <w:u w:val="single"/>
                <w:lang w:eastAsia="en-NZ" w:bidi="en-US"/>
              </w:rPr>
              <w:t xml:space="preserve"> value</w:t>
            </w:r>
            <w:r w:rsidRPr="00472578">
              <w:rPr>
                <w:rStyle w:val="FootnoteReference"/>
                <w:i/>
                <w:iCs/>
              </w:rPr>
              <w:footnoteReference w:id="1555"/>
            </w:r>
          </w:p>
        </w:tc>
        <w:tc>
          <w:tcPr>
            <w:tcW w:w="7088" w:type="dxa"/>
          </w:tcPr>
          <w:p w14:paraId="24FAF224" w14:textId="77777777" w:rsidR="009A45CE" w:rsidRPr="00472578" w:rsidRDefault="009A45CE" w:rsidP="00E92686">
            <w:pPr>
              <w:autoSpaceDE w:val="0"/>
              <w:autoSpaceDN w:val="0"/>
              <w:adjustRightInd w:val="0"/>
              <w:spacing w:before="60" w:after="60" w:line="240" w:lineRule="auto"/>
              <w:jc w:val="both"/>
              <w:rPr>
                <w:rFonts w:ascii="Calibri" w:eastAsia="Calibri" w:hAnsi="Calibri" w:cs="Calibri"/>
              </w:rPr>
            </w:pPr>
            <w:r w:rsidRPr="00472578">
              <w:t>The place reflects a tradition that has been passed down by a community or culture for a long period, usually generations and especially since before living memory, and has characteristics reflecting important or representative aspects of this tradition to a significant extent.</w:t>
            </w:r>
          </w:p>
        </w:tc>
      </w:tr>
    </w:tbl>
    <w:p w14:paraId="7F94699C" w14:textId="77777777" w:rsidR="009A45CE" w:rsidRPr="00472578" w:rsidRDefault="009A45CE" w:rsidP="00E92686">
      <w:pPr>
        <w:pStyle w:val="JustifiedSpacing"/>
      </w:pPr>
      <w:r w:rsidRPr="00472578">
        <w:t xml:space="preserve"> </w:t>
      </w:r>
    </w:p>
    <w:p w14:paraId="7BA49528" w14:textId="77777777" w:rsidR="009A45CE" w:rsidRPr="00472578" w:rsidRDefault="009A45CE" w:rsidP="00E92686">
      <w:pPr>
        <w:pStyle w:val="JustifiedSpacing"/>
      </w:pPr>
      <w:r w:rsidRPr="00472578">
        <w:t xml:space="preserve">The significance of areas and places with </w:t>
      </w:r>
      <w:r w:rsidRPr="00472578">
        <w:rPr>
          <w:i/>
        </w:rPr>
        <w:t>historic heritage</w:t>
      </w:r>
      <w:r w:rsidRPr="00472578">
        <w:t xml:space="preserve"> will be assessed having regard to the following criteria:</w:t>
      </w:r>
      <w:r w:rsidRPr="00472578" w:rsidDel="00563A72">
        <w:t xml:space="preserve"> </w:t>
      </w:r>
    </w:p>
    <w:p w14:paraId="73FB19BD" w14:textId="77777777" w:rsidR="009A45CE" w:rsidRPr="00472578" w:rsidRDefault="009A45CE" w:rsidP="00E92686">
      <w:pPr>
        <w:pStyle w:val="JustifiedSpacing"/>
        <w:ind w:left="567" w:hanging="567"/>
      </w:pPr>
      <w:r w:rsidRPr="00472578">
        <w:t>(1)</w:t>
      </w:r>
      <w:r w:rsidRPr="00472578">
        <w:tab/>
        <w:t xml:space="preserve">the extent to which the place reflects important or representative aspects of Otago or New Zealand history, </w:t>
      </w:r>
    </w:p>
    <w:p w14:paraId="03174B65" w14:textId="77777777" w:rsidR="009A45CE" w:rsidRPr="00472578" w:rsidRDefault="009A45CE" w:rsidP="00E92686">
      <w:pPr>
        <w:pStyle w:val="JustifiedSpacing"/>
        <w:ind w:left="567" w:hanging="567"/>
      </w:pPr>
      <w:r w:rsidRPr="00472578">
        <w:t>(2)</w:t>
      </w:r>
      <w:r w:rsidRPr="00472578">
        <w:tab/>
        <w:t xml:space="preserve">the association of the place with events, persons, or ideas of importance in Otago or New Zealand history, </w:t>
      </w:r>
    </w:p>
    <w:p w14:paraId="2FB40C2D" w14:textId="77777777" w:rsidR="009A45CE" w:rsidRPr="00472578" w:rsidRDefault="009A45CE" w:rsidP="00E92686">
      <w:pPr>
        <w:pStyle w:val="JustifiedSpacing"/>
        <w:ind w:left="567" w:hanging="567"/>
      </w:pPr>
      <w:r w:rsidRPr="00472578">
        <w:t>(3)</w:t>
      </w:r>
      <w:r w:rsidRPr="00472578">
        <w:tab/>
        <w:t xml:space="preserve">the potential of the place to provide knowledge of Otago or New Zealand history, </w:t>
      </w:r>
    </w:p>
    <w:p w14:paraId="2943F3D1" w14:textId="77777777" w:rsidR="009A45CE" w:rsidRPr="00472578" w:rsidRDefault="009A45CE" w:rsidP="00E92686">
      <w:pPr>
        <w:pStyle w:val="JustifiedSpacing"/>
        <w:ind w:left="567" w:hanging="567"/>
      </w:pPr>
      <w:r w:rsidRPr="00472578">
        <w:t>(4)</w:t>
      </w:r>
      <w:r w:rsidRPr="00472578">
        <w:tab/>
        <w:t xml:space="preserve">the importance of the place to </w:t>
      </w:r>
      <w:r w:rsidRPr="00472578">
        <w:rPr>
          <w:i/>
        </w:rPr>
        <w:t>takata whenua</w:t>
      </w:r>
      <w:r w:rsidRPr="00472578">
        <w:t xml:space="preserve">, </w:t>
      </w:r>
    </w:p>
    <w:p w14:paraId="2EED5EC3" w14:textId="77777777" w:rsidR="009A45CE" w:rsidRPr="00472578" w:rsidRDefault="009A45CE" w:rsidP="00E92686">
      <w:pPr>
        <w:pStyle w:val="JustifiedSpacing"/>
        <w:ind w:left="567" w:hanging="567"/>
      </w:pPr>
      <w:r w:rsidRPr="00472578">
        <w:t>(5)</w:t>
      </w:r>
      <w:r w:rsidRPr="00472578">
        <w:tab/>
        <w:t xml:space="preserve">the community association with, or public esteem for, the place, </w:t>
      </w:r>
    </w:p>
    <w:p w14:paraId="63591D67" w14:textId="77777777" w:rsidR="009A45CE" w:rsidRPr="00472578" w:rsidRDefault="009A45CE" w:rsidP="00E92686">
      <w:pPr>
        <w:pStyle w:val="JustifiedSpacing"/>
        <w:ind w:left="567" w:hanging="567"/>
      </w:pPr>
      <w:r w:rsidRPr="00472578">
        <w:t>(6)</w:t>
      </w:r>
      <w:r w:rsidRPr="00472578">
        <w:tab/>
        <w:t xml:space="preserve">the potential of the place for public education, </w:t>
      </w:r>
    </w:p>
    <w:p w14:paraId="6CC9EBF4" w14:textId="77777777" w:rsidR="009A45CE" w:rsidRPr="00472578" w:rsidRDefault="009A45CE" w:rsidP="00E92686">
      <w:pPr>
        <w:pStyle w:val="JustifiedSpacing"/>
        <w:ind w:left="567" w:hanging="567"/>
      </w:pPr>
      <w:r w:rsidRPr="00472578">
        <w:t>(7)</w:t>
      </w:r>
      <w:r w:rsidRPr="00472578">
        <w:tab/>
        <w:t xml:space="preserve">the technical accomplishment, value, or design of the place, </w:t>
      </w:r>
    </w:p>
    <w:p w14:paraId="196DF34B" w14:textId="77777777" w:rsidR="009A45CE" w:rsidRPr="00472578" w:rsidRDefault="009A45CE" w:rsidP="00E92686">
      <w:pPr>
        <w:pStyle w:val="JustifiedSpacing"/>
        <w:ind w:left="567" w:hanging="567"/>
      </w:pPr>
      <w:r w:rsidRPr="00472578">
        <w:t>(8)</w:t>
      </w:r>
      <w:r w:rsidRPr="00472578">
        <w:tab/>
        <w:t xml:space="preserve">the symbolic or commemorative value of the place, </w:t>
      </w:r>
    </w:p>
    <w:p w14:paraId="2A1B3D45" w14:textId="77777777" w:rsidR="009A45CE" w:rsidRPr="00472578" w:rsidRDefault="009A45CE" w:rsidP="00E92686">
      <w:pPr>
        <w:pStyle w:val="JustifiedSpacing"/>
        <w:ind w:left="567" w:hanging="567"/>
      </w:pPr>
      <w:r w:rsidRPr="00472578">
        <w:t>(9)</w:t>
      </w:r>
      <w:r w:rsidRPr="00472578">
        <w:tab/>
        <w:t xml:space="preserve">the importance of identifying historic places known to date from an early period of Otago’s or New Zealand’s settlement, </w:t>
      </w:r>
    </w:p>
    <w:p w14:paraId="720A3C4E" w14:textId="77777777" w:rsidR="009A45CE" w:rsidRPr="00472578" w:rsidRDefault="009A45CE" w:rsidP="00E92686">
      <w:pPr>
        <w:pStyle w:val="JustifiedSpacing"/>
        <w:ind w:left="567" w:hanging="567"/>
      </w:pPr>
      <w:r w:rsidRPr="00472578">
        <w:t>(10)</w:t>
      </w:r>
      <w:r w:rsidRPr="00472578">
        <w:tab/>
        <w:t xml:space="preserve">the importance of identifying rare types of historic places, and </w:t>
      </w:r>
    </w:p>
    <w:p w14:paraId="0DB87E0A" w14:textId="0574FCCE" w:rsidR="009A45CE" w:rsidRPr="00472578" w:rsidRDefault="009A45CE" w:rsidP="00E92686">
      <w:pPr>
        <w:pStyle w:val="JustifiedSpacing"/>
        <w:ind w:left="567" w:hanging="567"/>
      </w:pPr>
      <w:r w:rsidRPr="00472578">
        <w:lastRenderedPageBreak/>
        <w:t>(11)</w:t>
      </w:r>
      <w:r w:rsidRPr="00472578">
        <w:tab/>
        <w:t>the extent to which the place forms part of a wider historical and cultural area.</w:t>
      </w:r>
    </w:p>
    <w:p w14:paraId="79C8094A" w14:textId="77777777" w:rsidR="009A45CE" w:rsidRPr="00472578" w:rsidRDefault="009A45CE" w:rsidP="00E92686">
      <w:pPr>
        <w:pStyle w:val="Paragraphs"/>
        <w:numPr>
          <w:ilvl w:val="0"/>
          <w:numId w:val="0"/>
        </w:numPr>
        <w:ind w:left="1134"/>
        <w:jc w:val="both"/>
      </w:pPr>
    </w:p>
    <w:p w14:paraId="48407588" w14:textId="77777777" w:rsidR="009A45CE" w:rsidRPr="00472578" w:rsidRDefault="009A45CE" w:rsidP="00E92686">
      <w:pPr>
        <w:jc w:val="both"/>
        <w:rPr>
          <w:rFonts w:eastAsiaTheme="majorEastAsia" w:cstheme="majorBidi"/>
          <w:b/>
          <w:color w:val="1F3864" w:themeColor="accent1" w:themeShade="80"/>
          <w:sz w:val="28"/>
          <w:szCs w:val="24"/>
        </w:rPr>
      </w:pPr>
      <w:r w:rsidRPr="00472578">
        <w:br w:type="page"/>
      </w:r>
    </w:p>
    <w:p w14:paraId="0A195CEA" w14:textId="4CE354FE" w:rsidR="009A45CE" w:rsidRPr="00472578" w:rsidRDefault="009A45CE" w:rsidP="00E92686">
      <w:pPr>
        <w:pStyle w:val="Heading3"/>
        <w:jc w:val="both"/>
      </w:pPr>
      <w:r w:rsidRPr="00472578">
        <w:lastRenderedPageBreak/>
        <w:t>APP9 – Identification criteria for outstanding and highly valued natural features</w:t>
      </w:r>
      <w:r w:rsidRPr="00472578">
        <w:rPr>
          <w:strike/>
        </w:rPr>
        <w:t>,</w:t>
      </w:r>
      <w:r w:rsidRPr="00472578">
        <w:t xml:space="preserve"> </w:t>
      </w:r>
      <w:r w:rsidRPr="00472578">
        <w:rPr>
          <w:u w:val="single"/>
        </w:rPr>
        <w:t>and</w:t>
      </w:r>
      <w:r w:rsidRPr="00472578">
        <w:t xml:space="preserve"> landscapes </w:t>
      </w:r>
      <w:r w:rsidRPr="00472578">
        <w:rPr>
          <w:strike/>
        </w:rPr>
        <w:t>and seascapes</w:t>
      </w:r>
      <w:r w:rsidRPr="00472578">
        <w:rPr>
          <w:rStyle w:val="FootnoteReference"/>
          <w:b w:val="0"/>
          <w:bCs/>
          <w:color w:val="auto"/>
        </w:rPr>
        <w:footnoteReference w:id="1556"/>
      </w:r>
    </w:p>
    <w:p w14:paraId="0A0E2865" w14:textId="77777777" w:rsidR="009A45CE" w:rsidRPr="00472578" w:rsidRDefault="009A45CE" w:rsidP="00E92686">
      <w:pPr>
        <w:jc w:val="both"/>
        <w:rPr>
          <w:rFonts w:ascii="Calibri" w:eastAsia="Calibri" w:hAnsi="Calibri" w:cs="Times New Roman"/>
        </w:rPr>
      </w:pPr>
      <w:r w:rsidRPr="00472578">
        <w:rPr>
          <w:rFonts w:ascii="Calibri" w:eastAsia="Calibri" w:hAnsi="Calibri" w:cs="Times New Roman"/>
        </w:rPr>
        <w:t>The areas and the values of outstanding and highly valued natural features</w:t>
      </w:r>
      <w:r w:rsidRPr="00472578">
        <w:rPr>
          <w:rFonts w:ascii="Calibri" w:eastAsia="Calibri" w:hAnsi="Calibri" w:cs="Times New Roman"/>
          <w:strike/>
        </w:rPr>
        <w:t>,</w:t>
      </w:r>
      <w:r w:rsidRPr="00472578">
        <w:rPr>
          <w:rFonts w:ascii="Calibri" w:eastAsia="Calibri" w:hAnsi="Calibri" w:cs="Times New Roman"/>
        </w:rPr>
        <w:t xml:space="preserve"> </w:t>
      </w:r>
      <w:r w:rsidRPr="00472578">
        <w:rPr>
          <w:rFonts w:ascii="Calibri" w:eastAsia="Calibri" w:hAnsi="Calibri" w:cs="Times New Roman"/>
          <w:u w:val="single"/>
        </w:rPr>
        <w:t>and</w:t>
      </w:r>
      <w:r w:rsidRPr="00472578">
        <w:rPr>
          <w:rFonts w:ascii="Calibri" w:eastAsia="Calibri" w:hAnsi="Calibri" w:cs="Times New Roman"/>
        </w:rPr>
        <w:t xml:space="preserve"> landscapes </w:t>
      </w:r>
      <w:r w:rsidRPr="00472578">
        <w:rPr>
          <w:rFonts w:ascii="Calibri" w:eastAsia="Calibri" w:hAnsi="Calibri" w:cs="Times New Roman"/>
          <w:strike/>
        </w:rPr>
        <w:t>and seascapes</w:t>
      </w:r>
      <w:r w:rsidRPr="00472578">
        <w:rPr>
          <w:rStyle w:val="FootnoteReference"/>
          <w:rFonts w:ascii="Calibri" w:eastAsia="Calibri" w:hAnsi="Calibri" w:cs="Times New Roman"/>
        </w:rPr>
        <w:footnoteReference w:id="1557"/>
      </w:r>
      <w:r w:rsidRPr="00472578">
        <w:rPr>
          <w:rFonts w:ascii="Calibri" w:eastAsia="Calibri" w:hAnsi="Calibri" w:cs="Times New Roman"/>
        </w:rPr>
        <w:t xml:space="preserve"> are identified using the following attributes:</w:t>
      </w:r>
    </w:p>
    <w:tbl>
      <w:tblPr>
        <w:tblStyle w:val="TableGrid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6331"/>
      </w:tblGrid>
      <w:tr w:rsidR="009A45CE" w:rsidRPr="00472578" w14:paraId="7D3DADE7" w14:textId="77777777" w:rsidTr="00E722D4">
        <w:tc>
          <w:tcPr>
            <w:tcW w:w="2624" w:type="dxa"/>
            <w:hideMark/>
          </w:tcPr>
          <w:p w14:paraId="5C3064AF" w14:textId="77777777" w:rsidR="009A45CE" w:rsidRPr="00472578" w:rsidRDefault="009A45CE" w:rsidP="00E92686">
            <w:pPr>
              <w:spacing w:after="160"/>
              <w:ind w:left="37" w:hanging="142"/>
              <w:jc w:val="both"/>
              <w:rPr>
                <w:b/>
                <w:bCs/>
              </w:rPr>
            </w:pPr>
            <w:r w:rsidRPr="00472578">
              <w:rPr>
                <w:b/>
                <w:bCs/>
              </w:rPr>
              <w:t>Physical attributes</w:t>
            </w:r>
          </w:p>
        </w:tc>
        <w:tc>
          <w:tcPr>
            <w:tcW w:w="6331" w:type="dxa"/>
            <w:hideMark/>
          </w:tcPr>
          <w:p w14:paraId="47937E0B" w14:textId="77777777" w:rsidR="009A45CE" w:rsidRPr="00472578" w:rsidRDefault="009A45CE" w:rsidP="00E92686">
            <w:pPr>
              <w:spacing w:after="160"/>
              <w:ind w:left="454" w:hanging="454"/>
              <w:jc w:val="both"/>
            </w:pPr>
            <w:r w:rsidRPr="00472578">
              <w:t xml:space="preserve">(a) </w:t>
            </w:r>
            <w:r w:rsidRPr="00472578">
              <w:tab/>
              <w:t>Natural science factors, including geological, topographical, ecological and dynamic components.</w:t>
            </w:r>
          </w:p>
          <w:p w14:paraId="00573821" w14:textId="77777777" w:rsidR="009A45CE" w:rsidRPr="00472578" w:rsidRDefault="009A45CE" w:rsidP="00E92686">
            <w:pPr>
              <w:spacing w:after="160"/>
              <w:ind w:left="454" w:hanging="454"/>
              <w:jc w:val="both"/>
            </w:pPr>
            <w:r w:rsidRPr="00472578">
              <w:t xml:space="preserve">(b) </w:t>
            </w:r>
            <w:r w:rsidRPr="00472578">
              <w:tab/>
              <w:t xml:space="preserve">The presence of </w:t>
            </w:r>
            <w:r w:rsidRPr="00472578">
              <w:rPr>
                <w:i/>
                <w:iCs/>
              </w:rPr>
              <w:t>water</w:t>
            </w:r>
            <w:r w:rsidRPr="00472578">
              <w:t xml:space="preserve"> including in seas, </w:t>
            </w:r>
            <w:r w:rsidRPr="00472578">
              <w:rPr>
                <w:i/>
                <w:iCs/>
              </w:rPr>
              <w:t>lakes</w:t>
            </w:r>
            <w:r w:rsidRPr="00472578">
              <w:t xml:space="preserve">, </w:t>
            </w:r>
            <w:r w:rsidRPr="00472578">
              <w:rPr>
                <w:i/>
                <w:iCs/>
              </w:rPr>
              <w:t>rivers</w:t>
            </w:r>
            <w:r w:rsidRPr="00472578">
              <w:t xml:space="preserve"> and streams.</w:t>
            </w:r>
          </w:p>
          <w:p w14:paraId="2D10EC15" w14:textId="77777777" w:rsidR="009A45CE" w:rsidRPr="00472578" w:rsidRDefault="009A45CE" w:rsidP="00E92686">
            <w:pPr>
              <w:spacing w:after="160"/>
              <w:ind w:left="454" w:hanging="454"/>
              <w:jc w:val="both"/>
            </w:pPr>
            <w:r w:rsidRPr="00472578">
              <w:t xml:space="preserve">(c) </w:t>
            </w:r>
            <w:r w:rsidRPr="00472578">
              <w:tab/>
              <w:t>Vegetation (native and exotic).</w:t>
            </w:r>
          </w:p>
        </w:tc>
      </w:tr>
      <w:tr w:rsidR="009A45CE" w:rsidRPr="00472578" w14:paraId="622B0069" w14:textId="77777777" w:rsidTr="00E722D4">
        <w:tc>
          <w:tcPr>
            <w:tcW w:w="2624" w:type="dxa"/>
            <w:hideMark/>
          </w:tcPr>
          <w:p w14:paraId="4245820F" w14:textId="77777777" w:rsidR="009A45CE" w:rsidRPr="00472578" w:rsidRDefault="009A45CE" w:rsidP="00E92686">
            <w:pPr>
              <w:spacing w:after="160"/>
              <w:ind w:left="313" w:hanging="418"/>
              <w:jc w:val="both"/>
              <w:rPr>
                <w:b/>
                <w:bCs/>
              </w:rPr>
            </w:pPr>
            <w:r w:rsidRPr="00472578">
              <w:rPr>
                <w:b/>
                <w:bCs/>
              </w:rPr>
              <w:t>Sensory attributes</w:t>
            </w:r>
          </w:p>
        </w:tc>
        <w:tc>
          <w:tcPr>
            <w:tcW w:w="6331" w:type="dxa"/>
            <w:hideMark/>
          </w:tcPr>
          <w:p w14:paraId="7F9B5F20" w14:textId="77777777" w:rsidR="009A45CE" w:rsidRPr="00472578" w:rsidRDefault="009A45CE" w:rsidP="00E92686">
            <w:pPr>
              <w:spacing w:after="160"/>
              <w:ind w:left="456" w:hanging="456"/>
              <w:jc w:val="both"/>
            </w:pPr>
            <w:r w:rsidRPr="00472578">
              <w:t xml:space="preserve">(d) </w:t>
            </w:r>
            <w:r w:rsidRPr="00472578">
              <w:tab/>
              <w:t>Legibility or expressiveness – how obviously the feature</w:t>
            </w:r>
            <w:r w:rsidRPr="00472578">
              <w:rPr>
                <w:strike/>
              </w:rPr>
              <w:t>,</w:t>
            </w:r>
            <w:r w:rsidRPr="00472578">
              <w:t xml:space="preserve"> </w:t>
            </w:r>
            <w:r w:rsidRPr="00472578">
              <w:rPr>
                <w:u w:val="single"/>
              </w:rPr>
              <w:t>or</w:t>
            </w:r>
            <w:r w:rsidRPr="00472578">
              <w:t xml:space="preserve"> landscape </w:t>
            </w:r>
            <w:r w:rsidRPr="00472578">
              <w:rPr>
                <w:strike/>
              </w:rPr>
              <w:t>or seascape</w:t>
            </w:r>
            <w:r w:rsidRPr="00472578">
              <w:rPr>
                <w:rStyle w:val="FootnoteReference"/>
              </w:rPr>
              <w:footnoteReference w:id="1558"/>
            </w:r>
            <w:r w:rsidRPr="00472578">
              <w:t xml:space="preserve"> demonstrates its formative processes.</w:t>
            </w:r>
          </w:p>
          <w:p w14:paraId="069D3B20" w14:textId="77777777" w:rsidR="009A45CE" w:rsidRPr="00472578" w:rsidRDefault="009A45CE" w:rsidP="00E92686">
            <w:pPr>
              <w:spacing w:after="160"/>
              <w:ind w:left="456" w:hanging="456"/>
              <w:jc w:val="both"/>
            </w:pPr>
            <w:r w:rsidRPr="00472578">
              <w:t xml:space="preserve">(e) </w:t>
            </w:r>
            <w:r w:rsidRPr="00472578">
              <w:tab/>
              <w:t>Aesthetic values including memorability and naturalness.</w:t>
            </w:r>
          </w:p>
          <w:p w14:paraId="58F1EEB3" w14:textId="77777777" w:rsidR="009A45CE" w:rsidRPr="00472578" w:rsidRDefault="009A45CE" w:rsidP="00E92686">
            <w:pPr>
              <w:spacing w:after="160"/>
              <w:ind w:left="456" w:hanging="456"/>
              <w:jc w:val="both"/>
            </w:pPr>
            <w:r w:rsidRPr="00472578">
              <w:t xml:space="preserve">(f) </w:t>
            </w:r>
            <w:r w:rsidRPr="00472578">
              <w:tab/>
              <w:t>Transient values, including presence of wildlife or other values at certain times of the day or year.</w:t>
            </w:r>
          </w:p>
          <w:p w14:paraId="545F2C15" w14:textId="77777777" w:rsidR="009A45CE" w:rsidRPr="00472578" w:rsidRDefault="009A45CE" w:rsidP="00E92686">
            <w:pPr>
              <w:spacing w:after="160"/>
              <w:ind w:left="456" w:hanging="456"/>
              <w:jc w:val="both"/>
            </w:pPr>
            <w:r w:rsidRPr="00472578">
              <w:t xml:space="preserve">(g) </w:t>
            </w:r>
            <w:r w:rsidRPr="00472578">
              <w:tab/>
              <w:t>Wild or scenic values.</w:t>
            </w:r>
          </w:p>
        </w:tc>
      </w:tr>
      <w:tr w:rsidR="009A45CE" w:rsidRPr="00472578" w14:paraId="5DC022EC" w14:textId="77777777" w:rsidTr="00E722D4">
        <w:tc>
          <w:tcPr>
            <w:tcW w:w="2624" w:type="dxa"/>
            <w:hideMark/>
          </w:tcPr>
          <w:p w14:paraId="26BBB3BB" w14:textId="77777777" w:rsidR="009A45CE" w:rsidRPr="00472578" w:rsidRDefault="009A45CE" w:rsidP="00E92686">
            <w:pPr>
              <w:spacing w:after="160"/>
              <w:ind w:left="313" w:hanging="418"/>
              <w:jc w:val="both"/>
              <w:rPr>
                <w:b/>
                <w:bCs/>
              </w:rPr>
            </w:pPr>
            <w:r w:rsidRPr="00472578">
              <w:rPr>
                <w:b/>
                <w:bCs/>
              </w:rPr>
              <w:t>Associative attributes</w:t>
            </w:r>
          </w:p>
        </w:tc>
        <w:tc>
          <w:tcPr>
            <w:tcW w:w="6331" w:type="dxa"/>
            <w:hideMark/>
          </w:tcPr>
          <w:p w14:paraId="09EAE2E1" w14:textId="77777777" w:rsidR="009A45CE" w:rsidRPr="00472578" w:rsidRDefault="009A45CE" w:rsidP="00E92686">
            <w:pPr>
              <w:spacing w:after="160"/>
              <w:ind w:left="456" w:hanging="456"/>
              <w:jc w:val="both"/>
            </w:pPr>
            <w:r w:rsidRPr="00472578">
              <w:t xml:space="preserve">(h) </w:t>
            </w:r>
            <w:r w:rsidRPr="00472578">
              <w:tab/>
              <w:t>Whether the values are shared and recognised.</w:t>
            </w:r>
          </w:p>
          <w:p w14:paraId="130E9254" w14:textId="77777777" w:rsidR="009A45CE" w:rsidRPr="00472578" w:rsidRDefault="009A45CE" w:rsidP="00E92686">
            <w:pPr>
              <w:spacing w:after="160"/>
              <w:ind w:left="454" w:hanging="454"/>
              <w:jc w:val="both"/>
            </w:pPr>
            <w:r w:rsidRPr="00472578">
              <w:t xml:space="preserve">(i) </w:t>
            </w:r>
            <w:r w:rsidRPr="00472578">
              <w:tab/>
              <w:t>Cultural and spiritual values for Kāi Tahu, identified by working, as far as practicable, in accordance with tikanga Māori, including their expression as cultural landscapes and features.</w:t>
            </w:r>
          </w:p>
          <w:p w14:paraId="31106A06" w14:textId="77777777" w:rsidR="009A45CE" w:rsidRPr="00472578" w:rsidRDefault="009A45CE" w:rsidP="00E92686">
            <w:pPr>
              <w:spacing w:after="160"/>
              <w:ind w:left="456" w:hanging="456"/>
              <w:jc w:val="both"/>
            </w:pPr>
            <w:r w:rsidRPr="00472578">
              <w:t xml:space="preserve">(j) </w:t>
            </w:r>
            <w:r w:rsidRPr="00472578">
              <w:tab/>
              <w:t>Historical and heritage associations.</w:t>
            </w:r>
          </w:p>
        </w:tc>
      </w:tr>
    </w:tbl>
    <w:p w14:paraId="2F08A129" w14:textId="77777777" w:rsidR="009A45CE" w:rsidRPr="00472578" w:rsidRDefault="009A45CE" w:rsidP="00E92686">
      <w:pPr>
        <w:jc w:val="both"/>
        <w:rPr>
          <w:rFonts w:ascii="Calibri" w:hAnsi="Calibri" w:cs="Calibri"/>
        </w:rPr>
      </w:pPr>
    </w:p>
    <w:p w14:paraId="791B6B2C" w14:textId="77777777" w:rsidR="009A45CE" w:rsidRPr="00472578" w:rsidRDefault="009A45CE" w:rsidP="00E92686">
      <w:pPr>
        <w:jc w:val="both"/>
        <w:rPr>
          <w:rFonts w:ascii="Calibri" w:hAnsi="Calibri" w:cs="Calibri"/>
        </w:rPr>
      </w:pPr>
      <w:r w:rsidRPr="00472578">
        <w:rPr>
          <w:rFonts w:ascii="Calibri" w:hAnsi="Calibri" w:cs="Calibri"/>
        </w:rPr>
        <w:t xml:space="preserve"> </w:t>
      </w:r>
    </w:p>
    <w:p w14:paraId="2BEB698D" w14:textId="77777777" w:rsidR="009A45CE" w:rsidRPr="00472578" w:rsidRDefault="009A45CE" w:rsidP="00E92686">
      <w:pPr>
        <w:jc w:val="both"/>
        <w:rPr>
          <w:rFonts w:ascii="Calibri" w:hAnsi="Calibri" w:cs="Calibri"/>
          <w:lang w:val="en-US"/>
        </w:rPr>
      </w:pPr>
    </w:p>
    <w:p w14:paraId="013D15BA" w14:textId="77777777" w:rsidR="009A45CE" w:rsidRPr="00472578" w:rsidRDefault="009A45CE" w:rsidP="00E92686">
      <w:pPr>
        <w:jc w:val="both"/>
      </w:pPr>
    </w:p>
    <w:p w14:paraId="46096E94" w14:textId="77777777" w:rsidR="009A45CE" w:rsidRPr="00472578" w:rsidRDefault="009A45CE" w:rsidP="00E92686">
      <w:pPr>
        <w:jc w:val="both"/>
      </w:pPr>
    </w:p>
    <w:p w14:paraId="4C754E82" w14:textId="77777777" w:rsidR="00417301" w:rsidRPr="00472578" w:rsidRDefault="00417301" w:rsidP="00E92686">
      <w:pPr>
        <w:jc w:val="both"/>
      </w:pPr>
    </w:p>
    <w:p w14:paraId="26FC683C" w14:textId="77777777" w:rsidR="00E37317" w:rsidRPr="00472578" w:rsidRDefault="00E37317" w:rsidP="00E92686">
      <w:pPr>
        <w:jc w:val="both"/>
      </w:pPr>
    </w:p>
    <w:p w14:paraId="187A36F5" w14:textId="77777777" w:rsidR="00E37317" w:rsidRPr="00472578" w:rsidRDefault="00E37317" w:rsidP="00E92686">
      <w:pPr>
        <w:jc w:val="both"/>
      </w:pPr>
    </w:p>
    <w:p w14:paraId="239B07BC" w14:textId="77777777" w:rsidR="00E37317" w:rsidRPr="00472578" w:rsidRDefault="00E37317" w:rsidP="00E92686">
      <w:pPr>
        <w:jc w:val="both"/>
      </w:pPr>
    </w:p>
    <w:p w14:paraId="2F24C64D" w14:textId="73B80180" w:rsidR="009A45CE" w:rsidRPr="00472578" w:rsidRDefault="009A45CE" w:rsidP="00E92686">
      <w:pPr>
        <w:jc w:val="both"/>
      </w:pPr>
      <w:r w:rsidRPr="00472578">
        <w:br w:type="page"/>
      </w:r>
    </w:p>
    <w:p w14:paraId="2CDD0D01" w14:textId="77777777" w:rsidR="009A45CE" w:rsidRPr="00472578" w:rsidRDefault="009A45CE" w:rsidP="00E92686">
      <w:pPr>
        <w:pStyle w:val="Heading3"/>
        <w:jc w:val="both"/>
      </w:pPr>
      <w:r w:rsidRPr="00472578">
        <w:lastRenderedPageBreak/>
        <w:t xml:space="preserve">APP10 – Housing bottom lines </w:t>
      </w:r>
    </w:p>
    <w:p w14:paraId="37489C6E" w14:textId="089CF373" w:rsidR="009A45CE" w:rsidRPr="00472578" w:rsidRDefault="009A45CE" w:rsidP="00E92686">
      <w:pPr>
        <w:pStyle w:val="Caption"/>
        <w:jc w:val="both"/>
      </w:pPr>
      <w:r w:rsidRPr="00472578">
        <w:t xml:space="preserve">Table </w:t>
      </w:r>
      <w:r w:rsidRPr="00472578">
        <w:fldChar w:fldCharType="begin"/>
      </w:r>
      <w:r w:rsidRPr="00472578">
        <w:instrText>SEQ Table \* ARABIC</w:instrText>
      </w:r>
      <w:r w:rsidRPr="00472578">
        <w:fldChar w:fldCharType="separate"/>
      </w:r>
      <w:r w:rsidR="004557BC">
        <w:rPr>
          <w:noProof/>
        </w:rPr>
        <w:t>10</w:t>
      </w:r>
      <w:r w:rsidRPr="00472578">
        <w:fldChar w:fldCharType="end"/>
      </w:r>
      <w:r w:rsidR="00930B59">
        <w:t xml:space="preserve"> – </w:t>
      </w:r>
      <w:r w:rsidRPr="00472578">
        <w:t>Bottom lines for development capacity</w:t>
      </w:r>
    </w:p>
    <w:tbl>
      <w:tblPr>
        <w:tblStyle w:val="TableGrid8"/>
        <w:tblW w:w="0" w:type="auto"/>
        <w:tblLook w:val="04A0" w:firstRow="1" w:lastRow="0" w:firstColumn="1" w:lastColumn="0" w:noHBand="0" w:noVBand="1"/>
      </w:tblPr>
      <w:tblGrid>
        <w:gridCol w:w="2224"/>
        <w:gridCol w:w="2224"/>
        <w:gridCol w:w="2224"/>
      </w:tblGrid>
      <w:tr w:rsidR="009A45CE" w:rsidRPr="00472578" w14:paraId="34977337" w14:textId="77777777" w:rsidTr="00E722D4">
        <w:tc>
          <w:tcPr>
            <w:tcW w:w="2224" w:type="dxa"/>
          </w:tcPr>
          <w:p w14:paraId="77A60338" w14:textId="77777777" w:rsidR="009A45CE" w:rsidRPr="00472578" w:rsidRDefault="009A45CE" w:rsidP="00E92686">
            <w:pPr>
              <w:jc w:val="both"/>
              <w:rPr>
                <w:b/>
                <w:bCs/>
              </w:rPr>
            </w:pPr>
            <w:r w:rsidRPr="00472578">
              <w:rPr>
                <w:b/>
                <w:bCs/>
              </w:rPr>
              <w:t>Tier 2 Urban Environment</w:t>
            </w:r>
          </w:p>
        </w:tc>
        <w:tc>
          <w:tcPr>
            <w:tcW w:w="2224" w:type="dxa"/>
          </w:tcPr>
          <w:p w14:paraId="36D684B0" w14:textId="77777777" w:rsidR="009A45CE" w:rsidRPr="00472578" w:rsidRDefault="009A45CE" w:rsidP="00E92686">
            <w:pPr>
              <w:jc w:val="both"/>
              <w:rPr>
                <w:b/>
                <w:bCs/>
              </w:rPr>
            </w:pPr>
            <w:r w:rsidRPr="00472578">
              <w:rPr>
                <w:b/>
                <w:bCs/>
              </w:rPr>
              <w:t xml:space="preserve">Short- Medium Term </w:t>
            </w:r>
          </w:p>
          <w:p w14:paraId="5EAD2BD4" w14:textId="77777777" w:rsidR="009A45CE" w:rsidRPr="00472578" w:rsidRDefault="009A45CE" w:rsidP="00E92686">
            <w:pPr>
              <w:jc w:val="both"/>
              <w:rPr>
                <w:b/>
                <w:bCs/>
              </w:rPr>
            </w:pPr>
            <w:r w:rsidRPr="00472578">
              <w:rPr>
                <w:b/>
                <w:bCs/>
              </w:rPr>
              <w:t>(0-10 years)</w:t>
            </w:r>
          </w:p>
        </w:tc>
        <w:tc>
          <w:tcPr>
            <w:tcW w:w="2224" w:type="dxa"/>
          </w:tcPr>
          <w:p w14:paraId="34774054" w14:textId="77777777" w:rsidR="009A45CE" w:rsidRPr="00472578" w:rsidRDefault="009A45CE" w:rsidP="00E92686">
            <w:pPr>
              <w:jc w:val="both"/>
              <w:rPr>
                <w:b/>
                <w:bCs/>
              </w:rPr>
            </w:pPr>
            <w:r w:rsidRPr="00472578">
              <w:rPr>
                <w:b/>
                <w:bCs/>
              </w:rPr>
              <w:t xml:space="preserve">Long Term </w:t>
            </w:r>
          </w:p>
          <w:p w14:paraId="5DEBA7F6" w14:textId="77777777" w:rsidR="009A45CE" w:rsidRPr="00472578" w:rsidRDefault="009A45CE" w:rsidP="00E92686">
            <w:pPr>
              <w:jc w:val="both"/>
              <w:rPr>
                <w:b/>
                <w:bCs/>
              </w:rPr>
            </w:pPr>
            <w:r w:rsidRPr="00472578">
              <w:rPr>
                <w:b/>
                <w:bCs/>
              </w:rPr>
              <w:t>(11-30 years)</w:t>
            </w:r>
          </w:p>
        </w:tc>
      </w:tr>
      <w:tr w:rsidR="009A45CE" w:rsidRPr="00472578" w14:paraId="322DC7CE" w14:textId="77777777" w:rsidTr="00E722D4">
        <w:tc>
          <w:tcPr>
            <w:tcW w:w="2224" w:type="dxa"/>
          </w:tcPr>
          <w:p w14:paraId="312BDF92" w14:textId="77777777" w:rsidR="009A45CE" w:rsidRPr="00472578" w:rsidRDefault="009A45CE" w:rsidP="00E92686">
            <w:pPr>
              <w:jc w:val="both"/>
              <w:rPr>
                <w:b/>
                <w:bCs/>
              </w:rPr>
            </w:pPr>
            <w:r w:rsidRPr="00472578">
              <w:rPr>
                <w:b/>
                <w:bCs/>
              </w:rPr>
              <w:t>Queenstown</w:t>
            </w:r>
          </w:p>
        </w:tc>
        <w:tc>
          <w:tcPr>
            <w:tcW w:w="2224" w:type="dxa"/>
          </w:tcPr>
          <w:p w14:paraId="7B2CAEAA" w14:textId="77777777" w:rsidR="009A45CE" w:rsidRPr="00472578" w:rsidRDefault="009A45CE" w:rsidP="00E92686">
            <w:pPr>
              <w:jc w:val="both"/>
            </w:pPr>
          </w:p>
        </w:tc>
        <w:tc>
          <w:tcPr>
            <w:tcW w:w="2224" w:type="dxa"/>
          </w:tcPr>
          <w:p w14:paraId="7C35ACA9" w14:textId="77777777" w:rsidR="009A45CE" w:rsidRPr="00472578" w:rsidRDefault="009A45CE" w:rsidP="00E92686">
            <w:pPr>
              <w:jc w:val="both"/>
            </w:pPr>
          </w:p>
        </w:tc>
      </w:tr>
      <w:tr w:rsidR="009A45CE" w:rsidRPr="00472578" w14:paraId="6FD62B6F" w14:textId="77777777" w:rsidTr="00E722D4">
        <w:tc>
          <w:tcPr>
            <w:tcW w:w="2224" w:type="dxa"/>
          </w:tcPr>
          <w:p w14:paraId="2156FFC8" w14:textId="77777777" w:rsidR="009A45CE" w:rsidRPr="00472578" w:rsidRDefault="009A45CE" w:rsidP="00E92686">
            <w:pPr>
              <w:jc w:val="both"/>
              <w:rPr>
                <w:b/>
                <w:bCs/>
              </w:rPr>
            </w:pPr>
            <w:r w:rsidRPr="00472578">
              <w:rPr>
                <w:b/>
                <w:bCs/>
              </w:rPr>
              <w:t>Dunedin</w:t>
            </w:r>
          </w:p>
        </w:tc>
        <w:tc>
          <w:tcPr>
            <w:tcW w:w="2224" w:type="dxa"/>
          </w:tcPr>
          <w:p w14:paraId="219F5C3F" w14:textId="77777777" w:rsidR="009A45CE" w:rsidRPr="00472578" w:rsidRDefault="009A45CE" w:rsidP="00E92686">
            <w:pPr>
              <w:jc w:val="both"/>
            </w:pPr>
          </w:p>
        </w:tc>
        <w:tc>
          <w:tcPr>
            <w:tcW w:w="2224" w:type="dxa"/>
          </w:tcPr>
          <w:p w14:paraId="79A2A663" w14:textId="77777777" w:rsidR="009A45CE" w:rsidRPr="00472578" w:rsidRDefault="009A45CE" w:rsidP="00E92686">
            <w:pPr>
              <w:jc w:val="both"/>
            </w:pPr>
          </w:p>
        </w:tc>
      </w:tr>
    </w:tbl>
    <w:p w14:paraId="064D2AC1" w14:textId="77777777" w:rsidR="009A45CE" w:rsidRPr="00472578" w:rsidRDefault="009A45CE" w:rsidP="00E92686">
      <w:pPr>
        <w:pStyle w:val="JustifiedSpacing"/>
      </w:pPr>
    </w:p>
    <w:p w14:paraId="596DD11B" w14:textId="77777777" w:rsidR="009A45CE" w:rsidRPr="00472578" w:rsidRDefault="009A45CE" w:rsidP="00E92686">
      <w:pPr>
        <w:jc w:val="both"/>
      </w:pPr>
      <w:r w:rsidRPr="00472578">
        <w:t>Note: This schedule will be amended or reamended in accordance with the National Policy Statement for Urban Development 2020, without using RMA Schedule 1, as soon as practicable following the publication of any relevant</w:t>
      </w:r>
      <w:r w:rsidRPr="00472578">
        <w:rPr>
          <w:i/>
          <w:iCs/>
        </w:rPr>
        <w:t xml:space="preserve"> Housing and Business Development Capacity Assessment, </w:t>
      </w:r>
      <w:r w:rsidRPr="00472578">
        <w:t>the first of which is due to be completed by 31 July 2021.</w:t>
      </w:r>
    </w:p>
    <w:p w14:paraId="64FBCBFA" w14:textId="77777777" w:rsidR="009A45CE" w:rsidRPr="00472578" w:rsidRDefault="009A45CE" w:rsidP="00E92686">
      <w:pPr>
        <w:jc w:val="both"/>
        <w:rPr>
          <w:rFonts w:ascii="Calibri" w:hAnsi="Calibri" w:cs="Calibri"/>
        </w:rPr>
      </w:pPr>
      <w:r w:rsidRPr="00472578">
        <w:br w:type="page"/>
      </w:r>
    </w:p>
    <w:p w14:paraId="2ACD277D" w14:textId="77777777" w:rsidR="009A45CE" w:rsidRPr="00472578" w:rsidRDefault="009A45CE" w:rsidP="00E92686">
      <w:pPr>
        <w:pStyle w:val="Heading2"/>
        <w:jc w:val="both"/>
      </w:pPr>
      <w:bookmarkStart w:id="389" w:name="_Toc73105373"/>
      <w:bookmarkStart w:id="390" w:name="_Toc102551293"/>
      <w:r w:rsidRPr="00472578">
        <w:lastRenderedPageBreak/>
        <w:t>Maps</w:t>
      </w:r>
      <w:bookmarkEnd w:id="389"/>
      <w:bookmarkEnd w:id="390"/>
    </w:p>
    <w:p w14:paraId="1B70AEF1" w14:textId="77777777" w:rsidR="009A45CE" w:rsidRPr="00472578" w:rsidRDefault="009A45CE" w:rsidP="00E92686">
      <w:pPr>
        <w:jc w:val="both"/>
        <w:sectPr w:rsidR="009A45CE" w:rsidRPr="00472578" w:rsidSect="00A60505">
          <w:headerReference w:type="even" r:id="rId54"/>
          <w:headerReference w:type="default" r:id="rId55"/>
          <w:headerReference w:type="first" r:id="rId56"/>
          <w:footerReference w:type="first" r:id="rId57"/>
          <w:pgSz w:w="11906" w:h="16838"/>
          <w:pgMar w:top="1440" w:right="1440" w:bottom="1440" w:left="1440" w:header="708" w:footer="708" w:gutter="0"/>
          <w:cols w:space="708"/>
          <w:titlePg/>
          <w:docGrid w:linePitch="360"/>
        </w:sectPr>
      </w:pPr>
    </w:p>
    <w:p w14:paraId="4CF426CC" w14:textId="77777777" w:rsidR="009A45CE" w:rsidRPr="00472578" w:rsidRDefault="009A45CE" w:rsidP="00E92686">
      <w:pPr>
        <w:pStyle w:val="Heading3"/>
        <w:spacing w:before="0"/>
        <w:jc w:val="both"/>
      </w:pPr>
      <w:r w:rsidRPr="00472578">
        <w:lastRenderedPageBreak/>
        <w:t>MAP1 – Freshwater Management Units</w:t>
      </w:r>
    </w:p>
    <w:p w14:paraId="751E778B" w14:textId="4D813261" w:rsidR="00E37317" w:rsidRDefault="009A45CE" w:rsidP="00E92686">
      <w:pPr>
        <w:jc w:val="both"/>
      </w:pPr>
      <w:r w:rsidRPr="00472578">
        <w:rPr>
          <w:noProof/>
        </w:rPr>
        <w:drawing>
          <wp:inline distT="0" distB="0" distL="0" distR="0" wp14:anchorId="70769E02" wp14:editId="5583E2AF">
            <wp:extent cx="5717437" cy="8095484"/>
            <wp:effectExtent l="0" t="0" r="0" b="0"/>
            <wp:docPr id="1265821833" name="Picture 12658218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1833" name="Picture 1265821833" descr="Map&#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17437" cy="8095484"/>
                    </a:xfrm>
                    <a:prstGeom prst="rect">
                      <a:avLst/>
                    </a:prstGeom>
                  </pic:spPr>
                </pic:pic>
              </a:graphicData>
            </a:graphic>
          </wp:inline>
        </w:drawing>
      </w:r>
    </w:p>
    <w:p w14:paraId="2D18C852" w14:textId="77777777" w:rsidR="00F133BF" w:rsidRDefault="00F133BF" w:rsidP="00F133BF">
      <w:pPr>
        <w:sectPr w:rsidR="00F133BF" w:rsidSect="00180411">
          <w:footerReference w:type="default" r:id="rId59"/>
          <w:pgSz w:w="11910" w:h="16840"/>
          <w:pgMar w:top="1520" w:right="1260" w:bottom="1120" w:left="1320" w:header="0" w:footer="920" w:gutter="0"/>
          <w:cols w:space="720"/>
        </w:sectPr>
      </w:pPr>
    </w:p>
    <w:p w14:paraId="040552C7" w14:textId="4384FF70" w:rsidR="00756C57" w:rsidRDefault="00704A59" w:rsidP="005123F7">
      <w:pPr>
        <w:pStyle w:val="Heading3"/>
        <w:spacing w:before="0"/>
      </w:pPr>
      <w:r>
        <w:rPr>
          <w:noProof/>
        </w:rPr>
        <w:lastRenderedPageBreak/>
        <w:drawing>
          <wp:anchor distT="0" distB="0" distL="114300" distR="114300" simplePos="0" relativeHeight="251658241" behindDoc="0" locked="0" layoutInCell="1" allowOverlap="1" wp14:anchorId="2C863779" wp14:editId="3F9C41B8">
            <wp:simplePos x="0" y="0"/>
            <wp:positionH relativeFrom="margin">
              <wp:align>left</wp:align>
            </wp:positionH>
            <wp:positionV relativeFrom="paragraph">
              <wp:posOffset>277951</wp:posOffset>
            </wp:positionV>
            <wp:extent cx="8142136" cy="5756809"/>
            <wp:effectExtent l="0" t="0" r="0" b="0"/>
            <wp:wrapNone/>
            <wp:docPr id="1265821827" name="Picture 12658218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1827" name="Picture 1265821827" descr="Map&#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76102" cy="5780824"/>
                    </a:xfrm>
                    <a:prstGeom prst="rect">
                      <a:avLst/>
                    </a:prstGeom>
                    <a:noFill/>
                    <a:ln>
                      <a:noFill/>
                    </a:ln>
                  </pic:spPr>
                </pic:pic>
              </a:graphicData>
            </a:graphic>
            <wp14:sizeRelH relativeFrom="page">
              <wp14:pctWidth>0</wp14:pctWidth>
            </wp14:sizeRelH>
            <wp14:sizeRelV relativeFrom="page">
              <wp14:pctHeight>0</wp14:pctHeight>
            </wp14:sizeRelV>
          </wp:anchor>
        </w:drawing>
      </w:r>
      <w:r w:rsidR="00D049C4">
        <w:t xml:space="preserve">MAP2 </w:t>
      </w:r>
      <w:r w:rsidR="009C6F12">
        <w:t>–</w:t>
      </w:r>
      <w:r w:rsidR="00D049C4">
        <w:t xml:space="preserve"> </w:t>
      </w:r>
      <w:r w:rsidR="009C6F12">
        <w:t>EIT-TRAN-M7 –</w:t>
      </w:r>
      <w:r w:rsidR="00756C57">
        <w:t xml:space="preserve"> Port Activities</w:t>
      </w:r>
    </w:p>
    <w:p w14:paraId="1236F9FF" w14:textId="49CEFEDB" w:rsidR="00704A59" w:rsidRPr="00704A59" w:rsidRDefault="00704A59" w:rsidP="00704A59"/>
    <w:p w14:paraId="1C332B3F" w14:textId="50E02F57" w:rsidR="00756C57" w:rsidRPr="00472578" w:rsidRDefault="00756C57" w:rsidP="00A54EDD"/>
    <w:sectPr w:rsidR="00756C57" w:rsidRPr="00472578" w:rsidSect="00180411">
      <w:pgSz w:w="16840" w:h="11910" w:orient="landscape"/>
      <w:pgMar w:top="709" w:right="1520" w:bottom="709" w:left="1120" w:header="0" w:footer="9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1A85B" w14:textId="77777777" w:rsidR="00D22F06" w:rsidRDefault="00D22F06">
      <w:pPr>
        <w:spacing w:after="0" w:line="240" w:lineRule="auto"/>
      </w:pPr>
      <w:r>
        <w:separator/>
      </w:r>
    </w:p>
    <w:p w14:paraId="42348D4A" w14:textId="77777777" w:rsidR="00D22F06" w:rsidRDefault="00D22F06"/>
    <w:p w14:paraId="751D2ED0" w14:textId="77777777" w:rsidR="00D22F06" w:rsidRDefault="00D22F06"/>
  </w:endnote>
  <w:endnote w:type="continuationSeparator" w:id="0">
    <w:p w14:paraId="5A4304D7" w14:textId="77777777" w:rsidR="00D22F06" w:rsidRDefault="00D22F06">
      <w:pPr>
        <w:spacing w:after="0" w:line="240" w:lineRule="auto"/>
      </w:pPr>
      <w:r>
        <w:continuationSeparator/>
      </w:r>
    </w:p>
    <w:p w14:paraId="581DA1D1" w14:textId="77777777" w:rsidR="00D22F06" w:rsidRDefault="00D22F06"/>
    <w:p w14:paraId="03D5B67B" w14:textId="77777777" w:rsidR="00D22F06" w:rsidRDefault="00D22F06"/>
  </w:endnote>
  <w:endnote w:type="continuationNotice" w:id="1">
    <w:p w14:paraId="28C074C2" w14:textId="77777777" w:rsidR="00D22F06" w:rsidRDefault="00D22F06">
      <w:pPr>
        <w:spacing w:after="0" w:line="240" w:lineRule="auto"/>
      </w:pPr>
    </w:p>
    <w:p w14:paraId="7A4BFC88" w14:textId="77777777" w:rsidR="00D22F06" w:rsidRDefault="00D22F06"/>
    <w:p w14:paraId="5023E73D" w14:textId="77777777" w:rsidR="00D22F06" w:rsidRDefault="00D22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EE"/>
    <w:family w:val="auto"/>
    <w:notTrueType/>
    <w:pitch w:val="default"/>
    <w:sig w:usb0="00000005" w:usb1="00000000" w:usb2="00000000" w:usb3="00000000" w:csb0="00000002" w:csb1="00000000"/>
  </w:font>
  <w:font w:name="National-Book">
    <w:altName w:val="Calibri"/>
    <w:panose1 w:val="00000000000000000000"/>
    <w:charset w:val="00"/>
    <w:family w:val="auto"/>
    <w:notTrueType/>
    <w:pitch w:val="default"/>
    <w:sig w:usb0="00000007" w:usb1="00000000" w:usb2="00000000" w:usb3="00000000" w:csb0="00000003" w:csb1="00000000"/>
  </w:font>
  <w:font w:name="Calibri-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90B3" w14:textId="26B71A82" w:rsidR="009115FF" w:rsidRDefault="009115FF">
    <w:pPr>
      <w:pStyle w:val="Footer"/>
      <w:jc w:val="center"/>
    </w:pPr>
    <w:r>
      <w:fldChar w:fldCharType="begin"/>
    </w:r>
    <w:r>
      <w:instrText xml:space="preserve"> PAGE   \* MERGEFORMAT </w:instrText>
    </w:r>
    <w:r>
      <w:fldChar w:fldCharType="separate"/>
    </w:r>
    <w:r>
      <w:rPr>
        <w:noProof/>
      </w:rPr>
      <w:t>2</w:t>
    </w:r>
    <w:r>
      <w:rPr>
        <w:noProof/>
      </w:rPr>
      <w:fldChar w:fldCharType="end"/>
    </w:r>
  </w:p>
  <w:p w14:paraId="273E52DB" w14:textId="0205F6CF" w:rsidR="009115FF" w:rsidRDefault="00911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152695"/>
      <w:docPartObj>
        <w:docPartGallery w:val="Page Numbers (Bottom of Page)"/>
        <w:docPartUnique/>
      </w:docPartObj>
    </w:sdtPr>
    <w:sdtEndPr>
      <w:rPr>
        <w:noProof/>
      </w:rPr>
    </w:sdtEndPr>
    <w:sdtContent>
      <w:p w14:paraId="2848606D" w14:textId="17BDEE78" w:rsidR="00782E79" w:rsidRDefault="00782E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1EF850" w14:textId="48927F3D" w:rsidR="00B02DBF" w:rsidRDefault="00B02DBF" w:rsidP="0057347B">
    <w:pPr>
      <w:pStyle w:val="BodyTex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9F53" w14:textId="77777777" w:rsidR="009A45CE" w:rsidRDefault="009A45CE">
    <w:pPr>
      <w:pStyle w:val="Footer"/>
      <w:jc w:val="center"/>
    </w:pPr>
    <w:r>
      <w:fldChar w:fldCharType="begin"/>
    </w:r>
    <w:r>
      <w:instrText xml:space="preserve"> PAGE   \* MERGEFORMAT </w:instrText>
    </w:r>
    <w:r>
      <w:fldChar w:fldCharType="separate"/>
    </w:r>
    <w:r>
      <w:rPr>
        <w:noProof/>
      </w:rPr>
      <w:t>2</w:t>
    </w:r>
    <w:r>
      <w:rPr>
        <w:noProof/>
      </w:rPr>
      <w:fldChar w:fldCharType="end"/>
    </w:r>
  </w:p>
  <w:p w14:paraId="3F39F9F6" w14:textId="77777777" w:rsidR="009A45CE" w:rsidRDefault="009A45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657720"/>
      <w:docPartObj>
        <w:docPartGallery w:val="Page Numbers (Bottom of Page)"/>
        <w:docPartUnique/>
      </w:docPartObj>
    </w:sdtPr>
    <w:sdtEndPr>
      <w:rPr>
        <w:noProof/>
      </w:rPr>
    </w:sdtEndPr>
    <w:sdtContent>
      <w:p w14:paraId="1CE2A625" w14:textId="36F6A02E" w:rsidR="00180411" w:rsidRDefault="001804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92F3D" w14:textId="77777777" w:rsidR="00180411" w:rsidRDefault="00180411" w:rsidP="0057347B">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17B8" w14:textId="77777777" w:rsidR="00D22F06" w:rsidRDefault="00D22F06" w:rsidP="005F7C66">
      <w:pPr>
        <w:spacing w:after="0" w:line="240" w:lineRule="auto"/>
      </w:pPr>
      <w:r>
        <w:separator/>
      </w:r>
    </w:p>
  </w:footnote>
  <w:footnote w:type="continuationSeparator" w:id="0">
    <w:p w14:paraId="683BBAC5" w14:textId="77777777" w:rsidR="00D22F06" w:rsidRDefault="00D22F06">
      <w:pPr>
        <w:spacing w:after="0" w:line="240" w:lineRule="auto"/>
      </w:pPr>
      <w:r>
        <w:continuationSeparator/>
      </w:r>
    </w:p>
    <w:p w14:paraId="56790E1A" w14:textId="77777777" w:rsidR="00D22F06" w:rsidRDefault="00D22F06"/>
    <w:p w14:paraId="7D1EE2EB" w14:textId="77777777" w:rsidR="00D22F06" w:rsidRDefault="00D22F06"/>
  </w:footnote>
  <w:footnote w:type="continuationNotice" w:id="1">
    <w:p w14:paraId="4B07304A" w14:textId="77777777" w:rsidR="00D22F06" w:rsidRDefault="00D22F06">
      <w:pPr>
        <w:spacing w:after="0" w:line="240" w:lineRule="auto"/>
      </w:pPr>
    </w:p>
    <w:p w14:paraId="6DD472ED" w14:textId="77777777" w:rsidR="00D22F06" w:rsidRDefault="00D22F06"/>
    <w:p w14:paraId="0A49EB75" w14:textId="77777777" w:rsidR="00D22F06" w:rsidRDefault="00D22F06"/>
  </w:footnote>
  <w:footnote w:id="2">
    <w:p w14:paraId="1E4AD557" w14:textId="3D965F7B" w:rsidR="001C09C0" w:rsidRPr="001C09C0" w:rsidRDefault="001C09C0">
      <w:pPr>
        <w:pStyle w:val="FootnoteText"/>
        <w:rPr>
          <w:lang w:val="mi-NZ"/>
        </w:rPr>
      </w:pPr>
      <w:r>
        <w:rPr>
          <w:rStyle w:val="FootnoteReference"/>
        </w:rPr>
        <w:footnoteRef/>
      </w:r>
      <w:r>
        <w:t xml:space="preserve"> </w:t>
      </w:r>
      <w:r w:rsidR="00AD2C8D" w:rsidRPr="00E14B9B">
        <w:t>Clause 16(2),</w:t>
      </w:r>
      <w:r w:rsidRPr="00E14B9B">
        <w:t xml:space="preserve"> Schedule 1, RMA</w:t>
      </w:r>
    </w:p>
  </w:footnote>
  <w:footnote w:id="3">
    <w:p w14:paraId="1D940196" w14:textId="77777777" w:rsidR="009A1120" w:rsidRDefault="009A1120" w:rsidP="009A1120">
      <w:pPr>
        <w:pStyle w:val="FootnoteText"/>
      </w:pPr>
      <w:r>
        <w:rPr>
          <w:rStyle w:val="FootnoteReference"/>
        </w:rPr>
        <w:footnoteRef/>
      </w:r>
      <w:r>
        <w:t xml:space="preserve"> 00223.007 Ngāi Tahu ki Murihiku</w:t>
      </w:r>
    </w:p>
  </w:footnote>
  <w:footnote w:id="4">
    <w:p w14:paraId="114A51C7" w14:textId="1EC79770" w:rsidR="00C4013D" w:rsidRPr="00C4013D" w:rsidRDefault="00C4013D">
      <w:pPr>
        <w:pStyle w:val="FootnoteText"/>
        <w:rPr>
          <w:lang w:val="mi-NZ"/>
        </w:rPr>
      </w:pPr>
      <w:r>
        <w:rPr>
          <w:rStyle w:val="FootnoteReference"/>
        </w:rPr>
        <w:footnoteRef/>
      </w:r>
      <w:r>
        <w:t xml:space="preserve"> </w:t>
      </w:r>
      <w:r w:rsidR="00AD2C8D" w:rsidRPr="00E14B9B">
        <w:t>Clause 16(2),</w:t>
      </w:r>
      <w:r w:rsidRPr="00E14B9B">
        <w:t xml:space="preserve"> Schedule 1, RMA</w:t>
      </w:r>
    </w:p>
  </w:footnote>
  <w:footnote w:id="5">
    <w:p w14:paraId="520D88F2" w14:textId="408B8E93" w:rsidR="009A1120" w:rsidRDefault="009A1120" w:rsidP="009A1120">
      <w:pPr>
        <w:pStyle w:val="FootnoteText"/>
      </w:pPr>
      <w:r>
        <w:rPr>
          <w:rStyle w:val="FootnoteReference"/>
        </w:rPr>
        <w:footnoteRef/>
      </w:r>
      <w:r>
        <w:t xml:space="preserve"> 004200.004 </w:t>
      </w:r>
      <w:r w:rsidR="00787564">
        <w:t xml:space="preserve">Jim </w:t>
      </w:r>
      <w:r>
        <w:t>Hopkins</w:t>
      </w:r>
    </w:p>
  </w:footnote>
  <w:footnote w:id="6">
    <w:p w14:paraId="18458164" w14:textId="77777777" w:rsidR="002C0B71" w:rsidRPr="006659B1" w:rsidRDefault="002C0B71" w:rsidP="002C0B71">
      <w:pPr>
        <w:pStyle w:val="FootnoteText"/>
        <w:rPr>
          <w:lang w:val="en-GB"/>
        </w:rPr>
      </w:pPr>
      <w:r>
        <w:rPr>
          <w:rStyle w:val="FootnoteReference"/>
        </w:rPr>
        <w:footnoteRef/>
      </w:r>
      <w:r>
        <w:t xml:space="preserve"> </w:t>
      </w:r>
      <w:r>
        <w:rPr>
          <w:lang w:val="en-GB"/>
        </w:rPr>
        <w:t>00239.034 Federated Farmers</w:t>
      </w:r>
    </w:p>
  </w:footnote>
  <w:footnote w:id="7">
    <w:p w14:paraId="3D81A60E" w14:textId="77777777" w:rsidR="002C0B71" w:rsidRPr="00DF77C8" w:rsidRDefault="002C0B71" w:rsidP="002C0B71">
      <w:pPr>
        <w:pStyle w:val="FootnoteText"/>
        <w:rPr>
          <w:lang w:val="en-GB"/>
        </w:rPr>
      </w:pPr>
      <w:r>
        <w:rPr>
          <w:rStyle w:val="FootnoteReference"/>
        </w:rPr>
        <w:footnoteRef/>
      </w:r>
      <w:r>
        <w:t xml:space="preserve"> </w:t>
      </w:r>
      <w:r>
        <w:rPr>
          <w:lang w:val="en-GB"/>
        </w:rPr>
        <w:t>00226.085 Kāi Tahu ki Otago</w:t>
      </w:r>
    </w:p>
  </w:footnote>
  <w:footnote w:id="8">
    <w:p w14:paraId="31CC40ED" w14:textId="77777777" w:rsidR="002C0B71" w:rsidRPr="00457289" w:rsidRDefault="002C0B71" w:rsidP="002C0B71">
      <w:pPr>
        <w:pStyle w:val="FootnoteText"/>
        <w:rPr>
          <w:lang w:val="en-GB"/>
        </w:rPr>
      </w:pPr>
      <w:r>
        <w:rPr>
          <w:rStyle w:val="FootnoteReference"/>
        </w:rPr>
        <w:footnoteRef/>
      </w:r>
      <w:r>
        <w:t xml:space="preserve"> </w:t>
      </w:r>
      <w:r>
        <w:rPr>
          <w:lang w:val="en-GB"/>
        </w:rPr>
        <w:t>00121.015 Ravensdown</w:t>
      </w:r>
    </w:p>
  </w:footnote>
  <w:footnote w:id="9">
    <w:p w14:paraId="03E395C6" w14:textId="77777777" w:rsidR="002C0B71" w:rsidRPr="00C7030D" w:rsidRDefault="002C0B71" w:rsidP="002C0B71">
      <w:pPr>
        <w:pStyle w:val="FootnoteText"/>
        <w:ind w:left="142" w:hanging="142"/>
        <w:rPr>
          <w:lang w:val="en-GB"/>
        </w:rPr>
      </w:pPr>
      <w:r>
        <w:rPr>
          <w:rStyle w:val="FootnoteReference"/>
        </w:rPr>
        <w:footnoteRef/>
      </w:r>
      <w:r>
        <w:t xml:space="preserve"> 00211.004 LAC, 00210.004 Lane Hocking, 00209.004 Universal Developments, 00118.005 Maryhill, 00014.005 Mt Cardrona Station</w:t>
      </w:r>
    </w:p>
  </w:footnote>
  <w:footnote w:id="10">
    <w:p w14:paraId="4CF57FF5" w14:textId="77777777" w:rsidR="002C0B71" w:rsidRPr="00457289" w:rsidRDefault="002C0B71" w:rsidP="002C0B71">
      <w:pPr>
        <w:pStyle w:val="FootnoteText"/>
        <w:rPr>
          <w:lang w:val="en-GB"/>
        </w:rPr>
      </w:pPr>
      <w:r>
        <w:rPr>
          <w:rStyle w:val="FootnoteReference"/>
        </w:rPr>
        <w:footnoteRef/>
      </w:r>
      <w:r>
        <w:t xml:space="preserve"> 00231.03 Fish and Game</w:t>
      </w:r>
    </w:p>
  </w:footnote>
  <w:footnote w:id="11">
    <w:p w14:paraId="013AA83C" w14:textId="77777777" w:rsidR="002C0B71" w:rsidRPr="00100FBF" w:rsidRDefault="002C0B71" w:rsidP="002C0B71">
      <w:pPr>
        <w:pStyle w:val="FootnoteText"/>
        <w:rPr>
          <w:lang w:val="mi-NZ"/>
        </w:rPr>
      </w:pPr>
      <w:r>
        <w:rPr>
          <w:rStyle w:val="FootnoteReference"/>
        </w:rPr>
        <w:footnoteRef/>
      </w:r>
      <w:r>
        <w:t xml:space="preserve"> 00139.022 DCC</w:t>
      </w:r>
    </w:p>
  </w:footnote>
  <w:footnote w:id="12">
    <w:p w14:paraId="4254AB30" w14:textId="77777777" w:rsidR="002C0B71" w:rsidRPr="006659B1" w:rsidRDefault="002C0B71" w:rsidP="002C0B71">
      <w:pPr>
        <w:pStyle w:val="FootnoteText"/>
        <w:rPr>
          <w:lang w:val="en-GB"/>
        </w:rPr>
      </w:pPr>
      <w:r>
        <w:rPr>
          <w:rStyle w:val="FootnoteReference"/>
        </w:rPr>
        <w:footnoteRef/>
      </w:r>
      <w:r>
        <w:t xml:space="preserve"> </w:t>
      </w:r>
      <w:r>
        <w:rPr>
          <w:lang w:val="en-GB"/>
        </w:rPr>
        <w:t>00239.034 Federated Farmers</w:t>
      </w:r>
    </w:p>
  </w:footnote>
  <w:footnote w:id="13">
    <w:p w14:paraId="45381C6A" w14:textId="77777777" w:rsidR="002C0B71" w:rsidRPr="006659B1" w:rsidRDefault="002C0B71" w:rsidP="002C0B71">
      <w:pPr>
        <w:pStyle w:val="FootnoteText"/>
        <w:rPr>
          <w:lang w:val="en-GB"/>
        </w:rPr>
      </w:pPr>
      <w:r>
        <w:rPr>
          <w:rStyle w:val="FootnoteReference"/>
        </w:rPr>
        <w:footnoteRef/>
      </w:r>
      <w:r>
        <w:t xml:space="preserve"> </w:t>
      </w:r>
      <w:r>
        <w:rPr>
          <w:lang w:val="en-GB"/>
        </w:rPr>
        <w:t>00239.034 Federated Farmers</w:t>
      </w:r>
    </w:p>
  </w:footnote>
  <w:footnote w:id="14">
    <w:p w14:paraId="6C4B8141" w14:textId="77777777" w:rsidR="009A1120" w:rsidRDefault="009A1120" w:rsidP="009A1120">
      <w:pPr>
        <w:pStyle w:val="FootnoteText"/>
      </w:pPr>
      <w:r>
        <w:rPr>
          <w:rStyle w:val="FootnoteReference"/>
        </w:rPr>
        <w:footnoteRef/>
      </w:r>
      <w:r>
        <w:t xml:space="preserve"> 00239.002 Federated Farmers</w:t>
      </w:r>
    </w:p>
  </w:footnote>
  <w:footnote w:id="15">
    <w:p w14:paraId="4650E163" w14:textId="3D55E6C6" w:rsidR="006072DC" w:rsidRDefault="006072DC">
      <w:pPr>
        <w:pStyle w:val="FootnoteText"/>
      </w:pPr>
      <w:r>
        <w:rPr>
          <w:rStyle w:val="FootnoteReference"/>
        </w:rPr>
        <w:footnoteRef/>
      </w:r>
      <w:r>
        <w:t xml:space="preserve"> Clause 16(2), Schedule 1, RMA</w:t>
      </w:r>
    </w:p>
  </w:footnote>
  <w:footnote w:id="16">
    <w:p w14:paraId="27AA968C" w14:textId="77777777" w:rsidR="009A1120" w:rsidRDefault="009A1120" w:rsidP="009A1120">
      <w:pPr>
        <w:pStyle w:val="FootnoteText"/>
      </w:pPr>
      <w:r>
        <w:rPr>
          <w:rStyle w:val="FootnoteReference"/>
        </w:rPr>
        <w:footnoteRef/>
      </w:r>
      <w:r>
        <w:t xml:space="preserve"> 00223.008 Ngāi Tahu ki Murihiku</w:t>
      </w:r>
    </w:p>
  </w:footnote>
  <w:footnote w:id="17">
    <w:p w14:paraId="7BFCF8BA" w14:textId="5F82973C" w:rsidR="003A0C93" w:rsidRDefault="003A0C93">
      <w:pPr>
        <w:pStyle w:val="FootnoteText"/>
      </w:pPr>
      <w:r>
        <w:rPr>
          <w:rStyle w:val="FootnoteReference"/>
        </w:rPr>
        <w:footnoteRef/>
      </w:r>
      <w:r>
        <w:t xml:space="preserve"> Clause 16(2), Schedule 1, RMA</w:t>
      </w:r>
    </w:p>
  </w:footnote>
  <w:footnote w:id="18">
    <w:p w14:paraId="18A92344" w14:textId="434140F9" w:rsidR="007F0C76" w:rsidRDefault="007F0C76">
      <w:pPr>
        <w:pStyle w:val="FootnoteText"/>
      </w:pPr>
      <w:r>
        <w:rPr>
          <w:rStyle w:val="FootnoteReference"/>
        </w:rPr>
        <w:footnoteRef/>
      </w:r>
      <w:r>
        <w:t xml:space="preserve"> Clause 16(2), Schedule 1, RMA</w:t>
      </w:r>
    </w:p>
  </w:footnote>
  <w:footnote w:id="19">
    <w:p w14:paraId="0AAFCEB0" w14:textId="77777777" w:rsidR="00310CC8" w:rsidRDefault="00310CC8" w:rsidP="00310CC8">
      <w:pPr>
        <w:pStyle w:val="FootnoteText"/>
      </w:pPr>
      <w:r>
        <w:rPr>
          <w:rStyle w:val="FootnoteReference"/>
        </w:rPr>
        <w:footnoteRef/>
      </w:r>
      <w:r>
        <w:t xml:space="preserve"> </w:t>
      </w:r>
      <w:r w:rsidRPr="00B02DBF">
        <w:rPr>
          <w:szCs w:val="18"/>
        </w:rPr>
        <w:t>00223.009 Ngai Tahu ki Murihiku</w:t>
      </w:r>
    </w:p>
  </w:footnote>
  <w:footnote w:id="20">
    <w:p w14:paraId="785B93F1" w14:textId="77777777" w:rsidR="009A1120" w:rsidRDefault="009A1120" w:rsidP="009A1120">
      <w:pPr>
        <w:pStyle w:val="FootnoteText"/>
      </w:pPr>
      <w:r>
        <w:rPr>
          <w:rStyle w:val="FootnoteReference"/>
        </w:rPr>
        <w:footnoteRef/>
      </w:r>
      <w:r>
        <w:t xml:space="preserve"> 00226.024 Kāi Tahu ki Otago</w:t>
      </w:r>
    </w:p>
  </w:footnote>
  <w:footnote w:id="21">
    <w:p w14:paraId="6C4781E7" w14:textId="77777777" w:rsidR="009A1120" w:rsidRDefault="009A1120" w:rsidP="009A1120">
      <w:pPr>
        <w:pStyle w:val="FootnoteText"/>
      </w:pPr>
      <w:r>
        <w:rPr>
          <w:rStyle w:val="FootnoteReference"/>
        </w:rPr>
        <w:footnoteRef/>
      </w:r>
      <w:r>
        <w:t xml:space="preserve"> 00226.024 Kāi Tahu ki Otago, 00223.009 </w:t>
      </w:r>
      <w:r w:rsidRPr="008B3DE0">
        <w:rPr>
          <w:sz w:val="16"/>
          <w:szCs w:val="16"/>
        </w:rPr>
        <w:t>Ngai Tahu ki Murihiku</w:t>
      </w:r>
    </w:p>
  </w:footnote>
  <w:footnote w:id="22">
    <w:p w14:paraId="28613D93" w14:textId="77777777" w:rsidR="009A1120" w:rsidRPr="00A71988" w:rsidRDefault="009A1120" w:rsidP="009A1120">
      <w:pPr>
        <w:pStyle w:val="FootnoteText"/>
        <w:rPr>
          <w:sz w:val="16"/>
          <w:szCs w:val="16"/>
        </w:rPr>
      </w:pPr>
      <w:r w:rsidRPr="00131059">
        <w:rPr>
          <w:rStyle w:val="FootnoteReference"/>
          <w:rFonts w:cstheme="minorHAnsi"/>
          <w:sz w:val="16"/>
          <w:szCs w:val="16"/>
          <w:shd w:val="clear" w:color="auto" w:fill="D9D9D9" w:themeFill="background1" w:themeFillShade="D9"/>
        </w:rPr>
        <w:footnoteRef/>
      </w:r>
      <w:r w:rsidRPr="00131059">
        <w:rPr>
          <w:shd w:val="clear" w:color="auto" w:fill="D9D9D9" w:themeFill="background1" w:themeFillShade="D9"/>
        </w:rPr>
        <w:t xml:space="preserve"> </w:t>
      </w:r>
      <w:r w:rsidRPr="00131059">
        <w:rPr>
          <w:sz w:val="16"/>
          <w:szCs w:val="16"/>
          <w:shd w:val="clear" w:color="auto" w:fill="D9D9D9" w:themeFill="background1" w:themeFillShade="D9"/>
        </w:rPr>
        <w:t xml:space="preserve">2018 Census place summaries: Stats NZ. (n.d.). </w:t>
      </w:r>
      <w:hyperlink r:id="rId1" w:history="1">
        <w:r w:rsidRPr="00131059">
          <w:rPr>
            <w:rStyle w:val="Hyperlink"/>
            <w:sz w:val="16"/>
            <w:szCs w:val="16"/>
            <w:shd w:val="clear" w:color="auto" w:fill="D9D9D9" w:themeFill="background1" w:themeFillShade="D9"/>
          </w:rPr>
          <w:t>https://www.stats.govt.nz/tools/2018-census-place-summaries/otago-region</w:t>
        </w:r>
      </w:hyperlink>
      <w:r w:rsidRPr="00131059">
        <w:rPr>
          <w:sz w:val="16"/>
          <w:szCs w:val="16"/>
          <w:shd w:val="clear" w:color="auto" w:fill="D9D9D9" w:themeFill="background1" w:themeFillShade="D9"/>
        </w:rPr>
        <w:t xml:space="preserve"> (accessed 26 May 2021)</w:t>
      </w:r>
    </w:p>
  </w:footnote>
  <w:footnote w:id="23">
    <w:p w14:paraId="198C6D83" w14:textId="274FACBE" w:rsidR="009A1120" w:rsidRDefault="009A1120" w:rsidP="009A1120">
      <w:pPr>
        <w:pStyle w:val="FootnoteText"/>
      </w:pPr>
      <w:r w:rsidRPr="7B1F436D">
        <w:rPr>
          <w:rStyle w:val="FootnoteReference"/>
        </w:rPr>
        <w:footnoteRef/>
      </w:r>
      <w:r w:rsidRPr="7B1F436D">
        <w:t xml:space="preserve"> 00140.001 Waitaki DC</w:t>
      </w:r>
    </w:p>
  </w:footnote>
  <w:footnote w:id="24">
    <w:p w14:paraId="3B51FD6D" w14:textId="77777777" w:rsidR="009A1120" w:rsidRPr="00991A65" w:rsidRDefault="009A1120" w:rsidP="009A1120">
      <w:pPr>
        <w:pStyle w:val="FootnoteText"/>
        <w:rPr>
          <w:sz w:val="16"/>
          <w:szCs w:val="16"/>
        </w:rPr>
      </w:pPr>
      <w:r w:rsidRPr="00A71988">
        <w:rPr>
          <w:rStyle w:val="FootnoteReference"/>
          <w:sz w:val="16"/>
          <w:szCs w:val="16"/>
        </w:rPr>
        <w:footnoteRef/>
      </w:r>
      <w:r w:rsidRPr="00A71988">
        <w:rPr>
          <w:sz w:val="16"/>
          <w:szCs w:val="16"/>
        </w:rPr>
        <w:t xml:space="preserve"> </w:t>
      </w:r>
      <w:r w:rsidRPr="00991A65">
        <w:rPr>
          <w:sz w:val="16"/>
          <w:szCs w:val="16"/>
        </w:rPr>
        <w:t>00239.002 Federated Farmers, 00236.008 Horticulture NZ, 00240.002 NZ Pork, 00140.001 Waitaki DC</w:t>
      </w:r>
    </w:p>
  </w:footnote>
  <w:footnote w:id="25">
    <w:p w14:paraId="53741956" w14:textId="77777777" w:rsidR="009A1120" w:rsidRPr="00991A65" w:rsidRDefault="009A1120" w:rsidP="009A1120">
      <w:pPr>
        <w:pStyle w:val="FootnoteText"/>
        <w:rPr>
          <w:sz w:val="16"/>
          <w:szCs w:val="16"/>
        </w:rPr>
      </w:pPr>
      <w:r w:rsidRPr="00991A65">
        <w:rPr>
          <w:rStyle w:val="FootnoteReference"/>
          <w:sz w:val="16"/>
          <w:szCs w:val="16"/>
        </w:rPr>
        <w:footnoteRef/>
      </w:r>
      <w:r w:rsidRPr="00991A65">
        <w:rPr>
          <w:sz w:val="16"/>
          <w:szCs w:val="16"/>
        </w:rPr>
        <w:t xml:space="preserve"> 00206.006 Trojan, 00411.001 Wayfare</w:t>
      </w:r>
    </w:p>
  </w:footnote>
  <w:footnote w:id="26">
    <w:p w14:paraId="27FCD0CF" w14:textId="77777777" w:rsidR="009A1120" w:rsidRDefault="009A1120" w:rsidP="009A1120">
      <w:pPr>
        <w:pStyle w:val="FootnoteText"/>
      </w:pPr>
      <w:r w:rsidRPr="00991A65">
        <w:rPr>
          <w:rStyle w:val="FootnoteReference"/>
          <w:sz w:val="16"/>
          <w:szCs w:val="16"/>
        </w:rPr>
        <w:footnoteRef/>
      </w:r>
      <w:r w:rsidRPr="00991A65">
        <w:rPr>
          <w:sz w:val="16"/>
          <w:szCs w:val="16"/>
        </w:rPr>
        <w:t xml:space="preserve"> 00206.006 Trojan, 00411.001 Wayfare</w:t>
      </w:r>
    </w:p>
  </w:footnote>
  <w:footnote w:id="27">
    <w:p w14:paraId="28E36380" w14:textId="77777777" w:rsidR="009A1120" w:rsidRPr="00C56192" w:rsidRDefault="009A1120" w:rsidP="009A1120">
      <w:pPr>
        <w:pStyle w:val="FootnoteText"/>
        <w:rPr>
          <w:color w:val="222222"/>
          <w:sz w:val="16"/>
          <w:szCs w:val="16"/>
        </w:rPr>
      </w:pPr>
      <w:r w:rsidRPr="00131059">
        <w:rPr>
          <w:rStyle w:val="FootnoteReference"/>
          <w:rFonts w:cstheme="minorHAnsi"/>
          <w:sz w:val="16"/>
          <w:szCs w:val="16"/>
          <w:shd w:val="clear" w:color="auto" w:fill="D9D9D9" w:themeFill="background1" w:themeFillShade="D9"/>
        </w:rPr>
        <w:footnoteRef/>
      </w:r>
      <w:r w:rsidRPr="00131059">
        <w:rPr>
          <w:sz w:val="16"/>
          <w:szCs w:val="16"/>
          <w:shd w:val="clear" w:color="auto" w:fill="D9D9D9" w:themeFill="background1" w:themeFillShade="D9"/>
        </w:rPr>
        <w:t xml:space="preserve"> </w:t>
      </w:r>
      <w:r w:rsidRPr="00131059">
        <w:rPr>
          <w:color w:val="222222"/>
          <w:sz w:val="16"/>
          <w:szCs w:val="16"/>
          <w:shd w:val="clear" w:color="auto" w:fill="D9D9D9" w:themeFill="background1" w:themeFillShade="D9"/>
        </w:rPr>
        <w:t xml:space="preserve">Fitzgerald, W. (2019). </w:t>
      </w:r>
      <w:r w:rsidRPr="00131059">
        <w:rPr>
          <w:i/>
          <w:color w:val="222222"/>
          <w:sz w:val="16"/>
          <w:szCs w:val="16"/>
          <w:shd w:val="clear" w:color="auto" w:fill="D9D9D9" w:themeFill="background1" w:themeFillShade="D9"/>
        </w:rPr>
        <w:t>Dunedin Energy Study 2017-2018</w:t>
      </w:r>
      <w:r w:rsidRPr="00131059">
        <w:rPr>
          <w:color w:val="222222"/>
          <w:sz w:val="16"/>
          <w:szCs w:val="16"/>
          <w:shd w:val="clear" w:color="auto" w:fill="D9D9D9" w:themeFill="background1" w:themeFillShade="D9"/>
        </w:rPr>
        <w:t>. University of Otago.</w:t>
      </w:r>
    </w:p>
  </w:footnote>
  <w:footnote w:id="28">
    <w:p w14:paraId="366CF839" w14:textId="77777777" w:rsidR="009A1120" w:rsidRDefault="009A1120" w:rsidP="009A1120">
      <w:pPr>
        <w:pStyle w:val="FootnoteText"/>
      </w:pPr>
      <w:r>
        <w:rPr>
          <w:rStyle w:val="FootnoteReference"/>
        </w:rPr>
        <w:footnoteRef/>
      </w:r>
      <w:r>
        <w:t xml:space="preserve"> 00137.004 DOC</w:t>
      </w:r>
    </w:p>
  </w:footnote>
  <w:footnote w:id="29">
    <w:p w14:paraId="0D7B6A91" w14:textId="77777777" w:rsidR="009A1120" w:rsidRDefault="009A1120" w:rsidP="009A1120">
      <w:pPr>
        <w:pStyle w:val="FootnoteText"/>
      </w:pPr>
      <w:r>
        <w:rPr>
          <w:rStyle w:val="FootnoteReference"/>
        </w:rPr>
        <w:footnoteRef/>
      </w:r>
      <w:r>
        <w:t xml:space="preserve"> 00235.006 OWRUG</w:t>
      </w:r>
    </w:p>
  </w:footnote>
  <w:footnote w:id="30">
    <w:p w14:paraId="52B3F792" w14:textId="2B8698F3" w:rsidR="009A1120" w:rsidRPr="007B0299" w:rsidRDefault="007B0299" w:rsidP="007B0299">
      <w:pPr>
        <w:pStyle w:val="FootnoteText"/>
        <w:shd w:val="clear" w:color="auto" w:fill="D9D9D9" w:themeFill="background1" w:themeFillShade="D9"/>
        <w:rPr>
          <w:rFonts w:eastAsia="Yu Gothic Light" w:cstheme="minorHAnsi"/>
          <w:sz w:val="16"/>
          <w:szCs w:val="16"/>
          <w:lang w:eastAsia="en-NZ"/>
        </w:rPr>
      </w:pPr>
      <w:r w:rsidRPr="007B0299">
        <w:rPr>
          <w:rFonts w:eastAsia="Yu Gothic Light" w:cstheme="minorHAnsi"/>
          <w:sz w:val="16"/>
          <w:szCs w:val="16"/>
          <w:shd w:val="clear" w:color="auto" w:fill="BFBFBF" w:themeFill="background1" w:themeFillShade="BF"/>
          <w:vertAlign w:val="superscript"/>
          <w:lang w:eastAsia="en-NZ"/>
        </w:rPr>
        <w:t>29</w:t>
      </w:r>
      <w:r w:rsidR="009A1120" w:rsidRPr="007B0299">
        <w:rPr>
          <w:rFonts w:eastAsia="Yu Gothic Light" w:cstheme="minorHAnsi"/>
          <w:sz w:val="16"/>
          <w:szCs w:val="16"/>
          <w:shd w:val="clear" w:color="auto" w:fill="BFBFBF" w:themeFill="background1" w:themeFillShade="BF"/>
          <w:lang w:eastAsia="en-NZ"/>
        </w:rPr>
        <w:t xml:space="preserve"> Macara, G. R. (2015). The Climate and Weather of Otago, Second Edition. </w:t>
      </w:r>
      <w:r w:rsidR="009A1120" w:rsidRPr="007B0299">
        <w:rPr>
          <w:rFonts w:eastAsia="Yu Gothic Light" w:cstheme="minorHAnsi"/>
          <w:i/>
          <w:sz w:val="16"/>
          <w:szCs w:val="16"/>
          <w:shd w:val="clear" w:color="auto" w:fill="BFBFBF" w:themeFill="background1" w:themeFillShade="BF"/>
          <w:lang w:eastAsia="en-NZ"/>
        </w:rPr>
        <w:t>NIWA SCIENCE AND TECHNOLOGY SERIES,</w:t>
      </w:r>
      <w:r w:rsidR="009A1120" w:rsidRPr="007B0299">
        <w:rPr>
          <w:rFonts w:eastAsia="Yu Gothic Light" w:cstheme="minorHAnsi"/>
          <w:sz w:val="16"/>
          <w:szCs w:val="16"/>
          <w:shd w:val="clear" w:color="auto" w:fill="BFBFBF" w:themeFill="background1" w:themeFillShade="BF"/>
          <w:lang w:eastAsia="en-NZ"/>
        </w:rPr>
        <w:t xml:space="preserve"> 67th ser.</w:t>
      </w:r>
    </w:p>
  </w:footnote>
  <w:footnote w:id="31">
    <w:p w14:paraId="5D2D6D09" w14:textId="77777777" w:rsidR="009A1120" w:rsidRPr="008B3DE0" w:rsidRDefault="009A1120" w:rsidP="007B0299">
      <w:pPr>
        <w:pStyle w:val="FootnoteText"/>
        <w:shd w:val="clear" w:color="auto" w:fill="D9D9D9" w:themeFill="background1" w:themeFillShade="D9"/>
        <w:rPr>
          <w:sz w:val="16"/>
          <w:szCs w:val="16"/>
        </w:rPr>
      </w:pPr>
      <w:r w:rsidRPr="007B0299">
        <w:rPr>
          <w:rStyle w:val="FootnoteReference"/>
          <w:sz w:val="16"/>
          <w:szCs w:val="16"/>
        </w:rPr>
        <w:footnoteRef/>
      </w:r>
      <w:r w:rsidRPr="007B0299">
        <w:rPr>
          <w:sz w:val="16"/>
          <w:szCs w:val="16"/>
        </w:rPr>
        <w:t xml:space="preserve"> </w:t>
      </w:r>
      <w:r w:rsidRPr="007B0299">
        <w:rPr>
          <w:rFonts w:eastAsia="Yu Gothic Light" w:cstheme="minorHAnsi"/>
          <w:sz w:val="16"/>
          <w:szCs w:val="16"/>
          <w:lang w:eastAsia="en-NZ"/>
        </w:rPr>
        <w:t>Central Otago Climate. (n.d.). https://centralotagonz.com/opportunities/working-here (accessed 26 May 2021)</w:t>
      </w:r>
    </w:p>
  </w:footnote>
  <w:footnote w:id="32">
    <w:p w14:paraId="32BCD9AC" w14:textId="77777777" w:rsidR="009A1120" w:rsidRPr="008B3DE0" w:rsidRDefault="009A1120" w:rsidP="009A1120">
      <w:pPr>
        <w:pStyle w:val="FootnoteText"/>
        <w:rPr>
          <w:sz w:val="16"/>
          <w:szCs w:val="16"/>
        </w:rPr>
      </w:pPr>
      <w:r w:rsidRPr="008B3DE0">
        <w:rPr>
          <w:rStyle w:val="FootnoteReference"/>
          <w:sz w:val="16"/>
          <w:szCs w:val="16"/>
        </w:rPr>
        <w:footnoteRef/>
      </w:r>
      <w:r w:rsidRPr="008B3DE0">
        <w:rPr>
          <w:sz w:val="16"/>
          <w:szCs w:val="16"/>
        </w:rPr>
        <w:t xml:space="preserve"> 00239.003 Federated Farmers</w:t>
      </w:r>
    </w:p>
  </w:footnote>
  <w:footnote w:id="33">
    <w:p w14:paraId="11F76870" w14:textId="77777777" w:rsidR="009A1120" w:rsidRDefault="009A1120" w:rsidP="009A1120">
      <w:pPr>
        <w:pStyle w:val="FootnoteText"/>
      </w:pPr>
      <w:r>
        <w:rPr>
          <w:rStyle w:val="FootnoteReference"/>
        </w:rPr>
        <w:footnoteRef/>
      </w:r>
      <w:r>
        <w:t xml:space="preserve"> 00226.024 Kāi Tahu ki Otago</w:t>
      </w:r>
    </w:p>
  </w:footnote>
  <w:footnote w:id="34">
    <w:p w14:paraId="5B6E5911" w14:textId="77777777" w:rsidR="009A1120" w:rsidRPr="008B3DE0" w:rsidRDefault="009A1120" w:rsidP="009A1120">
      <w:pPr>
        <w:pStyle w:val="FootnoteText"/>
        <w:rPr>
          <w:sz w:val="16"/>
          <w:szCs w:val="16"/>
        </w:rPr>
      </w:pPr>
      <w:r w:rsidRPr="008B3DE0">
        <w:rPr>
          <w:rStyle w:val="FootnoteReference"/>
          <w:sz w:val="16"/>
          <w:szCs w:val="16"/>
        </w:rPr>
        <w:footnoteRef/>
      </w:r>
      <w:r w:rsidRPr="008B3DE0">
        <w:rPr>
          <w:sz w:val="16"/>
          <w:szCs w:val="16"/>
        </w:rPr>
        <w:t xml:space="preserve"> 00411.012 Wayfare</w:t>
      </w:r>
    </w:p>
  </w:footnote>
  <w:footnote w:id="35">
    <w:p w14:paraId="335BCCD9" w14:textId="77777777" w:rsidR="009A1120" w:rsidRPr="008B3DE0" w:rsidRDefault="009A1120" w:rsidP="009A1120">
      <w:pPr>
        <w:pStyle w:val="FootnoteText"/>
        <w:rPr>
          <w:sz w:val="16"/>
          <w:szCs w:val="16"/>
        </w:rPr>
      </w:pPr>
      <w:r w:rsidRPr="008B3DE0">
        <w:rPr>
          <w:rStyle w:val="FootnoteReference"/>
          <w:sz w:val="16"/>
          <w:szCs w:val="16"/>
        </w:rPr>
        <w:footnoteRef/>
      </w:r>
      <w:r w:rsidRPr="008B3DE0">
        <w:rPr>
          <w:sz w:val="16"/>
          <w:szCs w:val="16"/>
        </w:rPr>
        <w:t xml:space="preserve"> 00411.012 Wayfare</w:t>
      </w:r>
    </w:p>
  </w:footnote>
  <w:footnote w:id="36">
    <w:p w14:paraId="63CE7B58" w14:textId="77777777" w:rsidR="009A1120" w:rsidRPr="008B3DE0" w:rsidRDefault="009A1120" w:rsidP="009A1120">
      <w:pPr>
        <w:pStyle w:val="FootnoteText"/>
        <w:rPr>
          <w:sz w:val="16"/>
          <w:szCs w:val="16"/>
        </w:rPr>
      </w:pPr>
      <w:r w:rsidRPr="008B3DE0">
        <w:rPr>
          <w:rStyle w:val="FootnoteReference"/>
          <w:sz w:val="16"/>
          <w:szCs w:val="16"/>
        </w:rPr>
        <w:footnoteRef/>
      </w:r>
      <w:r w:rsidRPr="008B3DE0">
        <w:rPr>
          <w:sz w:val="16"/>
          <w:szCs w:val="16"/>
        </w:rPr>
        <w:t xml:space="preserve"> 00223.010 Ngai Tahu ki Murihiku, 00411.011 Wayfare</w:t>
      </w:r>
    </w:p>
  </w:footnote>
  <w:footnote w:id="37">
    <w:p w14:paraId="7B31FED8" w14:textId="77777777" w:rsidR="00506A4C" w:rsidRPr="008B3DE0" w:rsidRDefault="00506A4C" w:rsidP="00506A4C">
      <w:pPr>
        <w:pStyle w:val="FootnoteText"/>
        <w:rPr>
          <w:sz w:val="16"/>
          <w:szCs w:val="16"/>
        </w:rPr>
      </w:pPr>
      <w:r w:rsidRPr="008B3DE0">
        <w:rPr>
          <w:rStyle w:val="FootnoteReference"/>
          <w:sz w:val="16"/>
          <w:szCs w:val="16"/>
        </w:rPr>
        <w:footnoteRef/>
      </w:r>
      <w:r w:rsidRPr="008B3DE0">
        <w:rPr>
          <w:sz w:val="16"/>
          <w:szCs w:val="16"/>
        </w:rPr>
        <w:t xml:space="preserve"> 00411.012 Wayfare</w:t>
      </w:r>
    </w:p>
  </w:footnote>
  <w:footnote w:id="38">
    <w:p w14:paraId="665192EF" w14:textId="77777777" w:rsidR="009A1120" w:rsidRPr="008B3DE0" w:rsidRDefault="009A1120" w:rsidP="009A1120">
      <w:pPr>
        <w:pStyle w:val="FootnoteText"/>
        <w:rPr>
          <w:sz w:val="16"/>
          <w:szCs w:val="16"/>
        </w:rPr>
      </w:pPr>
      <w:r w:rsidRPr="008B3DE0">
        <w:rPr>
          <w:rStyle w:val="FootnoteReference"/>
          <w:sz w:val="16"/>
          <w:szCs w:val="16"/>
        </w:rPr>
        <w:footnoteRef/>
      </w:r>
      <w:r w:rsidRPr="008B3DE0">
        <w:rPr>
          <w:sz w:val="16"/>
          <w:szCs w:val="16"/>
        </w:rPr>
        <w:t xml:space="preserve"> 00411.012 Wayfare</w:t>
      </w:r>
    </w:p>
  </w:footnote>
  <w:footnote w:id="39">
    <w:p w14:paraId="627ED2C8" w14:textId="77777777" w:rsidR="009A1120" w:rsidRDefault="009A1120" w:rsidP="009A1120">
      <w:pPr>
        <w:pStyle w:val="FootnoteText"/>
      </w:pPr>
      <w:r>
        <w:rPr>
          <w:rStyle w:val="FootnoteReference"/>
        </w:rPr>
        <w:footnoteRef/>
      </w:r>
      <w:r>
        <w:t xml:space="preserve"> 00226.024 Kāi Tahu ki Otago</w:t>
      </w:r>
    </w:p>
  </w:footnote>
  <w:footnote w:id="40">
    <w:p w14:paraId="36693B71" w14:textId="77777777" w:rsidR="009A1120" w:rsidRDefault="009A1120" w:rsidP="009A1120">
      <w:pPr>
        <w:pStyle w:val="FootnoteText"/>
      </w:pPr>
      <w:r>
        <w:rPr>
          <w:rStyle w:val="FootnoteReference"/>
        </w:rPr>
        <w:footnoteRef/>
      </w:r>
      <w:r>
        <w:t xml:space="preserve"> 00226.024 Kāi Tahu ki Otago</w:t>
      </w:r>
    </w:p>
  </w:footnote>
  <w:footnote w:id="41">
    <w:p w14:paraId="7E1A3065" w14:textId="77777777" w:rsidR="009A1120" w:rsidRPr="00BD7CEE" w:rsidRDefault="009A1120" w:rsidP="009A1120">
      <w:pPr>
        <w:pStyle w:val="FootnoteText"/>
        <w:rPr>
          <w:sz w:val="16"/>
          <w:szCs w:val="16"/>
        </w:rPr>
      </w:pPr>
      <w:r w:rsidRPr="008B3DE0">
        <w:rPr>
          <w:rStyle w:val="FootnoteReference"/>
          <w:sz w:val="16"/>
          <w:szCs w:val="16"/>
        </w:rPr>
        <w:footnoteRef/>
      </w:r>
      <w:r w:rsidRPr="008B3DE0">
        <w:rPr>
          <w:sz w:val="16"/>
          <w:szCs w:val="16"/>
        </w:rPr>
        <w:t xml:space="preserve"> 00123.008 Heritage NZ</w:t>
      </w:r>
    </w:p>
  </w:footnote>
  <w:footnote w:id="42">
    <w:p w14:paraId="4DBF846F" w14:textId="77777777" w:rsidR="009A1120" w:rsidRDefault="009A1120" w:rsidP="009A1120">
      <w:pPr>
        <w:pStyle w:val="FootnoteText"/>
      </w:pPr>
      <w:r>
        <w:rPr>
          <w:rStyle w:val="FootnoteReference"/>
        </w:rPr>
        <w:footnoteRef/>
      </w:r>
      <w:r>
        <w:t xml:space="preserve"> 00226.024 Kāi Tahu ki Otago</w:t>
      </w:r>
    </w:p>
  </w:footnote>
  <w:footnote w:id="43">
    <w:p w14:paraId="474865F9" w14:textId="77777777" w:rsidR="009A1120" w:rsidRDefault="009A1120" w:rsidP="009A1120">
      <w:pPr>
        <w:pStyle w:val="FootnoteText"/>
      </w:pPr>
      <w:r>
        <w:rPr>
          <w:rStyle w:val="FootnoteReference"/>
        </w:rPr>
        <w:footnoteRef/>
      </w:r>
      <w:r>
        <w:t xml:space="preserve"> 00226.024 Kāi Tahu ki Otago</w:t>
      </w:r>
    </w:p>
  </w:footnote>
  <w:footnote w:id="44">
    <w:p w14:paraId="3F7CDE85" w14:textId="77777777" w:rsidR="009A1120" w:rsidRPr="00534840" w:rsidRDefault="009A1120" w:rsidP="009A1120">
      <w:pPr>
        <w:pStyle w:val="FootnoteText"/>
        <w:rPr>
          <w:sz w:val="16"/>
          <w:szCs w:val="16"/>
        </w:rPr>
      </w:pPr>
      <w:r w:rsidRPr="00534840">
        <w:rPr>
          <w:rStyle w:val="FootnoteReference"/>
          <w:sz w:val="16"/>
          <w:szCs w:val="16"/>
        </w:rPr>
        <w:footnoteRef/>
      </w:r>
      <w:r w:rsidRPr="00534840">
        <w:rPr>
          <w:sz w:val="16"/>
          <w:szCs w:val="16"/>
        </w:rPr>
        <w:t xml:space="preserve"> </w:t>
      </w:r>
      <w:r w:rsidRPr="007F0C76">
        <w:rPr>
          <w:szCs w:val="18"/>
        </w:rPr>
        <w:t>00140.001 Waitaki DC</w:t>
      </w:r>
    </w:p>
  </w:footnote>
  <w:footnote w:id="45">
    <w:p w14:paraId="05EF3F5F" w14:textId="5A1055B6" w:rsidR="008F5D41" w:rsidRPr="008F5D41" w:rsidRDefault="008F5D41">
      <w:pPr>
        <w:pStyle w:val="FootnoteText"/>
      </w:pPr>
      <w:r>
        <w:rPr>
          <w:rStyle w:val="FootnoteReference"/>
        </w:rPr>
        <w:footnoteRef/>
      </w:r>
      <w:r>
        <w:t xml:space="preserve"> 00120.007 Yellow-eyed Penguin Trust</w:t>
      </w:r>
    </w:p>
  </w:footnote>
  <w:footnote w:id="46">
    <w:p w14:paraId="34715EB9" w14:textId="77777777" w:rsidR="009A1120" w:rsidRDefault="009A1120" w:rsidP="009A1120">
      <w:pPr>
        <w:pStyle w:val="FootnoteText"/>
      </w:pPr>
      <w:r w:rsidRPr="00534840">
        <w:rPr>
          <w:rStyle w:val="FootnoteReference"/>
          <w:sz w:val="16"/>
          <w:szCs w:val="16"/>
        </w:rPr>
        <w:footnoteRef/>
      </w:r>
      <w:r w:rsidRPr="00534840">
        <w:rPr>
          <w:sz w:val="16"/>
          <w:szCs w:val="16"/>
        </w:rPr>
        <w:t xml:space="preserve">  </w:t>
      </w:r>
      <w:r w:rsidRPr="007F0C76">
        <w:rPr>
          <w:szCs w:val="18"/>
        </w:rPr>
        <w:t>00206.008 Trojan, 00411.014 Wayfare</w:t>
      </w:r>
    </w:p>
  </w:footnote>
  <w:footnote w:id="47">
    <w:p w14:paraId="26F10257" w14:textId="1CAA9B62" w:rsidR="006072DC" w:rsidRDefault="006072DC">
      <w:pPr>
        <w:pStyle w:val="FootnoteText"/>
      </w:pPr>
      <w:r>
        <w:rPr>
          <w:rStyle w:val="FootnoteReference"/>
        </w:rPr>
        <w:footnoteRef/>
      </w:r>
      <w:r>
        <w:t xml:space="preserve"> Clause 16(2), Schedule 1, RMA</w:t>
      </w:r>
    </w:p>
  </w:footnote>
  <w:footnote w:id="48">
    <w:p w14:paraId="57C63DC5" w14:textId="230F8AE3" w:rsidR="006072DC" w:rsidRDefault="006072DC">
      <w:pPr>
        <w:pStyle w:val="FootnoteText"/>
      </w:pPr>
      <w:r>
        <w:rPr>
          <w:rStyle w:val="FootnoteReference"/>
        </w:rPr>
        <w:footnoteRef/>
      </w:r>
      <w:r>
        <w:t xml:space="preserve"> Clause 16(2), Schedule 1, RMA</w:t>
      </w:r>
    </w:p>
  </w:footnote>
  <w:footnote w:id="49">
    <w:p w14:paraId="622C3C70" w14:textId="40292E82" w:rsidR="006072DC" w:rsidRDefault="006072DC">
      <w:pPr>
        <w:pStyle w:val="FootnoteText"/>
      </w:pPr>
      <w:r>
        <w:rPr>
          <w:rStyle w:val="FootnoteReference"/>
        </w:rPr>
        <w:footnoteRef/>
      </w:r>
      <w:r>
        <w:t xml:space="preserve"> Clause 16(2), Schedule 1, RMA</w:t>
      </w:r>
    </w:p>
  </w:footnote>
  <w:footnote w:id="50">
    <w:p w14:paraId="6985D3F5" w14:textId="4696AFF9" w:rsidR="00055426" w:rsidRDefault="00055426">
      <w:pPr>
        <w:pStyle w:val="FootnoteText"/>
      </w:pPr>
      <w:r>
        <w:rPr>
          <w:rStyle w:val="FootnoteReference"/>
        </w:rPr>
        <w:footnoteRef/>
      </w:r>
      <w:r>
        <w:t xml:space="preserve"> 00239.004 Federated Farmers</w:t>
      </w:r>
    </w:p>
  </w:footnote>
  <w:footnote w:id="51">
    <w:p w14:paraId="7C4BA0D7" w14:textId="77777777" w:rsidR="009A1120" w:rsidRPr="008D3A47" w:rsidRDefault="009A1120" w:rsidP="009A1120">
      <w:pPr>
        <w:pStyle w:val="FootnoteText"/>
        <w:rPr>
          <w:sz w:val="16"/>
          <w:szCs w:val="16"/>
        </w:rPr>
      </w:pPr>
      <w:r w:rsidRPr="008D3A47">
        <w:rPr>
          <w:rStyle w:val="FootnoteReference"/>
          <w:sz w:val="16"/>
          <w:szCs w:val="16"/>
        </w:rPr>
        <w:footnoteRef/>
      </w:r>
      <w:r w:rsidRPr="008D3A47">
        <w:rPr>
          <w:sz w:val="16"/>
          <w:szCs w:val="16"/>
        </w:rPr>
        <w:t xml:space="preserve"> </w:t>
      </w:r>
      <w:r w:rsidRPr="007F0C76">
        <w:rPr>
          <w:szCs w:val="18"/>
        </w:rPr>
        <w:t>00239.004 Federated Farmers</w:t>
      </w:r>
    </w:p>
  </w:footnote>
  <w:footnote w:id="52">
    <w:p w14:paraId="7C665CCD" w14:textId="77777777" w:rsidR="009A1120" w:rsidRDefault="009A1120" w:rsidP="009A1120">
      <w:pPr>
        <w:pStyle w:val="FootnoteText"/>
      </w:pPr>
      <w:r>
        <w:rPr>
          <w:rStyle w:val="FootnoteReference"/>
        </w:rPr>
        <w:footnoteRef/>
      </w:r>
      <w:r>
        <w:t xml:space="preserve"> </w:t>
      </w:r>
      <w:r w:rsidRPr="007F0C76">
        <w:rPr>
          <w:szCs w:val="18"/>
        </w:rPr>
        <w:t>00239.004 Federated Farmers</w:t>
      </w:r>
    </w:p>
  </w:footnote>
  <w:footnote w:id="53">
    <w:p w14:paraId="7E0318AF" w14:textId="3966661A" w:rsidR="009A1120" w:rsidRPr="00610E54" w:rsidRDefault="009A1120" w:rsidP="009A1120">
      <w:pPr>
        <w:pStyle w:val="FootnoteText"/>
        <w:rPr>
          <w:sz w:val="16"/>
          <w:szCs w:val="16"/>
        </w:rPr>
      </w:pPr>
      <w:r w:rsidRPr="00610E54">
        <w:rPr>
          <w:rStyle w:val="FootnoteReference"/>
          <w:sz w:val="16"/>
          <w:szCs w:val="16"/>
        </w:rPr>
        <w:footnoteRef/>
      </w:r>
      <w:r w:rsidRPr="00610E54">
        <w:rPr>
          <w:sz w:val="16"/>
          <w:szCs w:val="16"/>
        </w:rPr>
        <w:t xml:space="preserve"> </w:t>
      </w:r>
      <w:r w:rsidRPr="007F0C76">
        <w:rPr>
          <w:szCs w:val="18"/>
        </w:rPr>
        <w:t>00213.004 Fonterra</w:t>
      </w:r>
    </w:p>
  </w:footnote>
  <w:footnote w:id="54">
    <w:p w14:paraId="57D6E749" w14:textId="6CE73DF2" w:rsidR="009A1120" w:rsidRPr="00343173" w:rsidRDefault="009A1120" w:rsidP="007F0C76">
      <w:pPr>
        <w:pStyle w:val="FootnoteText"/>
        <w:shd w:val="clear" w:color="auto" w:fill="D9D9D9" w:themeFill="background1" w:themeFillShade="D9"/>
        <w:rPr>
          <w:sz w:val="16"/>
          <w:szCs w:val="16"/>
        </w:rPr>
      </w:pPr>
      <w:r w:rsidRPr="00715BD1">
        <w:rPr>
          <w:rStyle w:val="FootnoteReference"/>
          <w:sz w:val="16"/>
          <w:szCs w:val="16"/>
          <w:shd w:val="clear" w:color="auto" w:fill="D9D9D9" w:themeFill="background1" w:themeFillShade="D9"/>
        </w:rPr>
        <w:footnoteRef/>
      </w:r>
      <w:r w:rsidRPr="00715BD1">
        <w:rPr>
          <w:sz w:val="16"/>
          <w:szCs w:val="16"/>
          <w:shd w:val="clear" w:color="auto" w:fill="D9D9D9" w:themeFill="background1" w:themeFillShade="D9"/>
        </w:rPr>
        <w:t xml:space="preserve"> </w:t>
      </w:r>
      <w:r w:rsidR="00715BD1" w:rsidRPr="00715BD1">
        <w:rPr>
          <w:szCs w:val="18"/>
          <w:shd w:val="clear" w:color="auto" w:fill="D9D9D9" w:themeFill="background1" w:themeFillShade="D9"/>
        </w:rPr>
        <w:t xml:space="preserve">In the South Island, the local Māori dialect uses a ‘k’ interchangeably with ‘ng’.  The preference in Otago is to use a ‘k’ so southern Māori are known as Kāi Tahu, </w:t>
      </w:r>
      <w:r w:rsidR="00715BD1" w:rsidRPr="00715BD1">
        <w:rPr>
          <w:szCs w:val="18"/>
          <w:u w:val="single"/>
          <w:shd w:val="clear" w:color="auto" w:fill="D9D9D9" w:themeFill="background1" w:themeFillShade="D9"/>
        </w:rPr>
        <w:t>and in this document Kāi Tahu is a reference to the seven Papatipu Rūnanga with interests in the Otago region</w:t>
      </w:r>
      <w:r w:rsidR="00715BD1" w:rsidRPr="00715BD1">
        <w:rPr>
          <w:szCs w:val="18"/>
          <w:shd w:val="clear" w:color="auto" w:fill="D9D9D9" w:themeFill="background1" w:themeFillShade="D9"/>
        </w:rPr>
        <w:t xml:space="preserve">. In this RPS, the ‘ng’ is used for iwi in general </w:t>
      </w:r>
      <w:r w:rsidR="00715BD1" w:rsidRPr="00715BD1">
        <w:rPr>
          <w:strike/>
          <w:szCs w:val="18"/>
          <w:shd w:val="clear" w:color="auto" w:fill="D9D9D9" w:themeFill="background1" w:themeFillShade="D9"/>
        </w:rPr>
        <w:t>or when there is reference to Ngāi Tahu ki Murihiku (Southland),</w:t>
      </w:r>
      <w:r w:rsidR="00715BD1" w:rsidRPr="00715BD1">
        <w:rPr>
          <w:szCs w:val="18"/>
          <w:shd w:val="clear" w:color="auto" w:fill="D9D9D9" w:themeFill="background1" w:themeFillShade="D9"/>
        </w:rPr>
        <w:t xml:space="preserve"> </w:t>
      </w:r>
      <w:r w:rsidR="00715BD1" w:rsidRPr="00715BD1">
        <w:rPr>
          <w:szCs w:val="18"/>
          <w:u w:val="single"/>
          <w:shd w:val="clear" w:color="auto" w:fill="D9D9D9" w:themeFill="background1" w:themeFillShade="D9"/>
        </w:rPr>
        <w:t>when referencing statutory instruments or documents, and when specifically differentiating between the groupings of Papatipu Rūnanga represented by Aukaha Limited (Kāi Tahu ki Otago) and Te Ao Marama Incorporated (Ngāi Tahu ki Murihiku)</w:t>
      </w:r>
      <w:r w:rsidR="00715BD1" w:rsidRPr="00715BD1">
        <w:rPr>
          <w:szCs w:val="18"/>
          <w:shd w:val="clear" w:color="auto" w:fill="D9D9D9" w:themeFill="background1" w:themeFillShade="D9"/>
        </w:rPr>
        <w:t>” – amendments in response to 00223.011 Ngai Tahu ki Murihiku</w:t>
      </w:r>
    </w:p>
  </w:footnote>
  <w:footnote w:id="55">
    <w:p w14:paraId="024A871A" w14:textId="0B9EA8B9" w:rsidR="006072DC" w:rsidRDefault="006072DC">
      <w:pPr>
        <w:pStyle w:val="FootnoteText"/>
      </w:pPr>
      <w:r>
        <w:rPr>
          <w:rStyle w:val="FootnoteReference"/>
        </w:rPr>
        <w:footnoteRef/>
      </w:r>
      <w:r>
        <w:t xml:space="preserve"> Clause 16(2), Schedule 1, RMA</w:t>
      </w:r>
    </w:p>
  </w:footnote>
  <w:footnote w:id="56">
    <w:p w14:paraId="70537D59" w14:textId="4326BB9C" w:rsidR="00715BD1" w:rsidRDefault="00715BD1">
      <w:pPr>
        <w:pStyle w:val="FootnoteText"/>
      </w:pPr>
      <w:r w:rsidRPr="00715BD1">
        <w:rPr>
          <w:rStyle w:val="FootnoteReference"/>
          <w:shd w:val="clear" w:color="auto" w:fill="D9D9D9" w:themeFill="background1" w:themeFillShade="D9"/>
        </w:rPr>
        <w:footnoteRef/>
      </w:r>
      <w:r w:rsidRPr="00715BD1">
        <w:rPr>
          <w:shd w:val="clear" w:color="auto" w:fill="D9D9D9" w:themeFill="background1" w:themeFillShade="D9"/>
        </w:rPr>
        <w:t xml:space="preserve"> </w:t>
      </w:r>
      <w:r w:rsidRPr="00715BD1">
        <w:rPr>
          <w:szCs w:val="18"/>
          <w:shd w:val="clear" w:color="auto" w:fill="D9D9D9" w:themeFill="background1" w:themeFillShade="D9"/>
        </w:rPr>
        <w:t>These matters are addressed throughout the Resource Management Act 1991, see in particular sections 6, 8 and 62.</w:t>
      </w:r>
    </w:p>
  </w:footnote>
  <w:footnote w:id="57">
    <w:p w14:paraId="4AFA7D4A" w14:textId="19319415" w:rsidR="009C237D" w:rsidRDefault="009C237D">
      <w:pPr>
        <w:pStyle w:val="FootnoteText"/>
      </w:pPr>
      <w:r>
        <w:rPr>
          <w:rStyle w:val="FootnoteReference"/>
        </w:rPr>
        <w:footnoteRef/>
      </w:r>
      <w:r>
        <w:t xml:space="preserve"> </w:t>
      </w:r>
      <w:r w:rsidR="0029576C" w:rsidRPr="0029576C">
        <w:t>Clause 10(2)(b)(i) – consequential amendment arising from 00226.038 Kāi Tahu ki Otago</w:t>
      </w:r>
    </w:p>
  </w:footnote>
  <w:footnote w:id="58">
    <w:p w14:paraId="78319ED1" w14:textId="77777777" w:rsidR="0029576C" w:rsidRDefault="0029576C" w:rsidP="0029576C">
      <w:pPr>
        <w:pStyle w:val="FootnoteText"/>
      </w:pPr>
      <w:r>
        <w:rPr>
          <w:rStyle w:val="FootnoteReference"/>
        </w:rPr>
        <w:footnoteRef/>
      </w:r>
      <w:r>
        <w:t xml:space="preserve"> </w:t>
      </w:r>
      <w:r w:rsidRPr="0029576C">
        <w:t>Clause 10(2)(b)(i) – consequential amendment arising from 00226.038 Kāi Tahu ki Otago</w:t>
      </w:r>
    </w:p>
  </w:footnote>
  <w:footnote w:id="59">
    <w:p w14:paraId="35D2F9FE" w14:textId="650138B6"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00223.012 Ngāi Tahu ki Murihiku</w:t>
      </w:r>
    </w:p>
  </w:footnote>
  <w:footnote w:id="60">
    <w:p w14:paraId="7ECA8A63" w14:textId="52DA67D0" w:rsidR="006072DC" w:rsidRDefault="006072DC">
      <w:pPr>
        <w:pStyle w:val="FootnoteText"/>
      </w:pPr>
      <w:r>
        <w:rPr>
          <w:rStyle w:val="FootnoteReference"/>
        </w:rPr>
        <w:footnoteRef/>
      </w:r>
      <w:r>
        <w:t xml:space="preserve"> Clause 16(2), Schedule 1, RMA</w:t>
      </w:r>
    </w:p>
  </w:footnote>
  <w:footnote w:id="61">
    <w:p w14:paraId="79CD4BC7"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00314.002 Transpower</w:t>
      </w:r>
    </w:p>
  </w:footnote>
  <w:footnote w:id="62">
    <w:p w14:paraId="53E10E92"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00314.002 Transpower</w:t>
      </w:r>
    </w:p>
  </w:footnote>
  <w:footnote w:id="63">
    <w:p w14:paraId="7BF8EBD9"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00139.003 DCC</w:t>
      </w:r>
    </w:p>
  </w:footnote>
  <w:footnote w:id="64">
    <w:p w14:paraId="177CEADB" w14:textId="475C829A"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00013.001 ECan</w:t>
      </w:r>
    </w:p>
  </w:footnote>
  <w:footnote w:id="65">
    <w:p w14:paraId="2E4A9353"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00236.009 Horticulture NZ</w:t>
      </w:r>
    </w:p>
  </w:footnote>
  <w:footnote w:id="66">
    <w:p w14:paraId="51882195" w14:textId="388969CF" w:rsidR="0045729C" w:rsidRDefault="0045729C">
      <w:pPr>
        <w:pStyle w:val="FootnoteText"/>
      </w:pPr>
      <w:r>
        <w:rPr>
          <w:rStyle w:val="FootnoteReference"/>
        </w:rPr>
        <w:footnoteRef/>
      </w:r>
      <w:r>
        <w:t xml:space="preserve"> Clause 16(2), Schedule 1, RMA</w:t>
      </w:r>
    </w:p>
  </w:footnote>
  <w:footnote w:id="67">
    <w:p w14:paraId="55120F39" w14:textId="696C6DA2" w:rsidR="003770FF" w:rsidRPr="003770FF" w:rsidRDefault="003770FF">
      <w:pPr>
        <w:pStyle w:val="FootnoteText"/>
        <w:rPr>
          <w:lang w:val="mi-NZ"/>
        </w:rPr>
      </w:pPr>
      <w:r>
        <w:rPr>
          <w:rStyle w:val="FootnoteReference"/>
        </w:rPr>
        <w:footnoteRef/>
      </w:r>
      <w:r>
        <w:t xml:space="preserve"> </w:t>
      </w:r>
      <w:r w:rsidRPr="00E15051">
        <w:rPr>
          <w:lang w:val="mi-NZ"/>
        </w:rPr>
        <w:t>Clause 16(2), Schedule 1</w:t>
      </w:r>
      <w:r w:rsidR="00FE7B1D" w:rsidRPr="00E15051">
        <w:rPr>
          <w:lang w:val="mi-NZ"/>
        </w:rPr>
        <w:t xml:space="preserve">, </w:t>
      </w:r>
      <w:r w:rsidRPr="00E15051">
        <w:rPr>
          <w:lang w:val="mi-NZ"/>
        </w:rPr>
        <w:t>RMA</w:t>
      </w:r>
    </w:p>
  </w:footnote>
  <w:footnote w:id="68">
    <w:p w14:paraId="7E02A0BA" w14:textId="77777777" w:rsidR="009A1120" w:rsidRDefault="009A1120" w:rsidP="009A1120">
      <w:pPr>
        <w:pStyle w:val="FootnoteText"/>
      </w:pPr>
      <w:r w:rsidRPr="007F0C76">
        <w:rPr>
          <w:rStyle w:val="FootnoteReference"/>
          <w:szCs w:val="18"/>
        </w:rPr>
        <w:footnoteRef/>
      </w:r>
      <w:r w:rsidRPr="007F0C76">
        <w:rPr>
          <w:szCs w:val="18"/>
        </w:rPr>
        <w:t xml:space="preserve"> 00314.002 Transpower</w:t>
      </w:r>
    </w:p>
  </w:footnote>
  <w:footnote w:id="69">
    <w:p w14:paraId="45DD0E02"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00139.004 DCC</w:t>
      </w:r>
    </w:p>
  </w:footnote>
  <w:footnote w:id="70">
    <w:p w14:paraId="0C6611B7" w14:textId="61694B27" w:rsidR="00EE30D1" w:rsidRDefault="00EE30D1">
      <w:pPr>
        <w:pStyle w:val="FootnoteText"/>
      </w:pPr>
      <w:r>
        <w:rPr>
          <w:rStyle w:val="FootnoteReference"/>
        </w:rPr>
        <w:footnoteRef/>
      </w:r>
      <w:r>
        <w:t xml:space="preserve"> Clause 16(2), Schedule 1, RMA</w:t>
      </w:r>
    </w:p>
  </w:footnote>
  <w:footnote w:id="71">
    <w:p w14:paraId="6E629EDA" w14:textId="22E36404" w:rsidR="006072DC" w:rsidRDefault="006072DC">
      <w:pPr>
        <w:pStyle w:val="FootnoteText"/>
      </w:pPr>
      <w:r>
        <w:rPr>
          <w:rStyle w:val="FootnoteReference"/>
        </w:rPr>
        <w:footnoteRef/>
      </w:r>
      <w:r>
        <w:t xml:space="preserve"> Clause 16(2), Schedule 1, RMA</w:t>
      </w:r>
    </w:p>
  </w:footnote>
  <w:footnote w:id="72">
    <w:p w14:paraId="1D7BC8B0" w14:textId="7F20DEF6" w:rsidR="00744E42" w:rsidRDefault="00744E42">
      <w:pPr>
        <w:pStyle w:val="FootnoteText"/>
      </w:pPr>
      <w:r>
        <w:rPr>
          <w:rStyle w:val="FootnoteReference"/>
        </w:rPr>
        <w:footnoteRef/>
      </w:r>
      <w:r>
        <w:t xml:space="preserve"> Clause 16(2), Schedule 1, RMA</w:t>
      </w:r>
    </w:p>
  </w:footnote>
  <w:footnote w:id="73">
    <w:p w14:paraId="4C6F481B"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00137.005 DOC</w:t>
      </w:r>
    </w:p>
  </w:footnote>
  <w:footnote w:id="74">
    <w:p w14:paraId="7A975CEA" w14:textId="77777777" w:rsidR="00185982" w:rsidRPr="007F0C76" w:rsidRDefault="00185982" w:rsidP="00185982">
      <w:pPr>
        <w:pStyle w:val="FootnoteText"/>
        <w:rPr>
          <w:szCs w:val="18"/>
        </w:rPr>
      </w:pPr>
      <w:r w:rsidRPr="007F0C76">
        <w:rPr>
          <w:rStyle w:val="FootnoteReference"/>
          <w:szCs w:val="18"/>
        </w:rPr>
        <w:footnoteRef/>
      </w:r>
      <w:r w:rsidRPr="007F0C76">
        <w:rPr>
          <w:szCs w:val="18"/>
        </w:rPr>
        <w:t xml:space="preserve"> 00239.005 Federated Farmers</w:t>
      </w:r>
    </w:p>
  </w:footnote>
  <w:footnote w:id="75">
    <w:p w14:paraId="546CDAE2" w14:textId="77777777" w:rsidR="009A1120" w:rsidRDefault="009A1120" w:rsidP="009A1120">
      <w:pPr>
        <w:pStyle w:val="FootnoteText"/>
        <w:rPr>
          <w:rFonts w:eastAsia="Calibri"/>
          <w:sz w:val="16"/>
          <w:szCs w:val="16"/>
        </w:rPr>
      </w:pPr>
      <w:r w:rsidRPr="007F0C76">
        <w:rPr>
          <w:rStyle w:val="FootnoteReference"/>
          <w:rFonts w:eastAsia="Calibri"/>
          <w:szCs w:val="18"/>
        </w:rPr>
        <w:footnoteRef/>
      </w:r>
      <w:r w:rsidRPr="007F0C76">
        <w:rPr>
          <w:rFonts w:eastAsia="Calibri"/>
          <w:szCs w:val="18"/>
        </w:rPr>
        <w:t xml:space="preserve"> 00239.005 Federated Farmers</w:t>
      </w:r>
    </w:p>
  </w:footnote>
  <w:footnote w:id="76">
    <w:p w14:paraId="6F15F1A8" w14:textId="77777777" w:rsidR="009A1120" w:rsidRDefault="009A1120" w:rsidP="009A1120">
      <w:pPr>
        <w:pStyle w:val="FootnoteText"/>
      </w:pPr>
      <w:r>
        <w:rPr>
          <w:rStyle w:val="FootnoteReference"/>
        </w:rPr>
        <w:footnoteRef/>
      </w:r>
      <w:r>
        <w:t xml:space="preserve"> 00223.013 Ngāi Tahu Ki Murihiku </w:t>
      </w:r>
    </w:p>
  </w:footnote>
  <w:footnote w:id="77">
    <w:p w14:paraId="7B31C5A9" w14:textId="61DDBA33" w:rsidR="00BA307C" w:rsidRDefault="00BA307C">
      <w:pPr>
        <w:pStyle w:val="FootnoteText"/>
      </w:pPr>
      <w:r>
        <w:rPr>
          <w:rStyle w:val="FootnoteReference"/>
        </w:rPr>
        <w:footnoteRef/>
      </w:r>
      <w:r>
        <w:t xml:space="preserve"> </w:t>
      </w:r>
      <w:r w:rsidRPr="00BA307C">
        <w:t>Clause 16(2), Schedule 1, RMA</w:t>
      </w:r>
    </w:p>
  </w:footnote>
  <w:footnote w:id="78">
    <w:p w14:paraId="32893B06" w14:textId="4C449CCB" w:rsidR="009231E7" w:rsidRDefault="009231E7">
      <w:pPr>
        <w:pStyle w:val="FootnoteText"/>
      </w:pPr>
      <w:r>
        <w:rPr>
          <w:rStyle w:val="FootnoteReference"/>
        </w:rPr>
        <w:footnoteRef/>
      </w:r>
      <w:r>
        <w:t xml:space="preserve"> </w:t>
      </w:r>
      <w:r w:rsidR="00BA307C" w:rsidRPr="00BA307C">
        <w:t>Clause 16(2), Schedule 1, RMA</w:t>
      </w:r>
    </w:p>
  </w:footnote>
  <w:footnote w:id="79">
    <w:p w14:paraId="7C2699A6" w14:textId="743F3CF6" w:rsidR="639E38F9" w:rsidRDefault="639E38F9" w:rsidP="639E38F9">
      <w:pPr>
        <w:pStyle w:val="FootnoteText"/>
      </w:pPr>
      <w:r w:rsidRPr="639E38F9">
        <w:rPr>
          <w:rStyle w:val="FootnoteReference"/>
          <w:rFonts w:eastAsia="Calibri"/>
          <w:szCs w:val="18"/>
        </w:rPr>
        <w:footnoteRef/>
      </w:r>
      <w:r w:rsidRPr="639E38F9">
        <w:rPr>
          <w:rFonts w:eastAsia="Calibri"/>
          <w:szCs w:val="18"/>
        </w:rPr>
        <w:t xml:space="preserve"> 00314.002 Transpower</w:t>
      </w:r>
    </w:p>
  </w:footnote>
  <w:footnote w:id="80">
    <w:p w14:paraId="116C2443" w14:textId="7D673B90" w:rsidR="639E38F9" w:rsidRDefault="639E38F9" w:rsidP="639E38F9">
      <w:pPr>
        <w:pStyle w:val="FootnoteText"/>
      </w:pPr>
      <w:r w:rsidRPr="639E38F9">
        <w:rPr>
          <w:rStyle w:val="FootnoteReference"/>
          <w:rFonts w:eastAsia="Calibri"/>
          <w:szCs w:val="18"/>
        </w:rPr>
        <w:footnoteRef/>
      </w:r>
      <w:r w:rsidRPr="639E38F9">
        <w:rPr>
          <w:rFonts w:eastAsia="Calibri"/>
          <w:szCs w:val="18"/>
        </w:rPr>
        <w:t xml:space="preserve"> 00314.002 Transpower</w:t>
      </w:r>
    </w:p>
  </w:footnote>
  <w:footnote w:id="81">
    <w:p w14:paraId="37E4A6E7" w14:textId="77777777" w:rsidR="009A1120" w:rsidRDefault="009A1120" w:rsidP="009A1120">
      <w:pPr>
        <w:pStyle w:val="FootnoteText"/>
      </w:pPr>
      <w:r>
        <w:rPr>
          <w:rStyle w:val="FootnoteReference"/>
        </w:rPr>
        <w:footnoteRef/>
      </w:r>
      <w:r>
        <w:t xml:space="preserve"> 00509.013 Wise Response</w:t>
      </w:r>
    </w:p>
  </w:footnote>
  <w:footnote w:id="82">
    <w:p w14:paraId="59E3C2E9" w14:textId="77777777" w:rsidR="009A1120" w:rsidRDefault="009A1120" w:rsidP="009A1120">
      <w:pPr>
        <w:pStyle w:val="FootnoteText"/>
      </w:pPr>
      <w:r>
        <w:rPr>
          <w:rStyle w:val="FootnoteReference"/>
        </w:rPr>
        <w:footnoteRef/>
      </w:r>
      <w:r>
        <w:t xml:space="preserve"> 00223.015 Ngāi Tahu ki Murihiku</w:t>
      </w:r>
    </w:p>
  </w:footnote>
  <w:footnote w:id="83">
    <w:p w14:paraId="11B93A11" w14:textId="77777777" w:rsidR="009A1120" w:rsidRPr="007F0C76" w:rsidRDefault="009A1120" w:rsidP="009A1120">
      <w:pPr>
        <w:pStyle w:val="FootnoteText"/>
        <w:rPr>
          <w:szCs w:val="18"/>
        </w:rPr>
      </w:pPr>
      <w:r w:rsidRPr="007F0C76">
        <w:rPr>
          <w:rStyle w:val="FootnoteReference"/>
          <w:szCs w:val="18"/>
        </w:rPr>
        <w:footnoteRef/>
      </w:r>
      <w:r w:rsidRPr="007F0C76">
        <w:rPr>
          <w:szCs w:val="18"/>
        </w:rPr>
        <w:t xml:space="preserve"> 00223.015 Ngāi Tahu ki Murihiku</w:t>
      </w:r>
    </w:p>
  </w:footnote>
  <w:footnote w:id="84">
    <w:p w14:paraId="09F5545A" w14:textId="4D8FBC13" w:rsidR="009A1120" w:rsidRDefault="009A1120" w:rsidP="009A1120">
      <w:pPr>
        <w:pStyle w:val="FootnoteText"/>
      </w:pPr>
      <w:r w:rsidRPr="007F0C76">
        <w:rPr>
          <w:rStyle w:val="FootnoteReference"/>
          <w:szCs w:val="18"/>
        </w:rPr>
        <w:footnoteRef/>
      </w:r>
      <w:r w:rsidRPr="007F0C76">
        <w:rPr>
          <w:szCs w:val="18"/>
        </w:rPr>
        <w:t xml:space="preserve"> 00223.016 Ngāi Tahu </w:t>
      </w:r>
      <w:r w:rsidR="007F0C76">
        <w:rPr>
          <w:szCs w:val="18"/>
        </w:rPr>
        <w:t xml:space="preserve">ki </w:t>
      </w:r>
      <w:r w:rsidRPr="007F0C76">
        <w:rPr>
          <w:szCs w:val="18"/>
        </w:rPr>
        <w:t>Murihiku</w:t>
      </w:r>
    </w:p>
  </w:footnote>
  <w:footnote w:id="85">
    <w:p w14:paraId="23B1C0B0" w14:textId="77777777" w:rsidR="009A1120" w:rsidRDefault="009A1120" w:rsidP="009A1120">
      <w:pPr>
        <w:pStyle w:val="FootnoteText"/>
      </w:pPr>
      <w:r>
        <w:rPr>
          <w:rStyle w:val="FootnoteReference"/>
        </w:rPr>
        <w:footnoteRef/>
      </w:r>
      <w:r>
        <w:t xml:space="preserve"> 00239.006 Federated Farmers</w:t>
      </w:r>
    </w:p>
  </w:footnote>
  <w:footnote w:id="86">
    <w:p w14:paraId="7539D80E" w14:textId="7AE9807F" w:rsidR="009A1120" w:rsidRDefault="009A1120" w:rsidP="009A1120">
      <w:pPr>
        <w:pStyle w:val="FootnoteText"/>
      </w:pPr>
      <w:r>
        <w:rPr>
          <w:rStyle w:val="FootnoteReference"/>
        </w:rPr>
        <w:footnoteRef/>
      </w:r>
      <w:r>
        <w:t xml:space="preserve"> 00509.015 Wise Response</w:t>
      </w:r>
    </w:p>
  </w:footnote>
  <w:footnote w:id="87">
    <w:p w14:paraId="47229329" w14:textId="6AF374EE" w:rsidR="009A1120" w:rsidRDefault="009A1120" w:rsidP="009A1120">
      <w:pPr>
        <w:pStyle w:val="FootnoteText"/>
      </w:pPr>
      <w:r>
        <w:rPr>
          <w:rStyle w:val="FootnoteReference"/>
        </w:rPr>
        <w:footnoteRef/>
      </w:r>
      <w:r>
        <w:t xml:space="preserve"> 00509.015 Wise Response</w:t>
      </w:r>
    </w:p>
  </w:footnote>
  <w:footnote w:id="88">
    <w:p w14:paraId="4F74DAC8" w14:textId="77777777" w:rsidR="00B04A96" w:rsidRDefault="00B04A96" w:rsidP="00B04A96">
      <w:pPr>
        <w:pStyle w:val="FootnoteText"/>
      </w:pPr>
      <w:r>
        <w:rPr>
          <w:rStyle w:val="FootnoteReference"/>
        </w:rPr>
        <w:footnoteRef/>
      </w:r>
      <w:r>
        <w:t xml:space="preserve"> 00120.007 Yellow-eyed Penguin Trust</w:t>
      </w:r>
    </w:p>
  </w:footnote>
  <w:footnote w:id="89">
    <w:p w14:paraId="0D77A36C" w14:textId="77777777" w:rsidR="00B04A96" w:rsidRDefault="00B04A96" w:rsidP="00B04A96">
      <w:pPr>
        <w:pStyle w:val="FootnoteText"/>
      </w:pPr>
      <w:r>
        <w:rPr>
          <w:rStyle w:val="FootnoteReference"/>
        </w:rPr>
        <w:footnoteRef/>
      </w:r>
      <w:r>
        <w:t xml:space="preserve"> 00120.007 Yellow-eyed Penguin Trust</w:t>
      </w:r>
    </w:p>
  </w:footnote>
  <w:footnote w:id="90">
    <w:p w14:paraId="42D45F21" w14:textId="77777777" w:rsidR="00902D1B" w:rsidRDefault="00902D1B" w:rsidP="00902D1B">
      <w:pPr>
        <w:pStyle w:val="FootnoteText"/>
        <w:rPr>
          <w:lang w:val="en-AU"/>
        </w:rPr>
      </w:pPr>
      <w:r>
        <w:rPr>
          <w:rStyle w:val="FootnoteReference"/>
        </w:rPr>
        <w:footnoteRef/>
      </w:r>
      <w:r>
        <w:rPr>
          <w:noProof/>
        </w:rPr>
        <w:t xml:space="preserve"> 00137.007</w:t>
      </w:r>
      <w:r>
        <w:t xml:space="preserve"> </w:t>
      </w:r>
      <w:r>
        <w:rPr>
          <w:noProof/>
        </w:rPr>
        <w:t>DOC, 00223.017</w:t>
      </w:r>
      <w:r>
        <w:t xml:space="preserve"> </w:t>
      </w:r>
      <w:r>
        <w:rPr>
          <w:noProof/>
        </w:rPr>
        <w:t>Ngāi Tahu ki Murihiku</w:t>
      </w:r>
    </w:p>
  </w:footnote>
  <w:footnote w:id="91">
    <w:p w14:paraId="6852575E" w14:textId="77777777" w:rsidR="00902D1B" w:rsidRDefault="00902D1B" w:rsidP="00902D1B">
      <w:pPr>
        <w:pStyle w:val="FootnoteText"/>
        <w:rPr>
          <w:lang w:val="en-AU"/>
        </w:rPr>
      </w:pPr>
      <w:r>
        <w:rPr>
          <w:rStyle w:val="FootnoteReference"/>
        </w:rPr>
        <w:footnoteRef/>
      </w:r>
      <w:r>
        <w:t xml:space="preserve"> </w:t>
      </w:r>
      <w:r>
        <w:rPr>
          <w:noProof/>
        </w:rPr>
        <w:t>00137.007</w:t>
      </w:r>
      <w:r>
        <w:t xml:space="preserve"> </w:t>
      </w:r>
      <w:r>
        <w:rPr>
          <w:noProof/>
        </w:rPr>
        <w:t>DOC, 00223.017</w:t>
      </w:r>
      <w:r>
        <w:t xml:space="preserve"> </w:t>
      </w:r>
      <w:r>
        <w:rPr>
          <w:noProof/>
        </w:rPr>
        <w:t>Ngāi Tahu ki Murihiku</w:t>
      </w:r>
    </w:p>
  </w:footnote>
  <w:footnote w:id="92">
    <w:p w14:paraId="5F872614" w14:textId="587FDF8C" w:rsidR="00CA04FB" w:rsidRDefault="00CA04FB">
      <w:pPr>
        <w:pStyle w:val="FootnoteText"/>
      </w:pPr>
      <w:r>
        <w:rPr>
          <w:rStyle w:val="FootnoteReference"/>
        </w:rPr>
        <w:footnoteRef/>
      </w:r>
      <w:r>
        <w:t xml:space="preserve"> </w:t>
      </w:r>
      <w:r w:rsidR="00134948">
        <w:t>Clause 16(2), Schedule 1, RMA.</w:t>
      </w:r>
    </w:p>
  </w:footnote>
  <w:footnote w:id="93">
    <w:p w14:paraId="1FD7D5E7" w14:textId="0EE23129" w:rsidR="00EB5188" w:rsidRDefault="00EB5188">
      <w:pPr>
        <w:pStyle w:val="FootnoteText"/>
      </w:pPr>
      <w:r>
        <w:rPr>
          <w:rStyle w:val="FootnoteReference"/>
        </w:rPr>
        <w:footnoteRef/>
      </w:r>
      <w:r>
        <w:t xml:space="preserve"> </w:t>
      </w:r>
      <w:r w:rsidR="002641C5" w:rsidRPr="002641C5">
        <w:t>00315.014 Aurora Energy, 00235.125 OWRUG</w:t>
      </w:r>
      <w:r w:rsidR="002641C5">
        <w:t xml:space="preserve">, </w:t>
      </w:r>
      <w:r w:rsidR="00B151CF" w:rsidRPr="00B151CF">
        <w:t>00511.012 PowerNet, 00320.012 Network Waitaki</w:t>
      </w:r>
    </w:p>
  </w:footnote>
  <w:footnote w:id="94">
    <w:p w14:paraId="70A9E2E1" w14:textId="60ED985F" w:rsidR="009637D0" w:rsidRDefault="009637D0">
      <w:pPr>
        <w:pStyle w:val="FootnoteText"/>
      </w:pPr>
      <w:r>
        <w:rPr>
          <w:rStyle w:val="FootnoteReference"/>
        </w:rPr>
        <w:footnoteRef/>
      </w:r>
      <w:r>
        <w:t xml:space="preserve"> Clause 10(2)(b)(i)</w:t>
      </w:r>
      <w:r w:rsidR="00F222FF">
        <w:t>, Schedule 1, RMA</w:t>
      </w:r>
      <w:r>
        <w:t xml:space="preserve"> – consequential amendment arising from </w:t>
      </w:r>
      <w:r w:rsidR="008F31C2" w:rsidRPr="002641C5">
        <w:t>00315.014 Aurora Energy, 00235.125 OWRUG</w:t>
      </w:r>
      <w:r w:rsidR="008F31C2">
        <w:t xml:space="preserve">, </w:t>
      </w:r>
      <w:r w:rsidR="008F31C2" w:rsidRPr="00B151CF">
        <w:t>00511.012 PowerNet, 00320.012 Network Waitaki</w:t>
      </w:r>
    </w:p>
  </w:footnote>
  <w:footnote w:id="95">
    <w:p w14:paraId="7EDFBEBE" w14:textId="7F13447A" w:rsidR="008F31C2" w:rsidRDefault="008F31C2" w:rsidP="008F31C2">
      <w:pPr>
        <w:pStyle w:val="FootnoteText"/>
      </w:pPr>
      <w:r>
        <w:rPr>
          <w:rStyle w:val="FootnoteReference"/>
        </w:rPr>
        <w:footnoteRef/>
      </w:r>
      <w:r>
        <w:t xml:space="preserve"> Clause 10(2)(b)(i)</w:t>
      </w:r>
      <w:r w:rsidR="00F222FF">
        <w:t>, Schedule 1, RMA</w:t>
      </w:r>
      <w:r>
        <w:t xml:space="preserve"> – consequential amendment arising from </w:t>
      </w:r>
      <w:r w:rsidRPr="002641C5">
        <w:t>00315.014 Aurora Energy, 00235.125 OWRUG</w:t>
      </w:r>
      <w:r>
        <w:t xml:space="preserve">, </w:t>
      </w:r>
      <w:r w:rsidRPr="00B151CF">
        <w:t>00511.012 PowerNet, 00320.012 Network Waitaki</w:t>
      </w:r>
    </w:p>
  </w:footnote>
  <w:footnote w:id="96">
    <w:p w14:paraId="0479FD39" w14:textId="77777777" w:rsidR="00934CE1" w:rsidRDefault="00934CE1" w:rsidP="00934CE1">
      <w:pPr>
        <w:pStyle w:val="FootnoteText"/>
      </w:pPr>
      <w:r>
        <w:rPr>
          <w:rStyle w:val="FootnoteReference"/>
        </w:rPr>
        <w:footnoteRef/>
      </w:r>
      <w:r>
        <w:t xml:space="preserve"> 00314.003 Transpower</w:t>
      </w:r>
    </w:p>
  </w:footnote>
  <w:footnote w:id="97">
    <w:p w14:paraId="5D2F671B" w14:textId="77777777" w:rsidR="00934CE1" w:rsidRDefault="00934CE1" w:rsidP="00934CE1">
      <w:pPr>
        <w:pStyle w:val="FootnoteText"/>
      </w:pPr>
      <w:r>
        <w:rPr>
          <w:rStyle w:val="FootnoteReference"/>
        </w:rPr>
        <w:footnoteRef/>
      </w:r>
      <w:r>
        <w:t xml:space="preserve"> 00314.003 Transpower</w:t>
      </w:r>
    </w:p>
  </w:footnote>
  <w:footnote w:id="98">
    <w:p w14:paraId="7E5F6288" w14:textId="77777777" w:rsidR="00934CE1" w:rsidRDefault="00934CE1" w:rsidP="00934CE1">
      <w:pPr>
        <w:pStyle w:val="FootnoteText"/>
      </w:pPr>
      <w:r>
        <w:rPr>
          <w:rStyle w:val="FootnoteReference"/>
        </w:rPr>
        <w:footnoteRef/>
      </w:r>
      <w:r>
        <w:t xml:space="preserve"> 00314.003 Transpower</w:t>
      </w:r>
    </w:p>
  </w:footnote>
  <w:footnote w:id="99">
    <w:p w14:paraId="2147040E" w14:textId="77777777" w:rsidR="00934CE1" w:rsidRDefault="00934CE1" w:rsidP="00934CE1">
      <w:pPr>
        <w:pStyle w:val="FootnoteText"/>
      </w:pPr>
      <w:r>
        <w:rPr>
          <w:rStyle w:val="FootnoteReference"/>
        </w:rPr>
        <w:footnoteRef/>
      </w:r>
      <w:r>
        <w:t xml:space="preserve"> 00314.003 Transpower</w:t>
      </w:r>
    </w:p>
  </w:footnote>
  <w:footnote w:id="100">
    <w:p w14:paraId="14747253" w14:textId="551BE9D3" w:rsidR="009A1120" w:rsidRDefault="009A1120" w:rsidP="009A1120">
      <w:pPr>
        <w:pStyle w:val="FootnoteText"/>
        <w:rPr>
          <w:rFonts w:asciiTheme="minorHAnsi" w:hAnsiTheme="minorHAnsi" w:cstheme="minorBidi"/>
          <w:sz w:val="20"/>
          <w:lang w:val="en-GB"/>
        </w:rPr>
      </w:pPr>
      <w:r>
        <w:rPr>
          <w:rStyle w:val="FootnoteReference"/>
        </w:rPr>
        <w:footnoteRef/>
      </w:r>
      <w:r>
        <w:t xml:space="preserve"> </w:t>
      </w:r>
      <w:r>
        <w:rPr>
          <w:rFonts w:cstheme="minorHAnsi"/>
        </w:rPr>
        <w:t>00231.009 Fish and Game</w:t>
      </w:r>
    </w:p>
  </w:footnote>
  <w:footnote w:id="101">
    <w:p w14:paraId="5252993E" w14:textId="1D96E7B8" w:rsidR="009A1120" w:rsidRPr="00BB668D" w:rsidRDefault="009A1120" w:rsidP="009A1120">
      <w:pPr>
        <w:pStyle w:val="FootnoteText"/>
        <w:rPr>
          <w:lang w:val="en-GB"/>
        </w:rPr>
      </w:pPr>
      <w:r>
        <w:rPr>
          <w:rStyle w:val="FootnoteReference"/>
        </w:rPr>
        <w:footnoteRef/>
      </w:r>
      <w:r>
        <w:t xml:space="preserve"> </w:t>
      </w:r>
      <w:r>
        <w:rPr>
          <w:lang w:val="en-GB"/>
        </w:rPr>
        <w:t>00235.008 OWRUG</w:t>
      </w:r>
    </w:p>
  </w:footnote>
  <w:footnote w:id="102">
    <w:p w14:paraId="5AE60C07" w14:textId="35378EFC" w:rsidR="00683DB9" w:rsidRPr="00683DB9" w:rsidRDefault="00683DB9">
      <w:pPr>
        <w:pStyle w:val="FootnoteText"/>
        <w:rPr>
          <w:lang w:val="en-GB"/>
        </w:rPr>
      </w:pPr>
      <w:r>
        <w:rPr>
          <w:rStyle w:val="FootnoteReference"/>
        </w:rPr>
        <w:footnoteRef/>
      </w:r>
      <w:r>
        <w:t xml:space="preserve"> </w:t>
      </w:r>
      <w:r w:rsidRPr="0013436A">
        <w:t>00</w:t>
      </w:r>
      <w:r w:rsidRPr="0013436A">
        <w:rPr>
          <w:lang w:val="en-GB"/>
        </w:rPr>
        <w:t xml:space="preserve">223.117 </w:t>
      </w:r>
      <w:r w:rsidRPr="0013436A">
        <w:t>Ngāi Tahu ki Murihiku</w:t>
      </w:r>
      <w:r>
        <w:t xml:space="preserve">, </w:t>
      </w:r>
      <w:r w:rsidR="004F73BC" w:rsidRPr="0013436A">
        <w:t>00230.006 Forest and Bird</w:t>
      </w:r>
    </w:p>
  </w:footnote>
  <w:footnote w:id="103">
    <w:p w14:paraId="25712ABE" w14:textId="78CFCFA3" w:rsidR="00206AA9" w:rsidRPr="00206AA9" w:rsidRDefault="00206AA9">
      <w:pPr>
        <w:pStyle w:val="FootnoteText"/>
        <w:rPr>
          <w:lang w:val="en-GB"/>
        </w:rPr>
      </w:pPr>
      <w:r>
        <w:rPr>
          <w:rStyle w:val="FootnoteReference"/>
        </w:rPr>
        <w:footnoteRef/>
      </w:r>
      <w:r>
        <w:t xml:space="preserve"> Clause 10(2)(b)(i), Schedule 1, RMA – consequential amendment arising from 00137.158 DOC</w:t>
      </w:r>
    </w:p>
  </w:footnote>
  <w:footnote w:id="104">
    <w:p w14:paraId="45CDB71D" w14:textId="77777777" w:rsidR="009A1120" w:rsidRPr="003C79BE" w:rsidRDefault="009A1120" w:rsidP="009A1120">
      <w:pPr>
        <w:pStyle w:val="FootnoteText"/>
        <w:rPr>
          <w:lang w:val="en-GB"/>
        </w:rPr>
      </w:pPr>
      <w:r>
        <w:rPr>
          <w:rStyle w:val="FootnoteReference"/>
        </w:rPr>
        <w:footnoteRef/>
      </w:r>
      <w:r>
        <w:t xml:space="preserve"> 00235.009 OWRUG, 00236.013 Horticulture NZ, 00240.025 NZ Pork</w:t>
      </w:r>
    </w:p>
  </w:footnote>
  <w:footnote w:id="105">
    <w:p w14:paraId="62D7E9C4" w14:textId="77777777" w:rsidR="00E37317" w:rsidRPr="004D669F" w:rsidRDefault="00E37317" w:rsidP="00E37317">
      <w:pPr>
        <w:pStyle w:val="FootnoteText"/>
        <w:rPr>
          <w:lang w:val="en-GB"/>
        </w:rPr>
      </w:pPr>
      <w:r>
        <w:rPr>
          <w:rStyle w:val="FootnoteReference"/>
        </w:rPr>
        <w:footnoteRef/>
      </w:r>
      <w:r>
        <w:t xml:space="preserve"> </w:t>
      </w:r>
      <w:r w:rsidRPr="007C34F0">
        <w:t>00301.054</w:t>
      </w:r>
      <w:r>
        <w:t xml:space="preserve"> Port Otago</w:t>
      </w:r>
    </w:p>
  </w:footnote>
  <w:footnote w:id="106">
    <w:p w14:paraId="240923E3" w14:textId="51034ABF" w:rsidR="006072DC" w:rsidRDefault="006072DC">
      <w:pPr>
        <w:pStyle w:val="FootnoteText"/>
      </w:pPr>
      <w:r>
        <w:rPr>
          <w:rStyle w:val="FootnoteReference"/>
        </w:rPr>
        <w:footnoteRef/>
      </w:r>
      <w:r>
        <w:t xml:space="preserve"> </w:t>
      </w:r>
      <w:r w:rsidRPr="006072DC">
        <w:t>Clause 16(2), Schedule 1, RMA</w:t>
      </w:r>
    </w:p>
  </w:footnote>
  <w:footnote w:id="107">
    <w:p w14:paraId="102FE9A9" w14:textId="28C3B17A" w:rsidR="00E37317" w:rsidRDefault="00E37317" w:rsidP="00E37317">
      <w:pPr>
        <w:pStyle w:val="FootnoteText"/>
      </w:pPr>
      <w:r>
        <w:rPr>
          <w:rStyle w:val="FootnoteReference"/>
        </w:rPr>
        <w:footnoteRef/>
      </w:r>
      <w:r>
        <w:t xml:space="preserve"> 00230.007 Forest &amp; Bird</w:t>
      </w:r>
    </w:p>
  </w:footnote>
  <w:footnote w:id="108">
    <w:p w14:paraId="6160AF76" w14:textId="22A703A8" w:rsidR="00BD5EE6" w:rsidRPr="00BD5EE6" w:rsidRDefault="00BD5EE6">
      <w:pPr>
        <w:pStyle w:val="FootnoteText"/>
        <w:rPr>
          <w:lang w:val="en-GB"/>
        </w:rPr>
      </w:pPr>
      <w:r w:rsidRPr="007E664C">
        <w:rPr>
          <w:rStyle w:val="FootnoteReference"/>
          <w:u w:val="single"/>
          <w:shd w:val="clear" w:color="auto" w:fill="D9D9D9" w:themeFill="background1" w:themeFillShade="D9"/>
        </w:rPr>
        <w:footnoteRef/>
      </w: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 xml:space="preserve">(new footnote attributed to </w:t>
      </w:r>
      <w:r w:rsidR="007E664C">
        <w:rPr>
          <w:rFonts w:eastAsia="Times New Roman" w:cs="Segoe UI"/>
          <w:szCs w:val="22"/>
          <w:lang w:eastAsia="en-NZ"/>
        </w:rPr>
        <w:t>00138.027 QLDC)</w:t>
      </w:r>
    </w:p>
  </w:footnote>
  <w:footnote w:id="109">
    <w:p w14:paraId="413554F6" w14:textId="77777777" w:rsidR="00253481" w:rsidRDefault="00253481" w:rsidP="00253481">
      <w:pPr>
        <w:pStyle w:val="FootnoteText"/>
      </w:pPr>
      <w:r w:rsidRPr="0EC914AA">
        <w:rPr>
          <w:rStyle w:val="FootnoteReference"/>
        </w:rPr>
        <w:footnoteRef/>
      </w:r>
      <w:r w:rsidRPr="0EC914AA">
        <w:t xml:space="preserve"> </w:t>
      </w:r>
      <w:r>
        <w:t>00120.009 Yellow-eyed Penguin Trust</w:t>
      </w:r>
    </w:p>
  </w:footnote>
  <w:footnote w:id="110">
    <w:p w14:paraId="46A04A7B" w14:textId="6704E4FD" w:rsidR="00EB0A3D" w:rsidRPr="00EB0A3D" w:rsidRDefault="00EB0A3D">
      <w:pPr>
        <w:pStyle w:val="FootnoteText"/>
        <w:rPr>
          <w:lang w:val="en-GB"/>
        </w:rPr>
      </w:pPr>
      <w:r>
        <w:rPr>
          <w:rStyle w:val="FootnoteReference"/>
        </w:rPr>
        <w:footnoteRef/>
      </w:r>
      <w:r w:rsidR="001417F6">
        <w:t xml:space="preserve"> </w:t>
      </w:r>
      <w:r w:rsidR="001417F6">
        <w:rPr>
          <w:lang w:val="en-GB"/>
        </w:rPr>
        <w:t>Clause 10(2)(b)(i)</w:t>
      </w:r>
      <w:r w:rsidR="000B0D3A">
        <w:rPr>
          <w:lang w:val="en-GB"/>
        </w:rPr>
        <w:t xml:space="preserve">, Schedule 1, RMA – consequential amendment arising from </w:t>
      </w:r>
      <w:r w:rsidR="008C0DCF">
        <w:rPr>
          <w:rFonts w:cstheme="minorHAnsi"/>
        </w:rPr>
        <w:t>00226.189 Kāi Tahu ki Otago, 00230.094 Forest and Bird</w:t>
      </w:r>
    </w:p>
  </w:footnote>
  <w:footnote w:id="111">
    <w:p w14:paraId="5B6AF700" w14:textId="210E33BE" w:rsidR="00B4783F" w:rsidRDefault="00B4783F">
      <w:pPr>
        <w:pStyle w:val="FootnoteText"/>
      </w:pPr>
      <w:r>
        <w:rPr>
          <w:rStyle w:val="FootnoteReference"/>
        </w:rPr>
        <w:footnoteRef/>
      </w:r>
      <w:r>
        <w:t xml:space="preserve"> </w:t>
      </w:r>
      <w:r w:rsidRPr="006A2A2E">
        <w:rPr>
          <w:iCs/>
        </w:rPr>
        <w:t>00223.019</w:t>
      </w:r>
      <w:r>
        <w:rPr>
          <w:iCs/>
        </w:rPr>
        <w:t xml:space="preserve"> Ngāi Tahu ki Murihiku</w:t>
      </w:r>
    </w:p>
  </w:footnote>
  <w:footnote w:id="112">
    <w:p w14:paraId="0E02FBB1" w14:textId="3172CC1F" w:rsidR="00915097" w:rsidRPr="00915097" w:rsidRDefault="00915097">
      <w:pPr>
        <w:pStyle w:val="FootnoteText"/>
        <w:rPr>
          <w:lang w:val="en-GB"/>
        </w:rPr>
      </w:pPr>
      <w:r>
        <w:rPr>
          <w:rStyle w:val="FootnoteReference"/>
        </w:rPr>
        <w:footnoteRef/>
      </w:r>
      <w:r>
        <w:t xml:space="preserve"> </w:t>
      </w:r>
      <w:r>
        <w:rPr>
          <w:lang w:val="en-GB"/>
        </w:rPr>
        <w:t>Clause 16(2), Schedule 1, RMA</w:t>
      </w:r>
    </w:p>
  </w:footnote>
  <w:footnote w:id="113">
    <w:p w14:paraId="719B3209" w14:textId="774B31ED" w:rsidR="0008633B" w:rsidRPr="00C521CD" w:rsidRDefault="0008633B">
      <w:pPr>
        <w:pStyle w:val="FootnoteText"/>
        <w:rPr>
          <w:lang w:val="en-GB"/>
        </w:rPr>
      </w:pPr>
      <w:r>
        <w:rPr>
          <w:rStyle w:val="FootnoteReference"/>
        </w:rPr>
        <w:footnoteRef/>
      </w:r>
      <w:r>
        <w:t xml:space="preserve"> </w:t>
      </w:r>
      <w:r>
        <w:rPr>
          <w:lang w:val="en-GB"/>
        </w:rPr>
        <w:t xml:space="preserve">Clause 10(2)(b)(i), Schedule 1, RMA – consequential amendment arising from </w:t>
      </w:r>
      <w:r w:rsidRPr="00A7143C">
        <w:rPr>
          <w:lang w:val="en-GB"/>
        </w:rPr>
        <w:t>00137.072 DOC</w:t>
      </w:r>
    </w:p>
  </w:footnote>
  <w:footnote w:id="114">
    <w:p w14:paraId="0EEEBA12" w14:textId="77777777" w:rsidR="00FA35D1" w:rsidRDefault="00FA35D1" w:rsidP="00FA35D1">
      <w:pPr>
        <w:pStyle w:val="FootnoteText"/>
      </w:pPr>
      <w:r>
        <w:rPr>
          <w:rStyle w:val="FootnoteReference"/>
        </w:rPr>
        <w:footnoteRef/>
      </w:r>
      <w:r>
        <w:t xml:space="preserve"> 00226.0038 Kāi Tahu ki Otago</w:t>
      </w:r>
    </w:p>
  </w:footnote>
  <w:footnote w:id="115">
    <w:p w14:paraId="2AD27C35" w14:textId="7C446367" w:rsidR="00F20884" w:rsidRDefault="00F20884">
      <w:pPr>
        <w:pStyle w:val="FootnoteText"/>
      </w:pPr>
      <w:r>
        <w:rPr>
          <w:rStyle w:val="FootnoteReference"/>
        </w:rPr>
        <w:footnoteRef/>
      </w:r>
      <w:r>
        <w:t xml:space="preserve"> 00314.004 Transpower</w:t>
      </w:r>
    </w:p>
  </w:footnote>
  <w:footnote w:id="116">
    <w:p w14:paraId="04F7925D" w14:textId="39543C65" w:rsidR="00F20884" w:rsidRDefault="00F20884">
      <w:pPr>
        <w:pStyle w:val="FootnoteText"/>
      </w:pPr>
      <w:r>
        <w:rPr>
          <w:rStyle w:val="FootnoteReference"/>
        </w:rPr>
        <w:footnoteRef/>
      </w:r>
      <w:r>
        <w:t xml:space="preserve"> 00314.004 Transpower</w:t>
      </w:r>
    </w:p>
  </w:footnote>
  <w:footnote w:id="117">
    <w:p w14:paraId="1FC5F9F3" w14:textId="77777777" w:rsidR="00C15255" w:rsidRDefault="00C15255" w:rsidP="00C15255">
      <w:pPr>
        <w:pStyle w:val="FootnoteText"/>
      </w:pPr>
      <w:r>
        <w:rPr>
          <w:rStyle w:val="FootnoteReference"/>
        </w:rPr>
        <w:footnoteRef/>
      </w:r>
      <w:r>
        <w:t xml:space="preserve"> </w:t>
      </w:r>
      <w:r w:rsidRPr="0029576C">
        <w:t>Clause 10(2)(b)(i) – consequential amendment arising from 00226.038 Kāi Tahu ki Otago</w:t>
      </w:r>
    </w:p>
  </w:footnote>
  <w:footnote w:id="118">
    <w:p w14:paraId="221FFF58" w14:textId="2AA908D2" w:rsidR="00587B18" w:rsidRDefault="00587B18" w:rsidP="00587B18">
      <w:pPr>
        <w:pStyle w:val="FootnoteText"/>
      </w:pPr>
      <w:r>
        <w:rPr>
          <w:rStyle w:val="FootnoteReference"/>
        </w:rPr>
        <w:footnoteRef/>
      </w:r>
      <w:r>
        <w:t xml:space="preserve"> 00223.099 Ngāi Tahu ki Murihiku, 00226.215 Kāi Tahu ki Otago</w:t>
      </w:r>
    </w:p>
  </w:footnote>
  <w:footnote w:id="119">
    <w:p w14:paraId="11EE6FE6" w14:textId="301F8AAA" w:rsidR="0090496B" w:rsidRDefault="0090496B">
      <w:pPr>
        <w:pStyle w:val="FootnoteText"/>
      </w:pPr>
      <w:r>
        <w:rPr>
          <w:rStyle w:val="FootnoteReference"/>
        </w:rPr>
        <w:footnoteRef/>
      </w:r>
      <w:r>
        <w:t xml:space="preserve"> 00226.032 Kāi Tahu ki Otago</w:t>
      </w:r>
    </w:p>
  </w:footnote>
  <w:footnote w:id="120">
    <w:p w14:paraId="3757572D" w14:textId="77777777" w:rsidR="009A1120" w:rsidRDefault="009A1120" w:rsidP="009A1120">
      <w:pPr>
        <w:pStyle w:val="FootnoteText"/>
      </w:pPr>
      <w:r>
        <w:rPr>
          <w:rStyle w:val="FootnoteReference"/>
        </w:rPr>
        <w:footnoteRef/>
      </w:r>
      <w:r>
        <w:t xml:space="preserve"> 00239.007b Federated Farmers, 00411.017 Wayfare</w:t>
      </w:r>
    </w:p>
  </w:footnote>
  <w:footnote w:id="121">
    <w:p w14:paraId="2CB81C69" w14:textId="023C5A51" w:rsidR="009A1120" w:rsidRPr="00274FD7" w:rsidRDefault="009A1120" w:rsidP="009A1120">
      <w:pPr>
        <w:pStyle w:val="FootnoteText"/>
        <w:rPr>
          <w:strike/>
          <w:color w:val="1F3864" w:themeColor="accent1" w:themeShade="80"/>
          <w:szCs w:val="18"/>
          <w:u w:val="single"/>
          <w:shd w:val="clear" w:color="auto" w:fill="D9D9D9" w:themeFill="background1" w:themeFillShade="D9"/>
        </w:rPr>
      </w:pPr>
      <w:r w:rsidRPr="00251D60">
        <w:rPr>
          <w:rStyle w:val="FootnoteReference"/>
          <w:sz w:val="16"/>
          <w:szCs w:val="16"/>
          <w:shd w:val="clear" w:color="auto" w:fill="D9D9D9" w:themeFill="background1" w:themeFillShade="D9"/>
        </w:rPr>
        <w:footnoteRef/>
      </w:r>
      <w:r w:rsidRPr="00251D60">
        <w:rPr>
          <w:sz w:val="16"/>
          <w:szCs w:val="16"/>
          <w:shd w:val="clear" w:color="auto" w:fill="D9D9D9" w:themeFill="background1" w:themeFillShade="D9"/>
        </w:rPr>
        <w:t xml:space="preserve"> </w:t>
      </w:r>
      <w:hyperlink r:id="rId2" w:history="1">
        <w:r w:rsidRPr="00274FD7">
          <w:rPr>
            <w:rStyle w:val="Hyperlink"/>
            <w:strike/>
            <w:color w:val="auto"/>
            <w:szCs w:val="18"/>
            <w:u w:val="none"/>
            <w:shd w:val="clear" w:color="auto" w:fill="D9D9D9" w:themeFill="background1" w:themeFillShade="D9"/>
          </w:rPr>
          <w:t>https://www.nzta.govt.nz/roads-and-rail/road-efficiency-group/projects/onrc</w:t>
        </w:r>
      </w:hyperlink>
      <w:r w:rsidRPr="00274FD7">
        <w:rPr>
          <w:rStyle w:val="Hyperlink"/>
          <w:strike/>
          <w:color w:val="auto"/>
          <w:szCs w:val="18"/>
          <w:u w:val="none"/>
          <w:shd w:val="clear" w:color="auto" w:fill="D9D9D9" w:themeFill="background1" w:themeFillShade="D9"/>
        </w:rPr>
        <w:t xml:space="preserve"> (accessed 26 May 2021)</w:t>
      </w:r>
      <w:r w:rsidR="00274FD7" w:rsidRPr="00274FD7">
        <w:rPr>
          <w:rStyle w:val="Hyperlink"/>
          <w:color w:val="auto"/>
          <w:szCs w:val="18"/>
          <w:u w:val="none"/>
          <w:shd w:val="clear" w:color="auto" w:fill="D9D9D9" w:themeFill="background1" w:themeFillShade="D9"/>
        </w:rPr>
        <w:t xml:space="preserve"> </w:t>
      </w:r>
      <w:hyperlink r:id="rId3" w:history="1">
        <w:r w:rsidR="00274FD7" w:rsidRPr="00274FD7">
          <w:rPr>
            <w:rStyle w:val="Hyperlink"/>
            <w:color w:val="auto"/>
            <w:szCs w:val="18"/>
            <w:shd w:val="clear" w:color="auto" w:fill="D9D9D9" w:themeFill="background1" w:themeFillShade="D9"/>
          </w:rPr>
          <w:t>https://www.nzta.govt.nz/planning-and-investment/planning/one-network-framework</w:t>
        </w:r>
      </w:hyperlink>
      <w:r w:rsidR="00274FD7" w:rsidRPr="00274FD7">
        <w:rPr>
          <w:rStyle w:val="Hyperlink"/>
          <w:color w:val="auto"/>
          <w:szCs w:val="18"/>
          <w:shd w:val="clear" w:color="auto" w:fill="D9D9D9" w:themeFill="background1" w:themeFillShade="D9"/>
        </w:rPr>
        <w:t xml:space="preserve"> </w:t>
      </w:r>
      <w:r w:rsidR="00274FD7" w:rsidRPr="00274FD7">
        <w:rPr>
          <w:rStyle w:val="Hyperlink"/>
          <w:color w:val="auto"/>
          <w:szCs w:val="18"/>
          <w:u w:val="none"/>
        </w:rPr>
        <w:t>(Clause 10(2)(b)(i), Schedule 1, RMA – consequential amendment arising from 00139.007 DCC)</w:t>
      </w:r>
    </w:p>
  </w:footnote>
  <w:footnote w:id="122">
    <w:p w14:paraId="096A5C67" w14:textId="219BBA51" w:rsidR="003031D2" w:rsidRDefault="003031D2" w:rsidP="003031D2">
      <w:pPr>
        <w:pStyle w:val="FootnoteText"/>
      </w:pPr>
      <w:r>
        <w:rPr>
          <w:rStyle w:val="FootnoteReference"/>
        </w:rPr>
        <w:footnoteRef/>
      </w:r>
      <w:r>
        <w:t xml:space="preserve"> </w:t>
      </w:r>
      <w:r w:rsidRPr="00290C55">
        <w:rPr>
          <w:noProof/>
        </w:rPr>
        <w:t>00139.007</w:t>
      </w:r>
      <w:r>
        <w:t xml:space="preserve"> </w:t>
      </w:r>
      <w:r>
        <w:rPr>
          <w:noProof/>
        </w:rPr>
        <w:t>DCC</w:t>
      </w:r>
    </w:p>
  </w:footnote>
  <w:footnote w:id="123">
    <w:p w14:paraId="56852F01" w14:textId="6C2CB7CF" w:rsidR="00AD7F03" w:rsidRPr="00AD7F03" w:rsidRDefault="00AD7F03">
      <w:pPr>
        <w:pStyle w:val="FootnoteText"/>
        <w:rPr>
          <w:lang w:val="en-GB"/>
        </w:rPr>
      </w:pPr>
      <w:r>
        <w:rPr>
          <w:rStyle w:val="FootnoteReference"/>
        </w:rPr>
        <w:footnoteRef/>
      </w:r>
      <w:r>
        <w:t xml:space="preserve"> </w:t>
      </w:r>
      <w:r w:rsidRPr="00290C55">
        <w:rPr>
          <w:noProof/>
        </w:rPr>
        <w:t>00230.011</w:t>
      </w:r>
      <w:r>
        <w:t xml:space="preserve"> </w:t>
      </w:r>
      <w:r w:rsidRPr="00290C55">
        <w:rPr>
          <w:noProof/>
        </w:rPr>
        <w:t>Forest and Bird</w:t>
      </w:r>
    </w:p>
  </w:footnote>
  <w:footnote w:id="124">
    <w:p w14:paraId="2E26B16D" w14:textId="77777777" w:rsidR="009A1120" w:rsidRDefault="009A1120" w:rsidP="009A1120">
      <w:pPr>
        <w:pStyle w:val="FootnoteText"/>
      </w:pPr>
      <w:r>
        <w:rPr>
          <w:rStyle w:val="FootnoteReference"/>
        </w:rPr>
        <w:footnoteRef/>
      </w:r>
      <w:r>
        <w:t xml:space="preserve"> 00226.024 Kāi Tahu ki Otago</w:t>
      </w:r>
    </w:p>
  </w:footnote>
  <w:footnote w:id="125">
    <w:p w14:paraId="1D716ECD" w14:textId="77777777" w:rsidR="009A1120" w:rsidRDefault="009A1120" w:rsidP="009A1120">
      <w:pPr>
        <w:pStyle w:val="FootnoteText"/>
      </w:pPr>
      <w:r>
        <w:rPr>
          <w:rStyle w:val="FootnoteReference"/>
        </w:rPr>
        <w:footnoteRef/>
      </w:r>
      <w:r>
        <w:t xml:space="preserve"> 00226.024 Kāi Tahu ki Otago</w:t>
      </w:r>
    </w:p>
  </w:footnote>
  <w:footnote w:id="126">
    <w:p w14:paraId="2688F4CF" w14:textId="15942B3E" w:rsidR="00DC4620" w:rsidRPr="00DC4620" w:rsidRDefault="00DC4620">
      <w:pPr>
        <w:pStyle w:val="FootnoteText"/>
        <w:rPr>
          <w:lang w:val="en-AU"/>
        </w:rPr>
      </w:pPr>
      <w:r>
        <w:rPr>
          <w:rStyle w:val="FootnoteReference"/>
        </w:rPr>
        <w:footnoteRef/>
      </w:r>
      <w:r>
        <w:t xml:space="preserve"> </w:t>
      </w:r>
      <w:r w:rsidRPr="00290C55">
        <w:rPr>
          <w:noProof/>
        </w:rPr>
        <w:t>00230.011</w:t>
      </w:r>
      <w:r>
        <w:t xml:space="preserve"> </w:t>
      </w:r>
      <w:r w:rsidRPr="00290C55">
        <w:rPr>
          <w:noProof/>
        </w:rPr>
        <w:t>Forest and Bird</w:t>
      </w:r>
    </w:p>
  </w:footnote>
  <w:footnote w:id="127">
    <w:p w14:paraId="6AEC5751" w14:textId="75D50BE8" w:rsidR="00B45590" w:rsidRPr="00B45590" w:rsidRDefault="00B45590">
      <w:pPr>
        <w:pStyle w:val="FootnoteText"/>
        <w:rPr>
          <w:lang w:val="en-GB"/>
        </w:rPr>
      </w:pPr>
      <w:r>
        <w:rPr>
          <w:rStyle w:val="FootnoteReference"/>
        </w:rPr>
        <w:footnoteRef/>
      </w:r>
      <w:r>
        <w:t xml:space="preserve"> </w:t>
      </w:r>
      <w:r w:rsidRPr="00290C55">
        <w:rPr>
          <w:noProof/>
        </w:rPr>
        <w:t>00510.009</w:t>
      </w:r>
      <w:r>
        <w:t xml:space="preserve"> </w:t>
      </w:r>
      <w:r>
        <w:rPr>
          <w:noProof/>
        </w:rPr>
        <w:t>The Fuel Companies</w:t>
      </w:r>
    </w:p>
  </w:footnote>
  <w:footnote w:id="128">
    <w:p w14:paraId="54D65AB6" w14:textId="0C106ED5" w:rsidR="009D249A" w:rsidRPr="009D249A" w:rsidRDefault="009D249A">
      <w:pPr>
        <w:pStyle w:val="FootnoteText"/>
        <w:rPr>
          <w:lang w:val="en-GB"/>
        </w:rPr>
      </w:pPr>
      <w:r>
        <w:rPr>
          <w:rStyle w:val="FootnoteReference"/>
        </w:rPr>
        <w:footnoteRef/>
      </w:r>
      <w:r>
        <w:t xml:space="preserve"> </w:t>
      </w:r>
      <w:r w:rsidRPr="004B1E8F">
        <w:t>00311.003 Trustpower, 00301.007 Port Otago</w:t>
      </w:r>
    </w:p>
  </w:footnote>
  <w:footnote w:id="129">
    <w:p w14:paraId="23B47DE6" w14:textId="77777777" w:rsidR="009A1120" w:rsidRDefault="009A1120" w:rsidP="009A1120">
      <w:pPr>
        <w:pStyle w:val="FootnoteText"/>
      </w:pPr>
      <w:r>
        <w:rPr>
          <w:rStyle w:val="FootnoteReference"/>
        </w:rPr>
        <w:footnoteRef/>
      </w:r>
      <w:r>
        <w:t xml:space="preserve"> 00213.005 Fonterra, 00305.005 Waka Kotahi</w:t>
      </w:r>
    </w:p>
  </w:footnote>
  <w:footnote w:id="130">
    <w:p w14:paraId="489BBBE8" w14:textId="77777777" w:rsidR="00181614" w:rsidRPr="00D162DE" w:rsidRDefault="00181614" w:rsidP="00181614">
      <w:pPr>
        <w:pStyle w:val="FootnoteText"/>
        <w:rPr>
          <w:lang w:val="en-GB"/>
        </w:rPr>
      </w:pPr>
      <w:r>
        <w:rPr>
          <w:rStyle w:val="FootnoteReference"/>
        </w:rPr>
        <w:footnoteRef/>
      </w:r>
      <w:r>
        <w:t xml:space="preserve"> </w:t>
      </w:r>
      <w:r w:rsidRPr="00D162DE">
        <w:t>00230.013</w:t>
      </w:r>
      <w:r>
        <w:t xml:space="preserve"> </w:t>
      </w:r>
      <w:r>
        <w:rPr>
          <w:lang w:val="en-GB"/>
        </w:rPr>
        <w:t>Forest and Bird</w:t>
      </w:r>
    </w:p>
  </w:footnote>
  <w:footnote w:id="131">
    <w:p w14:paraId="1FA52AA0" w14:textId="1C02ACC2" w:rsidR="00542334" w:rsidRDefault="00542334">
      <w:pPr>
        <w:pStyle w:val="FootnoteText"/>
      </w:pPr>
      <w:r>
        <w:rPr>
          <w:rStyle w:val="FootnoteReference"/>
        </w:rPr>
        <w:footnoteRef/>
      </w:r>
      <w:r>
        <w:t xml:space="preserve"> </w:t>
      </w:r>
      <w:r w:rsidR="00CF7328">
        <w:t>00213.007 Fonterra, 00221.001 Silver Fern Farms, 00411.019 Wafare Group and 00206.012 Trojan</w:t>
      </w:r>
    </w:p>
  </w:footnote>
  <w:footnote w:id="132">
    <w:p w14:paraId="5E4EA8B6" w14:textId="77777777" w:rsidR="009A1120" w:rsidRDefault="009A1120" w:rsidP="009A1120">
      <w:pPr>
        <w:pStyle w:val="FootnoteText"/>
      </w:pPr>
      <w:r>
        <w:rPr>
          <w:rStyle w:val="FootnoteReference"/>
        </w:rPr>
        <w:footnoteRef/>
      </w:r>
      <w:r>
        <w:t xml:space="preserve"> 00233.009 Fonterra</w:t>
      </w:r>
    </w:p>
  </w:footnote>
  <w:footnote w:id="133">
    <w:p w14:paraId="3684D9C0" w14:textId="77777777" w:rsidR="00CC7899" w:rsidRDefault="00CC7899" w:rsidP="00CC7899">
      <w:pPr>
        <w:pStyle w:val="FootnoteText"/>
      </w:pPr>
      <w:r>
        <w:rPr>
          <w:rStyle w:val="FootnoteReference"/>
        </w:rPr>
        <w:footnoteRef/>
      </w:r>
      <w:r>
        <w:t xml:space="preserve"> 00233.009 Fonterra</w:t>
      </w:r>
    </w:p>
  </w:footnote>
  <w:footnote w:id="134">
    <w:p w14:paraId="62B2D8FA" w14:textId="77777777" w:rsidR="009A1120" w:rsidRDefault="009A1120" w:rsidP="009A1120">
      <w:pPr>
        <w:pStyle w:val="FootnoteText"/>
      </w:pPr>
      <w:r>
        <w:rPr>
          <w:rStyle w:val="FootnoteReference"/>
        </w:rPr>
        <w:footnoteRef/>
      </w:r>
      <w:r>
        <w:t xml:space="preserve"> 00233.009 Fonterra</w:t>
      </w:r>
    </w:p>
  </w:footnote>
  <w:footnote w:id="135">
    <w:p w14:paraId="023AD7B9" w14:textId="77777777" w:rsidR="009A1120" w:rsidRDefault="009A1120" w:rsidP="009A1120">
      <w:pPr>
        <w:pStyle w:val="FootnoteText"/>
      </w:pPr>
      <w:r>
        <w:rPr>
          <w:rStyle w:val="FootnoteReference"/>
        </w:rPr>
        <w:footnoteRef/>
      </w:r>
      <w:r>
        <w:t xml:space="preserve"> 00233.009 Fonterra</w:t>
      </w:r>
    </w:p>
  </w:footnote>
  <w:footnote w:id="136">
    <w:p w14:paraId="1BEAB9B0" w14:textId="3937FD2A" w:rsidR="00881D2A" w:rsidRDefault="00881D2A" w:rsidP="00881D2A">
      <w:pPr>
        <w:pStyle w:val="FootnoteText"/>
      </w:pPr>
      <w:r>
        <w:rPr>
          <w:rStyle w:val="FootnoteReference"/>
        </w:rPr>
        <w:footnoteRef/>
      </w:r>
      <w:r>
        <w:t xml:space="preserve"> 00137.016 </w:t>
      </w:r>
      <w:r w:rsidR="00387799">
        <w:t>DOC</w:t>
      </w:r>
      <w:r>
        <w:t xml:space="preserve">, 00226.035 </w:t>
      </w:r>
      <w:r w:rsidR="00854F19">
        <w:t>Kāi Tahu ki Otago</w:t>
      </w:r>
      <w:r>
        <w:t xml:space="preserve">, 00120.011 Yellow-eyed Penguin Trust, 00230.016 </w:t>
      </w:r>
      <w:r w:rsidR="00387799">
        <w:t>Forest and Bird</w:t>
      </w:r>
    </w:p>
  </w:footnote>
  <w:footnote w:id="137">
    <w:p w14:paraId="6446D4A8" w14:textId="0E864A5A" w:rsidR="003D2AF4" w:rsidRDefault="003D2AF4">
      <w:pPr>
        <w:pStyle w:val="FootnoteText"/>
      </w:pPr>
      <w:r>
        <w:rPr>
          <w:rStyle w:val="FootnoteReference"/>
        </w:rPr>
        <w:footnoteRef/>
      </w:r>
      <w:r>
        <w:t xml:space="preserve"> </w:t>
      </w:r>
      <w:r w:rsidR="00184D4B">
        <w:t>Clause 16(2), Schedule 1, RMA</w:t>
      </w:r>
    </w:p>
  </w:footnote>
  <w:footnote w:id="138">
    <w:p w14:paraId="26729313" w14:textId="77777777" w:rsidR="009A1120" w:rsidRDefault="009A1120" w:rsidP="009A1120">
      <w:pPr>
        <w:pStyle w:val="FootnoteText"/>
      </w:pPr>
      <w:r>
        <w:rPr>
          <w:rStyle w:val="FootnoteReference"/>
        </w:rPr>
        <w:footnoteRef/>
      </w:r>
      <w:r>
        <w:t xml:space="preserve"> 00230.017 Forest and Bird</w:t>
      </w:r>
    </w:p>
  </w:footnote>
  <w:footnote w:id="139">
    <w:p w14:paraId="17362D2C" w14:textId="40F398CF" w:rsidR="004056DA" w:rsidRDefault="004056DA">
      <w:pPr>
        <w:pStyle w:val="FootnoteText"/>
      </w:pPr>
      <w:r>
        <w:rPr>
          <w:rStyle w:val="FootnoteReference"/>
        </w:rPr>
        <w:footnoteRef/>
      </w:r>
      <w:r>
        <w:t xml:space="preserve"> 00226.037 Kāi Tahu ki Otago</w:t>
      </w:r>
    </w:p>
  </w:footnote>
  <w:footnote w:id="140">
    <w:p w14:paraId="14810298" w14:textId="77777777" w:rsidR="009A1120" w:rsidRDefault="009A1120" w:rsidP="009A1120">
      <w:pPr>
        <w:pStyle w:val="FootnoteText"/>
      </w:pPr>
      <w:r>
        <w:rPr>
          <w:rStyle w:val="FootnoteReference"/>
        </w:rPr>
        <w:footnoteRef/>
      </w:r>
      <w:r>
        <w:t xml:space="preserve"> 00121.013 Ravensdown</w:t>
      </w:r>
    </w:p>
  </w:footnote>
  <w:footnote w:id="141">
    <w:p w14:paraId="0D2D7D4F" w14:textId="1834187A" w:rsidR="00393CC4" w:rsidRDefault="00393CC4">
      <w:pPr>
        <w:pStyle w:val="FootnoteText"/>
      </w:pPr>
      <w:r w:rsidRPr="00393CC4">
        <w:rPr>
          <w:rStyle w:val="FootnoteReference"/>
          <w:highlight w:val="lightGray"/>
        </w:rPr>
        <w:footnoteRef/>
      </w:r>
      <w:r w:rsidRPr="00393CC4">
        <w:rPr>
          <w:highlight w:val="lightGray"/>
        </w:rPr>
        <w:t xml:space="preserve"> </w:t>
      </w:r>
      <w:r w:rsidRPr="00393CC4">
        <w:rPr>
          <w:rFonts w:cs="Calibri Light"/>
          <w:strike/>
          <w:szCs w:val="18"/>
          <w:highlight w:val="lightGray"/>
        </w:rPr>
        <w:t>In the south of the South Island, the local Māori dialect uses a 'k' interchangeably with 'ng'. The preference of Kāi Tahu ki Otago is to use a ‘k’ so southern Māori are known as Kāi Tahu, rather than Ngāi Tahu. In this document, the “ng” is used for the iwi</w:t>
      </w:r>
      <w:r w:rsidRPr="00393CC4">
        <w:rPr>
          <w:strike/>
          <w:szCs w:val="18"/>
          <w:highlight w:val="lightGray"/>
        </w:rPr>
        <w:t xml:space="preserve"> </w:t>
      </w:r>
      <w:r w:rsidRPr="00393CC4">
        <w:rPr>
          <w:rFonts w:cs="Calibri Light"/>
          <w:strike/>
          <w:szCs w:val="18"/>
          <w:highlight w:val="lightGray"/>
        </w:rPr>
        <w:t>in general, and the “k” for southern</w:t>
      </w:r>
      <w:r w:rsidRPr="00393CC4">
        <w:rPr>
          <w:strike/>
          <w:szCs w:val="18"/>
          <w:highlight w:val="lightGray"/>
        </w:rPr>
        <w:t xml:space="preserve"> </w:t>
      </w:r>
      <w:r w:rsidRPr="00393CC4">
        <w:rPr>
          <w:rFonts w:cs="Calibri Light"/>
          <w:strike/>
          <w:szCs w:val="18"/>
          <w:highlight w:val="lightGray"/>
        </w:rPr>
        <w:t>Māori in particular.</w:t>
      </w:r>
      <w:r w:rsidRPr="00393CC4">
        <w:rPr>
          <w:rFonts w:cs="Calibri Light"/>
          <w:strike/>
          <w:szCs w:val="18"/>
        </w:rPr>
        <w:t xml:space="preserve"> </w:t>
      </w:r>
      <w:r w:rsidRPr="00393CC4">
        <w:rPr>
          <w:rFonts w:cs="Calibri Light"/>
          <w:szCs w:val="18"/>
        </w:rPr>
        <w:t>Amendment attributed to 00223.024 Ngāi Tahu ki Murihiku</w:t>
      </w:r>
    </w:p>
  </w:footnote>
  <w:footnote w:id="142">
    <w:p w14:paraId="2A35FE0C" w14:textId="77777777" w:rsidR="009A1120" w:rsidRPr="00B208D6" w:rsidRDefault="009A1120" w:rsidP="009A1120">
      <w:pPr>
        <w:pStyle w:val="FootnoteText"/>
        <w:rPr>
          <w:szCs w:val="18"/>
        </w:rPr>
      </w:pPr>
      <w:r w:rsidRPr="00B208D6">
        <w:rPr>
          <w:rStyle w:val="FootnoteReference"/>
          <w:szCs w:val="18"/>
        </w:rPr>
        <w:footnoteRef/>
      </w:r>
      <w:r w:rsidRPr="00B208D6">
        <w:rPr>
          <w:szCs w:val="18"/>
        </w:rPr>
        <w:t xml:space="preserve"> 00226.039 Kāi Tahu ki Otago</w:t>
      </w:r>
    </w:p>
  </w:footnote>
  <w:footnote w:id="143">
    <w:p w14:paraId="745FD62B" w14:textId="77777777" w:rsidR="009A1120" w:rsidRPr="00B208D6" w:rsidRDefault="009A1120" w:rsidP="009A1120">
      <w:pPr>
        <w:pStyle w:val="FootnoteText"/>
        <w:rPr>
          <w:szCs w:val="18"/>
        </w:rPr>
      </w:pPr>
      <w:r w:rsidRPr="00B208D6">
        <w:rPr>
          <w:rStyle w:val="FootnoteReference"/>
          <w:szCs w:val="18"/>
        </w:rPr>
        <w:footnoteRef/>
      </w:r>
      <w:r w:rsidRPr="00B208D6">
        <w:rPr>
          <w:szCs w:val="18"/>
        </w:rPr>
        <w:t xml:space="preserve"> </w:t>
      </w:r>
      <w:r w:rsidRPr="00B208D6">
        <w:rPr>
          <w:rFonts w:cstheme="minorHAnsi"/>
          <w:szCs w:val="18"/>
        </w:rPr>
        <w:t xml:space="preserve">00226.043 </w:t>
      </w:r>
      <w:r w:rsidRPr="00B208D6">
        <w:rPr>
          <w:rFonts w:eastAsia="Calibri" w:cstheme="minorHAnsi"/>
          <w:bCs/>
          <w:szCs w:val="18"/>
        </w:rPr>
        <w:t>Kāi Tahu ki Otago</w:t>
      </w:r>
    </w:p>
  </w:footnote>
  <w:footnote w:id="144">
    <w:p w14:paraId="1BA81839" w14:textId="77777777" w:rsidR="009A1120" w:rsidRPr="00B208D6" w:rsidRDefault="009A1120" w:rsidP="009A1120">
      <w:pPr>
        <w:pStyle w:val="FootnoteText"/>
        <w:rPr>
          <w:szCs w:val="18"/>
        </w:rPr>
      </w:pPr>
      <w:r w:rsidRPr="00B208D6">
        <w:rPr>
          <w:rStyle w:val="FootnoteReference"/>
          <w:szCs w:val="18"/>
        </w:rPr>
        <w:footnoteRef/>
      </w:r>
      <w:r w:rsidRPr="00B208D6">
        <w:rPr>
          <w:szCs w:val="18"/>
        </w:rPr>
        <w:t xml:space="preserve"> </w:t>
      </w:r>
      <w:r w:rsidRPr="00B208D6">
        <w:rPr>
          <w:rFonts w:cstheme="minorHAnsi"/>
          <w:szCs w:val="18"/>
        </w:rPr>
        <w:t xml:space="preserve">00226.043 </w:t>
      </w:r>
      <w:r w:rsidRPr="00B208D6">
        <w:rPr>
          <w:rFonts w:eastAsia="Calibri" w:cstheme="minorHAnsi"/>
          <w:bCs/>
          <w:szCs w:val="18"/>
        </w:rPr>
        <w:t>Kāi Tahu ki Otago</w:t>
      </w:r>
    </w:p>
  </w:footnote>
  <w:footnote w:id="145">
    <w:p w14:paraId="1AB60C10" w14:textId="77777777" w:rsidR="009A1120" w:rsidRPr="00B208D6" w:rsidRDefault="009A1120" w:rsidP="009A1120">
      <w:pPr>
        <w:pStyle w:val="FootnoteText"/>
        <w:rPr>
          <w:szCs w:val="18"/>
        </w:rPr>
      </w:pPr>
      <w:r w:rsidRPr="00B208D6">
        <w:rPr>
          <w:rStyle w:val="FootnoteReference"/>
          <w:szCs w:val="18"/>
        </w:rPr>
        <w:footnoteRef/>
      </w:r>
      <w:r w:rsidRPr="00B208D6">
        <w:rPr>
          <w:szCs w:val="18"/>
        </w:rPr>
        <w:t xml:space="preserve"> 00226.039 Kāi Tahu ki Otago</w:t>
      </w:r>
    </w:p>
  </w:footnote>
  <w:footnote w:id="146">
    <w:p w14:paraId="54F994FB" w14:textId="77777777" w:rsidR="009A1120" w:rsidRPr="00B208D6" w:rsidRDefault="009A1120" w:rsidP="009A1120">
      <w:pPr>
        <w:pStyle w:val="FootnoteText"/>
        <w:rPr>
          <w:szCs w:val="18"/>
        </w:rPr>
      </w:pPr>
      <w:r w:rsidRPr="00B208D6">
        <w:rPr>
          <w:rStyle w:val="FootnoteReference"/>
          <w:szCs w:val="18"/>
        </w:rPr>
        <w:footnoteRef/>
      </w:r>
      <w:r w:rsidRPr="00B208D6">
        <w:rPr>
          <w:szCs w:val="18"/>
        </w:rPr>
        <w:t xml:space="preserve"> </w:t>
      </w:r>
      <w:r w:rsidRPr="00B208D6">
        <w:rPr>
          <w:rFonts w:cstheme="minorHAnsi"/>
          <w:szCs w:val="18"/>
        </w:rPr>
        <w:t xml:space="preserve">00226.043 </w:t>
      </w:r>
      <w:r w:rsidRPr="00B208D6">
        <w:rPr>
          <w:rFonts w:eastAsia="Calibri" w:cstheme="minorHAnsi"/>
          <w:bCs/>
          <w:szCs w:val="18"/>
        </w:rPr>
        <w:t>Kāi Tahu ki Otago</w:t>
      </w:r>
    </w:p>
  </w:footnote>
  <w:footnote w:id="147">
    <w:p w14:paraId="05D552DB" w14:textId="77777777" w:rsidR="009A1120" w:rsidRPr="00B208D6" w:rsidRDefault="009A1120" w:rsidP="009A1120">
      <w:pPr>
        <w:pStyle w:val="FootnoteText"/>
        <w:rPr>
          <w:szCs w:val="18"/>
        </w:rPr>
      </w:pPr>
      <w:r w:rsidRPr="00B208D6">
        <w:rPr>
          <w:rStyle w:val="FootnoteReference"/>
          <w:szCs w:val="18"/>
        </w:rPr>
        <w:footnoteRef/>
      </w:r>
      <w:r w:rsidRPr="00B208D6">
        <w:rPr>
          <w:szCs w:val="18"/>
        </w:rPr>
        <w:t xml:space="preserve"> </w:t>
      </w:r>
      <w:r w:rsidRPr="00B208D6">
        <w:rPr>
          <w:rFonts w:cstheme="minorHAnsi"/>
          <w:szCs w:val="18"/>
        </w:rPr>
        <w:t xml:space="preserve">00226.043 </w:t>
      </w:r>
      <w:r w:rsidRPr="00B208D6">
        <w:rPr>
          <w:rFonts w:eastAsia="Calibri" w:cstheme="minorHAnsi"/>
          <w:bCs/>
          <w:szCs w:val="18"/>
        </w:rPr>
        <w:t>Kāi Tahu ki Otago</w:t>
      </w:r>
    </w:p>
  </w:footnote>
  <w:footnote w:id="148">
    <w:p w14:paraId="63D83DB9" w14:textId="77777777" w:rsidR="009A1120" w:rsidRDefault="009A1120" w:rsidP="009A1120">
      <w:pPr>
        <w:pStyle w:val="FootnoteText"/>
      </w:pPr>
      <w:r w:rsidRPr="00B208D6">
        <w:rPr>
          <w:rStyle w:val="FootnoteReference"/>
          <w:szCs w:val="18"/>
        </w:rPr>
        <w:footnoteRef/>
      </w:r>
      <w:r w:rsidRPr="00B208D6">
        <w:rPr>
          <w:szCs w:val="18"/>
        </w:rPr>
        <w:t xml:space="preserve"> 00223.024 Ngāi Tahu ki Murihiku</w:t>
      </w:r>
    </w:p>
  </w:footnote>
  <w:footnote w:id="149">
    <w:p w14:paraId="79C4DBD0" w14:textId="77777777" w:rsidR="009A1120" w:rsidRDefault="009A1120" w:rsidP="009A1120">
      <w:pPr>
        <w:pStyle w:val="FootnoteText"/>
      </w:pPr>
      <w:r>
        <w:rPr>
          <w:rStyle w:val="FootnoteReference"/>
        </w:rPr>
        <w:footnoteRef/>
      </w:r>
      <w:r>
        <w:t xml:space="preserve"> 00120.007 Yellow-eyed Penguin Trust</w:t>
      </w:r>
    </w:p>
  </w:footnote>
  <w:footnote w:id="150">
    <w:p w14:paraId="1031B333"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151">
    <w:p w14:paraId="622DF294"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152">
    <w:p w14:paraId="5DB47016" w14:textId="77777777" w:rsidR="009A1120" w:rsidRDefault="009A1120" w:rsidP="009A1120">
      <w:pPr>
        <w:pStyle w:val="FootnoteText"/>
      </w:pPr>
      <w:r>
        <w:rPr>
          <w:rStyle w:val="FootnoteReference"/>
        </w:rPr>
        <w:footnoteRef/>
      </w:r>
      <w:r>
        <w:t xml:space="preserve"> 00226.024 Kāi Tahu ki Otago</w:t>
      </w:r>
    </w:p>
  </w:footnote>
  <w:footnote w:id="153">
    <w:p w14:paraId="6E3CDD8C" w14:textId="77777777" w:rsidR="009A1120" w:rsidRDefault="009A1120" w:rsidP="009A1120">
      <w:pPr>
        <w:pStyle w:val="FootnoteText"/>
      </w:pPr>
      <w:r>
        <w:rPr>
          <w:rStyle w:val="FootnoteReference"/>
        </w:rPr>
        <w:footnoteRef/>
      </w:r>
      <w:r>
        <w:t xml:space="preserve"> 00120.007 Yellow-eyed Penguin Trust</w:t>
      </w:r>
    </w:p>
  </w:footnote>
  <w:footnote w:id="154">
    <w:p w14:paraId="300C30BB" w14:textId="77777777" w:rsidR="009A1120" w:rsidRDefault="009A1120" w:rsidP="009A1120">
      <w:pPr>
        <w:pStyle w:val="FootnoteText"/>
      </w:pPr>
      <w:r>
        <w:rPr>
          <w:rStyle w:val="FootnoteReference"/>
        </w:rPr>
        <w:footnoteRef/>
      </w:r>
      <w:r>
        <w:t xml:space="preserve"> 00120.007 Yellow-eyed Penguin Trust</w:t>
      </w:r>
    </w:p>
  </w:footnote>
  <w:footnote w:id="155">
    <w:p w14:paraId="5EB64CEC" w14:textId="77777777" w:rsidR="009A1120" w:rsidRDefault="009A1120" w:rsidP="009A1120">
      <w:pPr>
        <w:pStyle w:val="FootnoteText"/>
      </w:pPr>
      <w:r>
        <w:rPr>
          <w:rStyle w:val="FootnoteReference"/>
        </w:rPr>
        <w:footnoteRef/>
      </w:r>
      <w:r>
        <w:t xml:space="preserve"> 00120.007 Yellow-eyed Penguin Trust</w:t>
      </w:r>
    </w:p>
  </w:footnote>
  <w:footnote w:id="156">
    <w:p w14:paraId="4F1953BD" w14:textId="09719441" w:rsidR="006072DC" w:rsidRDefault="006072DC">
      <w:pPr>
        <w:pStyle w:val="FootnoteText"/>
      </w:pPr>
      <w:r>
        <w:rPr>
          <w:rStyle w:val="FootnoteReference"/>
        </w:rPr>
        <w:footnoteRef/>
      </w:r>
      <w:r>
        <w:t xml:space="preserve"> </w:t>
      </w:r>
      <w:r w:rsidRPr="006072DC">
        <w:t>Clause 16(2), Schedule 1, RMA</w:t>
      </w:r>
    </w:p>
  </w:footnote>
  <w:footnote w:id="157">
    <w:p w14:paraId="12B1F585" w14:textId="49851B8A" w:rsidR="009A1120" w:rsidRDefault="009A1120" w:rsidP="009A1120">
      <w:pPr>
        <w:pStyle w:val="FootnoteText"/>
      </w:pPr>
      <w:r>
        <w:rPr>
          <w:rStyle w:val="FootnoteReference"/>
        </w:rPr>
        <w:footnoteRef/>
      </w:r>
      <w:r>
        <w:t xml:space="preserve"> Clause 16(2)</w:t>
      </w:r>
      <w:r w:rsidR="00FE7B1D">
        <w:t>, Schedule 1, RMA</w:t>
      </w:r>
    </w:p>
  </w:footnote>
  <w:footnote w:id="158">
    <w:p w14:paraId="5024A57D" w14:textId="77777777" w:rsidR="009A1120" w:rsidRDefault="009A1120" w:rsidP="009A1120">
      <w:pPr>
        <w:pStyle w:val="FootnoteText"/>
      </w:pPr>
      <w:r>
        <w:rPr>
          <w:rStyle w:val="FootnoteReference"/>
        </w:rPr>
        <w:footnoteRef/>
      </w:r>
      <w:r>
        <w:t xml:space="preserve"> </w:t>
      </w:r>
      <w:r w:rsidRPr="002221AC">
        <w:rPr>
          <w:rFonts w:cstheme="minorHAnsi"/>
        </w:rPr>
        <w:t>00223.025</w:t>
      </w:r>
      <w:r>
        <w:rPr>
          <w:rFonts w:cstheme="minorHAnsi"/>
        </w:rPr>
        <w:t xml:space="preserve"> </w:t>
      </w:r>
      <w:r>
        <w:t>Ngāi Tahu ki Murihiku</w:t>
      </w:r>
    </w:p>
  </w:footnote>
  <w:footnote w:id="159">
    <w:p w14:paraId="28ED92C4"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0">
    <w:p w14:paraId="3D242153"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1">
    <w:p w14:paraId="2E1F48DE"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2">
    <w:p w14:paraId="013B2CB7" w14:textId="115A5CF9" w:rsidR="009A1120" w:rsidRDefault="009A1120" w:rsidP="009A1120">
      <w:pPr>
        <w:pStyle w:val="FootnoteText"/>
      </w:pPr>
      <w:r>
        <w:rPr>
          <w:rStyle w:val="FootnoteReference"/>
        </w:rPr>
        <w:footnoteRef/>
      </w:r>
      <w:r>
        <w:t xml:space="preserve"> Clause 16(2</w:t>
      </w:r>
      <w:r w:rsidR="00FE7B1D">
        <w:t>), Schedule 1, RMA</w:t>
      </w:r>
    </w:p>
  </w:footnote>
  <w:footnote w:id="163">
    <w:p w14:paraId="562F2792"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4">
    <w:p w14:paraId="6A0DE3A1" w14:textId="77777777" w:rsidR="009A1120" w:rsidRDefault="009A1120" w:rsidP="009A1120">
      <w:pPr>
        <w:pStyle w:val="FootnoteText"/>
      </w:pPr>
      <w:r>
        <w:rPr>
          <w:rStyle w:val="FootnoteReference"/>
        </w:rPr>
        <w:footnoteRef/>
      </w:r>
      <w:r>
        <w:t xml:space="preserve"> </w:t>
      </w:r>
      <w:r>
        <w:rPr>
          <w:rFonts w:cstheme="minorHAnsi"/>
        </w:rPr>
        <w:t xml:space="preserve">00226.043 </w:t>
      </w:r>
      <w:r>
        <w:rPr>
          <w:rFonts w:eastAsia="Calibri" w:cstheme="minorHAnsi"/>
          <w:bCs/>
        </w:rPr>
        <w:t>Kāi Tahu ki Otago</w:t>
      </w:r>
    </w:p>
  </w:footnote>
  <w:footnote w:id="165">
    <w:p w14:paraId="31E289C1"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6">
    <w:p w14:paraId="5ACB8B07"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7">
    <w:p w14:paraId="4DA1642F"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8">
    <w:p w14:paraId="438D3458"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69">
    <w:p w14:paraId="1B1DE292" w14:textId="095B0D64" w:rsidR="009A1120" w:rsidRDefault="009A1120" w:rsidP="009A1120">
      <w:pPr>
        <w:pStyle w:val="FootnoteText"/>
      </w:pPr>
      <w:r>
        <w:rPr>
          <w:rStyle w:val="FootnoteReference"/>
        </w:rPr>
        <w:footnoteRef/>
      </w:r>
      <w:r>
        <w:t xml:space="preserve"> </w:t>
      </w:r>
      <w:r w:rsidR="00FE7B1D">
        <w:t>Clause 16(2), Schedule 1, RMA</w:t>
      </w:r>
    </w:p>
  </w:footnote>
  <w:footnote w:id="170">
    <w:p w14:paraId="713EB285" w14:textId="014C6CEA" w:rsidR="006072DC" w:rsidRDefault="006072DC">
      <w:pPr>
        <w:pStyle w:val="FootnoteText"/>
      </w:pPr>
      <w:r>
        <w:rPr>
          <w:rStyle w:val="FootnoteReference"/>
        </w:rPr>
        <w:footnoteRef/>
      </w:r>
      <w:r>
        <w:t xml:space="preserve"> </w:t>
      </w:r>
      <w:r w:rsidRPr="006072DC">
        <w:t>Clause 16(2), Schedule 1, RMA</w:t>
      </w:r>
    </w:p>
  </w:footnote>
  <w:footnote w:id="171">
    <w:p w14:paraId="6489C345"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72">
    <w:p w14:paraId="14150BCE"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73">
    <w:p w14:paraId="06729A3B"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74">
    <w:p w14:paraId="7C352F93" w14:textId="77777777" w:rsidR="00617B59" w:rsidRDefault="00617B59" w:rsidP="00617B59">
      <w:pPr>
        <w:pStyle w:val="FootnoteText"/>
      </w:pPr>
      <w:r>
        <w:rPr>
          <w:rStyle w:val="FootnoteReference"/>
        </w:rPr>
        <w:footnoteRef/>
      </w:r>
      <w:r>
        <w:t xml:space="preserve"> </w:t>
      </w:r>
      <w:r w:rsidRPr="0029576C">
        <w:t>Clause 10(2)(b)(i) – consequential amendment arising from 00226.038 Kāi Tahu ki Otago</w:t>
      </w:r>
    </w:p>
  </w:footnote>
  <w:footnote w:id="175">
    <w:p w14:paraId="7ECE2E75" w14:textId="77777777" w:rsidR="00617B59" w:rsidRDefault="00617B59" w:rsidP="00617B59">
      <w:pPr>
        <w:pStyle w:val="FootnoteText"/>
      </w:pPr>
      <w:r>
        <w:rPr>
          <w:rStyle w:val="FootnoteReference"/>
        </w:rPr>
        <w:footnoteRef/>
      </w:r>
      <w:r>
        <w:t xml:space="preserve"> </w:t>
      </w:r>
      <w:r w:rsidRPr="0029576C">
        <w:t>Clause 10(2)(b)(i) – consequential amendment arising from 00226.038 Kāi Tahu ki Otago</w:t>
      </w:r>
    </w:p>
  </w:footnote>
  <w:footnote w:id="176">
    <w:p w14:paraId="479BCBD4" w14:textId="77777777" w:rsidR="00617B59" w:rsidRDefault="00617B59" w:rsidP="00617B59">
      <w:pPr>
        <w:pStyle w:val="FootnoteText"/>
      </w:pPr>
      <w:r>
        <w:rPr>
          <w:rStyle w:val="FootnoteReference"/>
        </w:rPr>
        <w:footnoteRef/>
      </w:r>
      <w:r>
        <w:t xml:space="preserve"> </w:t>
      </w:r>
      <w:r w:rsidRPr="0029576C">
        <w:t>Clause 10(2)(b)(i) – consequential amendment arising from 00226.038 Kāi Tahu ki Otago</w:t>
      </w:r>
    </w:p>
  </w:footnote>
  <w:footnote w:id="177">
    <w:p w14:paraId="3EB35733"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178">
    <w:p w14:paraId="75938C57"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79">
    <w:p w14:paraId="12D499C4" w14:textId="2561A79D" w:rsidR="00505A20" w:rsidRPr="00505A20" w:rsidRDefault="00505A20">
      <w:pPr>
        <w:pStyle w:val="FootnoteText"/>
        <w:rPr>
          <w:lang w:val="mi-NZ"/>
        </w:rPr>
      </w:pPr>
      <w:r w:rsidRPr="000C1E9D">
        <w:rPr>
          <w:rStyle w:val="FootnoteReference"/>
        </w:rPr>
        <w:footnoteRef/>
      </w:r>
      <w:r w:rsidRPr="000C1E9D">
        <w:t xml:space="preserve"> </w:t>
      </w:r>
      <w:r w:rsidR="00E2205C" w:rsidRPr="000C1E9D">
        <w:t>Clause 16(2), Schedule 1</w:t>
      </w:r>
      <w:r w:rsidR="00FE7B1D" w:rsidRPr="000C1E9D">
        <w:t>,</w:t>
      </w:r>
      <w:r w:rsidR="00E2205C" w:rsidRPr="000C1E9D">
        <w:t xml:space="preserve"> RMA</w:t>
      </w:r>
    </w:p>
  </w:footnote>
  <w:footnote w:id="180">
    <w:p w14:paraId="3F9CEBAD"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181">
    <w:p w14:paraId="4D287FAE" w14:textId="5D5EC901" w:rsidR="001B0D8F" w:rsidRDefault="001B0D8F">
      <w:pPr>
        <w:pStyle w:val="FootnoteText"/>
      </w:pPr>
      <w:r>
        <w:rPr>
          <w:rStyle w:val="FootnoteReference"/>
        </w:rPr>
        <w:footnoteRef/>
      </w:r>
      <w:r>
        <w:t xml:space="preserve"> </w:t>
      </w:r>
      <w:r w:rsidRPr="001B0D8F">
        <w:t>Clause 16(2), Schedule 1, RMA</w:t>
      </w:r>
    </w:p>
  </w:footnote>
  <w:footnote w:id="182">
    <w:p w14:paraId="2C6D0291"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183">
    <w:p w14:paraId="387BEDAD"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84">
    <w:p w14:paraId="0559DA4C" w14:textId="77777777" w:rsidR="009A1120" w:rsidRDefault="009A1120" w:rsidP="009A1120">
      <w:pPr>
        <w:pStyle w:val="FootnoteText"/>
      </w:pPr>
      <w:r>
        <w:rPr>
          <w:rStyle w:val="FootnoteReference"/>
        </w:rPr>
        <w:footnoteRef/>
      </w:r>
      <w:r>
        <w:t xml:space="preserve"> </w:t>
      </w:r>
      <w:r w:rsidRPr="004C7AF7">
        <w:t>00226.040</w:t>
      </w:r>
      <w:r>
        <w:t xml:space="preserve"> </w:t>
      </w:r>
      <w:r w:rsidRPr="005356A2">
        <w:t>Kāi Tahu ki Otago</w:t>
      </w:r>
    </w:p>
  </w:footnote>
  <w:footnote w:id="185">
    <w:p w14:paraId="3E501C30"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186">
    <w:p w14:paraId="6FD331FF" w14:textId="1B8B08D3" w:rsidR="001B0D8F" w:rsidRDefault="001B0D8F">
      <w:pPr>
        <w:pStyle w:val="FootnoteText"/>
      </w:pPr>
      <w:r>
        <w:rPr>
          <w:rStyle w:val="FootnoteReference"/>
        </w:rPr>
        <w:footnoteRef/>
      </w:r>
      <w:r>
        <w:t xml:space="preserve"> </w:t>
      </w:r>
      <w:r w:rsidR="00351935" w:rsidRPr="00351935">
        <w:t>Clause 16(2), Schedule 1, RMA</w:t>
      </w:r>
    </w:p>
  </w:footnote>
  <w:footnote w:id="187">
    <w:p w14:paraId="4C126E08" w14:textId="42F53879" w:rsidR="00351935" w:rsidRDefault="00351935">
      <w:pPr>
        <w:pStyle w:val="FootnoteText"/>
      </w:pPr>
      <w:r>
        <w:rPr>
          <w:rStyle w:val="FootnoteReference"/>
        </w:rPr>
        <w:footnoteRef/>
      </w:r>
      <w:r>
        <w:t xml:space="preserve"> </w:t>
      </w:r>
      <w:r w:rsidRPr="00351935">
        <w:t>Clause 16(2), Schedule 1, RMA</w:t>
      </w:r>
    </w:p>
  </w:footnote>
  <w:footnote w:id="188">
    <w:p w14:paraId="47C57A33" w14:textId="77777777" w:rsidR="002504E7" w:rsidRDefault="002504E7" w:rsidP="002504E7">
      <w:pPr>
        <w:pStyle w:val="FootnoteText"/>
      </w:pPr>
      <w:r>
        <w:rPr>
          <w:rStyle w:val="FootnoteReference"/>
        </w:rPr>
        <w:footnoteRef/>
      </w:r>
      <w:r>
        <w:t xml:space="preserve"> </w:t>
      </w:r>
      <w:r w:rsidRPr="00351935">
        <w:t>Clause 16(2), Schedule 1, RMA</w:t>
      </w:r>
    </w:p>
  </w:footnote>
  <w:footnote w:id="189">
    <w:p w14:paraId="3ECFC039" w14:textId="77777777" w:rsidR="00E17A2A" w:rsidRDefault="00E17A2A" w:rsidP="00E17A2A">
      <w:pPr>
        <w:pStyle w:val="FootnoteText"/>
      </w:pPr>
      <w:r>
        <w:rPr>
          <w:rStyle w:val="FootnoteReference"/>
        </w:rPr>
        <w:footnoteRef/>
      </w:r>
      <w:r>
        <w:t xml:space="preserve"> </w:t>
      </w:r>
      <w:r w:rsidRPr="00351935">
        <w:t>Clause 16(2), Schedule 1, RMA</w:t>
      </w:r>
    </w:p>
  </w:footnote>
  <w:footnote w:id="190">
    <w:p w14:paraId="12A7A95A" w14:textId="035F3532" w:rsidR="00EE2326" w:rsidRDefault="00EE2326">
      <w:pPr>
        <w:pStyle w:val="FootnoteText"/>
      </w:pPr>
      <w:r>
        <w:rPr>
          <w:rStyle w:val="FootnoteReference"/>
        </w:rPr>
        <w:footnoteRef/>
      </w:r>
      <w:r>
        <w:t xml:space="preserve"> </w:t>
      </w:r>
      <w:r w:rsidRPr="00351935">
        <w:t>Clause 16(2), Schedule 1, RMA</w:t>
      </w:r>
    </w:p>
  </w:footnote>
  <w:footnote w:id="191">
    <w:p w14:paraId="7F8EC756"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192">
    <w:p w14:paraId="1A215FD4" w14:textId="77777777" w:rsidR="00BD2083" w:rsidRDefault="00BD2083" w:rsidP="00BD2083">
      <w:pPr>
        <w:pStyle w:val="FootnoteText"/>
      </w:pPr>
      <w:r>
        <w:rPr>
          <w:rStyle w:val="FootnoteReference"/>
        </w:rPr>
        <w:footnoteRef/>
      </w:r>
      <w:r>
        <w:t xml:space="preserve"> </w:t>
      </w:r>
      <w:r w:rsidRPr="00351935">
        <w:t>Clause 16(2), Schedule 1, RMA</w:t>
      </w:r>
    </w:p>
  </w:footnote>
  <w:footnote w:id="193">
    <w:p w14:paraId="271403BA" w14:textId="77777777" w:rsidR="00A22FC8" w:rsidRDefault="00A22FC8" w:rsidP="00A22FC8">
      <w:pPr>
        <w:pStyle w:val="FootnoteText"/>
      </w:pPr>
      <w:r>
        <w:rPr>
          <w:rStyle w:val="FootnoteReference"/>
        </w:rPr>
        <w:footnoteRef/>
      </w:r>
      <w:r>
        <w:t xml:space="preserve"> </w:t>
      </w:r>
      <w:r w:rsidRPr="00351935">
        <w:t>Clause 16(2), Schedule 1, RMA</w:t>
      </w:r>
    </w:p>
  </w:footnote>
  <w:footnote w:id="194">
    <w:p w14:paraId="20244AAF" w14:textId="77777777" w:rsidR="005877D9" w:rsidRDefault="005877D9" w:rsidP="005877D9">
      <w:pPr>
        <w:pStyle w:val="FootnoteText"/>
      </w:pPr>
      <w:r>
        <w:rPr>
          <w:rStyle w:val="FootnoteReference"/>
        </w:rPr>
        <w:footnoteRef/>
      </w:r>
      <w:r>
        <w:t xml:space="preserve"> </w:t>
      </w:r>
      <w:r w:rsidRPr="00351935">
        <w:t>Clause 16(2), Schedule 1, RMA</w:t>
      </w:r>
    </w:p>
  </w:footnote>
  <w:footnote w:id="195">
    <w:p w14:paraId="5074FBA8" w14:textId="77777777" w:rsidR="00626554" w:rsidRDefault="00626554" w:rsidP="00626554">
      <w:pPr>
        <w:pStyle w:val="FootnoteText"/>
      </w:pPr>
      <w:r>
        <w:rPr>
          <w:rStyle w:val="FootnoteReference"/>
        </w:rPr>
        <w:footnoteRef/>
      </w:r>
      <w:r>
        <w:t xml:space="preserve"> </w:t>
      </w:r>
      <w:r w:rsidRPr="00351935">
        <w:t>Clause 16(2), Schedule 1, RMA</w:t>
      </w:r>
    </w:p>
  </w:footnote>
  <w:footnote w:id="196">
    <w:p w14:paraId="63183DEB" w14:textId="2EC73F84" w:rsidR="009A1120" w:rsidRPr="000C1E9D" w:rsidRDefault="00841B52" w:rsidP="009A1120">
      <w:pPr>
        <w:pStyle w:val="FootnoteText"/>
        <w:rPr>
          <w:sz w:val="16"/>
          <w:szCs w:val="16"/>
          <w:vertAlign w:val="superscript"/>
        </w:rPr>
      </w:pPr>
      <w:r>
        <w:rPr>
          <w:rStyle w:val="FootnoteReference"/>
        </w:rPr>
        <w:footnoteRef/>
      </w:r>
      <w:r>
        <w:t xml:space="preserve"> </w:t>
      </w:r>
      <w:r w:rsidRPr="00C41750">
        <w:t>00226.041</w:t>
      </w:r>
      <w:r>
        <w:t xml:space="preserve"> </w:t>
      </w:r>
      <w:r w:rsidRPr="00C41750">
        <w:t>Kāi Tahu ki Otago</w:t>
      </w:r>
    </w:p>
  </w:footnote>
  <w:footnote w:id="197">
    <w:p w14:paraId="2329EE0F" w14:textId="6B7EFB24" w:rsidR="000C1E9D" w:rsidRDefault="000C1E9D">
      <w:pPr>
        <w:pStyle w:val="FootnoteText"/>
      </w:pPr>
      <w:r w:rsidRPr="000C1E9D">
        <w:rPr>
          <w:rStyle w:val="FootnoteReference"/>
          <w:shd w:val="clear" w:color="auto" w:fill="D9D9D9" w:themeFill="background1" w:themeFillShade="D9"/>
        </w:rPr>
        <w:footnoteRef/>
      </w:r>
      <w:r w:rsidRPr="000C1E9D">
        <w:rPr>
          <w:shd w:val="clear" w:color="auto" w:fill="D9D9D9" w:themeFill="background1" w:themeFillShade="D9"/>
        </w:rPr>
        <w:t xml:space="preserve"> </w:t>
      </w:r>
      <w:r w:rsidRPr="000C1E9D">
        <w:rPr>
          <w:szCs w:val="18"/>
          <w:shd w:val="clear" w:color="auto" w:fill="D9D9D9" w:themeFill="background1" w:themeFillShade="D9"/>
        </w:rPr>
        <w:t>The Waitaki River lies within both the Otago and Canterbury regions.</w:t>
      </w:r>
    </w:p>
  </w:footnote>
  <w:footnote w:id="198">
    <w:p w14:paraId="5EF80C9E" w14:textId="77777777" w:rsidR="00E61458" w:rsidRDefault="00E61458" w:rsidP="00E61458">
      <w:pPr>
        <w:pStyle w:val="FootnoteText"/>
      </w:pPr>
      <w:r>
        <w:rPr>
          <w:rStyle w:val="FootnoteReference"/>
        </w:rPr>
        <w:footnoteRef/>
      </w:r>
      <w:r>
        <w:t xml:space="preserve"> </w:t>
      </w:r>
      <w:r w:rsidRPr="00351935">
        <w:t>Clause 16(2), Schedule 1, RMA</w:t>
      </w:r>
    </w:p>
  </w:footnote>
  <w:footnote w:id="199">
    <w:p w14:paraId="7DCB38BC" w14:textId="77777777" w:rsidR="00E61458" w:rsidRDefault="00E61458" w:rsidP="00E61458">
      <w:pPr>
        <w:pStyle w:val="FootnoteText"/>
      </w:pPr>
      <w:r>
        <w:rPr>
          <w:rStyle w:val="FootnoteReference"/>
        </w:rPr>
        <w:footnoteRef/>
      </w:r>
      <w:r>
        <w:t xml:space="preserve"> </w:t>
      </w:r>
      <w:r w:rsidRPr="00351935">
        <w:t>Clause 16(2), Schedule 1, RMA</w:t>
      </w:r>
    </w:p>
  </w:footnote>
  <w:footnote w:id="200">
    <w:p w14:paraId="27AA2EDB" w14:textId="77777777" w:rsidR="00E61458" w:rsidRDefault="00E61458" w:rsidP="00E61458">
      <w:pPr>
        <w:pStyle w:val="FootnoteText"/>
      </w:pPr>
      <w:r>
        <w:rPr>
          <w:rStyle w:val="FootnoteReference"/>
        </w:rPr>
        <w:footnoteRef/>
      </w:r>
      <w:r>
        <w:t xml:space="preserve"> </w:t>
      </w:r>
      <w:r w:rsidRPr="00351935">
        <w:t>Clause 16(2), Schedule 1, RMA</w:t>
      </w:r>
    </w:p>
  </w:footnote>
  <w:footnote w:id="201">
    <w:p w14:paraId="73514D81" w14:textId="77777777" w:rsidR="00643DF5" w:rsidRDefault="00643DF5" w:rsidP="00643DF5">
      <w:pPr>
        <w:pStyle w:val="FootnoteText"/>
      </w:pPr>
      <w:r>
        <w:rPr>
          <w:rStyle w:val="FootnoteReference"/>
        </w:rPr>
        <w:footnoteRef/>
      </w:r>
      <w:r>
        <w:t xml:space="preserve"> </w:t>
      </w:r>
      <w:r w:rsidRPr="00351935">
        <w:t>Clause 16(2), Schedule 1, RMA</w:t>
      </w:r>
    </w:p>
  </w:footnote>
  <w:footnote w:id="202">
    <w:p w14:paraId="0D08DCAC" w14:textId="77777777" w:rsidR="002A160B" w:rsidRDefault="002A160B" w:rsidP="002A160B">
      <w:pPr>
        <w:pStyle w:val="FootnoteText"/>
      </w:pPr>
      <w:r>
        <w:rPr>
          <w:rStyle w:val="FootnoteReference"/>
        </w:rPr>
        <w:footnoteRef/>
      </w:r>
      <w:r>
        <w:t xml:space="preserve"> </w:t>
      </w:r>
      <w:r w:rsidRPr="0029576C">
        <w:t>Clause 10(2)(b)(i) – consequential amendment arising from 00226.038 Kāi Tahu ki Otago</w:t>
      </w:r>
    </w:p>
  </w:footnote>
  <w:footnote w:id="203">
    <w:p w14:paraId="71D53E3B" w14:textId="77777777" w:rsidR="00B23CF5" w:rsidRDefault="00B23CF5" w:rsidP="00B23CF5">
      <w:pPr>
        <w:pStyle w:val="FootnoteText"/>
      </w:pPr>
      <w:r>
        <w:rPr>
          <w:rStyle w:val="FootnoteReference"/>
        </w:rPr>
        <w:footnoteRef/>
      </w:r>
      <w:r>
        <w:t xml:space="preserve"> </w:t>
      </w:r>
      <w:r w:rsidRPr="0029576C">
        <w:t>Clause 10(2)(b)(i) – consequential amendment arising from 00226.038 Kāi Tahu ki Otago</w:t>
      </w:r>
    </w:p>
  </w:footnote>
  <w:footnote w:id="204">
    <w:p w14:paraId="4E52BC7D" w14:textId="77777777" w:rsidR="00643DF5" w:rsidRDefault="00643DF5" w:rsidP="00643DF5">
      <w:pPr>
        <w:pStyle w:val="FootnoteText"/>
      </w:pPr>
      <w:r>
        <w:rPr>
          <w:rStyle w:val="FootnoteReference"/>
        </w:rPr>
        <w:footnoteRef/>
      </w:r>
      <w:r>
        <w:t xml:space="preserve"> </w:t>
      </w:r>
      <w:r w:rsidRPr="00351935">
        <w:t>Clause 16(2), Schedule 1, RMA</w:t>
      </w:r>
    </w:p>
  </w:footnote>
  <w:footnote w:id="205">
    <w:p w14:paraId="58498B70" w14:textId="77777777" w:rsidR="009A1120" w:rsidRDefault="009A1120" w:rsidP="009A1120">
      <w:pPr>
        <w:pStyle w:val="FootnoteText"/>
      </w:pPr>
      <w:r>
        <w:rPr>
          <w:rStyle w:val="FootnoteReference"/>
        </w:rPr>
        <w:footnoteRef/>
      </w:r>
      <w:r>
        <w:t xml:space="preserve"> </w:t>
      </w:r>
      <w:r w:rsidRPr="001B2CD0">
        <w:t>00234.005</w:t>
      </w:r>
      <w:r>
        <w:t xml:space="preserve"> </w:t>
      </w:r>
      <w:r w:rsidRPr="00A1515B">
        <w:t>Te Rūnanga o Ngāi Tahu</w:t>
      </w:r>
    </w:p>
  </w:footnote>
  <w:footnote w:id="206">
    <w:p w14:paraId="18772AD2"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07">
    <w:p w14:paraId="2EB279AE" w14:textId="77777777" w:rsidR="009A1120" w:rsidRDefault="009A1120" w:rsidP="009A1120">
      <w:pPr>
        <w:pStyle w:val="FootnoteText"/>
      </w:pPr>
      <w:r>
        <w:rPr>
          <w:rStyle w:val="FootnoteReference"/>
        </w:rPr>
        <w:footnoteRef/>
      </w:r>
      <w:r>
        <w:t xml:space="preserve"> </w:t>
      </w:r>
      <w:r w:rsidRPr="001B2CD0">
        <w:t>00234.005</w:t>
      </w:r>
      <w:r>
        <w:t xml:space="preserve"> </w:t>
      </w:r>
      <w:r w:rsidRPr="00A1515B">
        <w:t>Te Rūnanga o Ngāi Tahu</w:t>
      </w:r>
    </w:p>
  </w:footnote>
  <w:footnote w:id="208">
    <w:p w14:paraId="7A11D2B8" w14:textId="77777777" w:rsidR="00B16E7D" w:rsidRDefault="00B16E7D" w:rsidP="00B16E7D">
      <w:pPr>
        <w:pStyle w:val="FootnoteText"/>
      </w:pPr>
      <w:r>
        <w:rPr>
          <w:rStyle w:val="FootnoteReference"/>
        </w:rPr>
        <w:footnoteRef/>
      </w:r>
      <w:r>
        <w:t xml:space="preserve"> </w:t>
      </w:r>
      <w:r w:rsidRPr="00351935">
        <w:t>Clause 16(2), Schedule 1, RMA</w:t>
      </w:r>
    </w:p>
  </w:footnote>
  <w:footnote w:id="209">
    <w:p w14:paraId="1CB38F45" w14:textId="52154B1F" w:rsidR="006072DC" w:rsidRDefault="006072DC">
      <w:pPr>
        <w:pStyle w:val="FootnoteText"/>
      </w:pPr>
      <w:r>
        <w:rPr>
          <w:rStyle w:val="FootnoteReference"/>
        </w:rPr>
        <w:footnoteRef/>
      </w:r>
      <w:r>
        <w:t xml:space="preserve"> </w:t>
      </w:r>
      <w:r w:rsidRPr="006072DC">
        <w:t>Clause 16(2), Schedule 1, RMA</w:t>
      </w:r>
    </w:p>
  </w:footnote>
  <w:footnote w:id="210">
    <w:p w14:paraId="0FF2D551"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11">
    <w:p w14:paraId="71EE3461"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12">
    <w:p w14:paraId="5A5C50AB" w14:textId="77777777" w:rsidR="009A1120" w:rsidRDefault="009A1120" w:rsidP="009A1120">
      <w:pPr>
        <w:pStyle w:val="FootnoteText"/>
      </w:pPr>
      <w:r>
        <w:rPr>
          <w:rStyle w:val="FootnoteReference"/>
        </w:rPr>
        <w:footnoteRef/>
      </w:r>
      <w:r>
        <w:t xml:space="preserve"> 00120.007 Yellow-eyed Penguin Trust</w:t>
      </w:r>
    </w:p>
  </w:footnote>
  <w:footnote w:id="213">
    <w:p w14:paraId="228F8B76" w14:textId="77777777" w:rsidR="009A1120" w:rsidRDefault="009A1120" w:rsidP="009A1120">
      <w:pPr>
        <w:pStyle w:val="FootnoteText"/>
      </w:pPr>
      <w:r>
        <w:rPr>
          <w:rStyle w:val="FootnoteReference"/>
        </w:rPr>
        <w:footnoteRef/>
      </w:r>
      <w:r>
        <w:t xml:space="preserve"> </w:t>
      </w:r>
      <w:r w:rsidRPr="002221AC">
        <w:rPr>
          <w:rFonts w:cstheme="minorHAnsi"/>
        </w:rPr>
        <w:t>00234.006</w:t>
      </w:r>
      <w:r>
        <w:rPr>
          <w:rFonts w:cstheme="minorHAnsi"/>
        </w:rPr>
        <w:t xml:space="preserve"> </w:t>
      </w:r>
      <w:r w:rsidRPr="002221AC">
        <w:rPr>
          <w:rFonts w:cstheme="minorHAnsi"/>
          <w:lang w:val="en-US"/>
        </w:rPr>
        <w:t>Te Rūnanga o Ngāi Tahu</w:t>
      </w:r>
    </w:p>
  </w:footnote>
  <w:footnote w:id="214">
    <w:p w14:paraId="77E5F173" w14:textId="77777777" w:rsidR="009A1120" w:rsidRDefault="009A1120" w:rsidP="009A1120">
      <w:pPr>
        <w:pStyle w:val="FootnoteText"/>
      </w:pPr>
      <w:r>
        <w:rPr>
          <w:rStyle w:val="FootnoteReference"/>
        </w:rPr>
        <w:footnoteRef/>
      </w:r>
      <w:r>
        <w:t xml:space="preserve"> 00226.024 Kāi Tahu ki Otago</w:t>
      </w:r>
    </w:p>
  </w:footnote>
  <w:footnote w:id="215">
    <w:p w14:paraId="4B6CC2D6" w14:textId="77777777" w:rsidR="009A1120" w:rsidRDefault="009A1120" w:rsidP="009A1120">
      <w:pPr>
        <w:pStyle w:val="FootnoteText"/>
      </w:pPr>
      <w:r>
        <w:rPr>
          <w:rStyle w:val="FootnoteReference"/>
        </w:rPr>
        <w:footnoteRef/>
      </w:r>
      <w:r>
        <w:t xml:space="preserve"> 00226.024 Kāi Tahu ki Otago</w:t>
      </w:r>
    </w:p>
  </w:footnote>
  <w:footnote w:id="216">
    <w:p w14:paraId="267B6189" w14:textId="77777777" w:rsidR="009A1120" w:rsidRDefault="009A1120" w:rsidP="009A1120">
      <w:pPr>
        <w:pStyle w:val="FootnoteText"/>
      </w:pPr>
      <w:r>
        <w:rPr>
          <w:rStyle w:val="FootnoteReference"/>
        </w:rPr>
        <w:footnoteRef/>
      </w:r>
      <w:r>
        <w:t xml:space="preserve"> 00226.024 Kāi Tahu ki Otago</w:t>
      </w:r>
    </w:p>
  </w:footnote>
  <w:footnote w:id="217">
    <w:p w14:paraId="66599DC8"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18">
    <w:p w14:paraId="1706F9C5"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19">
    <w:p w14:paraId="01A8B491"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0">
    <w:p w14:paraId="4023C26B"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1">
    <w:p w14:paraId="36E64F00" w14:textId="49D27852" w:rsidR="009A1120" w:rsidRDefault="009A1120" w:rsidP="009A1120">
      <w:pPr>
        <w:pStyle w:val="FootnoteText"/>
      </w:pPr>
      <w:r>
        <w:rPr>
          <w:rStyle w:val="FootnoteReference"/>
        </w:rPr>
        <w:footnoteRef/>
      </w:r>
      <w:r>
        <w:t xml:space="preserve"> </w:t>
      </w:r>
      <w:r w:rsidR="00FE7B1D">
        <w:t>Clause 16(2), Schedule 1, RMA</w:t>
      </w:r>
    </w:p>
  </w:footnote>
  <w:footnote w:id="222">
    <w:p w14:paraId="3C7186EC"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3">
    <w:p w14:paraId="6A51CFFE"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4">
    <w:p w14:paraId="5FA52F52"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5">
    <w:p w14:paraId="5F1533C7"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6">
    <w:p w14:paraId="4B705513"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7">
    <w:p w14:paraId="2F7C9671" w14:textId="77777777"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8">
    <w:p w14:paraId="59A42D0A" w14:textId="10735E83" w:rsidR="009A1120" w:rsidRDefault="009A1120" w:rsidP="009A1120">
      <w:pPr>
        <w:pStyle w:val="FootnoteText"/>
      </w:pPr>
      <w:r>
        <w:rPr>
          <w:rStyle w:val="FootnoteReference"/>
        </w:rPr>
        <w:footnoteRef/>
      </w:r>
      <w:r>
        <w:t xml:space="preserve"> </w:t>
      </w:r>
      <w:r w:rsidRPr="00C41750">
        <w:t>00226.041</w:t>
      </w:r>
      <w:r>
        <w:t xml:space="preserve"> </w:t>
      </w:r>
      <w:r w:rsidRPr="00C41750">
        <w:t>Kāi Tahu ki Otago</w:t>
      </w:r>
    </w:p>
  </w:footnote>
  <w:footnote w:id="229">
    <w:p w14:paraId="4BFACB8D" w14:textId="77777777" w:rsidR="001F6589" w:rsidRDefault="001F6589" w:rsidP="001F6589">
      <w:pPr>
        <w:pStyle w:val="FootnoteText"/>
      </w:pPr>
      <w:r>
        <w:rPr>
          <w:rStyle w:val="FootnoteReference"/>
        </w:rPr>
        <w:footnoteRef/>
      </w:r>
      <w:r>
        <w:t xml:space="preserve"> </w:t>
      </w:r>
      <w:r>
        <w:rPr>
          <w:rFonts w:cstheme="minorHAnsi"/>
        </w:rPr>
        <w:t xml:space="preserve">00234.005 </w:t>
      </w:r>
      <w:r>
        <w:rPr>
          <w:rFonts w:cstheme="minorHAnsi"/>
          <w:lang w:val="en-US"/>
        </w:rPr>
        <w:t>Te Rūnanga o Ngāi Tahu</w:t>
      </w:r>
    </w:p>
  </w:footnote>
  <w:footnote w:id="230">
    <w:p w14:paraId="3B5DD59C" w14:textId="77777777" w:rsidR="009A1120" w:rsidRDefault="009A1120" w:rsidP="009A1120">
      <w:pPr>
        <w:pStyle w:val="FootnoteText"/>
      </w:pPr>
      <w:r>
        <w:rPr>
          <w:rStyle w:val="FootnoteReference"/>
        </w:rPr>
        <w:footnoteRef/>
      </w:r>
      <w:r>
        <w:t xml:space="preserve"> </w:t>
      </w:r>
      <w:r>
        <w:rPr>
          <w:rFonts w:cstheme="minorHAnsi"/>
        </w:rPr>
        <w:t xml:space="preserve">00223.027 </w:t>
      </w:r>
      <w:r>
        <w:t>Ngāi Tahu ki Murihiku</w:t>
      </w:r>
    </w:p>
  </w:footnote>
  <w:footnote w:id="231">
    <w:p w14:paraId="56B4933D" w14:textId="56C537AC" w:rsidR="000C1E9D" w:rsidRPr="000C1E9D" w:rsidRDefault="000C1E9D">
      <w:pPr>
        <w:pStyle w:val="FootnoteText"/>
        <w:rPr>
          <w:szCs w:val="18"/>
        </w:rPr>
      </w:pPr>
      <w:r w:rsidRPr="005B7E54">
        <w:rPr>
          <w:rStyle w:val="FootnoteReference"/>
          <w:shd w:val="clear" w:color="auto" w:fill="D9D9D9" w:themeFill="background1" w:themeFillShade="D9"/>
        </w:rPr>
        <w:footnoteRef/>
      </w:r>
      <w:r w:rsidRPr="005B7E54">
        <w:rPr>
          <w:shd w:val="clear" w:color="auto" w:fill="D9D9D9" w:themeFill="background1" w:themeFillShade="D9"/>
        </w:rPr>
        <w:t xml:space="preserve"> </w:t>
      </w:r>
      <w:r w:rsidRPr="005B7E54">
        <w:rPr>
          <w:szCs w:val="18"/>
          <w:shd w:val="clear" w:color="auto" w:fill="D9D9D9" w:themeFill="background1" w:themeFillShade="D9"/>
        </w:rPr>
        <w:t xml:space="preserve">Available from </w:t>
      </w:r>
      <w:hyperlink r:id="rId4" w:history="1">
        <w:r w:rsidRPr="005B7E54">
          <w:rPr>
            <w:rStyle w:val="Hyperlink"/>
            <w:szCs w:val="18"/>
            <w:shd w:val="clear" w:color="auto" w:fill="D9D9D9" w:themeFill="background1" w:themeFillShade="D9"/>
          </w:rPr>
          <w:t>https://www.es.govt.nz/repository/libraries/id:26gi9ayo517q9stt81sd/hierarchy/about-us/plans-and-strategies/regional-plans/iwi-management-plan/documents/The%20Charter%20of%20Understanding.pdf</w:t>
        </w:r>
      </w:hyperlink>
      <w:r w:rsidRPr="005B7E54">
        <w:rPr>
          <w:rStyle w:val="Hyperlink"/>
          <w:szCs w:val="18"/>
          <w:shd w:val="clear" w:color="auto" w:fill="D9D9D9" w:themeFill="background1" w:themeFillShade="D9"/>
        </w:rPr>
        <w:t xml:space="preserve"> (accessed 26 May 2021)</w:t>
      </w:r>
    </w:p>
  </w:footnote>
  <w:footnote w:id="232">
    <w:p w14:paraId="27B5AC89" w14:textId="77777777" w:rsidR="009A1120" w:rsidRDefault="009A1120" w:rsidP="009A1120">
      <w:pPr>
        <w:pStyle w:val="FootnoteText"/>
      </w:pPr>
      <w:r>
        <w:rPr>
          <w:rStyle w:val="FootnoteReference"/>
        </w:rPr>
        <w:footnoteRef/>
      </w:r>
      <w:r>
        <w:t xml:space="preserve"> </w:t>
      </w:r>
      <w:r>
        <w:rPr>
          <w:rFonts w:cstheme="minorHAnsi"/>
        </w:rPr>
        <w:t xml:space="preserve">00223.027 </w:t>
      </w:r>
      <w:r>
        <w:t>Ngāi Tahu ki Murihiku</w:t>
      </w:r>
    </w:p>
  </w:footnote>
  <w:footnote w:id="233">
    <w:p w14:paraId="7FA8DB5B" w14:textId="77777777" w:rsidR="009A1120" w:rsidRDefault="009A1120" w:rsidP="009A1120">
      <w:pPr>
        <w:pStyle w:val="FootnoteText"/>
      </w:pPr>
      <w:r>
        <w:rPr>
          <w:rStyle w:val="FootnoteReference"/>
        </w:rPr>
        <w:footnoteRef/>
      </w:r>
      <w:r>
        <w:t xml:space="preserve"> </w:t>
      </w:r>
      <w:r>
        <w:rPr>
          <w:rFonts w:cstheme="minorHAnsi"/>
        </w:rPr>
        <w:t xml:space="preserve">00226.042 </w:t>
      </w:r>
      <w:r>
        <w:rPr>
          <w:rFonts w:eastAsia="Calibri" w:cstheme="minorHAnsi"/>
          <w:bCs/>
        </w:rPr>
        <w:t>Kāi Tahu ki Otago</w:t>
      </w:r>
    </w:p>
  </w:footnote>
  <w:footnote w:id="234">
    <w:p w14:paraId="0BF43F3A" w14:textId="77777777" w:rsidR="009A1120" w:rsidRDefault="009A1120" w:rsidP="009A1120">
      <w:pPr>
        <w:pStyle w:val="FootnoteText"/>
      </w:pPr>
      <w:r>
        <w:rPr>
          <w:rStyle w:val="FootnoteReference"/>
        </w:rPr>
        <w:footnoteRef/>
      </w:r>
      <w:r>
        <w:t xml:space="preserve"> </w:t>
      </w:r>
      <w:r>
        <w:rPr>
          <w:rFonts w:cstheme="minorHAnsi"/>
        </w:rPr>
        <w:t xml:space="preserve">00226.043 </w:t>
      </w:r>
      <w:r>
        <w:rPr>
          <w:rFonts w:eastAsia="Calibri" w:cstheme="minorHAnsi"/>
          <w:bCs/>
        </w:rPr>
        <w:t>Kāi Tahu ki Otago</w:t>
      </w:r>
    </w:p>
  </w:footnote>
  <w:footnote w:id="235">
    <w:p w14:paraId="342A4FA4" w14:textId="236AC1E7" w:rsidR="009A1120" w:rsidRDefault="009A1120" w:rsidP="009A1120">
      <w:pPr>
        <w:pStyle w:val="FootnoteText"/>
      </w:pPr>
      <w:r>
        <w:rPr>
          <w:rStyle w:val="FootnoteReference"/>
        </w:rPr>
        <w:footnoteRef/>
      </w:r>
      <w:r>
        <w:t xml:space="preserve"> </w:t>
      </w:r>
      <w:r w:rsidR="00F222FF">
        <w:t>Clause 10(2)(b)(i)</w:t>
      </w:r>
      <w:r w:rsidR="00F64424">
        <w:t>, Schedule 1, RMA</w:t>
      </w:r>
      <w:r w:rsidR="00F222FF">
        <w:t xml:space="preserve"> – consequential amendment arising from </w:t>
      </w:r>
      <w:r>
        <w:rPr>
          <w:rFonts w:cstheme="minorHAnsi"/>
        </w:rPr>
        <w:t xml:space="preserve">00226.043 </w:t>
      </w:r>
      <w:r>
        <w:rPr>
          <w:rFonts w:eastAsia="Calibri" w:cstheme="minorHAnsi"/>
          <w:bCs/>
        </w:rPr>
        <w:t>Kāi Tahu ki Otago</w:t>
      </w:r>
    </w:p>
  </w:footnote>
  <w:footnote w:id="236">
    <w:p w14:paraId="563E0990" w14:textId="77777777" w:rsidR="009A1120" w:rsidRDefault="009A1120" w:rsidP="009A1120">
      <w:pPr>
        <w:pStyle w:val="FootnoteText"/>
      </w:pPr>
      <w:r>
        <w:rPr>
          <w:rStyle w:val="FootnoteReference"/>
        </w:rPr>
        <w:footnoteRef/>
      </w:r>
      <w:r>
        <w:t xml:space="preserve"> </w:t>
      </w:r>
      <w:r>
        <w:rPr>
          <w:rFonts w:cstheme="minorHAnsi"/>
        </w:rPr>
        <w:t xml:space="preserve">00226.043 </w:t>
      </w:r>
      <w:r>
        <w:rPr>
          <w:rFonts w:eastAsia="Calibri" w:cstheme="minorHAnsi"/>
          <w:bCs/>
        </w:rPr>
        <w:t>Kāi Tahu ki Otago</w:t>
      </w:r>
    </w:p>
  </w:footnote>
  <w:footnote w:id="237">
    <w:p w14:paraId="2501C1FD" w14:textId="14C00EA6" w:rsidR="009A1120" w:rsidRDefault="009A1120" w:rsidP="009A1120">
      <w:pPr>
        <w:pStyle w:val="FootnoteText"/>
      </w:pPr>
      <w:r>
        <w:rPr>
          <w:rStyle w:val="FootnoteReference"/>
        </w:rPr>
        <w:footnoteRef/>
      </w:r>
      <w:r>
        <w:t xml:space="preserve"> </w:t>
      </w:r>
      <w:r w:rsidR="00F222FF">
        <w:t>Clause 10(2)(b)(i)</w:t>
      </w:r>
      <w:r w:rsidR="00F64424" w:rsidRPr="00F64424">
        <w:t xml:space="preserve"> </w:t>
      </w:r>
      <w:r w:rsidR="00F64424">
        <w:t>, Schedule 1, RMA</w:t>
      </w:r>
      <w:r w:rsidR="00F222FF">
        <w:t xml:space="preserve"> – consequential amendment arising from </w:t>
      </w:r>
      <w:r>
        <w:t>00509.024 Wise Response</w:t>
      </w:r>
    </w:p>
  </w:footnote>
  <w:footnote w:id="238">
    <w:p w14:paraId="4F7BD73C" w14:textId="77777777" w:rsidR="009A1120" w:rsidRDefault="009A1120" w:rsidP="009A1120">
      <w:pPr>
        <w:pStyle w:val="FootnoteText"/>
      </w:pPr>
      <w:r>
        <w:rPr>
          <w:rStyle w:val="FootnoteReference"/>
        </w:rPr>
        <w:footnoteRef/>
      </w:r>
      <w:r>
        <w:t xml:space="preserve"> 00509.024 Wise Response</w:t>
      </w:r>
    </w:p>
  </w:footnote>
  <w:footnote w:id="239">
    <w:p w14:paraId="5CFCE7D8" w14:textId="77777777" w:rsidR="009A1120" w:rsidRDefault="009A1120" w:rsidP="009A1120">
      <w:pPr>
        <w:pStyle w:val="FootnoteText"/>
      </w:pPr>
      <w:r>
        <w:rPr>
          <w:rStyle w:val="FootnoteReference"/>
        </w:rPr>
        <w:footnoteRef/>
      </w:r>
      <w:r>
        <w:t xml:space="preserve"> </w:t>
      </w:r>
      <w:r>
        <w:rPr>
          <w:rFonts w:cstheme="minorHAnsi"/>
        </w:rPr>
        <w:t xml:space="preserve">00226.043 </w:t>
      </w:r>
      <w:r>
        <w:rPr>
          <w:rFonts w:eastAsia="Calibri" w:cstheme="minorHAnsi"/>
          <w:bCs/>
        </w:rPr>
        <w:t>Kāi Tahu ki Otago</w:t>
      </w:r>
    </w:p>
  </w:footnote>
  <w:footnote w:id="240">
    <w:p w14:paraId="6D573B82" w14:textId="77777777" w:rsidR="009A1120" w:rsidRDefault="009A1120" w:rsidP="009A1120">
      <w:pPr>
        <w:pStyle w:val="FootnoteText"/>
      </w:pPr>
      <w:r>
        <w:rPr>
          <w:rStyle w:val="FootnoteReference"/>
        </w:rPr>
        <w:footnoteRef/>
      </w:r>
      <w:r>
        <w:t xml:space="preserve"> </w:t>
      </w:r>
      <w:r>
        <w:rPr>
          <w:rFonts w:cstheme="minorHAnsi"/>
        </w:rPr>
        <w:t xml:space="preserve">00226.043 </w:t>
      </w:r>
      <w:r>
        <w:rPr>
          <w:rFonts w:eastAsia="Calibri" w:cstheme="minorHAnsi"/>
          <w:bCs/>
        </w:rPr>
        <w:t>Kāi Tahu ki Otago</w:t>
      </w:r>
    </w:p>
  </w:footnote>
  <w:footnote w:id="241">
    <w:p w14:paraId="4692D599" w14:textId="77777777" w:rsidR="009A1120" w:rsidRDefault="009A1120" w:rsidP="009A1120">
      <w:pPr>
        <w:pStyle w:val="FootnoteText"/>
      </w:pPr>
      <w:r>
        <w:rPr>
          <w:rStyle w:val="FootnoteReference"/>
        </w:rPr>
        <w:footnoteRef/>
      </w:r>
      <w:r>
        <w:t xml:space="preserve"> </w:t>
      </w:r>
      <w:r>
        <w:rPr>
          <w:rFonts w:cstheme="minorHAnsi"/>
        </w:rPr>
        <w:t xml:space="preserve">00226.043 </w:t>
      </w:r>
      <w:r>
        <w:rPr>
          <w:rFonts w:eastAsia="Calibri" w:cstheme="minorHAnsi"/>
          <w:bCs/>
        </w:rPr>
        <w:t>Kāi Tahu ki Otago</w:t>
      </w:r>
    </w:p>
  </w:footnote>
  <w:footnote w:id="242">
    <w:p w14:paraId="0A1933AA" w14:textId="77777777" w:rsidR="009A1120" w:rsidRDefault="009A1120" w:rsidP="009A1120">
      <w:pPr>
        <w:pStyle w:val="FootnoteText"/>
      </w:pPr>
      <w:r>
        <w:rPr>
          <w:rStyle w:val="FootnoteReference"/>
        </w:rPr>
        <w:footnoteRef/>
      </w:r>
      <w:r>
        <w:t xml:space="preserve"> </w:t>
      </w:r>
      <w:r>
        <w:rPr>
          <w:rFonts w:cstheme="minorHAnsi"/>
        </w:rPr>
        <w:t xml:space="preserve">00226.044 </w:t>
      </w:r>
      <w:r>
        <w:rPr>
          <w:rFonts w:eastAsia="Calibri" w:cstheme="minorHAnsi"/>
          <w:bCs/>
        </w:rPr>
        <w:t>Kāi Tahu ki Otago</w:t>
      </w:r>
    </w:p>
  </w:footnote>
  <w:footnote w:id="243">
    <w:p w14:paraId="03DFB583" w14:textId="77777777" w:rsidR="009A1120" w:rsidRDefault="009A1120" w:rsidP="009A1120">
      <w:pPr>
        <w:pStyle w:val="FootnoteText"/>
      </w:pPr>
      <w:r>
        <w:rPr>
          <w:rStyle w:val="FootnoteReference"/>
        </w:rPr>
        <w:footnoteRef/>
      </w:r>
      <w:r>
        <w:t xml:space="preserve"> </w:t>
      </w:r>
      <w:r>
        <w:rPr>
          <w:rFonts w:cstheme="minorHAnsi"/>
        </w:rPr>
        <w:t>00223.028 Ngāi Tahu ki Murihiku</w:t>
      </w:r>
    </w:p>
  </w:footnote>
  <w:footnote w:id="244">
    <w:p w14:paraId="38431145" w14:textId="77777777" w:rsidR="009A1120" w:rsidRDefault="009A1120" w:rsidP="009A1120">
      <w:pPr>
        <w:pStyle w:val="FootnoteText"/>
      </w:pPr>
      <w:r>
        <w:rPr>
          <w:rStyle w:val="FootnoteReference"/>
        </w:rPr>
        <w:footnoteRef/>
      </w:r>
      <w:r>
        <w:t xml:space="preserve"> </w:t>
      </w:r>
      <w:r w:rsidRPr="00E97B68">
        <w:t>00226.046</w:t>
      </w:r>
      <w:r>
        <w:t xml:space="preserve"> </w:t>
      </w:r>
      <w:r w:rsidRPr="00665B7A">
        <w:t>Kāi Tahu ki Otago</w:t>
      </w:r>
    </w:p>
  </w:footnote>
  <w:footnote w:id="245">
    <w:p w14:paraId="7FFA641F" w14:textId="77777777" w:rsidR="009A1120" w:rsidRDefault="009A1120" w:rsidP="009A1120">
      <w:pPr>
        <w:pStyle w:val="FootnoteText"/>
      </w:pPr>
      <w:r>
        <w:rPr>
          <w:rStyle w:val="FootnoteReference"/>
        </w:rPr>
        <w:footnoteRef/>
      </w:r>
      <w:r>
        <w:t xml:space="preserve"> </w:t>
      </w:r>
      <w:r w:rsidRPr="00E97B68">
        <w:t>00226.046</w:t>
      </w:r>
      <w:r>
        <w:t xml:space="preserve"> </w:t>
      </w:r>
      <w:r w:rsidRPr="00665B7A">
        <w:t>Kāi Tahu ki Otago</w:t>
      </w:r>
    </w:p>
  </w:footnote>
  <w:footnote w:id="246">
    <w:p w14:paraId="43DFF438" w14:textId="77777777" w:rsidR="009A1120" w:rsidRDefault="009A1120" w:rsidP="009A1120">
      <w:pPr>
        <w:pStyle w:val="FootnoteText"/>
      </w:pPr>
      <w:r>
        <w:rPr>
          <w:rStyle w:val="FootnoteReference"/>
        </w:rPr>
        <w:footnoteRef/>
      </w:r>
      <w:r>
        <w:t xml:space="preserve"> </w:t>
      </w:r>
      <w:r w:rsidRPr="00E97B68">
        <w:t>00226.046</w:t>
      </w:r>
      <w:r>
        <w:t xml:space="preserve"> </w:t>
      </w:r>
      <w:r w:rsidRPr="00665B7A">
        <w:t>Kāi Tahu ki Otago</w:t>
      </w:r>
    </w:p>
  </w:footnote>
  <w:footnote w:id="247">
    <w:p w14:paraId="01A8E509" w14:textId="77777777" w:rsidR="009A1120" w:rsidRDefault="009A1120" w:rsidP="009A1120">
      <w:pPr>
        <w:pStyle w:val="FootnoteText"/>
      </w:pPr>
      <w:r>
        <w:rPr>
          <w:rStyle w:val="FootnoteReference"/>
        </w:rPr>
        <w:footnoteRef/>
      </w:r>
      <w:r>
        <w:t xml:space="preserve"> </w:t>
      </w:r>
      <w:r w:rsidRPr="00E97B68">
        <w:t>00226.046</w:t>
      </w:r>
      <w:r>
        <w:t xml:space="preserve"> </w:t>
      </w:r>
      <w:r w:rsidRPr="00665B7A">
        <w:t>Kāi Tahu ki Otago</w:t>
      </w:r>
    </w:p>
  </w:footnote>
  <w:footnote w:id="248">
    <w:p w14:paraId="476731D5" w14:textId="77777777" w:rsidR="009A1120" w:rsidRDefault="009A1120" w:rsidP="009A1120">
      <w:pPr>
        <w:pStyle w:val="FootnoteText"/>
      </w:pPr>
      <w:r>
        <w:rPr>
          <w:rStyle w:val="FootnoteReference"/>
        </w:rPr>
        <w:footnoteRef/>
      </w:r>
      <w:r>
        <w:t xml:space="preserve"> </w:t>
      </w:r>
      <w:r w:rsidRPr="002221AC">
        <w:rPr>
          <w:rFonts w:cstheme="minorHAnsi"/>
        </w:rPr>
        <w:t>00223.029</w:t>
      </w:r>
      <w:r>
        <w:rPr>
          <w:rFonts w:cstheme="minorHAnsi"/>
        </w:rPr>
        <w:t xml:space="preserve"> </w:t>
      </w:r>
      <w:r w:rsidRPr="00E57E1A">
        <w:rPr>
          <w:rFonts w:cstheme="minorHAnsi"/>
        </w:rPr>
        <w:t>Ngāi Tahu ki Murihiku</w:t>
      </w:r>
    </w:p>
  </w:footnote>
  <w:footnote w:id="249">
    <w:p w14:paraId="5CEF8E9F" w14:textId="77777777" w:rsidR="009A1120" w:rsidRDefault="009A1120" w:rsidP="009A1120">
      <w:pPr>
        <w:pStyle w:val="FootnoteText"/>
      </w:pPr>
      <w:r>
        <w:rPr>
          <w:rStyle w:val="FootnoteReference"/>
        </w:rPr>
        <w:footnoteRef/>
      </w:r>
      <w:r>
        <w:t xml:space="preserve"> </w:t>
      </w:r>
      <w:r w:rsidRPr="00E97B68">
        <w:t>00226.046</w:t>
      </w:r>
      <w:r>
        <w:t xml:space="preserve"> </w:t>
      </w:r>
      <w:r w:rsidRPr="00665B7A">
        <w:t>Kāi Tahu ki Otago</w:t>
      </w:r>
    </w:p>
  </w:footnote>
  <w:footnote w:id="250">
    <w:p w14:paraId="685E9615" w14:textId="661038CE" w:rsidR="00DB5091" w:rsidRDefault="00DB5091">
      <w:pPr>
        <w:pStyle w:val="FootnoteText"/>
      </w:pPr>
      <w:r>
        <w:rPr>
          <w:rStyle w:val="FootnoteReference"/>
        </w:rPr>
        <w:footnoteRef/>
      </w:r>
      <w:r>
        <w:t xml:space="preserve"> Clause 16(2), Schedule 1, RMA</w:t>
      </w:r>
    </w:p>
  </w:footnote>
  <w:footnote w:id="251">
    <w:p w14:paraId="23BB2C7D" w14:textId="77777777" w:rsidR="00495457" w:rsidRDefault="00495457" w:rsidP="00495457">
      <w:pPr>
        <w:pStyle w:val="FootnoteText"/>
      </w:pPr>
      <w:r>
        <w:rPr>
          <w:rStyle w:val="FootnoteReference"/>
        </w:rPr>
        <w:footnoteRef/>
      </w:r>
      <w:r>
        <w:t xml:space="preserve"> </w:t>
      </w:r>
      <w:r w:rsidRPr="00351935">
        <w:t>Clause 16(2), Schedule 1, RMA</w:t>
      </w:r>
    </w:p>
  </w:footnote>
  <w:footnote w:id="252">
    <w:p w14:paraId="6D3F51AF" w14:textId="77777777" w:rsidR="009A1120" w:rsidRDefault="009A1120" w:rsidP="009A1120">
      <w:pPr>
        <w:pStyle w:val="FootnoteText"/>
      </w:pPr>
      <w:r>
        <w:rPr>
          <w:rStyle w:val="FootnoteReference"/>
        </w:rPr>
        <w:footnoteRef/>
      </w:r>
      <w:r>
        <w:t xml:space="preserve"> </w:t>
      </w:r>
      <w:r w:rsidRPr="00E97B68">
        <w:t>00226.046</w:t>
      </w:r>
      <w:r>
        <w:t xml:space="preserve"> </w:t>
      </w:r>
      <w:r w:rsidRPr="00665B7A">
        <w:t>Kāi Tahu ki Otago</w:t>
      </w:r>
    </w:p>
  </w:footnote>
  <w:footnote w:id="253">
    <w:p w14:paraId="312DA44E" w14:textId="476BC426" w:rsidR="009A1120" w:rsidRDefault="009A1120" w:rsidP="009A1120">
      <w:pPr>
        <w:pStyle w:val="FootnoteText"/>
      </w:pPr>
      <w:r>
        <w:rPr>
          <w:rStyle w:val="FootnoteReference"/>
        </w:rPr>
        <w:footnoteRef/>
      </w:r>
      <w:r>
        <w:t xml:space="preserve"> </w:t>
      </w:r>
      <w:r w:rsidR="00F222FF">
        <w:t>Clause 10(2)(b)(i)</w:t>
      </w:r>
      <w:r w:rsidR="00F64424">
        <w:t>, Schedule 1, RMA</w:t>
      </w:r>
      <w:r w:rsidR="00F222FF">
        <w:t xml:space="preserve"> – consequential amendment arising from </w:t>
      </w:r>
      <w:r w:rsidR="001F2A87">
        <w:t>00234.008 Te Rūnanga o Ngāi Tahu</w:t>
      </w:r>
    </w:p>
  </w:footnote>
  <w:footnote w:id="254">
    <w:p w14:paraId="3F051662" w14:textId="5FA8A87D" w:rsidR="009A1120" w:rsidRDefault="009A1120" w:rsidP="009A1120">
      <w:pPr>
        <w:pStyle w:val="FootnoteText"/>
      </w:pPr>
      <w:r>
        <w:rPr>
          <w:rStyle w:val="FootnoteReference"/>
        </w:rPr>
        <w:footnoteRef/>
      </w:r>
      <w:r>
        <w:t xml:space="preserve"> </w:t>
      </w:r>
      <w:r w:rsidR="001F2A87">
        <w:t>Clause 10(2)(b)(i</w:t>
      </w:r>
      <w:r w:rsidR="00F64424">
        <w:t>)</w:t>
      </w:r>
      <w:r w:rsidR="00F64424" w:rsidRPr="00F64424">
        <w:t>,</w:t>
      </w:r>
      <w:r w:rsidR="00F64424">
        <w:t xml:space="preserve"> Schedule 1, RMA</w:t>
      </w:r>
      <w:r w:rsidR="001F2A87">
        <w:t xml:space="preserve"> – consequential amendment arising from 00234.008 Te Rūnanga o Ngāi Tahu </w:t>
      </w:r>
    </w:p>
  </w:footnote>
  <w:footnote w:id="255">
    <w:p w14:paraId="41388378" w14:textId="77777777" w:rsidR="009A1120" w:rsidRDefault="009A1120" w:rsidP="009A1120">
      <w:pPr>
        <w:pStyle w:val="FootnoteText"/>
      </w:pPr>
      <w:r>
        <w:rPr>
          <w:rStyle w:val="FootnoteReference"/>
        </w:rPr>
        <w:footnoteRef/>
      </w:r>
      <w:r>
        <w:t xml:space="preserve"> </w:t>
      </w:r>
      <w:r w:rsidRPr="00625621">
        <w:t>00234.008</w:t>
      </w:r>
      <w:r>
        <w:t xml:space="preserve"> </w:t>
      </w:r>
      <w:r w:rsidRPr="00637E36">
        <w:t>Te Rūnanga o Ngāi Tahu</w:t>
      </w:r>
    </w:p>
  </w:footnote>
  <w:footnote w:id="256">
    <w:p w14:paraId="34F06564" w14:textId="408424FC" w:rsidR="009A1120" w:rsidRDefault="009A1120" w:rsidP="009A1120">
      <w:pPr>
        <w:pStyle w:val="FootnoteText"/>
      </w:pPr>
      <w:r>
        <w:rPr>
          <w:rStyle w:val="FootnoteReference"/>
        </w:rPr>
        <w:footnoteRef/>
      </w:r>
      <w:r>
        <w:t xml:space="preserve"> </w:t>
      </w:r>
      <w:r>
        <w:rPr>
          <w:rFonts w:cstheme="minorHAnsi"/>
        </w:rPr>
        <w:t xml:space="preserve">00226.277 </w:t>
      </w:r>
      <w:r>
        <w:rPr>
          <w:rFonts w:eastAsia="Calibri" w:cstheme="minorHAnsi"/>
          <w:bCs/>
        </w:rPr>
        <w:t>Kāi Tahu ki Otago</w:t>
      </w:r>
    </w:p>
  </w:footnote>
  <w:footnote w:id="257">
    <w:p w14:paraId="056E8E10" w14:textId="77777777" w:rsidR="009A1120" w:rsidRDefault="009A1120" w:rsidP="009A1120">
      <w:pPr>
        <w:pStyle w:val="FootnoteText"/>
      </w:pPr>
      <w:r>
        <w:rPr>
          <w:rStyle w:val="FootnoteReference"/>
        </w:rPr>
        <w:footnoteRef/>
      </w:r>
      <w:r>
        <w:t xml:space="preserve"> </w:t>
      </w:r>
      <w:r>
        <w:rPr>
          <w:rFonts w:cstheme="minorHAnsi"/>
        </w:rPr>
        <w:t xml:space="preserve">00226.047 </w:t>
      </w:r>
      <w:r>
        <w:rPr>
          <w:rFonts w:eastAsia="Calibri" w:cstheme="minorHAnsi"/>
          <w:bCs/>
        </w:rPr>
        <w:t>Kāi Tahu ki Otago</w:t>
      </w:r>
    </w:p>
  </w:footnote>
  <w:footnote w:id="258">
    <w:p w14:paraId="7D4CC264" w14:textId="77777777" w:rsidR="009A1120" w:rsidRDefault="009A1120" w:rsidP="009A1120">
      <w:pPr>
        <w:pStyle w:val="FootnoteText"/>
      </w:pPr>
      <w:r>
        <w:rPr>
          <w:rStyle w:val="FootnoteReference"/>
        </w:rPr>
        <w:footnoteRef/>
      </w:r>
      <w:r>
        <w:t xml:space="preserve"> </w:t>
      </w:r>
      <w:r>
        <w:rPr>
          <w:rFonts w:cstheme="minorHAnsi"/>
        </w:rPr>
        <w:t xml:space="preserve">00226.047 </w:t>
      </w:r>
      <w:r>
        <w:rPr>
          <w:rFonts w:eastAsia="Calibri" w:cstheme="minorHAnsi"/>
          <w:bCs/>
        </w:rPr>
        <w:t>Kāi Tahu ki Otago</w:t>
      </w:r>
    </w:p>
  </w:footnote>
  <w:footnote w:id="259">
    <w:p w14:paraId="04CA7A95" w14:textId="77777777" w:rsidR="009A1120" w:rsidRDefault="009A1120" w:rsidP="009A1120">
      <w:pPr>
        <w:pStyle w:val="FootnoteText"/>
      </w:pPr>
      <w:r>
        <w:rPr>
          <w:rStyle w:val="FootnoteReference"/>
        </w:rPr>
        <w:footnoteRef/>
      </w:r>
      <w:r>
        <w:t xml:space="preserve"> </w:t>
      </w:r>
      <w:r w:rsidRPr="002221AC">
        <w:rPr>
          <w:rFonts w:cstheme="minorHAnsi"/>
        </w:rPr>
        <w:t>00223.029</w:t>
      </w:r>
      <w:r>
        <w:rPr>
          <w:rFonts w:cstheme="minorHAnsi"/>
        </w:rPr>
        <w:t xml:space="preserve"> </w:t>
      </w:r>
      <w:r w:rsidRPr="00E57E1A">
        <w:rPr>
          <w:rFonts w:cstheme="minorHAnsi"/>
        </w:rPr>
        <w:t>Ngāi Tahu ki Murihiku</w:t>
      </w:r>
    </w:p>
  </w:footnote>
  <w:footnote w:id="260">
    <w:p w14:paraId="66CD4A2B" w14:textId="77777777" w:rsidR="009A1120" w:rsidRDefault="009A1120" w:rsidP="009A1120">
      <w:pPr>
        <w:pStyle w:val="FootnoteText"/>
      </w:pPr>
      <w:r>
        <w:rPr>
          <w:rStyle w:val="FootnoteReference"/>
        </w:rPr>
        <w:footnoteRef/>
      </w:r>
      <w:r>
        <w:t xml:space="preserve"> </w:t>
      </w:r>
      <w:r>
        <w:rPr>
          <w:rFonts w:cstheme="minorHAnsi"/>
        </w:rPr>
        <w:t xml:space="preserve">00226.047 </w:t>
      </w:r>
      <w:r>
        <w:rPr>
          <w:rFonts w:eastAsia="Calibri" w:cstheme="minorHAnsi"/>
          <w:bCs/>
        </w:rPr>
        <w:t>Kāi Tahu ki Otago</w:t>
      </w:r>
    </w:p>
  </w:footnote>
  <w:footnote w:id="261">
    <w:p w14:paraId="6CA33B9F" w14:textId="77777777" w:rsidR="009A1120" w:rsidRDefault="009A1120" w:rsidP="009A1120">
      <w:pPr>
        <w:pStyle w:val="FootnoteText"/>
      </w:pPr>
      <w:r>
        <w:rPr>
          <w:rStyle w:val="FootnoteReference"/>
        </w:rPr>
        <w:footnoteRef/>
      </w:r>
      <w:r>
        <w:t xml:space="preserve"> </w:t>
      </w:r>
      <w:r w:rsidRPr="00F0477E">
        <w:t>00234.009</w:t>
      </w:r>
      <w:r>
        <w:t xml:space="preserve"> </w:t>
      </w:r>
      <w:r w:rsidRPr="00F0477E">
        <w:t>Te Rūnanga o Ngāi Tahu</w:t>
      </w:r>
    </w:p>
  </w:footnote>
  <w:footnote w:id="262">
    <w:p w14:paraId="4D332119" w14:textId="77777777" w:rsidR="009A1120" w:rsidRDefault="009A1120" w:rsidP="009A1120">
      <w:pPr>
        <w:pStyle w:val="FootnoteText"/>
      </w:pPr>
      <w:r>
        <w:rPr>
          <w:rStyle w:val="FootnoteReference"/>
        </w:rPr>
        <w:footnoteRef/>
      </w:r>
      <w:r>
        <w:t xml:space="preserve"> </w:t>
      </w:r>
      <w:r w:rsidRPr="00E70F5F">
        <w:t>00223.031</w:t>
      </w:r>
      <w:r>
        <w:t xml:space="preserve"> Ngāi Tahu ki Murihiku</w:t>
      </w:r>
    </w:p>
  </w:footnote>
  <w:footnote w:id="263">
    <w:p w14:paraId="3D8989EF" w14:textId="77777777" w:rsidR="009A1120" w:rsidRDefault="009A1120" w:rsidP="009A1120">
      <w:pPr>
        <w:pStyle w:val="FootnoteText"/>
      </w:pPr>
      <w:r>
        <w:rPr>
          <w:rStyle w:val="FootnoteReference"/>
        </w:rPr>
        <w:footnoteRef/>
      </w:r>
      <w:r>
        <w:t xml:space="preserve"> </w:t>
      </w:r>
      <w:r w:rsidRPr="00030687">
        <w:t>00226.049</w:t>
      </w:r>
      <w:r>
        <w:t xml:space="preserve"> </w:t>
      </w:r>
      <w:r w:rsidRPr="00664714">
        <w:t>Kāi Tahu ki Otago</w:t>
      </w:r>
    </w:p>
  </w:footnote>
  <w:footnote w:id="264">
    <w:p w14:paraId="607D6519" w14:textId="77777777" w:rsidR="009A1120" w:rsidRDefault="009A1120" w:rsidP="009A1120">
      <w:pPr>
        <w:pStyle w:val="FootnoteText"/>
      </w:pPr>
      <w:r>
        <w:rPr>
          <w:rStyle w:val="FootnoteReference"/>
        </w:rPr>
        <w:footnoteRef/>
      </w:r>
      <w:r>
        <w:t xml:space="preserve"> </w:t>
      </w:r>
      <w:r w:rsidRPr="00030687">
        <w:t>00226.049</w:t>
      </w:r>
      <w:r>
        <w:t xml:space="preserve"> </w:t>
      </w:r>
      <w:r w:rsidRPr="00664714">
        <w:t>Kāi Tahu ki Otago</w:t>
      </w:r>
    </w:p>
  </w:footnote>
  <w:footnote w:id="265">
    <w:p w14:paraId="459C50AA" w14:textId="12B9B6BA" w:rsidR="009A1120" w:rsidRDefault="009A1120" w:rsidP="009A1120">
      <w:pPr>
        <w:pStyle w:val="FootnoteText"/>
      </w:pPr>
      <w:r>
        <w:rPr>
          <w:rStyle w:val="FootnoteReference"/>
        </w:rPr>
        <w:footnoteRef/>
      </w:r>
      <w:r>
        <w:t xml:space="preserve"> </w:t>
      </w:r>
      <w:r w:rsidR="001F2A87">
        <w:t>Clause 10(2)(b)(i)</w:t>
      </w:r>
      <w:r w:rsidR="00F64424">
        <w:t>, Schedule 1, RMA</w:t>
      </w:r>
      <w:r w:rsidR="001F2A87">
        <w:t xml:space="preserve"> – consequential amendment arising from</w:t>
      </w:r>
      <w:r w:rsidR="001F2A87" w:rsidRPr="00030687">
        <w:t xml:space="preserve"> </w:t>
      </w:r>
      <w:r w:rsidRPr="00030687">
        <w:t>00226.049</w:t>
      </w:r>
      <w:r>
        <w:t xml:space="preserve"> </w:t>
      </w:r>
      <w:r w:rsidRPr="00664714">
        <w:t>Kāi Tahu ki Otago</w:t>
      </w:r>
    </w:p>
  </w:footnote>
  <w:footnote w:id="266">
    <w:p w14:paraId="18CF68C5" w14:textId="77777777" w:rsidR="009A1120" w:rsidRDefault="009A1120" w:rsidP="009A1120">
      <w:pPr>
        <w:pStyle w:val="FootnoteText"/>
      </w:pPr>
      <w:r>
        <w:rPr>
          <w:rStyle w:val="FootnoteReference"/>
        </w:rPr>
        <w:footnoteRef/>
      </w:r>
      <w:r>
        <w:t xml:space="preserve"> </w:t>
      </w:r>
      <w:r w:rsidRPr="00030687">
        <w:t>00226.049</w:t>
      </w:r>
      <w:r>
        <w:t xml:space="preserve"> </w:t>
      </w:r>
      <w:r w:rsidRPr="00664714">
        <w:t>Kāi Tahu ki Otago</w:t>
      </w:r>
    </w:p>
  </w:footnote>
  <w:footnote w:id="267">
    <w:p w14:paraId="583145F5" w14:textId="77777777" w:rsidR="00FB55DA" w:rsidRDefault="00FB55DA" w:rsidP="00FB55DA">
      <w:pPr>
        <w:pStyle w:val="FootnoteText"/>
      </w:pPr>
      <w:r>
        <w:rPr>
          <w:rStyle w:val="FootnoteReference"/>
        </w:rPr>
        <w:footnoteRef/>
      </w:r>
      <w:r>
        <w:t xml:space="preserve"> </w:t>
      </w:r>
      <w:r w:rsidRPr="00F31EB0">
        <w:t>00226.050</w:t>
      </w:r>
      <w:r>
        <w:t xml:space="preserve"> </w:t>
      </w:r>
      <w:r w:rsidRPr="00E558C1">
        <w:t>Kāi Tahu ki Otago</w:t>
      </w:r>
    </w:p>
  </w:footnote>
  <w:footnote w:id="268">
    <w:p w14:paraId="4FBCBFC6" w14:textId="77777777" w:rsidR="00FB55DA" w:rsidRDefault="00FB55DA" w:rsidP="00FB55DA">
      <w:pPr>
        <w:pStyle w:val="FootnoteText"/>
      </w:pPr>
      <w:r>
        <w:rPr>
          <w:rStyle w:val="FootnoteReference"/>
        </w:rPr>
        <w:footnoteRef/>
      </w:r>
      <w:r>
        <w:t xml:space="preserve"> </w:t>
      </w:r>
      <w:r w:rsidRPr="00F31EB0">
        <w:t>00226.050</w:t>
      </w:r>
      <w:r>
        <w:t xml:space="preserve"> </w:t>
      </w:r>
      <w:r w:rsidRPr="00E558C1">
        <w:t>Kāi Tahu ki Otago</w:t>
      </w:r>
    </w:p>
  </w:footnote>
  <w:footnote w:id="269">
    <w:p w14:paraId="67F30D54" w14:textId="77777777" w:rsidR="009A1120" w:rsidRDefault="009A1120" w:rsidP="009A1120">
      <w:pPr>
        <w:pStyle w:val="FootnoteText"/>
      </w:pPr>
      <w:r>
        <w:rPr>
          <w:rStyle w:val="FootnoteReference"/>
        </w:rPr>
        <w:footnoteRef/>
      </w:r>
      <w:r>
        <w:t xml:space="preserve"> </w:t>
      </w:r>
      <w:r w:rsidRPr="00F31EB0">
        <w:t>00226.050</w:t>
      </w:r>
      <w:r>
        <w:t xml:space="preserve"> </w:t>
      </w:r>
      <w:r w:rsidRPr="00E558C1">
        <w:t>Kāi Tahu ki Otago</w:t>
      </w:r>
    </w:p>
  </w:footnote>
  <w:footnote w:id="270">
    <w:p w14:paraId="72533F75" w14:textId="77777777" w:rsidR="009A1120" w:rsidRDefault="009A1120" w:rsidP="009A1120">
      <w:pPr>
        <w:pStyle w:val="FootnoteText"/>
      </w:pPr>
      <w:r>
        <w:rPr>
          <w:rStyle w:val="FootnoteReference"/>
        </w:rPr>
        <w:footnoteRef/>
      </w:r>
      <w:r>
        <w:t xml:space="preserve"> </w:t>
      </w:r>
      <w:r w:rsidRPr="002221AC">
        <w:rPr>
          <w:rFonts w:cstheme="minorHAnsi"/>
        </w:rPr>
        <w:t>00226.051</w:t>
      </w:r>
      <w:r>
        <w:rPr>
          <w:rFonts w:cstheme="minorHAnsi"/>
        </w:rPr>
        <w:t xml:space="preserve"> </w:t>
      </w:r>
      <w:r w:rsidRPr="002221AC">
        <w:rPr>
          <w:rFonts w:eastAsia="Calibri" w:cstheme="minorHAnsi"/>
          <w:bCs/>
        </w:rPr>
        <w:t>Kāi Tahu ki Otago</w:t>
      </w:r>
    </w:p>
  </w:footnote>
  <w:footnote w:id="271">
    <w:p w14:paraId="7EB65393" w14:textId="77777777" w:rsidR="009A1120" w:rsidRDefault="009A1120" w:rsidP="009A1120">
      <w:pPr>
        <w:pStyle w:val="FootnoteText"/>
      </w:pPr>
      <w:r>
        <w:rPr>
          <w:rStyle w:val="FootnoteReference"/>
        </w:rPr>
        <w:footnoteRef/>
      </w:r>
      <w:r>
        <w:t xml:space="preserve"> </w:t>
      </w:r>
      <w:r w:rsidRPr="002221AC">
        <w:rPr>
          <w:rFonts w:cstheme="minorHAnsi"/>
        </w:rPr>
        <w:t>00226.052</w:t>
      </w:r>
      <w:r>
        <w:rPr>
          <w:rFonts w:cstheme="minorHAnsi"/>
        </w:rPr>
        <w:t xml:space="preserve"> </w:t>
      </w:r>
      <w:r w:rsidRPr="002221AC">
        <w:rPr>
          <w:rFonts w:eastAsia="Calibri" w:cstheme="minorHAnsi"/>
          <w:bCs/>
        </w:rPr>
        <w:t>Kāi Tahu ki Otago</w:t>
      </w:r>
    </w:p>
  </w:footnote>
  <w:footnote w:id="272">
    <w:p w14:paraId="33B13A25" w14:textId="77777777" w:rsidR="009A1120" w:rsidRDefault="009A1120" w:rsidP="009A1120">
      <w:pPr>
        <w:pStyle w:val="FootnoteText"/>
      </w:pPr>
      <w:r>
        <w:rPr>
          <w:rStyle w:val="FootnoteReference"/>
        </w:rPr>
        <w:footnoteRef/>
      </w:r>
      <w:r>
        <w:t xml:space="preserve"> </w:t>
      </w:r>
      <w:r w:rsidRPr="00702A6E">
        <w:t>00223.034</w:t>
      </w:r>
      <w:r>
        <w:t xml:space="preserve"> Ngāi Tahu ki Murihiku</w:t>
      </w:r>
    </w:p>
  </w:footnote>
  <w:footnote w:id="273">
    <w:p w14:paraId="31106E24" w14:textId="77777777" w:rsidR="009A1120" w:rsidRDefault="009A1120" w:rsidP="009A1120">
      <w:pPr>
        <w:pStyle w:val="FootnoteText"/>
      </w:pPr>
      <w:r>
        <w:rPr>
          <w:rStyle w:val="FootnoteReference"/>
        </w:rPr>
        <w:footnoteRef/>
      </w:r>
      <w:r>
        <w:t xml:space="preserve"> </w:t>
      </w:r>
      <w:r w:rsidRPr="00702A6E">
        <w:t>00223.034</w:t>
      </w:r>
      <w:r>
        <w:t xml:space="preserve"> Ngāi Tahu ki Murihiku</w:t>
      </w:r>
    </w:p>
  </w:footnote>
  <w:footnote w:id="274">
    <w:p w14:paraId="4B9DA63D" w14:textId="39B2D1FE" w:rsidR="00C021D1" w:rsidRDefault="00C021D1">
      <w:pPr>
        <w:pStyle w:val="FootnoteText"/>
      </w:pPr>
      <w:r>
        <w:rPr>
          <w:rStyle w:val="FootnoteReference"/>
        </w:rPr>
        <w:footnoteRef/>
      </w:r>
      <w:r>
        <w:t xml:space="preserve"> </w:t>
      </w:r>
      <w:r w:rsidRPr="00C021D1">
        <w:t>Clause 16(2), Schedule 1, RMA</w:t>
      </w:r>
    </w:p>
  </w:footnote>
  <w:footnote w:id="275">
    <w:p w14:paraId="725A1AC5" w14:textId="4BC7F4A7" w:rsidR="00F86899" w:rsidRDefault="00F86899">
      <w:pPr>
        <w:pStyle w:val="FootnoteText"/>
      </w:pPr>
      <w:r>
        <w:rPr>
          <w:rStyle w:val="FootnoteReference"/>
        </w:rPr>
        <w:footnoteRef/>
      </w:r>
      <w:r>
        <w:t xml:space="preserve"> Clause 16(2), Schedule 1, RMA</w:t>
      </w:r>
    </w:p>
  </w:footnote>
  <w:footnote w:id="276">
    <w:p w14:paraId="29B94F06" w14:textId="73FABC87" w:rsidR="00890C5F" w:rsidRDefault="00890C5F">
      <w:pPr>
        <w:pStyle w:val="FootnoteText"/>
      </w:pPr>
      <w:r>
        <w:rPr>
          <w:rStyle w:val="FootnoteReference"/>
        </w:rPr>
        <w:footnoteRef/>
      </w:r>
      <w:r>
        <w:t xml:space="preserve"> Clause 16(2), Schedule 1, RMA</w:t>
      </w:r>
    </w:p>
  </w:footnote>
  <w:footnote w:id="277">
    <w:p w14:paraId="5E5E269B" w14:textId="77777777" w:rsidR="009A1120" w:rsidRDefault="009A1120" w:rsidP="009A1120">
      <w:pPr>
        <w:pStyle w:val="FootnoteText"/>
      </w:pPr>
      <w:r>
        <w:rPr>
          <w:rStyle w:val="FootnoteReference"/>
        </w:rPr>
        <w:footnoteRef/>
      </w:r>
      <w:r>
        <w:t xml:space="preserve"> </w:t>
      </w:r>
      <w:r w:rsidRPr="00863D5E">
        <w:t>00223.035</w:t>
      </w:r>
      <w:r>
        <w:t xml:space="preserve"> Ngāi Tahu ki Murihiku</w:t>
      </w:r>
    </w:p>
  </w:footnote>
  <w:footnote w:id="278">
    <w:p w14:paraId="5CFBE5BE" w14:textId="62BC0C07" w:rsidR="009A1120" w:rsidRPr="00B208D6" w:rsidRDefault="009A1120" w:rsidP="009A1120">
      <w:pPr>
        <w:pStyle w:val="FootnoteText"/>
      </w:pPr>
      <w:r w:rsidRPr="00B208D6">
        <w:rPr>
          <w:rStyle w:val="FootnoteReference"/>
        </w:rPr>
        <w:footnoteRef/>
      </w:r>
      <w:r w:rsidRPr="00B208D6">
        <w:t xml:space="preserve"> </w:t>
      </w:r>
      <w:bookmarkStart w:id="53" w:name="_Hlk97927643"/>
      <w:r w:rsidR="00B208D6">
        <w:t xml:space="preserve">Clause 10(2)(b)(i), Schedule 1, RMA – </w:t>
      </w:r>
      <w:r w:rsidR="001F2A87">
        <w:t>c</w:t>
      </w:r>
      <w:r w:rsidR="00B208D6">
        <w:t>onsequential amendment arising from</w:t>
      </w:r>
      <w:r w:rsidRPr="00B208D6">
        <w:t xml:space="preserve"> </w:t>
      </w:r>
      <w:bookmarkEnd w:id="53"/>
      <w:r w:rsidRPr="00B208D6">
        <w:t>00234.010 Te Rūnanga o Ngāi Tahu</w:t>
      </w:r>
    </w:p>
  </w:footnote>
  <w:footnote w:id="279">
    <w:p w14:paraId="1AA2FC53" w14:textId="77777777" w:rsidR="00C54D9F" w:rsidRDefault="00C54D9F" w:rsidP="00C54D9F">
      <w:pPr>
        <w:pStyle w:val="FootnoteText"/>
      </w:pPr>
      <w:r>
        <w:rPr>
          <w:rStyle w:val="FootnoteReference"/>
        </w:rPr>
        <w:footnoteRef/>
      </w:r>
      <w:r>
        <w:t xml:space="preserve"> </w:t>
      </w:r>
      <w:r w:rsidRPr="00351935">
        <w:t>Clause 16(2), Schedule 1, RMA</w:t>
      </w:r>
    </w:p>
  </w:footnote>
  <w:footnote w:id="280">
    <w:p w14:paraId="46A99745" w14:textId="471F77B2" w:rsidR="009A1120" w:rsidRDefault="009A1120" w:rsidP="009A1120">
      <w:pPr>
        <w:pStyle w:val="FootnoteText"/>
      </w:pPr>
      <w:r w:rsidRPr="00B208D6">
        <w:rPr>
          <w:rStyle w:val="FootnoteReference"/>
        </w:rPr>
        <w:footnoteRef/>
      </w:r>
      <w:r w:rsidRPr="00B208D6">
        <w:t xml:space="preserve"> </w:t>
      </w:r>
      <w:r w:rsidR="00B208D6">
        <w:t xml:space="preserve">Clause 10(2)(b)(i), Schedule 1, RMA – Consequential amendment arising from </w:t>
      </w:r>
      <w:r w:rsidRPr="00B208D6">
        <w:t>00234.010 Te Rūnanga o Ngāi Tahu</w:t>
      </w:r>
    </w:p>
  </w:footnote>
  <w:footnote w:id="281">
    <w:p w14:paraId="731D0575" w14:textId="77777777" w:rsidR="009A1120" w:rsidRDefault="009A1120" w:rsidP="009A1120">
      <w:pPr>
        <w:pStyle w:val="FootnoteText"/>
      </w:pPr>
      <w:r>
        <w:rPr>
          <w:rStyle w:val="FootnoteReference"/>
        </w:rPr>
        <w:footnoteRef/>
      </w:r>
      <w:r>
        <w:t xml:space="preserve"> </w:t>
      </w:r>
      <w:r w:rsidRPr="00547945">
        <w:t>00234.010</w:t>
      </w:r>
      <w:r>
        <w:t xml:space="preserve"> </w:t>
      </w:r>
      <w:r w:rsidRPr="00FA3645">
        <w:t>Te Rūnanga o Ngāi Tahu</w:t>
      </w:r>
    </w:p>
  </w:footnote>
  <w:footnote w:id="282">
    <w:p w14:paraId="3B676013" w14:textId="77777777" w:rsidR="009A1120" w:rsidRDefault="009A1120" w:rsidP="009A1120">
      <w:pPr>
        <w:pStyle w:val="FootnoteText"/>
      </w:pPr>
      <w:r>
        <w:rPr>
          <w:rStyle w:val="FootnoteReference"/>
        </w:rPr>
        <w:footnoteRef/>
      </w:r>
      <w:r>
        <w:t xml:space="preserve"> </w:t>
      </w:r>
      <w:r w:rsidRPr="00B65439">
        <w:t>00223.036</w:t>
      </w:r>
      <w:r>
        <w:t xml:space="preserve"> </w:t>
      </w:r>
      <w:r w:rsidRPr="00612E3D">
        <w:t>Ngāi Tahu ki Murihiku</w:t>
      </w:r>
    </w:p>
  </w:footnote>
  <w:footnote w:id="283">
    <w:p w14:paraId="07DD9B70" w14:textId="77777777" w:rsidR="009A1120" w:rsidRDefault="009A1120" w:rsidP="009A1120">
      <w:pPr>
        <w:pStyle w:val="FootnoteText"/>
      </w:pPr>
      <w:r>
        <w:rPr>
          <w:rStyle w:val="FootnoteReference"/>
        </w:rPr>
        <w:footnoteRef/>
      </w:r>
      <w:r>
        <w:t xml:space="preserve"> </w:t>
      </w:r>
      <w:r w:rsidRPr="00B65439">
        <w:t>00223.036</w:t>
      </w:r>
      <w:r>
        <w:t xml:space="preserve"> </w:t>
      </w:r>
      <w:r w:rsidRPr="00612E3D">
        <w:t>Ngāi Tahu ki Murihiku</w:t>
      </w:r>
    </w:p>
  </w:footnote>
  <w:footnote w:id="284">
    <w:p w14:paraId="5BA0C5B1" w14:textId="77777777" w:rsidR="009A1120" w:rsidRDefault="009A1120" w:rsidP="009A1120">
      <w:pPr>
        <w:pStyle w:val="FootnoteText"/>
      </w:pPr>
      <w:r>
        <w:rPr>
          <w:rStyle w:val="FootnoteReference"/>
        </w:rPr>
        <w:footnoteRef/>
      </w:r>
      <w:r>
        <w:t xml:space="preserve"> </w:t>
      </w:r>
      <w:r w:rsidRPr="00161A4F">
        <w:rPr>
          <w:rFonts w:cstheme="minorHAnsi"/>
        </w:rPr>
        <w:t>00235.017</w:t>
      </w:r>
      <w:r>
        <w:rPr>
          <w:rFonts w:cstheme="minorHAnsi"/>
        </w:rPr>
        <w:t xml:space="preserve"> </w:t>
      </w:r>
      <w:r w:rsidRPr="002221AC">
        <w:rPr>
          <w:rFonts w:cstheme="minorHAnsi"/>
        </w:rPr>
        <w:t>OWRUG</w:t>
      </w:r>
      <w:r>
        <w:rPr>
          <w:rFonts w:cstheme="minorHAnsi"/>
        </w:rPr>
        <w:t>.</w:t>
      </w:r>
    </w:p>
  </w:footnote>
  <w:footnote w:id="285">
    <w:p w14:paraId="41CD055F" w14:textId="77777777" w:rsidR="009A1120" w:rsidRDefault="009A1120" w:rsidP="009A1120">
      <w:pPr>
        <w:pStyle w:val="FootnoteText"/>
      </w:pPr>
      <w:r>
        <w:rPr>
          <w:rStyle w:val="FootnoteReference"/>
        </w:rPr>
        <w:footnoteRef/>
      </w:r>
      <w:r>
        <w:t xml:space="preserve"> </w:t>
      </w:r>
      <w:r w:rsidRPr="002221AC">
        <w:rPr>
          <w:rFonts w:cstheme="minorHAnsi"/>
        </w:rPr>
        <w:t>00223.037</w:t>
      </w:r>
      <w:r>
        <w:rPr>
          <w:rFonts w:cstheme="minorHAnsi"/>
        </w:rPr>
        <w:t xml:space="preserve"> </w:t>
      </w:r>
      <w:r>
        <w:t>Ngāi Tahu ki Murihiku</w:t>
      </w:r>
    </w:p>
  </w:footnote>
  <w:footnote w:id="286">
    <w:p w14:paraId="38A9453A" w14:textId="436BF16C" w:rsidR="00C021D1" w:rsidRDefault="00C021D1">
      <w:pPr>
        <w:pStyle w:val="FootnoteText"/>
      </w:pPr>
      <w:r>
        <w:rPr>
          <w:rStyle w:val="FootnoteReference"/>
        </w:rPr>
        <w:footnoteRef/>
      </w:r>
      <w:r>
        <w:t xml:space="preserve"> </w:t>
      </w:r>
      <w:r w:rsidR="0068219A" w:rsidRPr="0068219A">
        <w:t>Clause 16(2), Schedule 1, RMA</w:t>
      </w:r>
    </w:p>
  </w:footnote>
  <w:footnote w:id="287">
    <w:p w14:paraId="013B47DD" w14:textId="30173DC9" w:rsidR="0068219A" w:rsidRDefault="0068219A">
      <w:pPr>
        <w:pStyle w:val="FootnoteText"/>
      </w:pPr>
      <w:r>
        <w:rPr>
          <w:rStyle w:val="FootnoteReference"/>
        </w:rPr>
        <w:footnoteRef/>
      </w:r>
      <w:r>
        <w:t xml:space="preserve"> </w:t>
      </w:r>
      <w:r w:rsidRPr="0068219A">
        <w:t>Clause 16(2), Schedule 1, RMA</w:t>
      </w:r>
    </w:p>
  </w:footnote>
  <w:footnote w:id="288">
    <w:p w14:paraId="39E5249F" w14:textId="77777777" w:rsidR="009A1120" w:rsidRDefault="009A1120" w:rsidP="009A1120">
      <w:pPr>
        <w:pStyle w:val="FootnoteText"/>
      </w:pPr>
      <w:r>
        <w:rPr>
          <w:rStyle w:val="FootnoteReference"/>
        </w:rPr>
        <w:footnoteRef/>
      </w:r>
      <w:r>
        <w:t xml:space="preserve"> </w:t>
      </w:r>
      <w:r w:rsidRPr="002221AC">
        <w:rPr>
          <w:rFonts w:cstheme="minorHAnsi"/>
        </w:rPr>
        <w:t>00239.017</w:t>
      </w:r>
      <w:r>
        <w:rPr>
          <w:rFonts w:cstheme="minorHAnsi"/>
        </w:rPr>
        <w:t xml:space="preserve"> </w:t>
      </w:r>
      <w:r w:rsidRPr="002221AC">
        <w:rPr>
          <w:rFonts w:eastAsia="Calibri" w:cstheme="minorHAnsi"/>
          <w:bCs/>
        </w:rPr>
        <w:t>Federated Farmers</w:t>
      </w:r>
    </w:p>
  </w:footnote>
  <w:footnote w:id="289">
    <w:p w14:paraId="45BF9F2A" w14:textId="1BD87963" w:rsidR="0068219A" w:rsidRDefault="0068219A">
      <w:pPr>
        <w:pStyle w:val="FootnoteText"/>
      </w:pPr>
      <w:r>
        <w:rPr>
          <w:rStyle w:val="FootnoteReference"/>
        </w:rPr>
        <w:footnoteRef/>
      </w:r>
      <w:r>
        <w:t xml:space="preserve"> </w:t>
      </w:r>
      <w:r w:rsidRPr="0068219A">
        <w:t>Clause 16(2), Schedule 1, RMA</w:t>
      </w:r>
    </w:p>
  </w:footnote>
  <w:footnote w:id="290">
    <w:p w14:paraId="26BAA821" w14:textId="77777777" w:rsidR="009A1120" w:rsidRDefault="009A1120" w:rsidP="009A1120">
      <w:pPr>
        <w:pStyle w:val="FootnoteText"/>
      </w:pPr>
      <w:r>
        <w:rPr>
          <w:rStyle w:val="FootnoteReference"/>
        </w:rPr>
        <w:footnoteRef/>
      </w:r>
      <w:r>
        <w:t xml:space="preserve"> </w:t>
      </w:r>
      <w:r w:rsidRPr="002221AC">
        <w:rPr>
          <w:rFonts w:cstheme="minorHAnsi"/>
        </w:rPr>
        <w:t>00223.037</w:t>
      </w:r>
      <w:r>
        <w:rPr>
          <w:rFonts w:cstheme="minorHAnsi"/>
        </w:rPr>
        <w:t xml:space="preserve"> </w:t>
      </w:r>
      <w:r>
        <w:t>Ngāi Tahu ki Murihiku</w:t>
      </w:r>
    </w:p>
  </w:footnote>
  <w:footnote w:id="291">
    <w:p w14:paraId="61D0AE96" w14:textId="77777777" w:rsidR="009A1120" w:rsidRDefault="009A1120" w:rsidP="009A1120">
      <w:pPr>
        <w:pStyle w:val="FootnoteText"/>
      </w:pPr>
      <w:r>
        <w:rPr>
          <w:rStyle w:val="FootnoteReference"/>
        </w:rPr>
        <w:footnoteRef/>
      </w:r>
      <w:r>
        <w:t xml:space="preserve"> </w:t>
      </w:r>
      <w:r w:rsidRPr="002221AC">
        <w:rPr>
          <w:rFonts w:cstheme="minorHAnsi"/>
        </w:rPr>
        <w:t>00223.037</w:t>
      </w:r>
      <w:r>
        <w:rPr>
          <w:rFonts w:cstheme="minorHAnsi"/>
        </w:rPr>
        <w:t xml:space="preserve"> </w:t>
      </w:r>
      <w:r>
        <w:t>Ngāi Tahu ki Murihiku</w:t>
      </w:r>
    </w:p>
  </w:footnote>
  <w:footnote w:id="292">
    <w:p w14:paraId="52A6F6D4" w14:textId="4C5F03C8" w:rsidR="008A6397" w:rsidRDefault="008A6397">
      <w:pPr>
        <w:pStyle w:val="FootnoteText"/>
      </w:pPr>
      <w:r>
        <w:rPr>
          <w:rStyle w:val="FootnoteReference"/>
        </w:rPr>
        <w:footnoteRef/>
      </w:r>
      <w:r>
        <w:t xml:space="preserve"> Clause 16(2), Schedule 1, RMA</w:t>
      </w:r>
    </w:p>
  </w:footnote>
  <w:footnote w:id="293">
    <w:p w14:paraId="1DC69DF7" w14:textId="77777777" w:rsidR="009A1120" w:rsidRDefault="009A1120" w:rsidP="009A1120">
      <w:pPr>
        <w:pStyle w:val="FootnoteText"/>
      </w:pPr>
      <w:r>
        <w:rPr>
          <w:rStyle w:val="FootnoteReference"/>
        </w:rPr>
        <w:footnoteRef/>
      </w:r>
      <w:r>
        <w:t xml:space="preserve"> </w:t>
      </w:r>
      <w:r w:rsidRPr="002221AC">
        <w:rPr>
          <w:rFonts w:cstheme="minorHAnsi"/>
        </w:rPr>
        <w:t>00223.037</w:t>
      </w:r>
      <w:r>
        <w:rPr>
          <w:rFonts w:cstheme="minorHAnsi"/>
        </w:rPr>
        <w:t xml:space="preserve"> </w:t>
      </w:r>
      <w:r>
        <w:t>Ngāi Tahu ki Murihiku</w:t>
      </w:r>
    </w:p>
  </w:footnote>
  <w:footnote w:id="294">
    <w:p w14:paraId="333FF66C" w14:textId="77777777" w:rsidR="001704BD" w:rsidRPr="000D59F3" w:rsidRDefault="001704BD" w:rsidP="001704BD">
      <w:pPr>
        <w:pStyle w:val="FootnoteText"/>
      </w:pPr>
      <w:r>
        <w:rPr>
          <w:rStyle w:val="FootnoteReference"/>
        </w:rPr>
        <w:footnoteRef/>
      </w:r>
      <w:r>
        <w:t xml:space="preserve"> </w:t>
      </w:r>
      <w:r>
        <w:rPr>
          <w:rStyle w:val="normaltextrun"/>
          <w:color w:val="000000"/>
          <w:shd w:val="clear" w:color="auto" w:fill="FFFFFF"/>
        </w:rPr>
        <w:t>00239.019 Federated Farmers, 00236.021 Horticulture NZ</w:t>
      </w:r>
      <w:r>
        <w:rPr>
          <w:rStyle w:val="eop"/>
          <w:color w:val="000000"/>
          <w:shd w:val="clear" w:color="auto" w:fill="FFFFFF"/>
        </w:rPr>
        <w:t> </w:t>
      </w:r>
    </w:p>
  </w:footnote>
  <w:footnote w:id="295">
    <w:p w14:paraId="0D37C168" w14:textId="0AD29DB2" w:rsidR="001F535C" w:rsidRPr="00CF48EF" w:rsidRDefault="001F535C">
      <w:pPr>
        <w:pStyle w:val="FootnoteText"/>
        <w:rPr>
          <w:rStyle w:val="normaltextrun"/>
          <w:color w:val="000000"/>
          <w:shd w:val="clear" w:color="auto" w:fill="FFFFFF"/>
        </w:rPr>
      </w:pPr>
      <w:r w:rsidRPr="00CF48EF">
        <w:rPr>
          <w:rStyle w:val="normaltextrun"/>
          <w:color w:val="000000"/>
          <w:shd w:val="clear" w:color="auto" w:fill="FFFFFF"/>
          <w:vertAlign w:val="superscript"/>
        </w:rPr>
        <w:footnoteRef/>
      </w:r>
      <w:r w:rsidRPr="00CF48EF">
        <w:rPr>
          <w:rStyle w:val="normaltextrun"/>
          <w:color w:val="000000"/>
          <w:shd w:val="clear" w:color="auto" w:fill="FFFFFF"/>
        </w:rPr>
        <w:t xml:space="preserve"> 00115.005 Oceana Gold</w:t>
      </w:r>
      <w:r w:rsidR="00384700">
        <w:rPr>
          <w:rStyle w:val="normaltextrun"/>
          <w:color w:val="000000"/>
          <w:shd w:val="clear" w:color="auto" w:fill="FFFFFF"/>
        </w:rPr>
        <w:t xml:space="preserve"> (to add “Minerals”)</w:t>
      </w:r>
      <w:r w:rsidR="00377C9E">
        <w:rPr>
          <w:rStyle w:val="normaltextrun"/>
          <w:color w:val="000000"/>
          <w:shd w:val="clear" w:color="auto" w:fill="FFFFFF"/>
        </w:rPr>
        <w:t>,</w:t>
      </w:r>
      <w:r w:rsidR="00377C9E" w:rsidRPr="00377C9E">
        <w:rPr>
          <w:rStyle w:val="normaltextrun"/>
          <w:color w:val="000000"/>
          <w:shd w:val="clear" w:color="auto" w:fill="FFFFFF"/>
        </w:rPr>
        <w:t xml:space="preserve"> </w:t>
      </w:r>
      <w:r w:rsidR="00377C9E" w:rsidRPr="001F535C">
        <w:rPr>
          <w:rStyle w:val="normaltextrun"/>
          <w:color w:val="000000"/>
          <w:shd w:val="clear" w:color="auto" w:fill="FFFFFF"/>
        </w:rPr>
        <w:t>00020.003 </w:t>
      </w:r>
      <w:r w:rsidR="00377C9E">
        <w:rPr>
          <w:rStyle w:val="normaltextrun"/>
          <w:color w:val="000000"/>
          <w:shd w:val="clear" w:color="auto" w:fill="FFFFFF"/>
        </w:rPr>
        <w:t>Rayonier</w:t>
      </w:r>
      <w:r w:rsidR="00377C9E" w:rsidRPr="001F535C">
        <w:rPr>
          <w:rStyle w:val="normaltextrun"/>
          <w:color w:val="000000"/>
          <w:shd w:val="clear" w:color="auto" w:fill="FFFFFF"/>
        </w:rPr>
        <w:t> </w:t>
      </w:r>
      <w:r w:rsidR="00377C9E">
        <w:rPr>
          <w:rStyle w:val="normaltextrun"/>
          <w:color w:val="000000"/>
          <w:shd w:val="clear" w:color="auto" w:fill="FFFFFF"/>
        </w:rPr>
        <w:t>Matariki</w:t>
      </w:r>
      <w:r w:rsidR="00377C9E" w:rsidRPr="001F535C">
        <w:rPr>
          <w:rStyle w:val="normaltextrun"/>
          <w:color w:val="000000"/>
          <w:shd w:val="clear" w:color="auto" w:fill="FFFFFF"/>
        </w:rPr>
        <w:t> Forests</w:t>
      </w:r>
      <w:r w:rsidR="00377C9E">
        <w:rPr>
          <w:rStyle w:val="normaltextrun"/>
          <w:color w:val="000000"/>
          <w:shd w:val="clear" w:color="auto" w:fill="FFFFFF"/>
        </w:rPr>
        <w:t xml:space="preserve"> (to add “Plantation forestry”)</w:t>
      </w:r>
    </w:p>
  </w:footnote>
  <w:footnote w:id="296">
    <w:p w14:paraId="3E1C95EA" w14:textId="77777777" w:rsidR="00B02DBF" w:rsidRDefault="00B02DBF" w:rsidP="00B02DBF">
      <w:pPr>
        <w:pStyle w:val="FootnoteText"/>
      </w:pPr>
      <w:r w:rsidRPr="3B9DAE8C">
        <w:rPr>
          <w:rStyle w:val="FootnoteReference"/>
        </w:rPr>
        <w:footnoteRef/>
      </w:r>
      <w:r>
        <w:t xml:space="preserve"> 00231.009 Fish and Game</w:t>
      </w:r>
    </w:p>
  </w:footnote>
  <w:footnote w:id="297">
    <w:p w14:paraId="7DA75B91" w14:textId="6AD17D88" w:rsidR="007410FC" w:rsidRPr="000D59F3" w:rsidRDefault="007410FC" w:rsidP="007410FC">
      <w:pPr>
        <w:pStyle w:val="FootnoteText"/>
      </w:pPr>
      <w:r>
        <w:rPr>
          <w:rStyle w:val="FootnoteReference"/>
        </w:rPr>
        <w:footnoteRef/>
      </w:r>
      <w:r>
        <w:t xml:space="preserve"> </w:t>
      </w:r>
      <w:r w:rsidRPr="00181AD2">
        <w:t>00239.020</w:t>
      </w:r>
      <w:r>
        <w:t xml:space="preserve"> </w:t>
      </w:r>
      <w:r w:rsidRPr="00AF68E6">
        <w:t xml:space="preserve">Federated Farmers </w:t>
      </w:r>
    </w:p>
  </w:footnote>
  <w:footnote w:id="298">
    <w:p w14:paraId="6285D87E" w14:textId="2D6E74A4" w:rsidR="00EE2454" w:rsidRPr="00EE2454" w:rsidRDefault="00EE2454">
      <w:pPr>
        <w:pStyle w:val="FootnoteText"/>
        <w:rPr>
          <w:lang w:val="en-GB"/>
        </w:rPr>
      </w:pPr>
      <w:r>
        <w:rPr>
          <w:rStyle w:val="FootnoteReference"/>
        </w:rPr>
        <w:footnoteRef/>
      </w:r>
      <w:r>
        <w:t xml:space="preserve"> </w:t>
      </w:r>
      <w:r w:rsidR="00D75F9B">
        <w:rPr>
          <w:lang w:val="en-GB"/>
        </w:rPr>
        <w:t>00206.080 Trojan, 00411,099 Wayfare</w:t>
      </w:r>
    </w:p>
  </w:footnote>
  <w:footnote w:id="299">
    <w:p w14:paraId="200E692A" w14:textId="7F3873F9" w:rsidR="00B02DBF" w:rsidRPr="000D59F3" w:rsidRDefault="00B02DBF" w:rsidP="00B02DBF">
      <w:pPr>
        <w:pStyle w:val="FootnoteText"/>
      </w:pPr>
      <w:r>
        <w:rPr>
          <w:rStyle w:val="FootnoteReference"/>
        </w:rPr>
        <w:footnoteRef/>
      </w:r>
      <w:r>
        <w:t xml:space="preserve"> </w:t>
      </w:r>
      <w:r w:rsidRPr="00717D6B">
        <w:t xml:space="preserve">00137.033 </w:t>
      </w:r>
      <w:r w:rsidR="00387799">
        <w:t>DOC</w:t>
      </w:r>
    </w:p>
  </w:footnote>
  <w:footnote w:id="300">
    <w:p w14:paraId="4CC5FB97" w14:textId="3B71C7D5" w:rsidR="00BB7D9B" w:rsidRPr="00BB7D9B" w:rsidRDefault="00BB7D9B">
      <w:pPr>
        <w:pStyle w:val="FootnoteText"/>
        <w:rPr>
          <w:lang w:val="en-GB"/>
        </w:rPr>
      </w:pPr>
      <w:r>
        <w:rPr>
          <w:rStyle w:val="FootnoteReference"/>
        </w:rPr>
        <w:footnoteRef/>
      </w:r>
      <w:r>
        <w:t xml:space="preserve"> </w:t>
      </w:r>
      <w:r>
        <w:rPr>
          <w:lang w:val="en-GB"/>
        </w:rPr>
        <w:t>00140.010 Waitaki DC</w:t>
      </w:r>
    </w:p>
  </w:footnote>
  <w:footnote w:id="301">
    <w:p w14:paraId="3FAF65FD" w14:textId="7FF50874" w:rsidR="00C86BFA" w:rsidRPr="00C86BFA" w:rsidRDefault="00C86BFA">
      <w:pPr>
        <w:pStyle w:val="FootnoteText"/>
        <w:rPr>
          <w:lang w:val="en-GB"/>
        </w:rPr>
      </w:pPr>
      <w:r>
        <w:rPr>
          <w:rStyle w:val="FootnoteReference"/>
        </w:rPr>
        <w:footnoteRef/>
      </w:r>
      <w:r>
        <w:t xml:space="preserve"> </w:t>
      </w:r>
      <w:r w:rsidR="003306E9">
        <w:rPr>
          <w:lang w:val="en-GB"/>
        </w:rPr>
        <w:t>00239.020 Federated Farmers</w:t>
      </w:r>
    </w:p>
  </w:footnote>
  <w:footnote w:id="302">
    <w:p w14:paraId="2E409CA2" w14:textId="7559C4AE" w:rsidR="00444F47" w:rsidRPr="00444F47" w:rsidRDefault="00444F47">
      <w:pPr>
        <w:pStyle w:val="FootnoteText"/>
        <w:rPr>
          <w:lang w:val="en-GB"/>
        </w:rPr>
      </w:pPr>
      <w:r>
        <w:rPr>
          <w:rStyle w:val="FootnoteReference"/>
        </w:rPr>
        <w:footnoteRef/>
      </w:r>
      <w:r>
        <w:t xml:space="preserve"> </w:t>
      </w:r>
      <w:r>
        <w:rPr>
          <w:lang w:val="en-GB"/>
        </w:rPr>
        <w:t>00140.010 Waitaki DC</w:t>
      </w:r>
    </w:p>
  </w:footnote>
  <w:footnote w:id="303">
    <w:p w14:paraId="43891FE4" w14:textId="4784C45A" w:rsidR="006F3D09" w:rsidRPr="006F3D09" w:rsidRDefault="006F3D09">
      <w:pPr>
        <w:pStyle w:val="FootnoteText"/>
        <w:rPr>
          <w:lang w:val="en-GB"/>
        </w:rPr>
      </w:pPr>
      <w:r>
        <w:rPr>
          <w:rStyle w:val="FootnoteReference"/>
        </w:rPr>
        <w:footnoteRef/>
      </w:r>
      <w:r>
        <w:t xml:space="preserve"> </w:t>
      </w:r>
      <w:r>
        <w:rPr>
          <w:lang w:val="en-GB"/>
        </w:rPr>
        <w:t>00140.010 Waitaki DC</w:t>
      </w:r>
    </w:p>
  </w:footnote>
  <w:footnote w:id="304">
    <w:p w14:paraId="2BFFA87F" w14:textId="1EE974C2" w:rsidR="006F3D09" w:rsidRPr="006F3D09" w:rsidRDefault="006F3D09">
      <w:pPr>
        <w:pStyle w:val="FootnoteText"/>
        <w:rPr>
          <w:lang w:val="en-GB"/>
        </w:rPr>
      </w:pPr>
      <w:r>
        <w:rPr>
          <w:rStyle w:val="FootnoteReference"/>
        </w:rPr>
        <w:footnoteRef/>
      </w:r>
      <w:r>
        <w:t xml:space="preserve"> </w:t>
      </w:r>
      <w:r>
        <w:rPr>
          <w:lang w:val="en-GB"/>
        </w:rPr>
        <w:t>00140.010 Waitaki DC</w:t>
      </w:r>
    </w:p>
  </w:footnote>
  <w:footnote w:id="305">
    <w:p w14:paraId="23839CB4" w14:textId="7CA5F0F7" w:rsidR="008E135E" w:rsidRPr="008E135E" w:rsidRDefault="008E135E">
      <w:pPr>
        <w:pStyle w:val="FootnoteText"/>
        <w:rPr>
          <w:lang w:val="en-GB"/>
        </w:rPr>
      </w:pPr>
      <w:r>
        <w:rPr>
          <w:rStyle w:val="FootnoteReference"/>
        </w:rPr>
        <w:footnoteRef/>
      </w:r>
      <w:r>
        <w:t xml:space="preserve"> </w:t>
      </w:r>
      <w:r w:rsidRPr="00C9228A">
        <w:rPr>
          <w:lang w:val="en-GB"/>
        </w:rPr>
        <w:t>00223.</w:t>
      </w:r>
      <w:r w:rsidRPr="00A00A43">
        <w:rPr>
          <w:lang w:val="en-GB"/>
        </w:rPr>
        <w:t xml:space="preserve">040 </w:t>
      </w:r>
      <w:r w:rsidRPr="00A00A43">
        <w:t>Ngāi Tahu ki Murihiku</w:t>
      </w:r>
    </w:p>
  </w:footnote>
  <w:footnote w:id="306">
    <w:p w14:paraId="6A6A6004" w14:textId="013818AF" w:rsidR="00B02DBF" w:rsidRPr="000D59F3" w:rsidRDefault="00B02DBF" w:rsidP="00B02DBF">
      <w:pPr>
        <w:pStyle w:val="FootnoteText"/>
      </w:pPr>
      <w:r>
        <w:rPr>
          <w:rStyle w:val="FootnoteReference"/>
        </w:rPr>
        <w:footnoteRef/>
      </w:r>
      <w:r>
        <w:t xml:space="preserve"> </w:t>
      </w:r>
      <w:r w:rsidRPr="0058649E">
        <w:t xml:space="preserve"> 00239.020 Federated Farmers </w:t>
      </w:r>
    </w:p>
  </w:footnote>
  <w:footnote w:id="307">
    <w:p w14:paraId="69E9FCA6" w14:textId="0C19EBAE" w:rsidR="00986C7A" w:rsidRPr="00986C7A" w:rsidRDefault="00986C7A">
      <w:pPr>
        <w:pStyle w:val="FootnoteText"/>
        <w:rPr>
          <w:lang w:val="en-GB"/>
        </w:rPr>
      </w:pPr>
      <w:r>
        <w:rPr>
          <w:rStyle w:val="FootnoteReference"/>
        </w:rPr>
        <w:footnoteRef/>
      </w:r>
      <w:r>
        <w:t xml:space="preserve"> </w:t>
      </w:r>
      <w:r w:rsidR="00675EB0">
        <w:t>00101</w:t>
      </w:r>
      <w:r w:rsidR="00675EB0" w:rsidRPr="00802446">
        <w:t xml:space="preserve">.006 </w:t>
      </w:r>
      <w:r w:rsidR="00865A52" w:rsidRPr="00802446">
        <w:rPr>
          <w:lang w:val="en-GB"/>
        </w:rPr>
        <w:t>Toit</w:t>
      </w:r>
      <w:r w:rsidR="00802446" w:rsidRPr="00802446">
        <w:rPr>
          <w:lang w:val="en-GB"/>
        </w:rPr>
        <w:t>ū</w:t>
      </w:r>
      <w:r w:rsidR="00675EB0" w:rsidRPr="00802446">
        <w:rPr>
          <w:lang w:val="en-GB"/>
        </w:rPr>
        <w:t xml:space="preserve"> Te Whenua</w:t>
      </w:r>
    </w:p>
  </w:footnote>
  <w:footnote w:id="308">
    <w:p w14:paraId="020B2344" w14:textId="77777777" w:rsidR="00A65BD8" w:rsidRPr="000D59F3" w:rsidRDefault="00A65BD8" w:rsidP="00A65BD8">
      <w:pPr>
        <w:pStyle w:val="FootnoteText"/>
      </w:pPr>
      <w:r>
        <w:rPr>
          <w:rStyle w:val="FootnoteReference"/>
        </w:rPr>
        <w:footnoteRef/>
      </w:r>
      <w:r>
        <w:t xml:space="preserve"> </w:t>
      </w:r>
      <w:r w:rsidRPr="008F4FFE">
        <w:t xml:space="preserve">00239.020 </w:t>
      </w:r>
      <w:r>
        <w:t>Federated Farmers</w:t>
      </w:r>
    </w:p>
  </w:footnote>
  <w:footnote w:id="309">
    <w:p w14:paraId="070F68F7" w14:textId="4E8C6364" w:rsidR="00B02DBF" w:rsidRPr="000D59F3" w:rsidRDefault="00B02DBF" w:rsidP="00B02DBF">
      <w:pPr>
        <w:pStyle w:val="FootnoteText"/>
      </w:pPr>
      <w:r>
        <w:rPr>
          <w:rStyle w:val="FootnoteReference"/>
        </w:rPr>
        <w:footnoteRef/>
      </w:r>
      <w:r>
        <w:t xml:space="preserve"> </w:t>
      </w:r>
      <w:r w:rsidRPr="00770267">
        <w:t xml:space="preserve"> 00236.023 </w:t>
      </w:r>
      <w:r w:rsidR="00E55F25">
        <w:t>Horticulture NZ</w:t>
      </w:r>
      <w:r w:rsidRPr="00770267">
        <w:t xml:space="preserve">, 00235.028 OWRUG, 00230.023a </w:t>
      </w:r>
      <w:r w:rsidR="00387799">
        <w:t>Forest and Bird</w:t>
      </w:r>
    </w:p>
  </w:footnote>
  <w:footnote w:id="310">
    <w:p w14:paraId="2E0EDF4D" w14:textId="1CB7E679" w:rsidR="002403C7" w:rsidRPr="002403C7" w:rsidRDefault="002403C7">
      <w:pPr>
        <w:pStyle w:val="FootnoteText"/>
        <w:rPr>
          <w:lang w:val="en-GB"/>
        </w:rPr>
      </w:pPr>
      <w:r>
        <w:rPr>
          <w:rStyle w:val="FootnoteReference"/>
        </w:rPr>
        <w:footnoteRef/>
      </w:r>
      <w:r>
        <w:t xml:space="preserve"> </w:t>
      </w:r>
      <w:r w:rsidRPr="00AD03F7">
        <w:t>00306.015</w:t>
      </w:r>
      <w:r>
        <w:t xml:space="preserve"> Meridian</w:t>
      </w:r>
    </w:p>
  </w:footnote>
  <w:footnote w:id="311">
    <w:p w14:paraId="6E412FAD" w14:textId="77777777" w:rsidR="00583783" w:rsidRPr="000D59F3" w:rsidRDefault="00583783" w:rsidP="00583783">
      <w:pPr>
        <w:pStyle w:val="FootnoteText"/>
      </w:pPr>
      <w:r>
        <w:rPr>
          <w:rStyle w:val="FootnoteReference"/>
        </w:rPr>
        <w:footnoteRef/>
      </w:r>
      <w:r>
        <w:t xml:space="preserve"> </w:t>
      </w:r>
      <w:r w:rsidRPr="00D268A1">
        <w:t xml:space="preserve">0239.021 Federated Farmers </w:t>
      </w:r>
    </w:p>
  </w:footnote>
  <w:footnote w:id="312">
    <w:p w14:paraId="6B30729D" w14:textId="77777777" w:rsidR="00E10270" w:rsidRDefault="00E10270" w:rsidP="00E10270">
      <w:pPr>
        <w:pStyle w:val="FootnoteText"/>
      </w:pPr>
      <w:r>
        <w:rPr>
          <w:rStyle w:val="FootnoteReference"/>
        </w:rPr>
        <w:footnoteRef/>
      </w:r>
      <w:r>
        <w:t xml:space="preserve"> </w:t>
      </w:r>
      <w:r w:rsidRPr="00134B7F">
        <w:t>Clause 16(2), Schedule 1, RMA</w:t>
      </w:r>
    </w:p>
  </w:footnote>
  <w:footnote w:id="313">
    <w:p w14:paraId="6F2F21E7" w14:textId="44D47A9F" w:rsidR="009F0F2E" w:rsidRDefault="009F0F2E">
      <w:pPr>
        <w:pStyle w:val="FootnoteText"/>
      </w:pPr>
      <w:r w:rsidRPr="009F0F2E">
        <w:rPr>
          <w:rStyle w:val="FootnoteReference"/>
          <w:shd w:val="clear" w:color="auto" w:fill="D9D9D9" w:themeFill="background1" w:themeFillShade="D9"/>
        </w:rPr>
        <w:footnoteRef/>
      </w:r>
      <w:r w:rsidRPr="009F0F2E">
        <w:rPr>
          <w:shd w:val="clear" w:color="auto" w:fill="D9D9D9" w:themeFill="background1" w:themeFillShade="D9"/>
        </w:rPr>
        <w:t xml:space="preserve"> Tonkin+Taylor, 2020, Otago Climate Change Risk Assessment (Commissioned by the Otago Regional Council)</w:t>
      </w:r>
    </w:p>
  </w:footnote>
  <w:footnote w:id="314">
    <w:p w14:paraId="58274BD5" w14:textId="65648192" w:rsidR="00CF3728" w:rsidRPr="00CF3728" w:rsidRDefault="00CF3728">
      <w:pPr>
        <w:pStyle w:val="FootnoteText"/>
        <w:rPr>
          <w:lang w:val="en-GB"/>
        </w:rPr>
      </w:pPr>
      <w:r>
        <w:rPr>
          <w:rStyle w:val="FootnoteReference"/>
        </w:rPr>
        <w:footnoteRef/>
      </w:r>
      <w:r>
        <w:t xml:space="preserve"> </w:t>
      </w:r>
      <w:r w:rsidRPr="000C6277">
        <w:t>00231.023 Fish &amp; Game</w:t>
      </w:r>
    </w:p>
  </w:footnote>
  <w:footnote w:id="315">
    <w:p w14:paraId="327528C7" w14:textId="7E67A782" w:rsidR="00B02DBF" w:rsidRPr="000D59F3" w:rsidRDefault="00B02DBF" w:rsidP="00B02DBF">
      <w:pPr>
        <w:pStyle w:val="FootnoteText"/>
      </w:pPr>
      <w:r>
        <w:rPr>
          <w:rStyle w:val="FootnoteReference"/>
        </w:rPr>
        <w:footnoteRef/>
      </w:r>
      <w:r>
        <w:t xml:space="preserve"> </w:t>
      </w:r>
      <w:r w:rsidRPr="000C6277">
        <w:t xml:space="preserve">00231.023 Fish &amp; Game </w:t>
      </w:r>
    </w:p>
  </w:footnote>
  <w:footnote w:id="316">
    <w:p w14:paraId="28AC54A1" w14:textId="27D83BC9" w:rsidR="00433F8D" w:rsidRDefault="00433F8D">
      <w:pPr>
        <w:pStyle w:val="FootnoteText"/>
      </w:pPr>
      <w:r w:rsidRPr="00433F8D">
        <w:rPr>
          <w:rStyle w:val="FootnoteReference"/>
          <w:shd w:val="clear" w:color="auto" w:fill="D9D9D9" w:themeFill="background1" w:themeFillShade="D9"/>
        </w:rPr>
        <w:footnoteRef/>
      </w:r>
      <w:r w:rsidRPr="00433F8D">
        <w:rPr>
          <w:shd w:val="clear" w:color="auto" w:fill="D9D9D9" w:themeFill="background1" w:themeFillShade="D9"/>
        </w:rPr>
        <w:t xml:space="preserve"> https://www.mfe.govt.nz/climate-change/likely-impacts-of-climate-change/how-could-climate-change-affect-my-region/otago (Accessed 26 May 2021)</w:t>
      </w:r>
      <w:r>
        <w:t xml:space="preserve"> </w:t>
      </w:r>
    </w:p>
  </w:footnote>
  <w:footnote w:id="317">
    <w:p w14:paraId="53AA3661" w14:textId="42C28662" w:rsidR="00B02DBF" w:rsidRPr="000D59F3" w:rsidRDefault="00B02DBF" w:rsidP="00B02DBF">
      <w:pPr>
        <w:pStyle w:val="FootnoteText"/>
      </w:pPr>
      <w:r>
        <w:rPr>
          <w:rStyle w:val="FootnoteReference"/>
        </w:rPr>
        <w:footnoteRef/>
      </w:r>
      <w:r>
        <w:t xml:space="preserve"> </w:t>
      </w:r>
      <w:r w:rsidRPr="003F3FAE">
        <w:t xml:space="preserve">00231.024 Fish &amp; Game </w:t>
      </w:r>
    </w:p>
  </w:footnote>
  <w:footnote w:id="318">
    <w:p w14:paraId="76B983CB" w14:textId="56F156D9" w:rsidR="007C71F9" w:rsidRDefault="007C71F9">
      <w:pPr>
        <w:pStyle w:val="FootnoteText"/>
      </w:pPr>
      <w:r w:rsidRPr="007C71F9">
        <w:rPr>
          <w:rStyle w:val="FootnoteReference"/>
          <w:shd w:val="clear" w:color="auto" w:fill="D9D9D9" w:themeFill="background1" w:themeFillShade="D9"/>
        </w:rPr>
        <w:footnoteRef/>
      </w:r>
      <w:r w:rsidRPr="007C71F9">
        <w:rPr>
          <w:shd w:val="clear" w:color="auto" w:fill="D9D9D9" w:themeFill="background1" w:themeFillShade="D9"/>
        </w:rPr>
        <w:t xml:space="preserve"> https://environment.govt.nz/assets/Publications/Files/impacts-report-jun01.pdf (Accessed 28 May 2021) </w:t>
      </w:r>
    </w:p>
  </w:footnote>
  <w:footnote w:id="319">
    <w:p w14:paraId="2A92FE4A" w14:textId="77777777" w:rsidR="00B02DBF" w:rsidRDefault="00B02DBF" w:rsidP="00B02DBF">
      <w:pPr>
        <w:pStyle w:val="FootnoteText"/>
      </w:pPr>
      <w:r w:rsidRPr="477F9F17">
        <w:rPr>
          <w:rStyle w:val="FootnoteReference"/>
        </w:rPr>
        <w:footnoteRef/>
      </w:r>
      <w:r>
        <w:t xml:space="preserve"> </w:t>
      </w:r>
      <w:r w:rsidRPr="005528E5">
        <w:t>00226.024 Kāi Tahu ki Otago</w:t>
      </w:r>
    </w:p>
  </w:footnote>
  <w:footnote w:id="320">
    <w:p w14:paraId="6038A80E" w14:textId="2E67F732" w:rsidR="00671595" w:rsidRPr="00671595" w:rsidRDefault="00671595">
      <w:pPr>
        <w:pStyle w:val="FootnoteText"/>
        <w:rPr>
          <w:lang w:val="mi-NZ"/>
        </w:rPr>
      </w:pPr>
      <w:r>
        <w:rPr>
          <w:rStyle w:val="FootnoteReference"/>
        </w:rPr>
        <w:footnoteRef/>
      </w:r>
      <w:r>
        <w:t xml:space="preserve"> </w:t>
      </w:r>
      <w:r w:rsidR="006B1AD2">
        <w:rPr>
          <w:lang w:val="mi-NZ"/>
        </w:rPr>
        <w:t>Clause 16(2), Schedule 1</w:t>
      </w:r>
      <w:r w:rsidR="00FE7B1D">
        <w:rPr>
          <w:lang w:val="mi-NZ"/>
        </w:rPr>
        <w:t>,</w:t>
      </w:r>
      <w:r w:rsidR="006B1AD2">
        <w:rPr>
          <w:lang w:val="mi-NZ"/>
        </w:rPr>
        <w:t xml:space="preserve"> RMA</w:t>
      </w:r>
    </w:p>
  </w:footnote>
  <w:footnote w:id="321">
    <w:p w14:paraId="64323658" w14:textId="37D84F48" w:rsidR="00B02DBF" w:rsidRPr="000D59F3" w:rsidRDefault="00B02DBF" w:rsidP="00B02DBF">
      <w:pPr>
        <w:pStyle w:val="FootnoteText"/>
      </w:pPr>
      <w:r>
        <w:rPr>
          <w:rStyle w:val="FootnoteReference"/>
        </w:rPr>
        <w:footnoteRef/>
      </w:r>
      <w:r>
        <w:t xml:space="preserve"> </w:t>
      </w:r>
      <w:r w:rsidRPr="00914AFF">
        <w:t xml:space="preserve">00138.003 </w:t>
      </w:r>
      <w:r w:rsidR="00387799">
        <w:t>QLDC</w:t>
      </w:r>
    </w:p>
  </w:footnote>
  <w:footnote w:id="322">
    <w:p w14:paraId="2B2C6E9E" w14:textId="460687F5" w:rsidR="00EB7879" w:rsidRPr="00EB7879" w:rsidRDefault="00EB7879">
      <w:pPr>
        <w:pStyle w:val="FootnoteText"/>
        <w:rPr>
          <w:lang w:val="en-GB"/>
        </w:rPr>
      </w:pPr>
      <w:r>
        <w:rPr>
          <w:rStyle w:val="FootnoteReference"/>
        </w:rPr>
        <w:footnoteRef/>
      </w:r>
      <w:r>
        <w:t xml:space="preserve"> </w:t>
      </w:r>
      <w:r>
        <w:rPr>
          <w:lang w:val="mi-NZ"/>
        </w:rPr>
        <w:t>Clause 16(2), Schedule 1, RMA</w:t>
      </w:r>
    </w:p>
  </w:footnote>
  <w:footnote w:id="323">
    <w:p w14:paraId="5D4F07AC" w14:textId="77777777" w:rsidR="00B02DBF" w:rsidRPr="000D59F3" w:rsidRDefault="00B02DBF" w:rsidP="00B02DBF">
      <w:pPr>
        <w:pStyle w:val="FootnoteText"/>
      </w:pPr>
      <w:r>
        <w:rPr>
          <w:rStyle w:val="FootnoteReference"/>
        </w:rPr>
        <w:footnoteRef/>
      </w:r>
      <w:r>
        <w:t xml:space="preserve"> </w:t>
      </w:r>
      <w:r w:rsidRPr="000A54F1">
        <w:t>00235.033</w:t>
      </w:r>
      <w:r>
        <w:t xml:space="preserve"> </w:t>
      </w:r>
      <w:r w:rsidRPr="000A54F1">
        <w:t>OWRUG</w:t>
      </w:r>
    </w:p>
  </w:footnote>
  <w:footnote w:id="324">
    <w:p w14:paraId="708CA7C2" w14:textId="757D3B79" w:rsidR="00D12DB1" w:rsidRPr="00D12DB1" w:rsidRDefault="00D12DB1">
      <w:pPr>
        <w:pStyle w:val="FootnoteText"/>
        <w:rPr>
          <w:lang w:val="en-GB"/>
        </w:rPr>
      </w:pPr>
      <w:r>
        <w:rPr>
          <w:rStyle w:val="FootnoteReference"/>
        </w:rPr>
        <w:footnoteRef/>
      </w:r>
      <w:r>
        <w:t xml:space="preserve"> </w:t>
      </w:r>
      <w:r w:rsidRPr="008907EC">
        <w:t>00239.022 Federated Farmers</w:t>
      </w:r>
    </w:p>
  </w:footnote>
  <w:footnote w:id="325">
    <w:p w14:paraId="2A1E613F" w14:textId="4691B245" w:rsidR="00C81754" w:rsidRPr="00C81754" w:rsidRDefault="00C81754">
      <w:pPr>
        <w:pStyle w:val="FootnoteText"/>
        <w:rPr>
          <w:lang w:val="en-GB"/>
        </w:rPr>
      </w:pPr>
      <w:r>
        <w:rPr>
          <w:rStyle w:val="FootnoteReference"/>
        </w:rPr>
        <w:footnoteRef/>
      </w:r>
      <w:r>
        <w:t xml:space="preserve"> </w:t>
      </w:r>
      <w:r w:rsidRPr="00C90B6E">
        <w:t xml:space="preserve">00239.022 </w:t>
      </w:r>
      <w:r w:rsidRPr="00C90B6E" w:rsidDel="006C4C1F">
        <w:t>Federated Farmers</w:t>
      </w:r>
    </w:p>
  </w:footnote>
  <w:footnote w:id="326">
    <w:p w14:paraId="09618411" w14:textId="198FE031" w:rsidR="00C81754" w:rsidRPr="00C81754" w:rsidRDefault="00C81754">
      <w:pPr>
        <w:pStyle w:val="FootnoteText"/>
        <w:rPr>
          <w:lang w:val="en-GB"/>
        </w:rPr>
      </w:pPr>
      <w:r>
        <w:rPr>
          <w:rStyle w:val="FootnoteReference"/>
        </w:rPr>
        <w:footnoteRef/>
      </w:r>
      <w:r>
        <w:t xml:space="preserve"> </w:t>
      </w:r>
      <w:r w:rsidRPr="00C90B6E">
        <w:t xml:space="preserve">00239.022 </w:t>
      </w:r>
      <w:r w:rsidRPr="00C90B6E" w:rsidDel="006C4C1F">
        <w:t>Federated Farmers</w:t>
      </w:r>
    </w:p>
  </w:footnote>
  <w:footnote w:id="327">
    <w:p w14:paraId="57DF7273" w14:textId="58487A20" w:rsidR="00B64595" w:rsidRDefault="00B64595">
      <w:pPr>
        <w:pStyle w:val="FootnoteText"/>
      </w:pPr>
      <w:r w:rsidRPr="007A13CF">
        <w:rPr>
          <w:rStyle w:val="FootnoteReference"/>
          <w:shd w:val="clear" w:color="auto" w:fill="D9D9D9" w:themeFill="background1" w:themeFillShade="D9"/>
        </w:rPr>
        <w:footnoteRef/>
      </w:r>
      <w:r w:rsidRPr="007A13CF">
        <w:rPr>
          <w:shd w:val="clear" w:color="auto" w:fill="D9D9D9" w:themeFill="background1" w:themeFillShade="D9"/>
        </w:rPr>
        <w:t xml:space="preserve"> </w:t>
      </w:r>
      <w:r w:rsidR="007A13CF" w:rsidRPr="007A13CF">
        <w:rPr>
          <w:shd w:val="clear" w:color="auto" w:fill="D9D9D9" w:themeFill="background1" w:themeFillShade="D9"/>
        </w:rPr>
        <w:t xml:space="preserve">https://www.orc.govt.nz/media/8029/orc-pest-management-plan-2019_final_digital.pdf (accessed 26 May 2021) </w:t>
      </w:r>
    </w:p>
  </w:footnote>
  <w:footnote w:id="328">
    <w:p w14:paraId="0BD335E4" w14:textId="7D8EA681" w:rsidR="00B02DBF" w:rsidRPr="000D59F3" w:rsidRDefault="00B02DBF" w:rsidP="00B02DBF">
      <w:pPr>
        <w:pStyle w:val="FootnoteText"/>
      </w:pPr>
      <w:r>
        <w:rPr>
          <w:rStyle w:val="FootnoteReference"/>
        </w:rPr>
        <w:footnoteRef/>
      </w:r>
      <w:r>
        <w:t xml:space="preserve"> </w:t>
      </w:r>
      <w:r w:rsidRPr="00C90B6E">
        <w:t xml:space="preserve">00239.022 Federated Farmers </w:t>
      </w:r>
    </w:p>
  </w:footnote>
  <w:footnote w:id="329">
    <w:p w14:paraId="40C72BBE" w14:textId="2EF675B9" w:rsidR="00B02DBF" w:rsidRPr="000D59F3" w:rsidRDefault="00B02DBF" w:rsidP="00B02DBF">
      <w:pPr>
        <w:pStyle w:val="FootnoteText"/>
      </w:pPr>
      <w:r>
        <w:rPr>
          <w:rStyle w:val="FootnoteReference"/>
        </w:rPr>
        <w:footnoteRef/>
      </w:r>
      <w:r>
        <w:t xml:space="preserve"> </w:t>
      </w:r>
      <w:r w:rsidRPr="004440E9">
        <w:t>00223.042</w:t>
      </w:r>
      <w:r>
        <w:t xml:space="preserve"> </w:t>
      </w:r>
      <w:r w:rsidR="00533BA6">
        <w:t>Ngāi Tahu ki Murihiku</w:t>
      </w:r>
    </w:p>
  </w:footnote>
  <w:footnote w:id="330">
    <w:p w14:paraId="33E5EF8A" w14:textId="50737F13" w:rsidR="00B02DBF" w:rsidRPr="000D59F3" w:rsidRDefault="00B02DBF" w:rsidP="00B02DBF">
      <w:pPr>
        <w:pStyle w:val="FootnoteText"/>
      </w:pPr>
      <w:r>
        <w:rPr>
          <w:rStyle w:val="FootnoteReference"/>
        </w:rPr>
        <w:footnoteRef/>
      </w:r>
      <w:r>
        <w:t xml:space="preserve"> </w:t>
      </w:r>
      <w:r w:rsidRPr="004440E9">
        <w:t>00223.042</w:t>
      </w:r>
      <w:r>
        <w:t xml:space="preserve"> </w:t>
      </w:r>
      <w:r w:rsidR="00533BA6">
        <w:t>Ngāi Tahu ki Murihiku</w:t>
      </w:r>
    </w:p>
  </w:footnote>
  <w:footnote w:id="331">
    <w:p w14:paraId="58E8DFAE" w14:textId="79BAD6CE" w:rsidR="00673841" w:rsidRDefault="00673841">
      <w:pPr>
        <w:pStyle w:val="FootnoteText"/>
      </w:pPr>
      <w:r w:rsidRPr="00673841">
        <w:rPr>
          <w:rStyle w:val="FootnoteReference"/>
          <w:shd w:val="clear" w:color="auto" w:fill="D9D9D9" w:themeFill="background1" w:themeFillShade="D9"/>
        </w:rPr>
        <w:footnoteRef/>
      </w:r>
      <w:r w:rsidRPr="00673841">
        <w:rPr>
          <w:shd w:val="clear" w:color="auto" w:fill="D9D9D9" w:themeFill="background1" w:themeFillShade="D9"/>
        </w:rPr>
        <w:t xml:space="preserve"> https://www.royalsociety.org.nz/news/pests-costing-economy-and-environment-billions (accessed 26 May 2021) </w:t>
      </w:r>
    </w:p>
  </w:footnote>
  <w:footnote w:id="332">
    <w:p w14:paraId="172360F8" w14:textId="2B5ADFFC" w:rsidR="00B02DBF" w:rsidRPr="00B95B8B" w:rsidRDefault="00B02DBF" w:rsidP="00B02DBF">
      <w:pPr>
        <w:pStyle w:val="FootnoteText"/>
      </w:pPr>
      <w:r>
        <w:rPr>
          <w:rStyle w:val="FootnoteReference"/>
        </w:rPr>
        <w:footnoteRef/>
      </w:r>
      <w:r>
        <w:t xml:space="preserve"> </w:t>
      </w:r>
      <w:r w:rsidRPr="00ED1F53">
        <w:t>00033.002</w:t>
      </w:r>
      <w:r>
        <w:t xml:space="preserve"> </w:t>
      </w:r>
      <w:r w:rsidRPr="00DC6448">
        <w:t>Port Blakely NZ Ltd</w:t>
      </w:r>
    </w:p>
  </w:footnote>
  <w:footnote w:id="333">
    <w:p w14:paraId="434BC9C8" w14:textId="14FB98B5" w:rsidR="00B02DBF" w:rsidRPr="000D59F3" w:rsidRDefault="00B02DBF" w:rsidP="00B02DBF">
      <w:pPr>
        <w:pStyle w:val="FootnoteText"/>
      </w:pPr>
      <w:r>
        <w:rPr>
          <w:rStyle w:val="FootnoteReference"/>
        </w:rPr>
        <w:footnoteRef/>
      </w:r>
      <w:r>
        <w:t xml:space="preserve"> </w:t>
      </w:r>
      <w:r w:rsidRPr="00C90B6E">
        <w:t xml:space="preserve">00239.022 Federated Farmers </w:t>
      </w:r>
    </w:p>
  </w:footnote>
  <w:footnote w:id="334">
    <w:p w14:paraId="5565EE81" w14:textId="2613AFBE" w:rsidR="00491EA7" w:rsidRDefault="00491EA7">
      <w:pPr>
        <w:pStyle w:val="FootnoteText"/>
      </w:pPr>
      <w:r w:rsidRPr="00491EA7">
        <w:rPr>
          <w:rStyle w:val="FootnoteReference"/>
          <w:shd w:val="clear" w:color="auto" w:fill="D9D9D9" w:themeFill="background1" w:themeFillShade="D9"/>
        </w:rPr>
        <w:footnoteRef/>
      </w:r>
      <w:r w:rsidRPr="00491EA7">
        <w:rPr>
          <w:shd w:val="clear" w:color="auto" w:fill="D9D9D9" w:themeFill="background1" w:themeFillShade="D9"/>
        </w:rPr>
        <w:t xml:space="preserve"> SL Goldson, GW Bourdôt, EG Brockerhoff, AE Byrom, MN Clout, MS McGlone, WA Nelson, AJ Popay, DM Suckling &amp; MD Templeton (2015) New Zealand pest management: current and future challenges, Journal of the Royal Society of New Zealand, 45:1, 31-58, DOI: 10.1080/03036758.2014.1000343</w:t>
      </w:r>
    </w:p>
  </w:footnote>
  <w:footnote w:id="335">
    <w:p w14:paraId="4D88E6A1" w14:textId="5C945202" w:rsidR="00B02DBF" w:rsidRPr="000D59F3" w:rsidRDefault="00B02DBF" w:rsidP="00B02DBF">
      <w:pPr>
        <w:pStyle w:val="FootnoteText"/>
      </w:pPr>
      <w:r>
        <w:rPr>
          <w:rStyle w:val="FootnoteReference"/>
        </w:rPr>
        <w:footnoteRef/>
      </w:r>
      <w:r>
        <w:t xml:space="preserve"> </w:t>
      </w:r>
      <w:r w:rsidRPr="00A8712B">
        <w:t xml:space="preserve">00239.022 Federated Farmers </w:t>
      </w:r>
    </w:p>
  </w:footnote>
  <w:footnote w:id="336">
    <w:p w14:paraId="5999C5C2" w14:textId="03DAD366" w:rsidR="00583D95" w:rsidRPr="000D59F3" w:rsidRDefault="00583D95" w:rsidP="00583D95">
      <w:pPr>
        <w:pStyle w:val="FootnoteText"/>
      </w:pPr>
      <w:r>
        <w:rPr>
          <w:rStyle w:val="FootnoteReference"/>
        </w:rPr>
        <w:footnoteRef/>
      </w:r>
      <w:r>
        <w:t xml:space="preserve"> </w:t>
      </w:r>
      <w:r w:rsidRPr="00A8712B">
        <w:t xml:space="preserve">00239.022 Federated Farmers </w:t>
      </w:r>
    </w:p>
  </w:footnote>
  <w:footnote w:id="337">
    <w:p w14:paraId="40BEFCAC" w14:textId="4E596027" w:rsidR="00BE5FA1" w:rsidRPr="00BE5FA1" w:rsidRDefault="00BE5FA1">
      <w:pPr>
        <w:pStyle w:val="FootnoteText"/>
        <w:rPr>
          <w:lang w:val="en-GB"/>
        </w:rPr>
      </w:pPr>
      <w:r>
        <w:rPr>
          <w:rStyle w:val="FootnoteReference"/>
        </w:rPr>
        <w:footnoteRef/>
      </w:r>
      <w:r>
        <w:t xml:space="preserve"> </w:t>
      </w:r>
      <w:r w:rsidR="008E0AF3" w:rsidRPr="00ED1F53">
        <w:t>00033.002</w:t>
      </w:r>
      <w:r w:rsidR="008E0AF3">
        <w:t xml:space="preserve"> </w:t>
      </w:r>
      <w:r w:rsidR="008E0AF3" w:rsidRPr="00DC6448">
        <w:t>Port Blakely NZ Ltd</w:t>
      </w:r>
    </w:p>
  </w:footnote>
  <w:footnote w:id="338">
    <w:p w14:paraId="4B479ACB" w14:textId="0BDA7D9E" w:rsidR="00DF0B41" w:rsidRPr="00DF0B41" w:rsidRDefault="00DF0B41">
      <w:pPr>
        <w:pStyle w:val="FootnoteText"/>
        <w:rPr>
          <w:lang w:val="en-GB"/>
        </w:rPr>
      </w:pPr>
      <w:r>
        <w:rPr>
          <w:rStyle w:val="FootnoteReference"/>
        </w:rPr>
        <w:footnoteRef/>
      </w:r>
      <w:r>
        <w:t xml:space="preserve"> </w:t>
      </w:r>
      <w:r w:rsidRPr="00E974E6">
        <w:t>00239.021</w:t>
      </w:r>
      <w:r>
        <w:t xml:space="preserve"> Federated Farmers</w:t>
      </w:r>
    </w:p>
  </w:footnote>
  <w:footnote w:id="339">
    <w:p w14:paraId="58908F27" w14:textId="5F623A3D" w:rsidR="001349F9" w:rsidRDefault="001349F9">
      <w:pPr>
        <w:pStyle w:val="FootnoteText"/>
      </w:pPr>
      <w:r w:rsidRPr="001349F9">
        <w:rPr>
          <w:rStyle w:val="FootnoteReference"/>
          <w:shd w:val="clear" w:color="auto" w:fill="D9D9D9" w:themeFill="background1" w:themeFillShade="D9"/>
        </w:rPr>
        <w:footnoteRef/>
      </w:r>
      <w:r w:rsidRPr="001349F9">
        <w:rPr>
          <w:shd w:val="clear" w:color="auto" w:fill="D9D9D9" w:themeFill="background1" w:themeFillShade="D9"/>
        </w:rPr>
        <w:t xml:space="preserve"> </w:t>
      </w:r>
      <w:hyperlink r:id="rId5" w:history="1">
        <w:r w:rsidRPr="001349F9">
          <w:rPr>
            <w:rStyle w:val="Hyperlink"/>
            <w:shd w:val="clear" w:color="auto" w:fill="D9D9D9" w:themeFill="background1" w:themeFillShade="D9"/>
          </w:rPr>
          <w:t>https://www.tandfonline.com/doi/abs/10.1080/14735903.2017.1334179?journalCode=tags20</w:t>
        </w:r>
      </w:hyperlink>
      <w:r w:rsidRPr="001349F9">
        <w:rPr>
          <w:shd w:val="clear" w:color="auto" w:fill="D9D9D9" w:themeFill="background1" w:themeFillShade="D9"/>
        </w:rPr>
        <w:t xml:space="preserve"> (accessed 26 May 2021)</w:t>
      </w:r>
    </w:p>
  </w:footnote>
  <w:footnote w:id="340">
    <w:p w14:paraId="03AF1082" w14:textId="77777777" w:rsidR="00B02DBF" w:rsidRPr="000D59F3" w:rsidRDefault="00B02DBF" w:rsidP="00B02DBF">
      <w:pPr>
        <w:pStyle w:val="FootnoteText"/>
      </w:pPr>
      <w:r>
        <w:rPr>
          <w:rStyle w:val="FootnoteReference"/>
        </w:rPr>
        <w:footnoteRef/>
      </w:r>
      <w:r>
        <w:t xml:space="preserve"> </w:t>
      </w:r>
      <w:r w:rsidRPr="00601869">
        <w:t>00411.103</w:t>
      </w:r>
      <w:r>
        <w:t xml:space="preserve"> </w:t>
      </w:r>
      <w:r w:rsidRPr="007F002C">
        <w:t>Wayfare Group Ltd</w:t>
      </w:r>
    </w:p>
  </w:footnote>
  <w:footnote w:id="341">
    <w:p w14:paraId="397417DF" w14:textId="3CFF1E25" w:rsidR="00590AEB" w:rsidRPr="00590AEB" w:rsidRDefault="00590AEB">
      <w:pPr>
        <w:pStyle w:val="FootnoteText"/>
        <w:rPr>
          <w:lang w:val="en-GB"/>
        </w:rPr>
      </w:pPr>
      <w:r>
        <w:rPr>
          <w:rStyle w:val="FootnoteReference"/>
        </w:rPr>
        <w:footnoteRef/>
      </w:r>
      <w:r>
        <w:t xml:space="preserve"> </w:t>
      </w:r>
      <w:r w:rsidRPr="00FE31B9">
        <w:t>00306.016</w:t>
      </w:r>
      <w:r>
        <w:t xml:space="preserve"> Meridian</w:t>
      </w:r>
    </w:p>
  </w:footnote>
  <w:footnote w:id="342">
    <w:p w14:paraId="377BF447" w14:textId="64CD3A44" w:rsidR="001349F9" w:rsidRDefault="001349F9">
      <w:pPr>
        <w:pStyle w:val="FootnoteText"/>
      </w:pPr>
      <w:r w:rsidRPr="00350D8D">
        <w:rPr>
          <w:rStyle w:val="FootnoteReference"/>
          <w:shd w:val="clear" w:color="auto" w:fill="D9D9D9" w:themeFill="background1" w:themeFillShade="D9"/>
        </w:rPr>
        <w:footnoteRef/>
      </w:r>
      <w:r w:rsidRPr="00350D8D">
        <w:rPr>
          <w:shd w:val="clear" w:color="auto" w:fill="D9D9D9" w:themeFill="background1" w:themeFillShade="D9"/>
        </w:rPr>
        <w:t xml:space="preserve"> </w:t>
      </w:r>
      <w:hyperlink r:id="rId6" w:history="1">
        <w:r w:rsidR="00350D8D" w:rsidRPr="00350D8D">
          <w:rPr>
            <w:rStyle w:val="Hyperlink"/>
            <w:shd w:val="clear" w:color="auto" w:fill="D9D9D9" w:themeFill="background1" w:themeFillShade="D9"/>
          </w:rPr>
          <w:t>http://www.allergy.org.nz/site/allergynz/files/Annual%20Pollen%20Calendar.pdf</w:t>
        </w:r>
      </w:hyperlink>
      <w:r w:rsidR="00350D8D" w:rsidRPr="00350D8D">
        <w:rPr>
          <w:shd w:val="clear" w:color="auto" w:fill="D9D9D9" w:themeFill="background1" w:themeFillShade="D9"/>
        </w:rPr>
        <w:t xml:space="preserve"> (accessed 26 May 2021)</w:t>
      </w:r>
    </w:p>
  </w:footnote>
  <w:footnote w:id="343">
    <w:p w14:paraId="603A6F56" w14:textId="0F3A78E1" w:rsidR="00353F3D" w:rsidRDefault="00353F3D" w:rsidP="00B02DBF">
      <w:pPr>
        <w:pStyle w:val="FootnoteText"/>
      </w:pPr>
      <w:r w:rsidRPr="00353F3D">
        <w:rPr>
          <w:szCs w:val="18"/>
          <w:vertAlign w:val="superscript"/>
        </w:rPr>
        <w:t>23</w:t>
      </w:r>
      <w:r w:rsidRPr="00353F3D">
        <w:t xml:space="preserve"> </w:t>
      </w:r>
      <w:r w:rsidRPr="00842D9B">
        <w:t>Statistics New Zealand Subnational Population Projections, 2018 base, published 31 March 2021 (accessed 26 May 2021)</w:t>
      </w:r>
    </w:p>
    <w:p w14:paraId="6E18F209" w14:textId="71392391" w:rsidR="00B02DBF" w:rsidRDefault="00B02DBF" w:rsidP="00B02DBF">
      <w:pPr>
        <w:pStyle w:val="FootnoteText"/>
      </w:pPr>
      <w:r w:rsidRPr="477F9F17">
        <w:rPr>
          <w:rStyle w:val="FootnoteReference"/>
        </w:rPr>
        <w:footnoteRef/>
      </w:r>
      <w:r>
        <w:t xml:space="preserve"> </w:t>
      </w:r>
      <w:r w:rsidRPr="00842D9B">
        <w:rPr>
          <w:szCs w:val="18"/>
        </w:rPr>
        <w:t>00226.024 Kāi Tahu ki Otago</w:t>
      </w:r>
    </w:p>
  </w:footnote>
  <w:footnote w:id="344">
    <w:p w14:paraId="569704E8" w14:textId="53C067E1" w:rsidR="00856210" w:rsidRPr="00856210" w:rsidRDefault="00856210">
      <w:pPr>
        <w:pStyle w:val="FootnoteText"/>
        <w:rPr>
          <w:lang w:val="en-GB"/>
        </w:rPr>
      </w:pPr>
      <w:r>
        <w:rPr>
          <w:rStyle w:val="FootnoteReference"/>
        </w:rPr>
        <w:footnoteRef/>
      </w:r>
      <w:r>
        <w:t xml:space="preserve"> </w:t>
      </w:r>
      <w:r w:rsidRPr="001B7E70">
        <w:t>00236.025</w:t>
      </w:r>
      <w:r>
        <w:t xml:space="preserve"> Horticulture NZ</w:t>
      </w:r>
    </w:p>
  </w:footnote>
  <w:footnote w:id="345">
    <w:p w14:paraId="30A446C1" w14:textId="0B188C70" w:rsidR="00350D8D" w:rsidRDefault="00350D8D">
      <w:pPr>
        <w:pStyle w:val="FootnoteText"/>
      </w:pPr>
      <w:r w:rsidRPr="00350D8D">
        <w:rPr>
          <w:rStyle w:val="FootnoteReference"/>
          <w:shd w:val="clear" w:color="auto" w:fill="D9D9D9" w:themeFill="background1" w:themeFillShade="D9"/>
        </w:rPr>
        <w:footnoteRef/>
      </w:r>
      <w:r w:rsidRPr="00350D8D">
        <w:rPr>
          <w:shd w:val="clear" w:color="auto" w:fill="D9D9D9" w:themeFill="background1" w:themeFillShade="D9"/>
        </w:rPr>
        <w:t xml:space="preserve"> 2018 Census place summaries: Stats NZ. (n.d.). Retrieved June 29, 2020, from </w:t>
      </w:r>
      <w:hyperlink r:id="rId7" w:history="1">
        <w:r w:rsidRPr="00350D8D">
          <w:rPr>
            <w:rStyle w:val="Hyperlink"/>
            <w:shd w:val="clear" w:color="auto" w:fill="D9D9D9" w:themeFill="background1" w:themeFillShade="D9"/>
          </w:rPr>
          <w:t>https://www.stats.govt.nz/tools/2018-census-place-summaries/otago-region</w:t>
        </w:r>
      </w:hyperlink>
      <w:r w:rsidRPr="00350D8D">
        <w:rPr>
          <w:shd w:val="clear" w:color="auto" w:fill="D9D9D9" w:themeFill="background1" w:themeFillShade="D9"/>
        </w:rPr>
        <w:t xml:space="preserve"> (accessed 26 May 2021)</w:t>
      </w:r>
    </w:p>
  </w:footnote>
  <w:footnote w:id="346">
    <w:p w14:paraId="0F5F0ED1" w14:textId="7D59139A" w:rsidR="002C015E" w:rsidRDefault="002C015E">
      <w:pPr>
        <w:pStyle w:val="FootnoteText"/>
      </w:pPr>
      <w:r w:rsidRPr="002C015E">
        <w:rPr>
          <w:rStyle w:val="FootnoteReference"/>
          <w:shd w:val="clear" w:color="auto" w:fill="D9D9D9" w:themeFill="background1" w:themeFillShade="D9"/>
        </w:rPr>
        <w:footnoteRef/>
      </w:r>
      <w:r w:rsidRPr="002C015E">
        <w:rPr>
          <w:shd w:val="clear" w:color="auto" w:fill="D9D9D9" w:themeFill="background1" w:themeFillShade="D9"/>
        </w:rPr>
        <w:t xml:space="preserve"> </w:t>
      </w:r>
      <w:r w:rsidRPr="002C015E">
        <w:rPr>
          <w:szCs w:val="18"/>
          <w:shd w:val="clear" w:color="auto" w:fill="D9D9D9" w:themeFill="background1" w:themeFillShade="D9"/>
        </w:rPr>
        <w:t>The rural/urban area definitions in this paragraph are taken from Statistics New Zealand Urban/Rural Classification at the SA2 geographic level using usually resident population data from the 2018 Census.</w:t>
      </w:r>
    </w:p>
  </w:footnote>
  <w:footnote w:id="347">
    <w:p w14:paraId="47270600" w14:textId="1E49F7DD" w:rsidR="00D51253" w:rsidRDefault="00D51253">
      <w:pPr>
        <w:pStyle w:val="FootnoteText"/>
      </w:pPr>
      <w:r w:rsidRPr="00D51253">
        <w:rPr>
          <w:rStyle w:val="FootnoteReference"/>
          <w:shd w:val="clear" w:color="auto" w:fill="D9D9D9" w:themeFill="background1" w:themeFillShade="D9"/>
        </w:rPr>
        <w:footnoteRef/>
      </w:r>
      <w:r w:rsidRPr="00D51253">
        <w:rPr>
          <w:shd w:val="clear" w:color="auto" w:fill="D9D9D9" w:themeFill="background1" w:themeFillShade="D9"/>
        </w:rPr>
        <w:t xml:space="preserve"> Statistics New Zealand Subnational Population Projections, 2018 base, published 31 March 2021 (accessed 26 May 2021)</w:t>
      </w:r>
    </w:p>
  </w:footnote>
  <w:footnote w:id="348">
    <w:p w14:paraId="628A5CE7" w14:textId="27BCDAA4" w:rsidR="00CF515B" w:rsidRPr="00CF515B" w:rsidRDefault="00CF515B">
      <w:pPr>
        <w:pStyle w:val="FootnoteText"/>
        <w:rPr>
          <w:lang w:val="en-GB"/>
        </w:rPr>
      </w:pPr>
      <w:r>
        <w:rPr>
          <w:rStyle w:val="FootnoteReference"/>
        </w:rPr>
        <w:footnoteRef/>
      </w:r>
      <w:r>
        <w:t xml:space="preserve"> </w:t>
      </w:r>
      <w:r w:rsidRPr="00CF515B">
        <w:t>00411.105 Wayfare</w:t>
      </w:r>
    </w:p>
  </w:footnote>
  <w:footnote w:id="349">
    <w:p w14:paraId="2A3CCF14" w14:textId="4A0F175E" w:rsidR="002005D4" w:rsidRPr="002005D4" w:rsidRDefault="002005D4">
      <w:pPr>
        <w:pStyle w:val="FootnoteText"/>
        <w:rPr>
          <w:lang w:val="en-GB"/>
        </w:rPr>
      </w:pPr>
      <w:r>
        <w:rPr>
          <w:rStyle w:val="FootnoteReference"/>
        </w:rPr>
        <w:footnoteRef/>
      </w:r>
      <w:r>
        <w:t xml:space="preserve"> </w:t>
      </w:r>
      <w:r w:rsidR="00B77C59" w:rsidRPr="00B77C59">
        <w:t>00236.025</w:t>
      </w:r>
      <w:r>
        <w:t xml:space="preserve"> </w:t>
      </w:r>
      <w:r w:rsidR="00230DD6">
        <w:t>Hort</w:t>
      </w:r>
      <w:r w:rsidR="0077766E">
        <w:t>iculture NZ</w:t>
      </w:r>
    </w:p>
  </w:footnote>
  <w:footnote w:id="350">
    <w:p w14:paraId="26C461C7" w14:textId="34F0C9A4" w:rsidR="001871B3" w:rsidRPr="001871B3" w:rsidRDefault="001871B3">
      <w:pPr>
        <w:pStyle w:val="FootnoteText"/>
        <w:rPr>
          <w:lang w:val="en-GB"/>
        </w:rPr>
      </w:pPr>
      <w:r>
        <w:rPr>
          <w:rStyle w:val="FootnoteReference"/>
        </w:rPr>
        <w:footnoteRef/>
      </w:r>
      <w:r>
        <w:t xml:space="preserve"> </w:t>
      </w:r>
      <w:r w:rsidR="00832964" w:rsidRPr="00832964">
        <w:t>QLDC (not captured on SODR)</w:t>
      </w:r>
    </w:p>
  </w:footnote>
  <w:footnote w:id="351">
    <w:p w14:paraId="4759C2BB" w14:textId="77A89AB8" w:rsidR="00280153" w:rsidRPr="00280153" w:rsidRDefault="00280153">
      <w:pPr>
        <w:pStyle w:val="FootnoteText"/>
        <w:rPr>
          <w:lang w:val="en-GB"/>
        </w:rPr>
      </w:pPr>
      <w:r>
        <w:rPr>
          <w:rStyle w:val="FootnoteReference"/>
        </w:rPr>
        <w:footnoteRef/>
      </w:r>
      <w:r>
        <w:t xml:space="preserve"> </w:t>
      </w:r>
      <w:r w:rsidR="00AC1836" w:rsidRPr="00AC1836">
        <w:t>00208.004 AgResearch, 00410.002 Rural Contractors NZ</w:t>
      </w:r>
    </w:p>
  </w:footnote>
  <w:footnote w:id="352">
    <w:p w14:paraId="25427A59" w14:textId="06579D67" w:rsidR="001E2375" w:rsidRPr="001E2375" w:rsidRDefault="001E2375">
      <w:pPr>
        <w:pStyle w:val="FootnoteText"/>
        <w:rPr>
          <w:lang w:val="en-GB"/>
        </w:rPr>
      </w:pPr>
      <w:r>
        <w:rPr>
          <w:rStyle w:val="FootnoteReference"/>
        </w:rPr>
        <w:footnoteRef/>
      </w:r>
      <w:r>
        <w:t xml:space="preserve"> </w:t>
      </w:r>
      <w:r w:rsidR="00C5718A">
        <w:rPr>
          <w:lang w:val="en-GB"/>
        </w:rPr>
        <w:t>00322.006 Fulton Hogan</w:t>
      </w:r>
    </w:p>
  </w:footnote>
  <w:footnote w:id="353">
    <w:p w14:paraId="1C6A539F" w14:textId="3DD14045" w:rsidR="00617F82" w:rsidRPr="00617F82" w:rsidRDefault="00617F82">
      <w:pPr>
        <w:pStyle w:val="FootnoteText"/>
        <w:rPr>
          <w:lang w:val="en-GB"/>
        </w:rPr>
      </w:pPr>
      <w:r>
        <w:rPr>
          <w:rStyle w:val="FootnoteReference"/>
        </w:rPr>
        <w:footnoteRef/>
      </w:r>
      <w:r>
        <w:t xml:space="preserve"> </w:t>
      </w:r>
      <w:r w:rsidR="0041547A" w:rsidRPr="00CE2CB6">
        <w:t>00138.004</w:t>
      </w:r>
      <w:r w:rsidR="0041547A">
        <w:t xml:space="preserve"> QLDC</w:t>
      </w:r>
    </w:p>
  </w:footnote>
  <w:footnote w:id="354">
    <w:p w14:paraId="00252233" w14:textId="43A2E1B2" w:rsidR="0068219A" w:rsidRDefault="0068219A">
      <w:pPr>
        <w:pStyle w:val="FootnoteText"/>
      </w:pPr>
      <w:r>
        <w:rPr>
          <w:rStyle w:val="FootnoteReference"/>
        </w:rPr>
        <w:footnoteRef/>
      </w:r>
      <w:r>
        <w:t xml:space="preserve"> </w:t>
      </w:r>
      <w:r w:rsidRPr="0068219A">
        <w:t>Clause 16(2), Schedule 1, RMA</w:t>
      </w:r>
    </w:p>
  </w:footnote>
  <w:footnote w:id="355">
    <w:p w14:paraId="0FCD2451" w14:textId="0695E3FD" w:rsidR="00647F6D" w:rsidRPr="000D59F3" w:rsidRDefault="00647F6D" w:rsidP="00647F6D">
      <w:pPr>
        <w:pStyle w:val="FootnoteText"/>
      </w:pPr>
      <w:r>
        <w:rPr>
          <w:rStyle w:val="FootnoteReference"/>
        </w:rPr>
        <w:footnoteRef/>
      </w:r>
      <w:r>
        <w:t xml:space="preserve"> </w:t>
      </w:r>
      <w:r w:rsidRPr="00605F8B">
        <w:t>00223.044</w:t>
      </w:r>
      <w:r>
        <w:t xml:space="preserve"> </w:t>
      </w:r>
      <w:r w:rsidR="00533BA6">
        <w:t>Ngāi Tahu ki Murihiku</w:t>
      </w:r>
    </w:p>
  </w:footnote>
  <w:footnote w:id="356">
    <w:p w14:paraId="3EDC7AA0" w14:textId="38BB1A08" w:rsidR="000B6C08" w:rsidRDefault="000B6C08">
      <w:pPr>
        <w:pStyle w:val="FootnoteText"/>
      </w:pPr>
      <w:r w:rsidRPr="00107333">
        <w:rPr>
          <w:rStyle w:val="FootnoteReference"/>
          <w:shd w:val="clear" w:color="auto" w:fill="D9D9D9" w:themeFill="background1" w:themeFillShade="D9"/>
        </w:rPr>
        <w:footnoteRef/>
      </w:r>
      <w:r w:rsidRPr="00107333">
        <w:rPr>
          <w:shd w:val="clear" w:color="auto" w:fill="D9D9D9" w:themeFill="background1" w:themeFillShade="D9"/>
        </w:rPr>
        <w:t xml:space="preserve"> </w:t>
      </w:r>
      <w:hyperlink r:id="rId8" w:history="1">
        <w:r w:rsidRPr="00107333">
          <w:rPr>
            <w:rStyle w:val="Hyperlink"/>
            <w:shd w:val="clear" w:color="auto" w:fill="D9D9D9" w:themeFill="background1" w:themeFillShade="D9"/>
          </w:rPr>
          <w:t>https://www.mfe.govt.nz/fresh-water/freshwater-acts-and-regulations/national-policy-statement-freshwater-management</w:t>
        </w:r>
      </w:hyperlink>
      <w:r w:rsidRPr="00107333">
        <w:rPr>
          <w:shd w:val="clear" w:color="auto" w:fill="D9D9D9" w:themeFill="background1" w:themeFillShade="D9"/>
        </w:rPr>
        <w:t xml:space="preserve">  (accessed 26 May 2021)</w:t>
      </w:r>
    </w:p>
  </w:footnote>
  <w:footnote w:id="357">
    <w:p w14:paraId="0AED866A" w14:textId="29104970" w:rsidR="00F76DCF" w:rsidRPr="00F76DCF" w:rsidRDefault="00F76DCF">
      <w:pPr>
        <w:pStyle w:val="FootnoteText"/>
        <w:rPr>
          <w:lang w:val="en-GB"/>
        </w:rPr>
      </w:pPr>
      <w:r>
        <w:rPr>
          <w:rStyle w:val="FootnoteReference"/>
        </w:rPr>
        <w:footnoteRef/>
      </w:r>
      <w:r>
        <w:t xml:space="preserve"> </w:t>
      </w:r>
      <w:r w:rsidR="008F6656">
        <w:rPr>
          <w:lang w:val="en-GB"/>
        </w:rPr>
        <w:t>00239.024 Federated Farmers</w:t>
      </w:r>
    </w:p>
  </w:footnote>
  <w:footnote w:id="358">
    <w:p w14:paraId="0A288F12" w14:textId="55679979" w:rsidR="00107333" w:rsidRDefault="00107333">
      <w:pPr>
        <w:pStyle w:val="FootnoteText"/>
      </w:pPr>
      <w:r w:rsidRPr="00107333">
        <w:rPr>
          <w:rStyle w:val="FootnoteReference"/>
          <w:shd w:val="clear" w:color="auto" w:fill="D9D9D9" w:themeFill="background1" w:themeFillShade="D9"/>
        </w:rPr>
        <w:footnoteRef/>
      </w:r>
      <w:r w:rsidRPr="00107333">
        <w:rPr>
          <w:shd w:val="clear" w:color="auto" w:fill="D9D9D9" w:themeFill="background1" w:themeFillShade="D9"/>
        </w:rPr>
        <w:t xml:space="preserve"> Clapcott, 2018, Our Freshwater 2020</w:t>
      </w:r>
    </w:p>
  </w:footnote>
  <w:footnote w:id="359">
    <w:p w14:paraId="34A4C2B8" w14:textId="267C52EE" w:rsidR="00B02DBF" w:rsidRPr="000D59F3" w:rsidRDefault="00B02DBF" w:rsidP="00B02DBF">
      <w:pPr>
        <w:pStyle w:val="FootnoteText"/>
      </w:pPr>
      <w:r>
        <w:rPr>
          <w:rStyle w:val="FootnoteReference"/>
        </w:rPr>
        <w:footnoteRef/>
      </w:r>
      <w:r>
        <w:t xml:space="preserve"> </w:t>
      </w:r>
      <w:r w:rsidRPr="00034555">
        <w:t>00213.017</w:t>
      </w:r>
      <w:r>
        <w:t xml:space="preserve"> </w:t>
      </w:r>
      <w:r w:rsidRPr="0099285D">
        <w:t xml:space="preserve">Fonterra </w:t>
      </w:r>
    </w:p>
  </w:footnote>
  <w:footnote w:id="360">
    <w:p w14:paraId="2FCEE82F" w14:textId="7B02F894" w:rsidR="00B02DBF" w:rsidRPr="000D59F3" w:rsidRDefault="00B02DBF" w:rsidP="00B02DBF">
      <w:pPr>
        <w:pStyle w:val="FootnoteText"/>
      </w:pPr>
      <w:r>
        <w:rPr>
          <w:rStyle w:val="FootnoteReference"/>
        </w:rPr>
        <w:footnoteRef/>
      </w:r>
      <w:r>
        <w:t xml:space="preserve"> </w:t>
      </w:r>
      <w:r w:rsidRPr="000A6F0D">
        <w:t>00206.084</w:t>
      </w:r>
      <w:r>
        <w:t xml:space="preserve"> </w:t>
      </w:r>
      <w:r w:rsidRPr="000A6F0D">
        <w:t>Trojan</w:t>
      </w:r>
      <w:r w:rsidR="000F5D44">
        <w:t>,</w:t>
      </w:r>
      <w:r w:rsidRPr="000A6F0D">
        <w:t xml:space="preserve"> </w:t>
      </w:r>
      <w:r w:rsidRPr="00F222F9">
        <w:t>00411.109</w:t>
      </w:r>
      <w:r>
        <w:t xml:space="preserve"> </w:t>
      </w:r>
      <w:r w:rsidRPr="00F222F9">
        <w:t xml:space="preserve">Wayfare </w:t>
      </w:r>
    </w:p>
  </w:footnote>
  <w:footnote w:id="361">
    <w:p w14:paraId="01A3B914" w14:textId="514CF2DF" w:rsidR="00B02DBF" w:rsidRPr="000D59F3" w:rsidRDefault="00B02DBF" w:rsidP="00B02DBF">
      <w:pPr>
        <w:pStyle w:val="FootnoteText"/>
      </w:pPr>
      <w:r>
        <w:rPr>
          <w:rStyle w:val="FootnoteReference"/>
        </w:rPr>
        <w:footnoteRef/>
      </w:r>
      <w:r>
        <w:t xml:space="preserve"> </w:t>
      </w:r>
      <w:r w:rsidRPr="00D67BF6">
        <w:t>00206.086</w:t>
      </w:r>
      <w:r>
        <w:t xml:space="preserve"> </w:t>
      </w:r>
      <w:r w:rsidRPr="00D67BF6">
        <w:t>Trojan</w:t>
      </w:r>
      <w:r w:rsidR="000F5D44">
        <w:t>,</w:t>
      </w:r>
      <w:r w:rsidRPr="00D67BF6">
        <w:t xml:space="preserve"> 00411.111 Wayfare </w:t>
      </w:r>
    </w:p>
  </w:footnote>
  <w:footnote w:id="362">
    <w:p w14:paraId="00D230AE" w14:textId="77777777" w:rsidR="00E81F25" w:rsidRDefault="00E81F25" w:rsidP="00E81F25">
      <w:pPr>
        <w:pStyle w:val="FootnoteText"/>
      </w:pPr>
      <w:r>
        <w:rPr>
          <w:rStyle w:val="FootnoteReference"/>
        </w:rPr>
        <w:footnoteRef/>
      </w:r>
      <w:r>
        <w:t xml:space="preserve"> </w:t>
      </w:r>
      <w:r w:rsidRPr="00631866">
        <w:t>00235.044 OWRUG</w:t>
      </w:r>
    </w:p>
  </w:footnote>
  <w:footnote w:id="363">
    <w:p w14:paraId="1D684DC1" w14:textId="77777777" w:rsidR="00E95594" w:rsidRDefault="00E95594" w:rsidP="00E95594">
      <w:pPr>
        <w:pStyle w:val="FootnoteText"/>
      </w:pPr>
      <w:r>
        <w:rPr>
          <w:rStyle w:val="FootnoteReference"/>
        </w:rPr>
        <w:footnoteRef/>
      </w:r>
      <w:r>
        <w:t xml:space="preserve"> </w:t>
      </w:r>
      <w:r w:rsidRPr="005C2208">
        <w:t xml:space="preserve">00411.112 Wayfare </w:t>
      </w:r>
    </w:p>
  </w:footnote>
  <w:footnote w:id="364">
    <w:p w14:paraId="21E978DB" w14:textId="658305BD" w:rsidR="00B60A68" w:rsidRPr="00B60A68" w:rsidRDefault="00B60A68">
      <w:pPr>
        <w:pStyle w:val="FootnoteText"/>
        <w:rPr>
          <w:lang w:val="mi-NZ"/>
        </w:rPr>
      </w:pPr>
      <w:r>
        <w:rPr>
          <w:rStyle w:val="FootnoteReference"/>
        </w:rPr>
        <w:footnoteRef/>
      </w:r>
      <w:r>
        <w:t xml:space="preserve"> </w:t>
      </w:r>
      <w:r>
        <w:rPr>
          <w:lang w:val="mi-NZ"/>
        </w:rPr>
        <w:t>Clause 16(2), Schedule 1</w:t>
      </w:r>
      <w:r w:rsidR="00FE7B1D">
        <w:rPr>
          <w:lang w:val="mi-NZ"/>
        </w:rPr>
        <w:t>,</w:t>
      </w:r>
      <w:r>
        <w:rPr>
          <w:lang w:val="mi-NZ"/>
        </w:rPr>
        <w:t xml:space="preserve"> RMA</w:t>
      </w:r>
    </w:p>
  </w:footnote>
  <w:footnote w:id="365">
    <w:p w14:paraId="6CDCB7F0" w14:textId="167DEF0E" w:rsidR="00AB5F43" w:rsidRDefault="00AB5F43">
      <w:pPr>
        <w:pStyle w:val="FootnoteText"/>
      </w:pPr>
      <w:r w:rsidRPr="00AB5F43">
        <w:rPr>
          <w:rStyle w:val="FootnoteReference"/>
          <w:shd w:val="clear" w:color="auto" w:fill="D9D9D9" w:themeFill="background1" w:themeFillShade="D9"/>
        </w:rPr>
        <w:footnoteRef/>
      </w:r>
      <w:r w:rsidRPr="00AB5F43">
        <w:rPr>
          <w:shd w:val="clear" w:color="auto" w:fill="D9D9D9" w:themeFill="background1" w:themeFillShade="D9"/>
        </w:rPr>
        <w:t xml:space="preserve"> </w:t>
      </w:r>
      <w:hyperlink r:id="rId9" w:history="1">
        <w:r w:rsidRPr="00AB5F43">
          <w:rPr>
            <w:rStyle w:val="Hyperlink"/>
            <w:shd w:val="clear" w:color="auto" w:fill="D9D9D9" w:themeFill="background1" w:themeFillShade="D9"/>
          </w:rPr>
          <w:t>https://www.mfe.govt.nz/fresh-water/freshwater-acts-and-regulations/national-policy-statement-freshwater-management</w:t>
        </w:r>
      </w:hyperlink>
      <w:r w:rsidRPr="00AB5F43">
        <w:rPr>
          <w:shd w:val="clear" w:color="auto" w:fill="D9D9D9" w:themeFill="background1" w:themeFillShade="D9"/>
        </w:rPr>
        <w:t xml:space="preserve"> (accessed 26 May 2021)</w:t>
      </w:r>
    </w:p>
  </w:footnote>
  <w:footnote w:id="366">
    <w:p w14:paraId="00FFDFF4" w14:textId="1ECAF0E4" w:rsidR="00B02DBF" w:rsidRPr="000D59F3" w:rsidRDefault="00B02DBF" w:rsidP="00B02DBF">
      <w:pPr>
        <w:pStyle w:val="FootnoteText"/>
      </w:pPr>
      <w:r>
        <w:rPr>
          <w:rStyle w:val="FootnoteReference"/>
        </w:rPr>
        <w:footnoteRef/>
      </w:r>
      <w:r>
        <w:t xml:space="preserve"> </w:t>
      </w:r>
      <w:r w:rsidRPr="007C5498">
        <w:t xml:space="preserve">00239.025 Federated Farmers </w:t>
      </w:r>
    </w:p>
  </w:footnote>
  <w:footnote w:id="367">
    <w:p w14:paraId="61D9B77A" w14:textId="3D29CE6F" w:rsidR="00442F4E" w:rsidRDefault="00442F4E" w:rsidP="00442F4E">
      <w:pPr>
        <w:pStyle w:val="FootnoteText"/>
        <w:shd w:val="clear" w:color="auto" w:fill="D9D9D9" w:themeFill="background1" w:themeFillShade="D9"/>
      </w:pPr>
      <w:r w:rsidRPr="00442F4E">
        <w:rPr>
          <w:vertAlign w:val="superscript"/>
        </w:rPr>
        <w:t>31</w:t>
      </w:r>
      <w:r>
        <w:t xml:space="preserve"> </w:t>
      </w:r>
      <w:r w:rsidRPr="00AF3F37">
        <w:t>Science Staff Survey, June 2020.</w:t>
      </w:r>
    </w:p>
    <w:p w14:paraId="5CFFCDEC" w14:textId="600A884B" w:rsidR="00B02DBF" w:rsidRPr="000D59F3" w:rsidRDefault="00B02DBF" w:rsidP="00B02DBF">
      <w:pPr>
        <w:pStyle w:val="FootnoteText"/>
      </w:pPr>
      <w:r>
        <w:rPr>
          <w:rStyle w:val="FootnoteReference"/>
        </w:rPr>
        <w:footnoteRef/>
      </w:r>
      <w:r>
        <w:t xml:space="preserve"> </w:t>
      </w:r>
      <w:r w:rsidRPr="00CA5DB9">
        <w:t>00235.045</w:t>
      </w:r>
      <w:r>
        <w:t xml:space="preserve"> </w:t>
      </w:r>
      <w:r w:rsidRPr="00CA5DB9">
        <w:t>OWRUG</w:t>
      </w:r>
    </w:p>
  </w:footnote>
  <w:footnote w:id="368">
    <w:p w14:paraId="46A8C86A" w14:textId="0B71C16E" w:rsidR="006443E4" w:rsidRDefault="006443E4">
      <w:pPr>
        <w:pStyle w:val="FootnoteText"/>
      </w:pPr>
      <w:r w:rsidRPr="006443E4">
        <w:rPr>
          <w:rStyle w:val="FootnoteReference"/>
          <w:shd w:val="clear" w:color="auto" w:fill="D9D9D9" w:themeFill="background1" w:themeFillShade="D9"/>
        </w:rPr>
        <w:footnoteRef/>
      </w:r>
      <w:r w:rsidRPr="006443E4">
        <w:rPr>
          <w:shd w:val="clear" w:color="auto" w:fill="D9D9D9" w:themeFill="background1" w:themeFillShade="D9"/>
        </w:rPr>
        <w:t xml:space="preserve"> Rachel Ozanne and Adam Uytendaal (2017) State of the Environment Surface Water Quality in Otago 2006 to 2017: Otago Regional Council p ii</w:t>
      </w:r>
    </w:p>
  </w:footnote>
  <w:footnote w:id="369">
    <w:p w14:paraId="6D6B506A" w14:textId="77777777" w:rsidR="006443E4" w:rsidRDefault="006443E4" w:rsidP="006443E4">
      <w:pPr>
        <w:pStyle w:val="FootnoteText"/>
      </w:pPr>
      <w:r w:rsidRPr="006443E4">
        <w:rPr>
          <w:rStyle w:val="FootnoteReference"/>
          <w:shd w:val="clear" w:color="auto" w:fill="D9D9D9" w:themeFill="background1" w:themeFillShade="D9"/>
        </w:rPr>
        <w:footnoteRef/>
      </w:r>
      <w:r w:rsidRPr="006443E4">
        <w:rPr>
          <w:shd w:val="clear" w:color="auto" w:fill="D9D9D9" w:themeFill="background1" w:themeFillShade="D9"/>
        </w:rPr>
        <w:t xml:space="preserve"> Rachel Ozanne and Adam Uytendaal (2017) State of the Environment Surface Water Quality in Otago 2006 to 2017: Otago Regional Council p ii</w:t>
      </w:r>
    </w:p>
  </w:footnote>
  <w:footnote w:id="370">
    <w:p w14:paraId="0C716877" w14:textId="77777777" w:rsidR="006443E4" w:rsidRDefault="006443E4" w:rsidP="006443E4">
      <w:pPr>
        <w:pStyle w:val="FootnoteText"/>
      </w:pPr>
      <w:r w:rsidRPr="006443E4">
        <w:rPr>
          <w:rStyle w:val="FootnoteReference"/>
          <w:shd w:val="clear" w:color="auto" w:fill="D9D9D9" w:themeFill="background1" w:themeFillShade="D9"/>
        </w:rPr>
        <w:footnoteRef/>
      </w:r>
      <w:r w:rsidRPr="006443E4">
        <w:rPr>
          <w:shd w:val="clear" w:color="auto" w:fill="D9D9D9" w:themeFill="background1" w:themeFillShade="D9"/>
        </w:rPr>
        <w:t xml:space="preserve"> Rachel Ozanne and Adam Uytendaal (2017) State of the Environment Surface Water Quality in Otago 2006 to 2017: Otago Regional Council p ii</w:t>
      </w:r>
    </w:p>
  </w:footnote>
  <w:footnote w:id="371">
    <w:p w14:paraId="0A5A037D" w14:textId="5F706345" w:rsidR="006443E4" w:rsidRDefault="006443E4">
      <w:pPr>
        <w:pStyle w:val="FootnoteText"/>
      </w:pPr>
      <w:r w:rsidRPr="006443E4">
        <w:rPr>
          <w:rStyle w:val="FootnoteReference"/>
          <w:shd w:val="clear" w:color="auto" w:fill="D9D9D9" w:themeFill="background1" w:themeFillShade="D9"/>
        </w:rPr>
        <w:footnoteRef/>
      </w:r>
      <w:r w:rsidRPr="006443E4">
        <w:rPr>
          <w:shd w:val="clear" w:color="auto" w:fill="D9D9D9" w:themeFill="background1" w:themeFillShade="D9"/>
        </w:rPr>
        <w:t xml:space="preserve"> Science Staff Survey, June 2020.</w:t>
      </w:r>
    </w:p>
  </w:footnote>
  <w:footnote w:id="372">
    <w:p w14:paraId="74529C93" w14:textId="04A83AEF" w:rsidR="00A7702C" w:rsidRPr="00A7702C" w:rsidRDefault="00A7702C">
      <w:pPr>
        <w:pStyle w:val="FootnoteText"/>
        <w:rPr>
          <w:b/>
          <w:bCs/>
          <w:lang w:val="mi-NZ"/>
        </w:rPr>
      </w:pPr>
      <w:r>
        <w:rPr>
          <w:rStyle w:val="FootnoteReference"/>
        </w:rPr>
        <w:footnoteRef/>
      </w:r>
      <w:r>
        <w:t xml:space="preserve"> </w:t>
      </w:r>
      <w:r w:rsidR="00A36F89" w:rsidRPr="005121E3">
        <w:t xml:space="preserve">00020.004 </w:t>
      </w:r>
      <w:r w:rsidR="00A36F89">
        <w:t>Rayonier</w:t>
      </w:r>
      <w:r w:rsidR="00F72DC3">
        <w:t>; 00235.045 OWRUG</w:t>
      </w:r>
    </w:p>
  </w:footnote>
  <w:footnote w:id="373">
    <w:p w14:paraId="60332C38" w14:textId="39DA74C0" w:rsidR="00F72DC3" w:rsidRPr="00F72DC3" w:rsidRDefault="00F72DC3">
      <w:pPr>
        <w:pStyle w:val="FootnoteText"/>
        <w:rPr>
          <w:lang w:val="mi-NZ"/>
        </w:rPr>
      </w:pPr>
      <w:r>
        <w:rPr>
          <w:rStyle w:val="FootnoteReference"/>
        </w:rPr>
        <w:footnoteRef/>
      </w:r>
      <w:r>
        <w:t xml:space="preserve"> 00235.045 OWRUG</w:t>
      </w:r>
    </w:p>
  </w:footnote>
  <w:footnote w:id="374">
    <w:p w14:paraId="211A4561" w14:textId="75EC0527" w:rsidR="09FE94C7" w:rsidRDefault="09FE94C7" w:rsidP="09FE94C7">
      <w:pPr>
        <w:pStyle w:val="FootnoteText"/>
      </w:pPr>
      <w:r w:rsidRPr="09FE94C7">
        <w:rPr>
          <w:rStyle w:val="FootnoteReference"/>
          <w:rFonts w:eastAsia="Calibri"/>
          <w:szCs w:val="18"/>
        </w:rPr>
        <w:footnoteRef/>
      </w:r>
      <w:r w:rsidRPr="09FE94C7">
        <w:rPr>
          <w:rFonts w:eastAsia="Calibri"/>
          <w:szCs w:val="18"/>
        </w:rPr>
        <w:t xml:space="preserve"> </w:t>
      </w:r>
      <w:r w:rsidR="006443E4">
        <w:rPr>
          <w:rFonts w:eastAsia="Calibri"/>
          <w:szCs w:val="18"/>
        </w:rPr>
        <w:t>Clause 10(2)(b)(i), Schedule 1, RMA – c</w:t>
      </w:r>
      <w:r w:rsidRPr="09FE94C7">
        <w:rPr>
          <w:rFonts w:eastAsia="Calibri"/>
          <w:szCs w:val="18"/>
        </w:rPr>
        <w:t xml:space="preserve">onsequential amendment </w:t>
      </w:r>
      <w:r w:rsidR="006443E4">
        <w:rPr>
          <w:rFonts w:eastAsia="Calibri"/>
          <w:szCs w:val="18"/>
        </w:rPr>
        <w:t>arising from 00235.045 OWRUG</w:t>
      </w:r>
    </w:p>
  </w:footnote>
  <w:footnote w:id="375">
    <w:p w14:paraId="01E15512" w14:textId="21ABBD74" w:rsidR="00D00F7B" w:rsidRDefault="00D00F7B">
      <w:pPr>
        <w:pStyle w:val="FootnoteText"/>
      </w:pPr>
      <w:r w:rsidRPr="00D00F7B">
        <w:rPr>
          <w:rStyle w:val="FootnoteReference"/>
          <w:shd w:val="clear" w:color="auto" w:fill="D9D9D9" w:themeFill="background1" w:themeFillShade="D9"/>
        </w:rPr>
        <w:footnoteRef/>
      </w:r>
      <w:r w:rsidRPr="00D00F7B">
        <w:rPr>
          <w:shd w:val="clear" w:color="auto" w:fill="D9D9D9" w:themeFill="background1" w:themeFillShade="D9"/>
        </w:rPr>
        <w:t xml:space="preserve"> </w:t>
      </w:r>
      <w:hyperlink r:id="rId10" w:history="1">
        <w:r w:rsidRPr="00D00F7B">
          <w:rPr>
            <w:rStyle w:val="Hyperlink"/>
            <w:shd w:val="clear" w:color="auto" w:fill="D9D9D9" w:themeFill="background1" w:themeFillShade="D9"/>
          </w:rPr>
          <w:t>https://epa.govt.nz/nutrientpollution/effects-economy</w:t>
        </w:r>
      </w:hyperlink>
      <w:r w:rsidRPr="00D00F7B">
        <w:rPr>
          <w:shd w:val="clear" w:color="auto" w:fill="D9D9D9" w:themeFill="background1" w:themeFillShade="D9"/>
        </w:rPr>
        <w:t xml:space="preserve"> (accessed 26 May 2021)</w:t>
      </w:r>
    </w:p>
  </w:footnote>
  <w:footnote w:id="376">
    <w:p w14:paraId="163303CF" w14:textId="30533B7F" w:rsidR="00D00F7B" w:rsidRDefault="00D00F7B">
      <w:pPr>
        <w:pStyle w:val="FootnoteText"/>
      </w:pPr>
      <w:r w:rsidRPr="00D00F7B">
        <w:rPr>
          <w:rStyle w:val="FootnoteReference"/>
          <w:shd w:val="clear" w:color="auto" w:fill="D9D9D9" w:themeFill="background1" w:themeFillShade="D9"/>
        </w:rPr>
        <w:footnoteRef/>
      </w:r>
      <w:r w:rsidRPr="00D00F7B">
        <w:rPr>
          <w:shd w:val="clear" w:color="auto" w:fill="D9D9D9" w:themeFill="background1" w:themeFillShade="D9"/>
        </w:rPr>
        <w:t xml:space="preserve"> This estimate applies to larger rivers and lakes, defined as “rivers that are fourth order in the River Environment Classification system and lakes with a perimeter of 1.5km or more” – ORC Policy Committee Report – 29 Nov 2018 - PPRM1843</w:t>
      </w:r>
    </w:p>
  </w:footnote>
  <w:footnote w:id="377">
    <w:p w14:paraId="73C2B2E0" w14:textId="77777777" w:rsidR="00FF5C26" w:rsidRDefault="00FF5C26" w:rsidP="00FF5C26">
      <w:pPr>
        <w:pStyle w:val="FootnoteText"/>
      </w:pPr>
      <w:r>
        <w:rPr>
          <w:rStyle w:val="FootnoteReference"/>
        </w:rPr>
        <w:footnoteRef/>
      </w:r>
      <w:r>
        <w:t xml:space="preserve"> </w:t>
      </w:r>
      <w:r w:rsidRPr="0029576C">
        <w:t>Clause 10(2)(b)(i) – consequential amendment arising from 00226.038 Kāi Tahu ki Otago</w:t>
      </w:r>
    </w:p>
  </w:footnote>
  <w:footnote w:id="378">
    <w:p w14:paraId="0B4A641D" w14:textId="7389D3B4" w:rsidR="00AF3F37" w:rsidRPr="000D59F3" w:rsidRDefault="00AF3F37" w:rsidP="00AF3F37">
      <w:pPr>
        <w:pStyle w:val="FootnoteText"/>
      </w:pPr>
      <w:r>
        <w:rPr>
          <w:rStyle w:val="FootnoteReference"/>
        </w:rPr>
        <w:footnoteRef/>
      </w:r>
      <w:r>
        <w:t xml:space="preserve"> </w:t>
      </w:r>
      <w:r w:rsidRPr="00E53F23">
        <w:t>00223.045</w:t>
      </w:r>
      <w:r>
        <w:t xml:space="preserve"> </w:t>
      </w:r>
      <w:r w:rsidR="00533BA6">
        <w:t>Ngāi Tahu ki Murihiku</w:t>
      </w:r>
    </w:p>
  </w:footnote>
  <w:footnote w:id="379">
    <w:p w14:paraId="0CB08524" w14:textId="71451D76" w:rsidR="00462055" w:rsidRPr="00462055" w:rsidRDefault="00462055">
      <w:pPr>
        <w:pStyle w:val="FootnoteText"/>
        <w:rPr>
          <w:lang w:val="en-GB"/>
        </w:rPr>
      </w:pPr>
      <w:r w:rsidRPr="004C176B">
        <w:rPr>
          <w:rStyle w:val="FootnoteReference"/>
          <w:u w:val="single"/>
          <w:shd w:val="clear" w:color="auto" w:fill="D9D9D9" w:themeFill="background1" w:themeFillShade="D9"/>
        </w:rPr>
        <w:footnoteRef/>
      </w:r>
      <w:r w:rsidRPr="004C176B">
        <w:rPr>
          <w:u w:val="single"/>
          <w:shd w:val="clear" w:color="auto" w:fill="D9D9D9" w:themeFill="background1" w:themeFillShade="D9"/>
        </w:rPr>
        <w:t xml:space="preserve"> </w:t>
      </w:r>
      <w:r w:rsidR="00DA3150" w:rsidRPr="004C176B">
        <w:rPr>
          <w:u w:val="single"/>
          <w:shd w:val="clear" w:color="auto" w:fill="D9D9D9" w:themeFill="background1" w:themeFillShade="D9"/>
        </w:rPr>
        <w:t>Wildlands (2020). Unpublished Consultancy Report to Otago Regional Council R5015a. Mapping of potential natural ecosystems and current ecosystems in Otago region.</w:t>
      </w:r>
      <w:r w:rsidR="004C176B">
        <w:t xml:space="preserve"> (New footnote attributed to 00239.026 Federated Farmers)</w:t>
      </w:r>
    </w:p>
  </w:footnote>
  <w:footnote w:id="380">
    <w:p w14:paraId="1CCA7176" w14:textId="7C95DF43" w:rsidR="00E340FA" w:rsidRDefault="00E340FA">
      <w:pPr>
        <w:pStyle w:val="FootnoteText"/>
      </w:pPr>
      <w:r w:rsidRPr="00E340FA">
        <w:rPr>
          <w:rStyle w:val="FootnoteReference"/>
          <w:shd w:val="clear" w:color="auto" w:fill="D9D9D9" w:themeFill="background1" w:themeFillShade="D9"/>
        </w:rPr>
        <w:footnoteRef/>
      </w:r>
      <w:r w:rsidRPr="00E340FA">
        <w:rPr>
          <w:shd w:val="clear" w:color="auto" w:fill="D9D9D9" w:themeFill="background1" w:themeFillShade="D9"/>
        </w:rPr>
        <w:t xml:space="preserve"> </w:t>
      </w:r>
      <w:hyperlink r:id="rId11" w:history="1">
        <w:r w:rsidRPr="00E340FA">
          <w:rPr>
            <w:rStyle w:val="Hyperlink"/>
            <w:shd w:val="clear" w:color="auto" w:fill="D9D9D9" w:themeFill="background1" w:themeFillShade="D9"/>
          </w:rPr>
          <w:t>https://environment.govt.nz/assets/Publications/Files/environment-aotearoa-2019.pdf</w:t>
        </w:r>
      </w:hyperlink>
      <w:r w:rsidRPr="00E340FA">
        <w:rPr>
          <w:shd w:val="clear" w:color="auto" w:fill="D9D9D9" w:themeFill="background1" w:themeFillShade="D9"/>
        </w:rPr>
        <w:t xml:space="preserve"> (accessed 26 May 2021)</w:t>
      </w:r>
    </w:p>
  </w:footnote>
  <w:footnote w:id="381">
    <w:p w14:paraId="3643A49B" w14:textId="162D0E1E" w:rsidR="00404CD4" w:rsidRPr="00404CD4" w:rsidRDefault="00404CD4">
      <w:pPr>
        <w:pStyle w:val="FootnoteText"/>
        <w:rPr>
          <w:lang w:val="en-GB"/>
        </w:rPr>
      </w:pPr>
      <w:r>
        <w:rPr>
          <w:rStyle w:val="FootnoteReference"/>
        </w:rPr>
        <w:footnoteRef/>
      </w:r>
      <w:r>
        <w:t xml:space="preserve"> </w:t>
      </w:r>
      <w:r>
        <w:rPr>
          <w:lang w:val="mi-NZ"/>
        </w:rPr>
        <w:t>Clause 16(2), Schedule 1, RMA</w:t>
      </w:r>
    </w:p>
  </w:footnote>
  <w:footnote w:id="382">
    <w:p w14:paraId="0A0BADF7" w14:textId="1B8EE764" w:rsidR="000B7CA9" w:rsidRDefault="000B7CA9" w:rsidP="000B7CA9">
      <w:pPr>
        <w:pStyle w:val="FootnoteText"/>
        <w:shd w:val="clear" w:color="auto" w:fill="D9D9D9" w:themeFill="background1" w:themeFillShade="D9"/>
      </w:pPr>
      <w:r>
        <w:rPr>
          <w:rStyle w:val="FootnoteReference"/>
        </w:rPr>
        <w:footnoteRef/>
      </w:r>
      <w:r>
        <w:t xml:space="preserve"> </w:t>
      </w:r>
      <w:r w:rsidRPr="000B7CA9">
        <w:t>Wildlands (2020). Unpublished Consultancy Report to Otago Regional Council R5015a. Mapping of potential natural ecosystems and current ecosystems in Otago region.</w:t>
      </w:r>
    </w:p>
  </w:footnote>
  <w:footnote w:id="383">
    <w:p w14:paraId="009D1DDF" w14:textId="1E6890D5" w:rsidR="00404CD4" w:rsidRPr="00404CD4" w:rsidRDefault="00404CD4">
      <w:pPr>
        <w:pStyle w:val="FootnoteText"/>
        <w:rPr>
          <w:lang w:val="en-GB"/>
        </w:rPr>
      </w:pPr>
      <w:r>
        <w:rPr>
          <w:rStyle w:val="FootnoteReference"/>
        </w:rPr>
        <w:footnoteRef/>
      </w:r>
      <w:r>
        <w:t xml:space="preserve"> </w:t>
      </w:r>
      <w:r>
        <w:rPr>
          <w:lang w:val="mi-NZ"/>
        </w:rPr>
        <w:t>Clause 16(2), Schedule 1, RMA</w:t>
      </w:r>
    </w:p>
  </w:footnote>
  <w:footnote w:id="384">
    <w:p w14:paraId="44F616CE" w14:textId="0170B7C3" w:rsidR="00B02DBF" w:rsidRPr="000D59F3" w:rsidRDefault="00B02DBF" w:rsidP="00B02DBF">
      <w:pPr>
        <w:pStyle w:val="FootnoteText"/>
      </w:pPr>
      <w:r>
        <w:rPr>
          <w:rStyle w:val="FootnoteReference"/>
        </w:rPr>
        <w:footnoteRef/>
      </w:r>
      <w:r>
        <w:t xml:space="preserve"> </w:t>
      </w:r>
      <w:r w:rsidRPr="00861482">
        <w:t>00231.027</w:t>
      </w:r>
      <w:r>
        <w:t xml:space="preserve"> </w:t>
      </w:r>
      <w:r w:rsidRPr="00861482">
        <w:t xml:space="preserve">Fish &amp; Game </w:t>
      </w:r>
    </w:p>
  </w:footnote>
  <w:footnote w:id="385">
    <w:p w14:paraId="709063ED" w14:textId="355A622B" w:rsidR="00824A45" w:rsidRPr="00824A45" w:rsidRDefault="00824A45">
      <w:pPr>
        <w:pStyle w:val="FootnoteText"/>
        <w:rPr>
          <w:lang w:val="en-GB"/>
        </w:rPr>
      </w:pPr>
      <w:r>
        <w:rPr>
          <w:rStyle w:val="FootnoteReference"/>
        </w:rPr>
        <w:footnoteRef/>
      </w:r>
      <w:r>
        <w:t xml:space="preserve"> </w:t>
      </w:r>
      <w:r>
        <w:rPr>
          <w:lang w:val="en-GB"/>
        </w:rPr>
        <w:t>00303.001 Fisheries New Zealand</w:t>
      </w:r>
    </w:p>
  </w:footnote>
  <w:footnote w:id="386">
    <w:p w14:paraId="1FEBBA2D" w14:textId="725A888F" w:rsidR="000B7CA9" w:rsidRDefault="000B7CA9" w:rsidP="000B7CA9">
      <w:pPr>
        <w:pStyle w:val="FootnoteText"/>
        <w:shd w:val="clear" w:color="auto" w:fill="D9D9D9" w:themeFill="background1" w:themeFillShade="D9"/>
      </w:pPr>
      <w:r>
        <w:rPr>
          <w:rStyle w:val="FootnoteReference"/>
        </w:rPr>
        <w:footnoteRef/>
      </w:r>
      <w:r>
        <w:t xml:space="preserve"> </w:t>
      </w:r>
      <w:r w:rsidRPr="000B7CA9">
        <w:t>Schiel et al. 2006, Sediment on rocky intertidal reefs: Effects on early post-settlement stages of habitat-forming seaweeds,  Journal of Experimental Marine Biology and Ecology 331(2):158-172 (reference provided by Department of Conservation)</w:t>
      </w:r>
    </w:p>
  </w:footnote>
  <w:footnote w:id="387">
    <w:p w14:paraId="3F531FAC" w14:textId="0C978D27" w:rsidR="00F922B7" w:rsidRPr="00184A2E" w:rsidRDefault="00F922B7" w:rsidP="00F922B7">
      <w:pPr>
        <w:pStyle w:val="FootnoteText"/>
      </w:pPr>
      <w:r>
        <w:rPr>
          <w:rStyle w:val="FootnoteReference"/>
        </w:rPr>
        <w:footnoteRef/>
      </w:r>
      <w:r>
        <w:t xml:space="preserve"> </w:t>
      </w:r>
      <w:r w:rsidRPr="00147AF7">
        <w:t>00303.001</w:t>
      </w:r>
      <w:r>
        <w:t xml:space="preserve"> </w:t>
      </w:r>
      <w:r w:rsidRPr="00147AF7">
        <w:t>Fisheries New Zealand</w:t>
      </w:r>
      <w:r>
        <w:t xml:space="preserve">, </w:t>
      </w:r>
      <w:r>
        <w:rPr>
          <w:lang w:val="en-GB"/>
        </w:rPr>
        <w:t>00125.023 Otago Rock Lobster</w:t>
      </w:r>
    </w:p>
  </w:footnote>
  <w:footnote w:id="388">
    <w:p w14:paraId="32721B24" w14:textId="20A9E7DF" w:rsidR="000B7CA9" w:rsidRDefault="000B7CA9" w:rsidP="000B7CA9">
      <w:pPr>
        <w:pStyle w:val="FootnoteText"/>
        <w:shd w:val="clear" w:color="auto" w:fill="D9D9D9" w:themeFill="background1" w:themeFillShade="D9"/>
      </w:pPr>
      <w:r>
        <w:rPr>
          <w:rStyle w:val="FootnoteReference"/>
        </w:rPr>
        <w:footnoteRef/>
      </w:r>
      <w:r>
        <w:t xml:space="preserve"> </w:t>
      </w:r>
      <w:r w:rsidRPr="000B7CA9">
        <w:t>Department of Conservation, 2008, Unpublished data.</w:t>
      </w:r>
    </w:p>
  </w:footnote>
  <w:footnote w:id="389">
    <w:p w14:paraId="44D6B466" w14:textId="788A7895" w:rsidR="00DF781E" w:rsidRPr="00DF781E" w:rsidRDefault="00DF781E">
      <w:pPr>
        <w:pStyle w:val="FootnoteText"/>
        <w:rPr>
          <w:lang w:val="en-GB"/>
        </w:rPr>
      </w:pPr>
      <w:r>
        <w:rPr>
          <w:rStyle w:val="FootnoteReference"/>
        </w:rPr>
        <w:footnoteRef/>
      </w:r>
      <w:r>
        <w:t xml:space="preserve"> </w:t>
      </w:r>
      <w:r>
        <w:rPr>
          <w:lang w:val="en-GB"/>
        </w:rPr>
        <w:t>00125.023 Otago Rock Lobster</w:t>
      </w:r>
    </w:p>
  </w:footnote>
  <w:footnote w:id="390">
    <w:p w14:paraId="05E4AB92" w14:textId="5A5263A0" w:rsidR="00B02DBF" w:rsidRPr="000D59F3" w:rsidRDefault="00B02DBF" w:rsidP="00B02DBF">
      <w:pPr>
        <w:pStyle w:val="FootnoteText"/>
      </w:pPr>
      <w:r>
        <w:rPr>
          <w:rStyle w:val="FootnoteReference"/>
        </w:rPr>
        <w:footnoteRef/>
      </w:r>
      <w:r>
        <w:t xml:space="preserve"> </w:t>
      </w:r>
      <w:r w:rsidRPr="0061600C">
        <w:t xml:space="preserve">00239.026 </w:t>
      </w:r>
      <w:r w:rsidR="00E55F25">
        <w:t>Federated Farmers</w:t>
      </w:r>
    </w:p>
  </w:footnote>
  <w:footnote w:id="391">
    <w:p w14:paraId="3AE03FCC" w14:textId="3422B0B5" w:rsidR="008A5ADF" w:rsidRPr="008A5ADF" w:rsidRDefault="008A5ADF">
      <w:pPr>
        <w:pStyle w:val="FootnoteText"/>
        <w:rPr>
          <w:lang w:val="en-GB"/>
        </w:rPr>
      </w:pPr>
      <w:r>
        <w:rPr>
          <w:rStyle w:val="FootnoteReference"/>
        </w:rPr>
        <w:footnoteRef/>
      </w:r>
      <w:r>
        <w:t xml:space="preserve"> </w:t>
      </w:r>
      <w:r w:rsidRPr="008A522E">
        <w:t xml:space="preserve">00230.026 </w:t>
      </w:r>
      <w:r>
        <w:t>Forest and Bird</w:t>
      </w:r>
    </w:p>
  </w:footnote>
  <w:footnote w:id="392">
    <w:p w14:paraId="38797A63" w14:textId="62D3F1C3" w:rsidR="00EC3CBD" w:rsidRPr="00EC3CBD" w:rsidRDefault="00EC3CBD">
      <w:pPr>
        <w:pStyle w:val="FootnoteText"/>
        <w:rPr>
          <w:lang w:val="en-GB"/>
        </w:rPr>
      </w:pPr>
      <w:r>
        <w:rPr>
          <w:rStyle w:val="FootnoteReference"/>
        </w:rPr>
        <w:footnoteRef/>
      </w:r>
      <w:r>
        <w:t xml:space="preserve"> </w:t>
      </w:r>
      <w:r w:rsidRPr="00EC3CBD">
        <w:t>00411.116 Wayfare</w:t>
      </w:r>
    </w:p>
  </w:footnote>
  <w:footnote w:id="393">
    <w:p w14:paraId="0621E6CC" w14:textId="4FC7CF9E" w:rsidR="008B116E" w:rsidRPr="008B116E" w:rsidRDefault="008B116E">
      <w:pPr>
        <w:pStyle w:val="FootnoteText"/>
        <w:rPr>
          <w:lang w:val="en-GB"/>
        </w:rPr>
      </w:pPr>
      <w:r>
        <w:rPr>
          <w:rStyle w:val="FootnoteReference"/>
        </w:rPr>
        <w:footnoteRef/>
      </w:r>
      <w:r>
        <w:t xml:space="preserve"> </w:t>
      </w:r>
      <w:r w:rsidR="005F5BC5" w:rsidRPr="005F5BC5">
        <w:t>00137.035 DOC</w:t>
      </w:r>
    </w:p>
  </w:footnote>
  <w:footnote w:id="394">
    <w:p w14:paraId="1DBFBFAA" w14:textId="0A4F1009" w:rsidR="00B02DBF" w:rsidRPr="000D59F3" w:rsidRDefault="00B02DBF" w:rsidP="00B02DBF">
      <w:pPr>
        <w:pStyle w:val="FootnoteText"/>
      </w:pPr>
      <w:r>
        <w:rPr>
          <w:rStyle w:val="FootnoteReference"/>
        </w:rPr>
        <w:footnoteRef/>
      </w:r>
      <w:r>
        <w:t xml:space="preserve"> </w:t>
      </w:r>
      <w:r w:rsidRPr="00164DBD">
        <w:t xml:space="preserve">00239.027 </w:t>
      </w:r>
      <w:r w:rsidR="00E55F25">
        <w:t>Federated Farmers</w:t>
      </w:r>
    </w:p>
  </w:footnote>
  <w:footnote w:id="395">
    <w:p w14:paraId="0F6DA51A" w14:textId="7716498D" w:rsidR="000B7CA9" w:rsidRDefault="000B7CA9" w:rsidP="000B7CA9">
      <w:pPr>
        <w:pStyle w:val="FootnoteText"/>
        <w:shd w:val="clear" w:color="auto" w:fill="D9D9D9" w:themeFill="background1" w:themeFillShade="D9"/>
      </w:pPr>
      <w:r>
        <w:rPr>
          <w:rStyle w:val="FootnoteReference"/>
        </w:rPr>
        <w:footnoteRef/>
      </w:r>
      <w:r>
        <w:t xml:space="preserve"> </w:t>
      </w:r>
      <w:r w:rsidRPr="000B7CA9">
        <w:t>ORC Committee Report, RPS Consultation Summary, ORC Agenda 27 May 2020</w:t>
      </w:r>
    </w:p>
  </w:footnote>
  <w:footnote w:id="396">
    <w:p w14:paraId="41DB9A35" w14:textId="77777777" w:rsidR="009E1833" w:rsidRPr="007B4D7D" w:rsidRDefault="009E1833" w:rsidP="009E1833">
      <w:pPr>
        <w:pStyle w:val="FootnoteText"/>
        <w:rPr>
          <w:lang w:val="en-GB"/>
        </w:rPr>
      </w:pPr>
      <w:r>
        <w:rPr>
          <w:rStyle w:val="FootnoteReference"/>
        </w:rPr>
        <w:footnoteRef/>
      </w:r>
      <w:r>
        <w:t xml:space="preserve"> </w:t>
      </w:r>
      <w:r w:rsidRPr="0076144E">
        <w:t>00223.047 Ngāi Tahu ki Murihiku</w:t>
      </w:r>
    </w:p>
  </w:footnote>
  <w:footnote w:id="397">
    <w:p w14:paraId="0AE19256" w14:textId="6A7ECFC7" w:rsidR="008F1534" w:rsidRPr="008F1534" w:rsidRDefault="008F1534">
      <w:pPr>
        <w:pStyle w:val="FootnoteText"/>
        <w:rPr>
          <w:lang w:val="en-GB"/>
        </w:rPr>
      </w:pPr>
      <w:r>
        <w:rPr>
          <w:rStyle w:val="FootnoteReference"/>
        </w:rPr>
        <w:footnoteRef/>
      </w:r>
      <w:r>
        <w:t xml:space="preserve"> </w:t>
      </w:r>
      <w:r>
        <w:rPr>
          <w:lang w:val="en-GB"/>
        </w:rPr>
        <w:t xml:space="preserve">00230.020 </w:t>
      </w:r>
      <w:r>
        <w:t>Forest and Bird</w:t>
      </w:r>
    </w:p>
  </w:footnote>
  <w:footnote w:id="398">
    <w:p w14:paraId="6028ADC1" w14:textId="3C6C0CB4" w:rsidR="00B02DBF" w:rsidRPr="000D59F3" w:rsidRDefault="00B02DBF" w:rsidP="00B02DBF">
      <w:pPr>
        <w:pStyle w:val="FootnoteText"/>
      </w:pPr>
      <w:r>
        <w:rPr>
          <w:rStyle w:val="FootnoteReference"/>
        </w:rPr>
        <w:footnoteRef/>
      </w:r>
      <w:r>
        <w:t xml:space="preserve"> </w:t>
      </w:r>
      <w:r w:rsidRPr="00C20BAF">
        <w:t>00120.022</w:t>
      </w:r>
      <w:r>
        <w:t xml:space="preserve"> </w:t>
      </w:r>
      <w:r w:rsidRPr="00C20BAF">
        <w:t>Yellow</w:t>
      </w:r>
      <w:r w:rsidR="00775F20">
        <w:t>-</w:t>
      </w:r>
      <w:r w:rsidRPr="00C20BAF">
        <w:t>eyed Penguin Trust</w:t>
      </w:r>
    </w:p>
  </w:footnote>
  <w:footnote w:id="399">
    <w:p w14:paraId="139EAC84" w14:textId="77777777" w:rsidR="00B02DBF" w:rsidRPr="000D59F3" w:rsidRDefault="00B02DBF" w:rsidP="00B02DBF">
      <w:pPr>
        <w:pStyle w:val="FootnoteText"/>
      </w:pPr>
      <w:r>
        <w:rPr>
          <w:rStyle w:val="FootnoteReference"/>
        </w:rPr>
        <w:footnoteRef/>
      </w:r>
      <w:r>
        <w:t xml:space="preserve"> </w:t>
      </w:r>
      <w:r w:rsidRPr="00807799">
        <w:t>00411.118 Wayfare Group Ltd</w:t>
      </w:r>
    </w:p>
  </w:footnote>
  <w:footnote w:id="400">
    <w:p w14:paraId="494D10E7" w14:textId="77777777" w:rsidR="00B02DBF" w:rsidRDefault="00B02DBF" w:rsidP="00B02DBF">
      <w:pPr>
        <w:pStyle w:val="FootnoteText"/>
      </w:pPr>
      <w:r w:rsidRPr="477F9F17">
        <w:rPr>
          <w:rStyle w:val="FootnoteReference"/>
        </w:rPr>
        <w:footnoteRef/>
      </w:r>
      <w:r>
        <w:t xml:space="preserve"> </w:t>
      </w:r>
      <w:r w:rsidRPr="00BB2733">
        <w:rPr>
          <w:szCs w:val="18"/>
        </w:rPr>
        <w:t>00226.024 Kāi Tahu ki Otago</w:t>
      </w:r>
    </w:p>
  </w:footnote>
  <w:footnote w:id="401">
    <w:p w14:paraId="1CFFD308" w14:textId="02B3BC84" w:rsidR="006D3E45" w:rsidRPr="006D3E45" w:rsidRDefault="006D3E45">
      <w:pPr>
        <w:pStyle w:val="FootnoteText"/>
        <w:rPr>
          <w:lang w:val="en-GB"/>
        </w:rPr>
      </w:pPr>
      <w:r>
        <w:rPr>
          <w:rStyle w:val="FootnoteReference"/>
        </w:rPr>
        <w:footnoteRef/>
      </w:r>
      <w:r>
        <w:t xml:space="preserve"> </w:t>
      </w:r>
      <w:r w:rsidR="00B47616">
        <w:t>00411.120 Wayfare</w:t>
      </w:r>
    </w:p>
  </w:footnote>
  <w:footnote w:id="402">
    <w:p w14:paraId="2C8E5CAA" w14:textId="77777777" w:rsidR="00B02DBF" w:rsidRDefault="00B02DBF" w:rsidP="00B02DBF">
      <w:pPr>
        <w:pStyle w:val="FootnoteText"/>
      </w:pPr>
      <w:r w:rsidRPr="477F9F17">
        <w:rPr>
          <w:rStyle w:val="FootnoteReference"/>
        </w:rPr>
        <w:footnoteRef/>
      </w:r>
      <w:r>
        <w:t xml:space="preserve"> </w:t>
      </w:r>
      <w:r w:rsidRPr="00BB2733">
        <w:rPr>
          <w:szCs w:val="18"/>
        </w:rPr>
        <w:t>00226.024 Kāi Tahu ki Otago</w:t>
      </w:r>
    </w:p>
  </w:footnote>
  <w:footnote w:id="403">
    <w:p w14:paraId="5884C1FB" w14:textId="02A7D980" w:rsidR="00BB2733" w:rsidRDefault="00BB2733" w:rsidP="00BB2733">
      <w:pPr>
        <w:pStyle w:val="FootnoteText"/>
        <w:shd w:val="clear" w:color="auto" w:fill="D9D9D9" w:themeFill="background1" w:themeFillShade="D9"/>
      </w:pPr>
      <w:r>
        <w:rPr>
          <w:rStyle w:val="FootnoteReference"/>
        </w:rPr>
        <w:footnoteRef/>
      </w:r>
      <w:r>
        <w:t xml:space="preserve"> </w:t>
      </w:r>
      <w:r w:rsidRPr="00BB2733">
        <w:t>Infometrics online database (February 2021)</w:t>
      </w:r>
    </w:p>
  </w:footnote>
  <w:footnote w:id="404">
    <w:p w14:paraId="206A6B91" w14:textId="46529764" w:rsidR="00BB2733" w:rsidRDefault="00BB2733" w:rsidP="00BB2733">
      <w:pPr>
        <w:pStyle w:val="FootnoteText"/>
        <w:shd w:val="clear" w:color="auto" w:fill="D9D9D9" w:themeFill="background1" w:themeFillShade="D9"/>
      </w:pPr>
      <w:r>
        <w:rPr>
          <w:rStyle w:val="FootnoteReference"/>
        </w:rPr>
        <w:footnoteRef/>
      </w:r>
      <w:r>
        <w:t xml:space="preserve"> </w:t>
      </w:r>
      <w:r w:rsidRPr="00BB2733">
        <w:t>Queenstown-Lakes District Council demand projections by Utility</w:t>
      </w:r>
    </w:p>
  </w:footnote>
  <w:footnote w:id="405">
    <w:p w14:paraId="65A731D5" w14:textId="764AD48A" w:rsidR="00BB2733" w:rsidRDefault="00BB2733" w:rsidP="00BB2733">
      <w:pPr>
        <w:pStyle w:val="FootnoteText"/>
        <w:shd w:val="clear" w:color="auto" w:fill="D9D9D9" w:themeFill="background1" w:themeFillShade="D9"/>
      </w:pPr>
      <w:r>
        <w:rPr>
          <w:rStyle w:val="FootnoteReference"/>
        </w:rPr>
        <w:footnoteRef/>
      </w:r>
      <w:r>
        <w:t xml:space="preserve"> </w:t>
      </w:r>
      <w:r w:rsidRPr="00BB2733">
        <w:t>Infometrics online database; (February 2021)</w:t>
      </w:r>
    </w:p>
  </w:footnote>
  <w:footnote w:id="406">
    <w:p w14:paraId="6C85AB10" w14:textId="77777777" w:rsidR="00B02DBF" w:rsidRDefault="00B02DBF" w:rsidP="00B02DBF">
      <w:pPr>
        <w:pStyle w:val="FootnoteText"/>
      </w:pPr>
      <w:r w:rsidRPr="477F9F17">
        <w:rPr>
          <w:rStyle w:val="FootnoteReference"/>
        </w:rPr>
        <w:footnoteRef/>
      </w:r>
      <w:r>
        <w:t xml:space="preserve"> </w:t>
      </w:r>
      <w:r w:rsidRPr="00BB2733">
        <w:rPr>
          <w:szCs w:val="18"/>
        </w:rPr>
        <w:t>00226.024 Kāi Tahu ki Otago</w:t>
      </w:r>
    </w:p>
  </w:footnote>
  <w:footnote w:id="407">
    <w:p w14:paraId="177937AA" w14:textId="5E6360EE" w:rsidR="00BB2733" w:rsidRDefault="00BB2733" w:rsidP="00BB2733">
      <w:pPr>
        <w:pStyle w:val="FootnoteText"/>
        <w:shd w:val="clear" w:color="auto" w:fill="D9D9D9" w:themeFill="background1" w:themeFillShade="D9"/>
      </w:pPr>
      <w:r>
        <w:rPr>
          <w:rStyle w:val="FootnoteReference"/>
        </w:rPr>
        <w:footnoteRef/>
      </w:r>
      <w:r>
        <w:t xml:space="preserve"> </w:t>
      </w:r>
      <w:r w:rsidRPr="00BB2733">
        <w:t xml:space="preserve">Land, Air, Water, Aotearoa: </w:t>
      </w:r>
      <w:hyperlink r:id="rId12" w:history="1">
        <w:r w:rsidRPr="005F39B4">
          <w:rPr>
            <w:rStyle w:val="Hyperlink"/>
          </w:rPr>
          <w:t>https://www.lawa.org.nz/explore-data/otago-region/</w:t>
        </w:r>
      </w:hyperlink>
      <w:r>
        <w:t xml:space="preserve"> </w:t>
      </w:r>
      <w:r w:rsidRPr="00BB2733">
        <w:t>(accessed 26 May 2021).</w:t>
      </w:r>
    </w:p>
  </w:footnote>
  <w:footnote w:id="408">
    <w:p w14:paraId="32159AF6" w14:textId="77777777" w:rsidR="00B02DBF" w:rsidRPr="000D59F3" w:rsidRDefault="00B02DBF" w:rsidP="00B02DBF">
      <w:pPr>
        <w:pStyle w:val="FootnoteText"/>
      </w:pPr>
      <w:r>
        <w:rPr>
          <w:rStyle w:val="FootnoteReference"/>
        </w:rPr>
        <w:footnoteRef/>
      </w:r>
      <w:r>
        <w:t xml:space="preserve"> </w:t>
      </w:r>
      <w:r w:rsidRPr="00F77053">
        <w:t>00235.051 OWRUG</w:t>
      </w:r>
    </w:p>
  </w:footnote>
  <w:footnote w:id="409">
    <w:p w14:paraId="5B66F2F4" w14:textId="574D06C4" w:rsidR="00121803" w:rsidRPr="003A169F" w:rsidRDefault="00121803">
      <w:pPr>
        <w:pStyle w:val="FootnoteText"/>
      </w:pPr>
      <w:r>
        <w:rPr>
          <w:rStyle w:val="FootnoteReference"/>
        </w:rPr>
        <w:footnoteRef/>
      </w:r>
      <w:r>
        <w:t xml:space="preserve"> </w:t>
      </w:r>
      <w:r w:rsidR="003A169F" w:rsidRPr="0013529E">
        <w:t>00206.089</w:t>
      </w:r>
      <w:r w:rsidR="003A169F">
        <w:t xml:space="preserve"> Trojan, </w:t>
      </w:r>
      <w:r w:rsidR="003A169F" w:rsidRPr="00B717CB">
        <w:t>00411.122</w:t>
      </w:r>
      <w:r w:rsidR="003A169F">
        <w:t xml:space="preserve"> Wayfare</w:t>
      </w:r>
    </w:p>
  </w:footnote>
  <w:footnote w:id="410">
    <w:p w14:paraId="449D0063" w14:textId="77777777" w:rsidR="00BB2733" w:rsidRPr="000D59F3" w:rsidRDefault="00BB2733" w:rsidP="00BB2733">
      <w:pPr>
        <w:pStyle w:val="FootnoteText"/>
      </w:pPr>
      <w:r>
        <w:rPr>
          <w:rStyle w:val="FootnoteReference"/>
        </w:rPr>
        <w:footnoteRef/>
      </w:r>
      <w:r>
        <w:t xml:space="preserve"> </w:t>
      </w:r>
      <w:r w:rsidRPr="00F77053">
        <w:t>00235.051 OWRUG</w:t>
      </w:r>
    </w:p>
  </w:footnote>
  <w:footnote w:id="411">
    <w:p w14:paraId="536D41AE" w14:textId="77777777" w:rsidR="00B40089" w:rsidRPr="000D59F3" w:rsidRDefault="00B40089" w:rsidP="00B40089">
      <w:pPr>
        <w:pStyle w:val="FootnoteText"/>
      </w:pPr>
      <w:r>
        <w:rPr>
          <w:rStyle w:val="FootnoteReference"/>
        </w:rPr>
        <w:footnoteRef/>
      </w:r>
      <w:r>
        <w:t xml:space="preserve"> </w:t>
      </w:r>
      <w:r w:rsidRPr="00807799">
        <w:t>00206.090</w:t>
      </w:r>
      <w:r>
        <w:t xml:space="preserve"> </w:t>
      </w:r>
      <w:r w:rsidRPr="00807799">
        <w:t>Trojan</w:t>
      </w:r>
      <w:r>
        <w:t xml:space="preserve">, </w:t>
      </w:r>
      <w:r w:rsidRPr="00B717CB">
        <w:t>00411.123</w:t>
      </w:r>
      <w:r>
        <w:t xml:space="preserve"> </w:t>
      </w:r>
      <w:r w:rsidRPr="00B717CB">
        <w:t xml:space="preserve">Wayfare </w:t>
      </w:r>
    </w:p>
  </w:footnote>
  <w:footnote w:id="412">
    <w:p w14:paraId="35093283" w14:textId="3020771C" w:rsidR="004B5921" w:rsidRPr="004B5921" w:rsidRDefault="004B5921">
      <w:pPr>
        <w:pStyle w:val="FootnoteText"/>
        <w:rPr>
          <w:lang w:val="mi-NZ"/>
        </w:rPr>
      </w:pPr>
      <w:r>
        <w:rPr>
          <w:rStyle w:val="FootnoteReference"/>
        </w:rPr>
        <w:footnoteRef/>
      </w:r>
      <w:r>
        <w:t xml:space="preserve"> </w:t>
      </w:r>
      <w:r w:rsidR="00254F45">
        <w:t xml:space="preserve">00020.005 </w:t>
      </w:r>
      <w:r w:rsidR="00775F20">
        <w:rPr>
          <w:lang w:val="mi-NZ"/>
        </w:rPr>
        <w:t>Rayonier Matariki</w:t>
      </w:r>
    </w:p>
  </w:footnote>
  <w:footnote w:id="413">
    <w:p w14:paraId="202E0772" w14:textId="7520427D" w:rsidR="00D31962" w:rsidRDefault="00D31962">
      <w:pPr>
        <w:pStyle w:val="FootnoteText"/>
      </w:pPr>
      <w:r>
        <w:rPr>
          <w:rStyle w:val="FootnoteReference"/>
        </w:rPr>
        <w:footnoteRef/>
      </w:r>
      <w:r>
        <w:t xml:space="preserve"> </w:t>
      </w:r>
      <w:r w:rsidRPr="00E14B9B">
        <w:t>Clause 16(2), Schedule 1, RMA</w:t>
      </w:r>
    </w:p>
  </w:footnote>
  <w:footnote w:id="414">
    <w:p w14:paraId="03A16B43" w14:textId="77777777" w:rsidR="003A2F40" w:rsidRPr="000D59F3" w:rsidRDefault="003A2F40" w:rsidP="003A2F40">
      <w:pPr>
        <w:pStyle w:val="FootnoteText"/>
      </w:pPr>
      <w:r>
        <w:rPr>
          <w:rStyle w:val="FootnoteReference"/>
        </w:rPr>
        <w:footnoteRef/>
      </w:r>
      <w:r>
        <w:t xml:space="preserve"> </w:t>
      </w:r>
      <w:r w:rsidRPr="000B1F05">
        <w:t>00126.001</w:t>
      </w:r>
      <w:r>
        <w:t xml:space="preserve"> </w:t>
      </w:r>
      <w:r w:rsidRPr="000B1F05">
        <w:t>Harbour Fish, Southern Fantastic and Fantastic Holdings</w:t>
      </w:r>
      <w:r>
        <w:t xml:space="preserve">, </w:t>
      </w:r>
      <w:r w:rsidRPr="00473722">
        <w:t>00124.001</w:t>
      </w:r>
      <w:r>
        <w:t xml:space="preserve"> </w:t>
      </w:r>
      <w:r w:rsidRPr="00473722">
        <w:t>Southern Inshore Fisheries Management Company Limited</w:t>
      </w:r>
    </w:p>
  </w:footnote>
  <w:footnote w:id="415">
    <w:p w14:paraId="2DC3A8E4" w14:textId="0F086C42" w:rsidR="007F28D7" w:rsidRDefault="007F28D7">
      <w:pPr>
        <w:pStyle w:val="FootnoteText"/>
      </w:pPr>
      <w:r w:rsidRPr="007F28D7">
        <w:rPr>
          <w:rStyle w:val="FootnoteReference"/>
          <w:shd w:val="clear" w:color="auto" w:fill="D9D9D9" w:themeFill="background1" w:themeFillShade="D9"/>
        </w:rPr>
        <w:footnoteRef/>
      </w:r>
      <w:r w:rsidRPr="007F28D7">
        <w:rPr>
          <w:shd w:val="clear" w:color="auto" w:fill="D9D9D9" w:themeFill="background1" w:themeFillShade="D9"/>
        </w:rPr>
        <w:t xml:space="preserve"> Infometrics, August 2020.</w:t>
      </w:r>
    </w:p>
  </w:footnote>
  <w:footnote w:id="416">
    <w:p w14:paraId="48950D77" w14:textId="4A40111E" w:rsidR="007F28D7" w:rsidRDefault="007F28D7">
      <w:pPr>
        <w:pStyle w:val="FootnoteText"/>
      </w:pPr>
      <w:r w:rsidRPr="007F28D7">
        <w:rPr>
          <w:rStyle w:val="FootnoteReference"/>
          <w:shd w:val="clear" w:color="auto" w:fill="D9D9D9" w:themeFill="background1" w:themeFillShade="D9"/>
        </w:rPr>
        <w:footnoteRef/>
      </w:r>
      <w:r w:rsidRPr="007F28D7">
        <w:rPr>
          <w:shd w:val="clear" w:color="auto" w:fill="D9D9D9" w:themeFill="background1" w:themeFillShade="D9"/>
        </w:rPr>
        <w:t xml:space="preserve"> </w:t>
      </w:r>
      <w:hyperlink r:id="rId13" w:history="1">
        <w:r w:rsidRPr="007F28D7">
          <w:rPr>
            <w:rStyle w:val="Hyperlink"/>
            <w:shd w:val="clear" w:color="auto" w:fill="D9D9D9" w:themeFill="background1" w:themeFillShade="D9"/>
          </w:rPr>
          <w:t>https://www.orc.govt.nz/media/8882/community-consultation-summary-report-draft.pdf</w:t>
        </w:r>
      </w:hyperlink>
      <w:r w:rsidRPr="007F28D7">
        <w:rPr>
          <w:shd w:val="clear" w:color="auto" w:fill="D9D9D9" w:themeFill="background1" w:themeFillShade="D9"/>
        </w:rPr>
        <w:t xml:space="preserve"> (accessed 26 May 2021)</w:t>
      </w:r>
    </w:p>
  </w:footnote>
  <w:footnote w:id="417">
    <w:p w14:paraId="2DCB7FB4" w14:textId="09BB0F81" w:rsidR="00A873AE" w:rsidRDefault="00A873AE">
      <w:pPr>
        <w:pStyle w:val="FootnoteText"/>
      </w:pPr>
      <w:r>
        <w:rPr>
          <w:rStyle w:val="FootnoteReference"/>
        </w:rPr>
        <w:footnoteRef/>
      </w:r>
      <w:r>
        <w:t xml:space="preserve"> </w:t>
      </w:r>
      <w:r w:rsidR="00592C38" w:rsidRPr="00473722">
        <w:t>00206.093</w:t>
      </w:r>
      <w:r w:rsidR="00592C38">
        <w:t xml:space="preserve"> Trojan, </w:t>
      </w:r>
      <w:r w:rsidR="00592C38" w:rsidRPr="009727FF">
        <w:t>00411.126</w:t>
      </w:r>
      <w:r w:rsidR="00592C38">
        <w:t xml:space="preserve"> Wayfare</w:t>
      </w:r>
    </w:p>
  </w:footnote>
  <w:footnote w:id="418">
    <w:p w14:paraId="76FD9208" w14:textId="7702867B" w:rsidR="00FD76DB" w:rsidRDefault="00FD76DB" w:rsidP="00FD76DB">
      <w:pPr>
        <w:pStyle w:val="FootnoteText"/>
        <w:shd w:val="clear" w:color="auto" w:fill="D9D9D9" w:themeFill="background1" w:themeFillShade="D9"/>
      </w:pPr>
      <w:r>
        <w:rPr>
          <w:rStyle w:val="FootnoteReference"/>
        </w:rPr>
        <w:footnoteRef/>
      </w:r>
      <w:r>
        <w:t xml:space="preserve"> </w:t>
      </w:r>
      <w:hyperlink r:id="rId14" w:history="1">
        <w:r w:rsidRPr="005F39B4">
          <w:rPr>
            <w:rStyle w:val="Hyperlink"/>
          </w:rPr>
          <w:t>https://www.civildefence.govt.nz/cdem-sector/plans-and-strategies/national-disaster-resilience-strategy/national-disaster-resilience-strategy-summary-version/</w:t>
        </w:r>
      </w:hyperlink>
      <w:r>
        <w:t xml:space="preserve"> </w:t>
      </w:r>
      <w:r w:rsidRPr="00FD76DB">
        <w:t>(accessed 26 May 2021)</w:t>
      </w:r>
    </w:p>
  </w:footnote>
  <w:footnote w:id="419">
    <w:p w14:paraId="0134235A" w14:textId="77777777" w:rsidR="00B02DBF" w:rsidRDefault="00B02DBF" w:rsidP="00B02DBF">
      <w:pPr>
        <w:pStyle w:val="FootnoteText"/>
      </w:pPr>
      <w:r w:rsidRPr="3B9DAE8C">
        <w:rPr>
          <w:rStyle w:val="FootnoteReference"/>
        </w:rPr>
        <w:footnoteRef/>
      </w:r>
      <w:r>
        <w:t xml:space="preserve"> 00231.009 Fish and Game</w:t>
      </w:r>
    </w:p>
  </w:footnote>
  <w:footnote w:id="420">
    <w:p w14:paraId="4515726C" w14:textId="45518FE5" w:rsidR="00673AB3" w:rsidRDefault="00673AB3">
      <w:pPr>
        <w:pStyle w:val="FootnoteText"/>
      </w:pPr>
      <w:r w:rsidRPr="00673AB3">
        <w:rPr>
          <w:rStyle w:val="FootnoteReference"/>
          <w:shd w:val="clear" w:color="auto" w:fill="D9D9D9" w:themeFill="background1" w:themeFillShade="D9"/>
        </w:rPr>
        <w:footnoteRef/>
      </w:r>
      <w:r w:rsidRPr="00673AB3">
        <w:rPr>
          <w:shd w:val="clear" w:color="auto" w:fill="D9D9D9" w:themeFill="background1" w:themeFillShade="D9"/>
        </w:rPr>
        <w:t xml:space="preserve"> </w:t>
      </w:r>
      <w:hyperlink r:id="rId15" w:history="1">
        <w:r w:rsidRPr="00673AB3">
          <w:rPr>
            <w:rStyle w:val="Hyperlink"/>
            <w:shd w:val="clear" w:color="auto" w:fill="D9D9D9" w:themeFill="background1" w:themeFillShade="D9"/>
          </w:rPr>
          <w:t>https://par.nsf.gov/servlets/purl/10047476</w:t>
        </w:r>
      </w:hyperlink>
      <w:r w:rsidRPr="00673AB3">
        <w:rPr>
          <w:shd w:val="clear" w:color="auto" w:fill="D9D9D9" w:themeFill="background1" w:themeFillShade="D9"/>
        </w:rPr>
        <w:t xml:space="preserve"> (accessed 26 May 2021)</w:t>
      </w:r>
    </w:p>
  </w:footnote>
  <w:footnote w:id="421">
    <w:p w14:paraId="4FB6A8D9" w14:textId="77777777" w:rsidR="00FF5C26" w:rsidRDefault="00FF5C26" w:rsidP="00FF5C26">
      <w:pPr>
        <w:pStyle w:val="FootnoteText"/>
      </w:pPr>
      <w:r>
        <w:rPr>
          <w:rStyle w:val="FootnoteReference"/>
        </w:rPr>
        <w:footnoteRef/>
      </w:r>
      <w:r>
        <w:t xml:space="preserve"> </w:t>
      </w:r>
      <w:r w:rsidRPr="0029576C">
        <w:t>Clause 10(2)(b)(i) – consequential amendment arising from 00226.038 Kāi Tahu ki Otago</w:t>
      </w:r>
    </w:p>
  </w:footnote>
  <w:footnote w:id="422">
    <w:p w14:paraId="696B7EC2" w14:textId="77777777" w:rsidR="00980359" w:rsidRDefault="00980359" w:rsidP="00980359">
      <w:pPr>
        <w:pStyle w:val="FootnoteText"/>
      </w:pPr>
      <w:r>
        <w:rPr>
          <w:rStyle w:val="FootnoteReference"/>
        </w:rPr>
        <w:footnoteRef/>
      </w:r>
      <w:r>
        <w:t xml:space="preserve"> </w:t>
      </w:r>
      <w:r w:rsidRPr="0029576C">
        <w:t>Clause 10(2)(b)(i) – consequential amendment arising from 00226.038 Kāi Tahu ki Otago</w:t>
      </w:r>
    </w:p>
  </w:footnote>
  <w:footnote w:id="423">
    <w:p w14:paraId="6168AA7D" w14:textId="77777777" w:rsidR="00980359" w:rsidRDefault="00980359" w:rsidP="00980359">
      <w:pPr>
        <w:pStyle w:val="FootnoteText"/>
      </w:pPr>
      <w:r>
        <w:rPr>
          <w:rStyle w:val="FootnoteReference"/>
        </w:rPr>
        <w:footnoteRef/>
      </w:r>
      <w:r>
        <w:t xml:space="preserve"> </w:t>
      </w:r>
      <w:r w:rsidRPr="0029576C">
        <w:t>Clause 10(2)(b)(i) – consequential amendment arising from 00226.038 Kāi Tahu ki Otago</w:t>
      </w:r>
    </w:p>
  </w:footnote>
  <w:footnote w:id="424">
    <w:p w14:paraId="7FA1C935" w14:textId="77777777" w:rsidR="00494790" w:rsidRDefault="00494790" w:rsidP="00494790">
      <w:pPr>
        <w:pStyle w:val="FootnoteText"/>
      </w:pPr>
      <w:r>
        <w:rPr>
          <w:rStyle w:val="FootnoteReference"/>
        </w:rPr>
        <w:footnoteRef/>
      </w:r>
      <w:r>
        <w:t xml:space="preserve"> </w:t>
      </w:r>
      <w:r w:rsidRPr="0029576C">
        <w:t>Clause 10(2)(b)(i) – consequential amendment arising from 00226.038 Kāi Tahu ki Otago</w:t>
      </w:r>
    </w:p>
  </w:footnote>
  <w:footnote w:id="425">
    <w:p w14:paraId="042A918E" w14:textId="77777777" w:rsidR="00B90EDC" w:rsidRDefault="00B90EDC" w:rsidP="00B90EDC">
      <w:pPr>
        <w:pStyle w:val="FootnoteText"/>
      </w:pPr>
      <w:r>
        <w:rPr>
          <w:rStyle w:val="FootnoteReference"/>
        </w:rPr>
        <w:footnoteRef/>
      </w:r>
      <w:r>
        <w:t xml:space="preserve"> </w:t>
      </w:r>
      <w:r w:rsidRPr="0029576C">
        <w:t>Clause 10(2)(b)(i) – consequential amendment arising from 00226.038 Kāi Tahu ki Otago</w:t>
      </w:r>
    </w:p>
  </w:footnote>
  <w:footnote w:id="426">
    <w:p w14:paraId="51E70BD4" w14:textId="77777777" w:rsidR="00B90EDC" w:rsidRDefault="00B90EDC" w:rsidP="00B90EDC">
      <w:pPr>
        <w:pStyle w:val="FootnoteText"/>
      </w:pPr>
      <w:r>
        <w:rPr>
          <w:rStyle w:val="FootnoteReference"/>
        </w:rPr>
        <w:footnoteRef/>
      </w:r>
      <w:r>
        <w:t xml:space="preserve"> </w:t>
      </w:r>
      <w:r w:rsidRPr="0029576C">
        <w:t>Clause 10(2)(b)(i) – consequential amendment arising from 00226.038 Kāi Tahu ki Otago</w:t>
      </w:r>
    </w:p>
  </w:footnote>
  <w:footnote w:id="427">
    <w:p w14:paraId="1EC332AE" w14:textId="77777777" w:rsidR="00B90EDC" w:rsidRDefault="00B90EDC" w:rsidP="00B90EDC">
      <w:pPr>
        <w:pStyle w:val="FootnoteText"/>
      </w:pPr>
      <w:r>
        <w:rPr>
          <w:rStyle w:val="FootnoteReference"/>
        </w:rPr>
        <w:footnoteRef/>
      </w:r>
      <w:r>
        <w:t xml:space="preserve"> </w:t>
      </w:r>
      <w:r w:rsidRPr="0029576C">
        <w:t>Clause 10(2)(b)(i) – consequential amendment arising from 00226.038 Kāi Tahu ki Otago</w:t>
      </w:r>
    </w:p>
  </w:footnote>
  <w:footnote w:id="428">
    <w:p w14:paraId="4B9B7F8C" w14:textId="77777777" w:rsidR="00B90EDC" w:rsidRDefault="00B90EDC" w:rsidP="00B90EDC">
      <w:pPr>
        <w:pStyle w:val="FootnoteText"/>
      </w:pPr>
      <w:r>
        <w:rPr>
          <w:rStyle w:val="FootnoteReference"/>
        </w:rPr>
        <w:footnoteRef/>
      </w:r>
      <w:r>
        <w:t xml:space="preserve"> </w:t>
      </w:r>
      <w:r w:rsidRPr="0029576C">
        <w:t>Clause 10(2)(b)(i) – consequential amendment arising from 00226.038 Kāi Tahu ki Otago</w:t>
      </w:r>
    </w:p>
  </w:footnote>
  <w:footnote w:id="429">
    <w:p w14:paraId="2B4158D9" w14:textId="77777777" w:rsidR="00964DFA" w:rsidRDefault="00964DFA" w:rsidP="00964DFA">
      <w:pPr>
        <w:pStyle w:val="FootnoteText"/>
      </w:pPr>
      <w:r>
        <w:rPr>
          <w:rStyle w:val="FootnoteReference"/>
        </w:rPr>
        <w:footnoteRef/>
      </w:r>
      <w:r>
        <w:t xml:space="preserve"> </w:t>
      </w:r>
      <w:r w:rsidRPr="0029576C">
        <w:t>Clause 10(2)(b)(i) – consequential amendment arising from 00226.038 Kāi Tahu ki Otago</w:t>
      </w:r>
    </w:p>
  </w:footnote>
  <w:footnote w:id="430">
    <w:p w14:paraId="6FD83285" w14:textId="77777777" w:rsidR="006215AA" w:rsidRDefault="006215AA" w:rsidP="006215AA">
      <w:pPr>
        <w:pStyle w:val="FootnoteText"/>
      </w:pPr>
      <w:r>
        <w:rPr>
          <w:rStyle w:val="FootnoteReference"/>
        </w:rPr>
        <w:footnoteRef/>
      </w:r>
      <w:r>
        <w:t xml:space="preserve"> </w:t>
      </w:r>
      <w:r w:rsidRPr="0029576C">
        <w:t>Clause 10(2)(b)(i) – consequential amendment arising from 00226.038 Kāi Tahu ki Otago</w:t>
      </w:r>
    </w:p>
  </w:footnote>
  <w:footnote w:id="431">
    <w:p w14:paraId="7E3BFD3C" w14:textId="77777777" w:rsidR="00B02DBF" w:rsidRDefault="00B02DBF" w:rsidP="00B02DBF">
      <w:pPr>
        <w:pStyle w:val="FootnoteText"/>
      </w:pPr>
      <w:r>
        <w:rPr>
          <w:rStyle w:val="FootnoteReference"/>
        </w:rPr>
        <w:footnoteRef/>
      </w:r>
      <w:r>
        <w:t xml:space="preserve"> </w:t>
      </w:r>
      <w:r w:rsidRPr="00DC0622">
        <w:t>00223.049</w:t>
      </w:r>
      <w:r>
        <w:t xml:space="preserve"> Ngāi Tahu ki Murihiku</w:t>
      </w:r>
    </w:p>
  </w:footnote>
  <w:footnote w:id="432">
    <w:p w14:paraId="224021B3" w14:textId="77777777" w:rsidR="006215AA" w:rsidRDefault="006215AA" w:rsidP="006215AA">
      <w:pPr>
        <w:pStyle w:val="FootnoteText"/>
      </w:pPr>
      <w:r>
        <w:rPr>
          <w:rStyle w:val="FootnoteReference"/>
        </w:rPr>
        <w:footnoteRef/>
      </w:r>
      <w:r>
        <w:t xml:space="preserve"> </w:t>
      </w:r>
      <w:r w:rsidRPr="0029576C">
        <w:t>Clause 10(2)(b)(i) – consequential amendment arising from 00226.038 Kāi Tahu ki Otago</w:t>
      </w:r>
    </w:p>
  </w:footnote>
  <w:footnote w:id="433">
    <w:p w14:paraId="5E6ED7A3" w14:textId="77777777" w:rsidR="00B02DBF" w:rsidRDefault="00B02DBF" w:rsidP="00B02DBF">
      <w:pPr>
        <w:pStyle w:val="FootnoteText"/>
      </w:pPr>
      <w:r>
        <w:rPr>
          <w:rStyle w:val="FootnoteReference"/>
        </w:rPr>
        <w:footnoteRef/>
      </w:r>
      <w:r>
        <w:t xml:space="preserve"> </w:t>
      </w:r>
      <w:r w:rsidRPr="00DC0622">
        <w:t>00226.064</w:t>
      </w:r>
      <w:r>
        <w:t xml:space="preserve"> </w:t>
      </w:r>
      <w:r w:rsidRPr="00DC0622">
        <w:rPr>
          <w:bCs/>
        </w:rPr>
        <w:t>Kāi Tahu ki Otago</w:t>
      </w:r>
    </w:p>
  </w:footnote>
  <w:footnote w:id="434">
    <w:p w14:paraId="1432BBDC" w14:textId="77777777" w:rsidR="009A634A" w:rsidRDefault="009A634A" w:rsidP="009A634A">
      <w:pPr>
        <w:pStyle w:val="FootnoteText"/>
      </w:pPr>
      <w:r>
        <w:rPr>
          <w:rStyle w:val="FootnoteReference"/>
        </w:rPr>
        <w:footnoteRef/>
      </w:r>
      <w:r>
        <w:t xml:space="preserve"> </w:t>
      </w:r>
      <w:r w:rsidRPr="0029576C">
        <w:t>Clause 10(2)(b)(i) – consequential amendment arising from 00226.038 Kāi Tahu ki Otago</w:t>
      </w:r>
    </w:p>
  </w:footnote>
  <w:footnote w:id="435">
    <w:p w14:paraId="2091733C" w14:textId="77777777" w:rsidR="00067431" w:rsidRDefault="00067431" w:rsidP="00067431">
      <w:pPr>
        <w:pStyle w:val="FootnoteText"/>
      </w:pPr>
      <w:r>
        <w:rPr>
          <w:rStyle w:val="FootnoteReference"/>
        </w:rPr>
        <w:footnoteRef/>
      </w:r>
      <w:r>
        <w:t xml:space="preserve"> </w:t>
      </w:r>
      <w:r w:rsidRPr="0029576C">
        <w:t>Clause 10(2)(b)(i) – consequential amendment arising from 00226.038 Kāi Tahu ki Otago</w:t>
      </w:r>
    </w:p>
  </w:footnote>
  <w:footnote w:id="436">
    <w:p w14:paraId="7794F54B" w14:textId="77777777" w:rsidR="00652F97" w:rsidRDefault="00652F97" w:rsidP="00652F97">
      <w:pPr>
        <w:pStyle w:val="FootnoteText"/>
      </w:pPr>
      <w:r>
        <w:rPr>
          <w:rStyle w:val="FootnoteReference"/>
        </w:rPr>
        <w:footnoteRef/>
      </w:r>
      <w:r>
        <w:t xml:space="preserve"> </w:t>
      </w:r>
      <w:r w:rsidRPr="0029576C">
        <w:t>Clause 10(2)(b)(i) – consequential amendment arising from 00226.038 Kāi Tahu ki Otago</w:t>
      </w:r>
    </w:p>
  </w:footnote>
  <w:footnote w:id="437">
    <w:p w14:paraId="764B2686" w14:textId="77777777" w:rsidR="00984AFB" w:rsidRDefault="00984AFB" w:rsidP="00984AFB">
      <w:pPr>
        <w:pStyle w:val="FootnoteText"/>
      </w:pPr>
      <w:r>
        <w:rPr>
          <w:rStyle w:val="FootnoteReference"/>
        </w:rPr>
        <w:footnoteRef/>
      </w:r>
      <w:r>
        <w:t xml:space="preserve"> </w:t>
      </w:r>
      <w:r w:rsidRPr="0029576C">
        <w:t>Clause 10(2)(b)(i) – consequential amendment arising from 00226.038 Kāi Tahu ki Otago</w:t>
      </w:r>
    </w:p>
  </w:footnote>
  <w:footnote w:id="438">
    <w:p w14:paraId="4D740AC8" w14:textId="77777777" w:rsidR="00067D79" w:rsidRDefault="00067D79" w:rsidP="00067D79">
      <w:pPr>
        <w:pStyle w:val="FootnoteText"/>
      </w:pPr>
      <w:r>
        <w:rPr>
          <w:rStyle w:val="FootnoteReference"/>
        </w:rPr>
        <w:footnoteRef/>
      </w:r>
      <w:r>
        <w:t xml:space="preserve"> </w:t>
      </w:r>
      <w:r w:rsidRPr="0029576C">
        <w:t>Clause 10(2)(b)(i) – consequential amendment arising from 00226.038 Kāi Tahu ki Otago</w:t>
      </w:r>
    </w:p>
  </w:footnote>
  <w:footnote w:id="439">
    <w:p w14:paraId="59FED5AE" w14:textId="77777777" w:rsidR="00067D79" w:rsidRDefault="00067D79" w:rsidP="00067D79">
      <w:pPr>
        <w:pStyle w:val="FootnoteText"/>
      </w:pPr>
      <w:r>
        <w:rPr>
          <w:rStyle w:val="FootnoteReference"/>
        </w:rPr>
        <w:footnoteRef/>
      </w:r>
      <w:r>
        <w:t xml:space="preserve"> </w:t>
      </w:r>
      <w:r w:rsidRPr="0029576C">
        <w:t>Clause 10(2)(b)(i) – consequential amendment arising from 00226.038 Kāi Tahu ki Otago</w:t>
      </w:r>
    </w:p>
  </w:footnote>
  <w:footnote w:id="440">
    <w:p w14:paraId="5DB5BE60" w14:textId="77777777" w:rsidR="00067D79" w:rsidRDefault="00067D79" w:rsidP="00067D79">
      <w:pPr>
        <w:pStyle w:val="FootnoteText"/>
      </w:pPr>
      <w:r>
        <w:rPr>
          <w:rStyle w:val="FootnoteReference"/>
        </w:rPr>
        <w:footnoteRef/>
      </w:r>
      <w:r>
        <w:t xml:space="preserve"> </w:t>
      </w:r>
      <w:r w:rsidRPr="0029576C">
        <w:t>Clause 10(2)(b)(i) – consequential amendment arising from 00226.038 Kāi Tahu ki Otago</w:t>
      </w:r>
    </w:p>
  </w:footnote>
  <w:footnote w:id="441">
    <w:p w14:paraId="1D649A4A" w14:textId="77777777" w:rsidR="00C57660" w:rsidRDefault="00C57660" w:rsidP="00C57660">
      <w:pPr>
        <w:pStyle w:val="FootnoteText"/>
      </w:pPr>
      <w:r>
        <w:rPr>
          <w:rStyle w:val="FootnoteReference"/>
        </w:rPr>
        <w:footnoteRef/>
      </w:r>
      <w:r>
        <w:t xml:space="preserve"> </w:t>
      </w:r>
      <w:r w:rsidRPr="0029576C">
        <w:t>Clause 10(2)(b)(i) – consequential amendment arising from 00226.038 Kāi Tahu ki Otago</w:t>
      </w:r>
    </w:p>
  </w:footnote>
  <w:footnote w:id="442">
    <w:p w14:paraId="7C694008" w14:textId="77777777" w:rsidR="00FD4FAD" w:rsidRDefault="00FD4FAD" w:rsidP="00FD4FAD">
      <w:pPr>
        <w:pStyle w:val="FootnoteText"/>
      </w:pPr>
      <w:r>
        <w:rPr>
          <w:rStyle w:val="FootnoteReference"/>
        </w:rPr>
        <w:footnoteRef/>
      </w:r>
      <w:r>
        <w:t xml:space="preserve"> </w:t>
      </w:r>
      <w:r w:rsidRPr="0029576C">
        <w:t>Clause 10(2)(b)(i) – consequential amendment arising from 00226.038 Kāi Tahu ki Otago</w:t>
      </w:r>
    </w:p>
  </w:footnote>
  <w:footnote w:id="443">
    <w:p w14:paraId="64F641FC" w14:textId="77777777" w:rsidR="00FD4FAD" w:rsidRDefault="00FD4FAD" w:rsidP="00FD4FAD">
      <w:pPr>
        <w:pStyle w:val="FootnoteText"/>
      </w:pPr>
      <w:r>
        <w:rPr>
          <w:rStyle w:val="FootnoteReference"/>
        </w:rPr>
        <w:footnoteRef/>
      </w:r>
      <w:r>
        <w:t xml:space="preserve"> </w:t>
      </w:r>
      <w:r w:rsidRPr="0029576C">
        <w:t>Clause 10(2)(b)(i) – consequential amendment arising from 00226.038 Kāi Tahu ki Otago</w:t>
      </w:r>
    </w:p>
  </w:footnote>
  <w:footnote w:id="444">
    <w:p w14:paraId="49278F58" w14:textId="77777777" w:rsidR="00FD4FAD" w:rsidRDefault="00FD4FAD" w:rsidP="00FD4FAD">
      <w:pPr>
        <w:pStyle w:val="FootnoteText"/>
      </w:pPr>
      <w:r>
        <w:rPr>
          <w:rStyle w:val="FootnoteReference"/>
        </w:rPr>
        <w:footnoteRef/>
      </w:r>
      <w:r>
        <w:t xml:space="preserve"> </w:t>
      </w:r>
      <w:r w:rsidRPr="0029576C">
        <w:t>Clause 10(2)(b)(i) – consequential amendment arising from 00226.038 Kāi Tahu ki Otago</w:t>
      </w:r>
    </w:p>
  </w:footnote>
  <w:footnote w:id="445">
    <w:p w14:paraId="43A85C08" w14:textId="77777777" w:rsidR="00FD4FAD" w:rsidRDefault="00FD4FAD" w:rsidP="00FD4FAD">
      <w:pPr>
        <w:pStyle w:val="FootnoteText"/>
      </w:pPr>
      <w:r>
        <w:rPr>
          <w:rStyle w:val="FootnoteReference"/>
        </w:rPr>
        <w:footnoteRef/>
      </w:r>
      <w:r>
        <w:t xml:space="preserve"> </w:t>
      </w:r>
      <w:r w:rsidRPr="0029576C">
        <w:t>Clause 10(2)(b)(i) – consequential amendment arising from 00226.038 Kāi Tahu ki Otago</w:t>
      </w:r>
    </w:p>
  </w:footnote>
  <w:footnote w:id="446">
    <w:p w14:paraId="066C4679" w14:textId="77777777" w:rsidR="00FD4FAD" w:rsidRDefault="00FD4FAD" w:rsidP="00FD4FAD">
      <w:pPr>
        <w:pStyle w:val="FootnoteText"/>
      </w:pPr>
      <w:r>
        <w:rPr>
          <w:rStyle w:val="FootnoteReference"/>
        </w:rPr>
        <w:footnoteRef/>
      </w:r>
      <w:r>
        <w:t xml:space="preserve"> </w:t>
      </w:r>
      <w:r w:rsidRPr="0029576C">
        <w:t>Clause 10(2)(b)(i) – consequential amendment arising from 00226.038 Kāi Tahu ki Otago</w:t>
      </w:r>
    </w:p>
  </w:footnote>
  <w:footnote w:id="447">
    <w:p w14:paraId="5D537755" w14:textId="77777777" w:rsidR="00B02DBF" w:rsidRDefault="00B02DBF" w:rsidP="00B02DBF">
      <w:pPr>
        <w:pStyle w:val="FootnoteText"/>
      </w:pPr>
      <w:r>
        <w:rPr>
          <w:rStyle w:val="FootnoteReference"/>
        </w:rPr>
        <w:footnoteRef/>
      </w:r>
      <w:r>
        <w:t xml:space="preserve"> </w:t>
      </w:r>
      <w:r w:rsidRPr="00BE3168">
        <w:t>00137.037</w:t>
      </w:r>
      <w:r>
        <w:t xml:space="preserve"> DOC</w:t>
      </w:r>
    </w:p>
  </w:footnote>
  <w:footnote w:id="448">
    <w:p w14:paraId="0F819C6D" w14:textId="77777777" w:rsidR="00262B94" w:rsidRDefault="00262B94" w:rsidP="00262B94">
      <w:pPr>
        <w:pStyle w:val="FootnoteText"/>
      </w:pPr>
      <w:r>
        <w:rPr>
          <w:rStyle w:val="FootnoteReference"/>
        </w:rPr>
        <w:footnoteRef/>
      </w:r>
      <w:r>
        <w:t xml:space="preserve"> </w:t>
      </w:r>
      <w:r w:rsidRPr="0029576C">
        <w:t>Clause 10(2)(b)(i) – consequential amendment arising from 00226.038 Kāi Tahu ki Otago</w:t>
      </w:r>
    </w:p>
  </w:footnote>
  <w:footnote w:id="449">
    <w:p w14:paraId="15F54DC3" w14:textId="77777777" w:rsidR="00262B94" w:rsidRDefault="00262B94" w:rsidP="00262B94">
      <w:pPr>
        <w:pStyle w:val="FootnoteText"/>
      </w:pPr>
      <w:r>
        <w:rPr>
          <w:rStyle w:val="FootnoteReference"/>
        </w:rPr>
        <w:footnoteRef/>
      </w:r>
      <w:r>
        <w:t xml:space="preserve"> </w:t>
      </w:r>
      <w:r w:rsidRPr="0029576C">
        <w:t>Clause 10(2)(b)(i) – consequential amendment arising from 00226.038 Kāi Tahu ki Otago</w:t>
      </w:r>
    </w:p>
  </w:footnote>
  <w:footnote w:id="450">
    <w:p w14:paraId="6615E007" w14:textId="77777777" w:rsidR="00B02DBF" w:rsidRDefault="00B02DBF" w:rsidP="00B02DBF">
      <w:pPr>
        <w:pStyle w:val="FootnoteText"/>
      </w:pPr>
      <w:r>
        <w:rPr>
          <w:rStyle w:val="FootnoteReference"/>
        </w:rPr>
        <w:footnoteRef/>
      </w:r>
      <w:r>
        <w:t xml:space="preserve"> </w:t>
      </w:r>
      <w:r w:rsidRPr="00DC0622">
        <w:t>00226.066</w:t>
      </w:r>
      <w:r>
        <w:t xml:space="preserve"> </w:t>
      </w:r>
      <w:r w:rsidRPr="00DC0622">
        <w:rPr>
          <w:bCs/>
        </w:rPr>
        <w:t>Kāi Tahu ki Otago</w:t>
      </w:r>
    </w:p>
  </w:footnote>
  <w:footnote w:id="451">
    <w:p w14:paraId="6AE872EF" w14:textId="77777777" w:rsidR="004D477C" w:rsidRDefault="004D477C" w:rsidP="004D477C">
      <w:pPr>
        <w:pStyle w:val="FootnoteText"/>
      </w:pPr>
      <w:r>
        <w:rPr>
          <w:rStyle w:val="FootnoteReference"/>
        </w:rPr>
        <w:footnoteRef/>
      </w:r>
      <w:r>
        <w:t xml:space="preserve"> </w:t>
      </w:r>
      <w:r w:rsidRPr="0029576C">
        <w:t>Clause 10(2)(b)(i) – consequential amendment arising from 00226.038 Kāi Tahu ki Otago</w:t>
      </w:r>
    </w:p>
  </w:footnote>
  <w:footnote w:id="452">
    <w:p w14:paraId="6C9041C8" w14:textId="77777777" w:rsidR="004D477C" w:rsidRDefault="004D477C" w:rsidP="004D477C">
      <w:pPr>
        <w:pStyle w:val="FootnoteText"/>
      </w:pPr>
      <w:r>
        <w:rPr>
          <w:rStyle w:val="FootnoteReference"/>
        </w:rPr>
        <w:footnoteRef/>
      </w:r>
      <w:r>
        <w:t xml:space="preserve"> </w:t>
      </w:r>
      <w:r w:rsidRPr="0029576C">
        <w:t>Clause 10(2)(b)(i) – consequential amendment arising from 00226.038 Kāi Tahu ki Otago</w:t>
      </w:r>
    </w:p>
  </w:footnote>
  <w:footnote w:id="453">
    <w:p w14:paraId="2A17D4D0" w14:textId="77777777" w:rsidR="004D477C" w:rsidRDefault="004D477C" w:rsidP="004D477C">
      <w:pPr>
        <w:pStyle w:val="FootnoteText"/>
      </w:pPr>
      <w:r>
        <w:rPr>
          <w:rStyle w:val="FootnoteReference"/>
        </w:rPr>
        <w:footnoteRef/>
      </w:r>
      <w:r>
        <w:t xml:space="preserve"> </w:t>
      </w:r>
      <w:r w:rsidRPr="0029576C">
        <w:t>Clause 10(2)(b)(i) – consequential amendment arising from 00226.038 Kāi Tahu ki Otago</w:t>
      </w:r>
    </w:p>
  </w:footnote>
  <w:footnote w:id="454">
    <w:p w14:paraId="704058D0" w14:textId="77777777" w:rsidR="00B02DBF" w:rsidRDefault="00B02DBF" w:rsidP="00B02DBF">
      <w:pPr>
        <w:pStyle w:val="FootnoteText"/>
      </w:pPr>
      <w:r>
        <w:rPr>
          <w:rStyle w:val="FootnoteReference"/>
        </w:rPr>
        <w:footnoteRef/>
      </w:r>
      <w:r>
        <w:t xml:space="preserve"> </w:t>
      </w:r>
      <w:r w:rsidRPr="00DC0622">
        <w:t>00226.068</w:t>
      </w:r>
      <w:r>
        <w:t xml:space="preserve"> </w:t>
      </w:r>
      <w:r w:rsidRPr="00DC0622">
        <w:rPr>
          <w:bCs/>
        </w:rPr>
        <w:t>Kāi Tahu ki Otago</w:t>
      </w:r>
    </w:p>
  </w:footnote>
  <w:footnote w:id="455">
    <w:p w14:paraId="6F9C0F75" w14:textId="77777777" w:rsidR="00B02DBF" w:rsidRDefault="00B02DBF" w:rsidP="00B02DBF">
      <w:pPr>
        <w:pStyle w:val="FootnoteText"/>
      </w:pPr>
      <w:r>
        <w:rPr>
          <w:rStyle w:val="FootnoteReference"/>
        </w:rPr>
        <w:footnoteRef/>
      </w:r>
      <w:r>
        <w:t xml:space="preserve"> </w:t>
      </w:r>
      <w:r w:rsidRPr="00DC0622">
        <w:t>00411.132</w:t>
      </w:r>
      <w:r>
        <w:t xml:space="preserve"> Wayfare</w:t>
      </w:r>
    </w:p>
  </w:footnote>
  <w:footnote w:id="456">
    <w:p w14:paraId="5109EAEC" w14:textId="77777777" w:rsidR="00B02DBF" w:rsidRDefault="00B02DBF" w:rsidP="00B02DBF">
      <w:pPr>
        <w:pStyle w:val="FootnoteText"/>
      </w:pPr>
      <w:r>
        <w:rPr>
          <w:rStyle w:val="FootnoteReference"/>
        </w:rPr>
        <w:footnoteRef/>
      </w:r>
      <w:r>
        <w:t xml:space="preserve"> </w:t>
      </w:r>
      <w:r w:rsidRPr="00347293">
        <w:t>00226.072</w:t>
      </w:r>
      <w:r>
        <w:t xml:space="preserve"> </w:t>
      </w:r>
      <w:r w:rsidRPr="008913CA">
        <w:t>Kāi Tahu ki Otago</w:t>
      </w:r>
    </w:p>
  </w:footnote>
  <w:footnote w:id="457">
    <w:p w14:paraId="04863D79" w14:textId="77777777" w:rsidR="00B02DBF" w:rsidRDefault="00B02DBF" w:rsidP="00B02DBF">
      <w:pPr>
        <w:pStyle w:val="FootnoteText"/>
      </w:pPr>
      <w:r>
        <w:rPr>
          <w:rStyle w:val="FootnoteReference"/>
        </w:rPr>
        <w:footnoteRef/>
      </w:r>
      <w:r>
        <w:t xml:space="preserve"> </w:t>
      </w:r>
      <w:r w:rsidRPr="00DC0622">
        <w:t>00223.050</w:t>
      </w:r>
      <w:r>
        <w:t xml:space="preserve"> Ngāi Tahu ki Murihiku</w:t>
      </w:r>
    </w:p>
  </w:footnote>
  <w:footnote w:id="458">
    <w:p w14:paraId="320BD245" w14:textId="32D7AF1F" w:rsidR="00B71CFB" w:rsidRDefault="00B71CFB" w:rsidP="00A405EB">
      <w:pPr>
        <w:spacing w:after="0"/>
      </w:pPr>
      <w:r>
        <w:rPr>
          <w:rStyle w:val="FootnoteReference"/>
        </w:rPr>
        <w:footnoteRef/>
      </w:r>
      <w:r>
        <w:t xml:space="preserve"> </w:t>
      </w:r>
      <w:r w:rsidR="00A405EB" w:rsidRPr="00A405EB">
        <w:rPr>
          <w:sz w:val="18"/>
          <w:szCs w:val="18"/>
        </w:rPr>
        <w:t>Clause 16(2), Schedule 1, RMA</w:t>
      </w:r>
    </w:p>
  </w:footnote>
  <w:footnote w:id="459">
    <w:p w14:paraId="2CF1075A" w14:textId="77777777" w:rsidR="00B02DBF" w:rsidRDefault="00B02DBF" w:rsidP="00B02DBF">
      <w:pPr>
        <w:pStyle w:val="FootnoteText"/>
      </w:pPr>
      <w:r>
        <w:rPr>
          <w:rStyle w:val="FootnoteReference"/>
        </w:rPr>
        <w:footnoteRef/>
      </w:r>
      <w:r>
        <w:t xml:space="preserve"> </w:t>
      </w:r>
      <w:r w:rsidRPr="00DC0622">
        <w:t>00226.073</w:t>
      </w:r>
      <w:r>
        <w:t xml:space="preserve"> </w:t>
      </w:r>
      <w:r w:rsidRPr="00DC0622">
        <w:rPr>
          <w:bCs/>
        </w:rPr>
        <w:t>Kāi Tahu ki Otago</w:t>
      </w:r>
    </w:p>
  </w:footnote>
  <w:footnote w:id="460">
    <w:p w14:paraId="35B3CA9B" w14:textId="77777777" w:rsidR="00B02DBF" w:rsidRDefault="00B02DBF" w:rsidP="00B02DBF">
      <w:pPr>
        <w:pStyle w:val="FootnoteText"/>
      </w:pPr>
      <w:r>
        <w:rPr>
          <w:rStyle w:val="FootnoteReference"/>
        </w:rPr>
        <w:footnoteRef/>
      </w:r>
      <w:r>
        <w:t xml:space="preserve"> </w:t>
      </w:r>
      <w:r w:rsidRPr="00DC0622">
        <w:t>00226.073</w:t>
      </w:r>
      <w:r>
        <w:t xml:space="preserve"> </w:t>
      </w:r>
      <w:r w:rsidRPr="00DC0622">
        <w:rPr>
          <w:bCs/>
        </w:rPr>
        <w:t>Kāi Tahu ki Otago</w:t>
      </w:r>
    </w:p>
  </w:footnote>
  <w:footnote w:id="461">
    <w:p w14:paraId="4D707E04" w14:textId="77777777" w:rsidR="00B02DBF" w:rsidRDefault="00B02DBF" w:rsidP="00B02DBF">
      <w:pPr>
        <w:pStyle w:val="FootnoteText"/>
      </w:pPr>
      <w:r>
        <w:rPr>
          <w:rStyle w:val="FootnoteReference"/>
        </w:rPr>
        <w:footnoteRef/>
      </w:r>
      <w:r>
        <w:t xml:space="preserve"> </w:t>
      </w:r>
      <w:r w:rsidRPr="00DC0622">
        <w:t>00226.074</w:t>
      </w:r>
      <w:r>
        <w:t xml:space="preserve"> </w:t>
      </w:r>
      <w:r w:rsidRPr="00DC0622">
        <w:rPr>
          <w:bCs/>
        </w:rPr>
        <w:t>Kāi Tahu ki Otago</w:t>
      </w:r>
    </w:p>
  </w:footnote>
  <w:footnote w:id="462">
    <w:p w14:paraId="6106A74A" w14:textId="77777777" w:rsidR="004D477C" w:rsidRDefault="004D477C" w:rsidP="004D477C">
      <w:pPr>
        <w:pStyle w:val="FootnoteText"/>
      </w:pPr>
      <w:r>
        <w:rPr>
          <w:rStyle w:val="FootnoteReference"/>
        </w:rPr>
        <w:footnoteRef/>
      </w:r>
      <w:r>
        <w:t xml:space="preserve"> </w:t>
      </w:r>
      <w:r w:rsidRPr="0029576C">
        <w:t>Clause 10(2)(b)(i) – consequential amendment arising from 00226.038 Kāi Tahu ki Otago</w:t>
      </w:r>
    </w:p>
  </w:footnote>
  <w:footnote w:id="463">
    <w:p w14:paraId="13DF2586" w14:textId="77777777" w:rsidR="004D477C" w:rsidRDefault="004D477C" w:rsidP="004D477C">
      <w:pPr>
        <w:pStyle w:val="FootnoteText"/>
      </w:pPr>
      <w:r>
        <w:rPr>
          <w:rStyle w:val="FootnoteReference"/>
        </w:rPr>
        <w:footnoteRef/>
      </w:r>
      <w:r>
        <w:t xml:space="preserve"> </w:t>
      </w:r>
      <w:r w:rsidRPr="0029576C">
        <w:t>Clause 10(2)(b)(i) – consequential amendment arising from 00226.038 Kāi Tahu ki Otago</w:t>
      </w:r>
    </w:p>
  </w:footnote>
  <w:footnote w:id="464">
    <w:p w14:paraId="63812D8D" w14:textId="5A2069D8" w:rsidR="00CE7CF9" w:rsidRDefault="00CE7CF9">
      <w:pPr>
        <w:pStyle w:val="FootnoteText"/>
      </w:pPr>
      <w:r>
        <w:rPr>
          <w:rStyle w:val="FootnoteReference"/>
        </w:rPr>
        <w:footnoteRef/>
      </w:r>
      <w:r>
        <w:t xml:space="preserve"> </w:t>
      </w:r>
      <w:r w:rsidR="003F6C98" w:rsidRPr="003F6C98">
        <w:t>Clause 16(2), Schedule 1, RMA</w:t>
      </w:r>
    </w:p>
  </w:footnote>
  <w:footnote w:id="465">
    <w:p w14:paraId="6F9F33E5" w14:textId="0FA8C159" w:rsidR="00B02DBF" w:rsidRDefault="00B02DBF" w:rsidP="00B02DBF">
      <w:pPr>
        <w:pStyle w:val="FootnoteText"/>
      </w:pPr>
      <w:r>
        <w:rPr>
          <w:rStyle w:val="FootnoteReference"/>
        </w:rPr>
        <w:footnoteRef/>
      </w:r>
      <w:r>
        <w:t xml:space="preserve"> </w:t>
      </w:r>
      <w:r w:rsidRPr="00DC0622">
        <w:t>00223.051</w:t>
      </w:r>
      <w:r>
        <w:t xml:space="preserve"> </w:t>
      </w:r>
      <w:r w:rsidR="00533BA6">
        <w:t>Ngāi Tahu ki Murihiku</w:t>
      </w:r>
    </w:p>
  </w:footnote>
  <w:footnote w:id="466">
    <w:p w14:paraId="36DC4DD0" w14:textId="77777777" w:rsidR="004D477C" w:rsidRDefault="004D477C" w:rsidP="004D477C">
      <w:pPr>
        <w:pStyle w:val="FootnoteText"/>
      </w:pPr>
      <w:r>
        <w:rPr>
          <w:rStyle w:val="FootnoteReference"/>
        </w:rPr>
        <w:footnoteRef/>
      </w:r>
      <w:r>
        <w:t xml:space="preserve"> </w:t>
      </w:r>
      <w:r w:rsidRPr="0029576C">
        <w:t>Clause 10(2)(b)(i) – consequential amendment arising from 00226.038 Kāi Tahu ki Otago</w:t>
      </w:r>
    </w:p>
  </w:footnote>
  <w:footnote w:id="467">
    <w:p w14:paraId="1090517E" w14:textId="77777777" w:rsidR="007837DC" w:rsidRDefault="007837DC" w:rsidP="007837DC">
      <w:pPr>
        <w:pStyle w:val="FootnoteText"/>
      </w:pPr>
      <w:r>
        <w:rPr>
          <w:rStyle w:val="FootnoteReference"/>
        </w:rPr>
        <w:footnoteRef/>
      </w:r>
      <w:r>
        <w:t xml:space="preserve"> </w:t>
      </w:r>
      <w:r w:rsidRPr="00DC0622">
        <w:t>00226.077</w:t>
      </w:r>
      <w:r>
        <w:t xml:space="preserve"> </w:t>
      </w:r>
      <w:r w:rsidRPr="00DC0622">
        <w:rPr>
          <w:bCs/>
        </w:rPr>
        <w:t>Kāi Tahu ki Otago</w:t>
      </w:r>
    </w:p>
  </w:footnote>
  <w:footnote w:id="468">
    <w:p w14:paraId="6BC5D424" w14:textId="77777777" w:rsidR="007837DC" w:rsidRDefault="007837DC" w:rsidP="007837DC">
      <w:pPr>
        <w:pStyle w:val="FootnoteText"/>
      </w:pPr>
      <w:r>
        <w:rPr>
          <w:rStyle w:val="FootnoteReference"/>
        </w:rPr>
        <w:footnoteRef/>
      </w:r>
      <w:r>
        <w:t xml:space="preserve"> </w:t>
      </w:r>
      <w:r w:rsidRPr="0029576C">
        <w:t>Clause 10(2)(b)(i) – consequential amendment arising from 00226.038 Kāi Tahu ki Otago</w:t>
      </w:r>
    </w:p>
  </w:footnote>
  <w:footnote w:id="469">
    <w:p w14:paraId="4996CD3B" w14:textId="77777777" w:rsidR="00B02DBF" w:rsidRDefault="00B02DBF" w:rsidP="00B02DBF">
      <w:pPr>
        <w:pStyle w:val="FootnoteText"/>
      </w:pPr>
      <w:r>
        <w:rPr>
          <w:rStyle w:val="FootnoteReference"/>
        </w:rPr>
        <w:footnoteRef/>
      </w:r>
      <w:r>
        <w:t xml:space="preserve"> </w:t>
      </w:r>
      <w:r w:rsidRPr="00DC0622">
        <w:t>00226.077</w:t>
      </w:r>
      <w:r>
        <w:t xml:space="preserve"> </w:t>
      </w:r>
      <w:r w:rsidRPr="00DC0622">
        <w:rPr>
          <w:bCs/>
        </w:rPr>
        <w:t>Kāi Tahu ki Otago</w:t>
      </w:r>
    </w:p>
  </w:footnote>
  <w:footnote w:id="470">
    <w:p w14:paraId="394C1FC9" w14:textId="3E6EAAE7" w:rsidR="00B02DBF" w:rsidRDefault="00B02DBF" w:rsidP="00B02DBF">
      <w:pPr>
        <w:pStyle w:val="FootnoteText"/>
      </w:pPr>
      <w:r>
        <w:rPr>
          <w:rStyle w:val="FootnoteReference"/>
        </w:rPr>
        <w:footnoteRef/>
      </w:r>
      <w:r>
        <w:t xml:space="preserve"> </w:t>
      </w:r>
      <w:r w:rsidR="00344DAA">
        <w:t xml:space="preserve">Clause 16(2), Schedule 1, </w:t>
      </w:r>
      <w:r>
        <w:t>RMA</w:t>
      </w:r>
    </w:p>
  </w:footnote>
  <w:footnote w:id="471">
    <w:p w14:paraId="386C2335" w14:textId="77777777" w:rsidR="00B02DBF" w:rsidRDefault="00B02DBF" w:rsidP="00B02DBF">
      <w:pPr>
        <w:pStyle w:val="FootnoteText"/>
      </w:pPr>
      <w:r>
        <w:rPr>
          <w:rStyle w:val="FootnoteReference"/>
        </w:rPr>
        <w:footnoteRef/>
      </w:r>
      <w:r>
        <w:t xml:space="preserve"> </w:t>
      </w:r>
      <w:r w:rsidRPr="00DC0622">
        <w:t>00226.077</w:t>
      </w:r>
      <w:r>
        <w:t xml:space="preserve"> </w:t>
      </w:r>
      <w:r w:rsidRPr="00DC0622">
        <w:rPr>
          <w:bCs/>
        </w:rPr>
        <w:t>Kāi Tahu ki Otago</w:t>
      </w:r>
    </w:p>
  </w:footnote>
  <w:footnote w:id="472">
    <w:p w14:paraId="45B740EF" w14:textId="77777777" w:rsidR="007837DC" w:rsidRDefault="007837DC" w:rsidP="007837DC">
      <w:pPr>
        <w:pStyle w:val="FootnoteText"/>
      </w:pPr>
      <w:r>
        <w:rPr>
          <w:rStyle w:val="FootnoteReference"/>
        </w:rPr>
        <w:footnoteRef/>
      </w:r>
      <w:r>
        <w:t xml:space="preserve"> </w:t>
      </w:r>
      <w:r w:rsidRPr="0029576C">
        <w:t>Clause 10(2)(b)(i) – consequential amendment arising from 00226.038 Kāi Tahu ki Otago</w:t>
      </w:r>
    </w:p>
  </w:footnote>
  <w:footnote w:id="473">
    <w:p w14:paraId="3B081DA3" w14:textId="77777777" w:rsidR="007837DC" w:rsidRDefault="007837DC" w:rsidP="007837DC">
      <w:pPr>
        <w:pStyle w:val="FootnoteText"/>
      </w:pPr>
      <w:r>
        <w:rPr>
          <w:rStyle w:val="FootnoteReference"/>
        </w:rPr>
        <w:footnoteRef/>
      </w:r>
      <w:r>
        <w:t xml:space="preserve"> </w:t>
      </w:r>
      <w:r w:rsidRPr="0029576C">
        <w:t>Clause 10(2)(b)(i) – consequential amendment arising from 00226.038 Kāi Tahu ki Otago</w:t>
      </w:r>
    </w:p>
  </w:footnote>
  <w:footnote w:id="474">
    <w:p w14:paraId="7D6358C5" w14:textId="77777777" w:rsidR="00464480" w:rsidRDefault="00464480" w:rsidP="00464480">
      <w:pPr>
        <w:pStyle w:val="FootnoteText"/>
      </w:pPr>
      <w:r>
        <w:rPr>
          <w:rStyle w:val="FootnoteReference"/>
        </w:rPr>
        <w:footnoteRef/>
      </w:r>
      <w:r>
        <w:t xml:space="preserve"> </w:t>
      </w:r>
      <w:r w:rsidRPr="0029576C">
        <w:t>Clause 10(2)(b)(i) – consequential amendment arising from 00226.038 Kāi Tahu ki Otago</w:t>
      </w:r>
    </w:p>
  </w:footnote>
  <w:footnote w:id="475">
    <w:p w14:paraId="278F8325" w14:textId="77777777" w:rsidR="00B02DBF" w:rsidRDefault="00B02DBF" w:rsidP="00B02DBF">
      <w:pPr>
        <w:pStyle w:val="FootnoteText"/>
      </w:pPr>
      <w:r>
        <w:rPr>
          <w:rStyle w:val="FootnoteReference"/>
        </w:rPr>
        <w:footnoteRef/>
      </w:r>
      <w:r>
        <w:t xml:space="preserve"> </w:t>
      </w:r>
      <w:r w:rsidRPr="00DC0622">
        <w:t>00226.078</w:t>
      </w:r>
      <w:r>
        <w:t xml:space="preserve"> </w:t>
      </w:r>
      <w:r w:rsidRPr="00DC0622">
        <w:rPr>
          <w:bCs/>
        </w:rPr>
        <w:t>Kāi Tahu ki Otago</w:t>
      </w:r>
    </w:p>
  </w:footnote>
  <w:footnote w:id="476">
    <w:p w14:paraId="1E116A2E" w14:textId="77777777" w:rsidR="00464480" w:rsidRDefault="00464480" w:rsidP="00464480">
      <w:pPr>
        <w:pStyle w:val="FootnoteText"/>
      </w:pPr>
      <w:r>
        <w:rPr>
          <w:rStyle w:val="FootnoteReference"/>
        </w:rPr>
        <w:footnoteRef/>
      </w:r>
      <w:r>
        <w:t xml:space="preserve"> </w:t>
      </w:r>
      <w:r w:rsidRPr="0029576C">
        <w:t>Clause 10(2)(b)(i) – consequential amendment arising from 00226.038 Kāi Tahu ki Otago</w:t>
      </w:r>
    </w:p>
  </w:footnote>
  <w:footnote w:id="477">
    <w:p w14:paraId="5B462F56" w14:textId="77777777" w:rsidR="00464480" w:rsidRDefault="00464480" w:rsidP="00464480">
      <w:pPr>
        <w:pStyle w:val="FootnoteText"/>
      </w:pPr>
      <w:r>
        <w:rPr>
          <w:rStyle w:val="FootnoteReference"/>
        </w:rPr>
        <w:footnoteRef/>
      </w:r>
      <w:r>
        <w:t xml:space="preserve"> </w:t>
      </w:r>
      <w:r w:rsidRPr="0029576C">
        <w:t>Clause 10(2)(b)(i) – consequential amendment arising from 00226.038 Kāi Tahu ki Otago</w:t>
      </w:r>
    </w:p>
  </w:footnote>
  <w:footnote w:id="478">
    <w:p w14:paraId="5586D13A" w14:textId="77777777" w:rsidR="00464480" w:rsidRDefault="00464480" w:rsidP="00464480">
      <w:pPr>
        <w:pStyle w:val="FootnoteText"/>
      </w:pPr>
      <w:r>
        <w:rPr>
          <w:rStyle w:val="FootnoteReference"/>
        </w:rPr>
        <w:footnoteRef/>
      </w:r>
      <w:r>
        <w:t xml:space="preserve"> </w:t>
      </w:r>
      <w:r w:rsidRPr="0029576C">
        <w:t>Clause 10(2)(b)(i) – consequential amendment arising from 00226.038 Kāi Tahu ki Otago</w:t>
      </w:r>
    </w:p>
  </w:footnote>
  <w:footnote w:id="479">
    <w:p w14:paraId="47A6E294" w14:textId="753AA67F" w:rsidR="00B02DBF" w:rsidRDefault="00B02DBF" w:rsidP="00B02DBF">
      <w:pPr>
        <w:pStyle w:val="FootnoteText"/>
      </w:pPr>
      <w:r>
        <w:rPr>
          <w:rStyle w:val="FootnoteReference"/>
        </w:rPr>
        <w:footnoteRef/>
      </w:r>
      <w:r>
        <w:t xml:space="preserve"> </w:t>
      </w:r>
      <w:r w:rsidR="00FE7B1D">
        <w:t>Clause 16(2), Schedule 1, RMA</w:t>
      </w:r>
    </w:p>
  </w:footnote>
  <w:footnote w:id="480">
    <w:p w14:paraId="7B52C553" w14:textId="77777777" w:rsidR="00464480" w:rsidRDefault="00464480" w:rsidP="00464480">
      <w:pPr>
        <w:pStyle w:val="FootnoteText"/>
      </w:pPr>
      <w:r>
        <w:rPr>
          <w:rStyle w:val="FootnoteReference"/>
        </w:rPr>
        <w:footnoteRef/>
      </w:r>
      <w:r>
        <w:t xml:space="preserve"> </w:t>
      </w:r>
      <w:r w:rsidRPr="0029576C">
        <w:t>Clause 10(2)(b)(i) – consequential amendment arising from 00226.038 Kāi Tahu ki Otago</w:t>
      </w:r>
    </w:p>
  </w:footnote>
  <w:footnote w:id="481">
    <w:p w14:paraId="48450DFF" w14:textId="77777777" w:rsidR="00464480" w:rsidRDefault="00464480" w:rsidP="00464480">
      <w:pPr>
        <w:pStyle w:val="FootnoteText"/>
      </w:pPr>
      <w:r>
        <w:rPr>
          <w:rStyle w:val="FootnoteReference"/>
        </w:rPr>
        <w:footnoteRef/>
      </w:r>
      <w:r>
        <w:t xml:space="preserve"> </w:t>
      </w:r>
      <w:r w:rsidRPr="0029576C">
        <w:t>Clause 10(2)(b)(i) – consequential amendment arising from 00226.038 Kāi Tahu ki Otago</w:t>
      </w:r>
    </w:p>
  </w:footnote>
  <w:footnote w:id="482">
    <w:p w14:paraId="279F57AC" w14:textId="77777777" w:rsidR="00212778" w:rsidRDefault="00212778" w:rsidP="00212778">
      <w:pPr>
        <w:pStyle w:val="FootnoteText"/>
      </w:pPr>
      <w:r>
        <w:rPr>
          <w:rStyle w:val="FootnoteReference"/>
        </w:rPr>
        <w:footnoteRef/>
      </w:r>
      <w:r>
        <w:t xml:space="preserve"> </w:t>
      </w:r>
      <w:r w:rsidRPr="0029576C">
        <w:t>Clause 10(2)(b)(i) – consequential amendment arising from 00226.038 Kāi Tahu ki Otago</w:t>
      </w:r>
    </w:p>
  </w:footnote>
  <w:footnote w:id="483">
    <w:p w14:paraId="684F342F" w14:textId="77777777" w:rsidR="00B02DBF" w:rsidRDefault="00B02DBF" w:rsidP="00B02DBF">
      <w:pPr>
        <w:pStyle w:val="FootnoteText"/>
      </w:pPr>
      <w:r>
        <w:rPr>
          <w:rStyle w:val="FootnoteReference"/>
        </w:rPr>
        <w:footnoteRef/>
      </w:r>
      <w:r>
        <w:t xml:space="preserve"> </w:t>
      </w:r>
      <w:r w:rsidRPr="00DC0622">
        <w:t>00126.002</w:t>
      </w:r>
      <w:r>
        <w:t xml:space="preserve"> </w:t>
      </w:r>
      <w:r w:rsidRPr="00DC0622">
        <w:t>Harbour Fish</w:t>
      </w:r>
      <w:r>
        <w:t xml:space="preserve">; </w:t>
      </w:r>
      <w:r w:rsidRPr="00DC0622">
        <w:t>00124.002</w:t>
      </w:r>
      <w:r>
        <w:t xml:space="preserve"> </w:t>
      </w:r>
      <w:r w:rsidRPr="00DC0622">
        <w:t>Southern Inshore Fisheries</w:t>
      </w:r>
    </w:p>
  </w:footnote>
  <w:footnote w:id="484">
    <w:p w14:paraId="4191E8E8" w14:textId="77777777" w:rsidR="00B02DBF" w:rsidRDefault="00B02DBF" w:rsidP="00B02DBF">
      <w:pPr>
        <w:pStyle w:val="FootnoteText"/>
      </w:pPr>
      <w:r>
        <w:rPr>
          <w:rStyle w:val="FootnoteReference"/>
        </w:rPr>
        <w:footnoteRef/>
      </w:r>
      <w:r>
        <w:t xml:space="preserve"> </w:t>
      </w:r>
      <w:r w:rsidRPr="00DC0622">
        <w:t>00411.134</w:t>
      </w:r>
      <w:r>
        <w:t xml:space="preserve"> </w:t>
      </w:r>
      <w:r w:rsidRPr="00DC0622">
        <w:t>Wayfare</w:t>
      </w:r>
    </w:p>
  </w:footnote>
  <w:footnote w:id="485">
    <w:p w14:paraId="32A543E3" w14:textId="77777777" w:rsidR="00C66405" w:rsidRDefault="00C66405" w:rsidP="00C66405">
      <w:pPr>
        <w:pStyle w:val="FootnoteText"/>
      </w:pPr>
      <w:r>
        <w:rPr>
          <w:rStyle w:val="FootnoteReference"/>
        </w:rPr>
        <w:footnoteRef/>
      </w:r>
      <w:r>
        <w:t xml:space="preserve"> </w:t>
      </w:r>
      <w:r w:rsidRPr="00351935">
        <w:t>Clause 16(2), Schedule 1, RMA</w:t>
      </w:r>
    </w:p>
  </w:footnote>
  <w:footnote w:id="486">
    <w:p w14:paraId="5AA8ADEA" w14:textId="4496A68C" w:rsidR="00B02DBF" w:rsidRDefault="00B02DBF" w:rsidP="00B02DBF">
      <w:pPr>
        <w:pStyle w:val="FootnoteText"/>
      </w:pPr>
      <w:r>
        <w:rPr>
          <w:rStyle w:val="FootnoteReference"/>
        </w:rPr>
        <w:footnoteRef/>
      </w:r>
      <w:r>
        <w:t xml:space="preserve"> </w:t>
      </w:r>
      <w:r w:rsidRPr="00DC0622">
        <w:t>00226.083</w:t>
      </w:r>
      <w:r>
        <w:t xml:space="preserve"> </w:t>
      </w:r>
      <w:r w:rsidRPr="00DC0622">
        <w:rPr>
          <w:bCs/>
        </w:rPr>
        <w:t>Kāi Tahu ki Otago</w:t>
      </w:r>
    </w:p>
  </w:footnote>
  <w:footnote w:id="487">
    <w:p w14:paraId="48B4B746" w14:textId="77777777" w:rsidR="00212778" w:rsidRDefault="00212778" w:rsidP="00212778">
      <w:pPr>
        <w:pStyle w:val="FootnoteText"/>
      </w:pPr>
      <w:r>
        <w:rPr>
          <w:rStyle w:val="FootnoteReference"/>
        </w:rPr>
        <w:footnoteRef/>
      </w:r>
      <w:r>
        <w:t xml:space="preserve"> </w:t>
      </w:r>
      <w:r w:rsidRPr="0029576C">
        <w:t>Clause 10(2)(b)(i) – consequential amendment arising from 00226.038 Kāi Tahu ki Otago</w:t>
      </w:r>
    </w:p>
  </w:footnote>
  <w:footnote w:id="488">
    <w:p w14:paraId="1424BEC1" w14:textId="77777777" w:rsidR="00B02DBF" w:rsidRDefault="00B02DBF" w:rsidP="00B02DBF">
      <w:pPr>
        <w:pStyle w:val="FootnoteText"/>
      </w:pPr>
      <w:r>
        <w:rPr>
          <w:rStyle w:val="FootnoteReference"/>
        </w:rPr>
        <w:footnoteRef/>
      </w:r>
      <w:r>
        <w:t xml:space="preserve"> </w:t>
      </w:r>
      <w:r w:rsidRPr="00DC0622">
        <w:t>00226.083</w:t>
      </w:r>
      <w:r>
        <w:t xml:space="preserve"> </w:t>
      </w:r>
      <w:r w:rsidRPr="00DC0622">
        <w:rPr>
          <w:bCs/>
        </w:rPr>
        <w:t>Kāi Tahu ki Otago</w:t>
      </w:r>
    </w:p>
  </w:footnote>
  <w:footnote w:id="489">
    <w:p w14:paraId="60B6B64C" w14:textId="77777777" w:rsidR="00B02DBF" w:rsidRDefault="00B02DBF" w:rsidP="00B02DBF">
      <w:pPr>
        <w:pStyle w:val="FootnoteText"/>
      </w:pPr>
      <w:r>
        <w:rPr>
          <w:rStyle w:val="FootnoteReference"/>
        </w:rPr>
        <w:footnoteRef/>
      </w:r>
      <w:r>
        <w:t xml:space="preserve"> </w:t>
      </w:r>
      <w:r w:rsidRPr="00DC0622">
        <w:t>00226.083</w:t>
      </w:r>
      <w:r>
        <w:t xml:space="preserve"> </w:t>
      </w:r>
      <w:r w:rsidRPr="00DC0622">
        <w:rPr>
          <w:bCs/>
        </w:rPr>
        <w:t>Kāi Tahu ki Otago</w:t>
      </w:r>
    </w:p>
  </w:footnote>
  <w:footnote w:id="490">
    <w:p w14:paraId="03ECCEA5" w14:textId="77777777" w:rsidR="00F458B9" w:rsidRPr="006659B1" w:rsidRDefault="00F458B9" w:rsidP="00F458B9">
      <w:pPr>
        <w:pStyle w:val="FootnoteText"/>
        <w:rPr>
          <w:lang w:val="en-GB"/>
        </w:rPr>
      </w:pPr>
      <w:r>
        <w:rPr>
          <w:rStyle w:val="FootnoteReference"/>
        </w:rPr>
        <w:footnoteRef/>
      </w:r>
      <w:r>
        <w:t xml:space="preserve"> </w:t>
      </w:r>
      <w:r>
        <w:rPr>
          <w:lang w:val="en-GB"/>
        </w:rPr>
        <w:t>00239.034 Federated Farmers</w:t>
      </w:r>
    </w:p>
  </w:footnote>
  <w:footnote w:id="491">
    <w:p w14:paraId="2EC03F99" w14:textId="77777777" w:rsidR="00F458B9" w:rsidRPr="00DF77C8" w:rsidRDefault="00F458B9" w:rsidP="00F458B9">
      <w:pPr>
        <w:pStyle w:val="FootnoteText"/>
        <w:rPr>
          <w:lang w:val="en-GB"/>
        </w:rPr>
      </w:pPr>
      <w:r>
        <w:rPr>
          <w:rStyle w:val="FootnoteReference"/>
        </w:rPr>
        <w:footnoteRef/>
      </w:r>
      <w:r>
        <w:t xml:space="preserve"> </w:t>
      </w:r>
      <w:r>
        <w:rPr>
          <w:lang w:val="en-GB"/>
        </w:rPr>
        <w:t>00226.085 Kāi Tahu ki Otago</w:t>
      </w:r>
    </w:p>
  </w:footnote>
  <w:footnote w:id="492">
    <w:p w14:paraId="50D09686" w14:textId="77777777" w:rsidR="00AA2788" w:rsidRPr="00457289" w:rsidRDefault="00AA2788" w:rsidP="00AA2788">
      <w:pPr>
        <w:pStyle w:val="FootnoteText"/>
        <w:rPr>
          <w:lang w:val="en-GB"/>
        </w:rPr>
      </w:pPr>
      <w:r>
        <w:rPr>
          <w:rStyle w:val="FootnoteReference"/>
        </w:rPr>
        <w:footnoteRef/>
      </w:r>
      <w:r>
        <w:t xml:space="preserve"> </w:t>
      </w:r>
      <w:r>
        <w:rPr>
          <w:lang w:val="en-GB"/>
        </w:rPr>
        <w:t>00121.015 Ravensdown</w:t>
      </w:r>
    </w:p>
  </w:footnote>
  <w:footnote w:id="493">
    <w:p w14:paraId="685D6276" w14:textId="77777777" w:rsidR="00F458B9" w:rsidRPr="00C7030D" w:rsidRDefault="00F458B9" w:rsidP="00F458B9">
      <w:pPr>
        <w:pStyle w:val="FootnoteText"/>
        <w:ind w:left="142" w:hanging="142"/>
        <w:rPr>
          <w:lang w:val="en-GB"/>
        </w:rPr>
      </w:pPr>
      <w:r>
        <w:rPr>
          <w:rStyle w:val="FootnoteReference"/>
        </w:rPr>
        <w:footnoteRef/>
      </w:r>
      <w:r>
        <w:t xml:space="preserve"> 00211.004 LAC, 00210.004 Lane Hocking, 00209.004 Universal Developments, 00118.005 Maryhill, 00014.005 Mt Cardrona Station</w:t>
      </w:r>
    </w:p>
  </w:footnote>
  <w:footnote w:id="494">
    <w:p w14:paraId="61972A59" w14:textId="77777777" w:rsidR="00F458B9" w:rsidRPr="00457289" w:rsidRDefault="00F458B9" w:rsidP="00F458B9">
      <w:pPr>
        <w:pStyle w:val="FootnoteText"/>
        <w:rPr>
          <w:lang w:val="en-GB"/>
        </w:rPr>
      </w:pPr>
      <w:r>
        <w:rPr>
          <w:rStyle w:val="FootnoteReference"/>
        </w:rPr>
        <w:footnoteRef/>
      </w:r>
      <w:r>
        <w:t xml:space="preserve"> 00231.03 Fish and Game</w:t>
      </w:r>
    </w:p>
  </w:footnote>
  <w:footnote w:id="495">
    <w:p w14:paraId="24DE4648" w14:textId="3045A553" w:rsidR="00100FBF" w:rsidRPr="00100FBF" w:rsidRDefault="00100FBF">
      <w:pPr>
        <w:pStyle w:val="FootnoteText"/>
        <w:rPr>
          <w:lang w:val="mi-NZ"/>
        </w:rPr>
      </w:pPr>
      <w:r>
        <w:rPr>
          <w:rStyle w:val="FootnoteReference"/>
        </w:rPr>
        <w:footnoteRef/>
      </w:r>
      <w:r>
        <w:t xml:space="preserve"> 00139.022 DCC</w:t>
      </w:r>
    </w:p>
  </w:footnote>
  <w:footnote w:id="496">
    <w:p w14:paraId="7F407E3B" w14:textId="77777777" w:rsidR="00F458B9" w:rsidRPr="006659B1" w:rsidRDefault="00F458B9" w:rsidP="00F458B9">
      <w:pPr>
        <w:pStyle w:val="FootnoteText"/>
        <w:rPr>
          <w:lang w:val="en-GB"/>
        </w:rPr>
      </w:pPr>
      <w:r>
        <w:rPr>
          <w:rStyle w:val="FootnoteReference"/>
        </w:rPr>
        <w:footnoteRef/>
      </w:r>
      <w:r>
        <w:t xml:space="preserve"> </w:t>
      </w:r>
      <w:r>
        <w:rPr>
          <w:lang w:val="en-GB"/>
        </w:rPr>
        <w:t>00239.034 Federated Farmers</w:t>
      </w:r>
    </w:p>
  </w:footnote>
  <w:footnote w:id="497">
    <w:p w14:paraId="68379ED5" w14:textId="77777777" w:rsidR="00F458B9" w:rsidRPr="006659B1" w:rsidRDefault="00F458B9" w:rsidP="00F458B9">
      <w:pPr>
        <w:pStyle w:val="FootnoteText"/>
        <w:rPr>
          <w:lang w:val="en-GB"/>
        </w:rPr>
      </w:pPr>
      <w:r>
        <w:rPr>
          <w:rStyle w:val="FootnoteReference"/>
        </w:rPr>
        <w:footnoteRef/>
      </w:r>
      <w:r>
        <w:t xml:space="preserve"> </w:t>
      </w:r>
      <w:r>
        <w:rPr>
          <w:lang w:val="en-GB"/>
        </w:rPr>
        <w:t>00239.034 Federated Farmers</w:t>
      </w:r>
    </w:p>
  </w:footnote>
  <w:footnote w:id="498">
    <w:p w14:paraId="38D545E5" w14:textId="77777777" w:rsidR="00F458B9" w:rsidRPr="00080F05" w:rsidRDefault="00F458B9" w:rsidP="00F458B9">
      <w:pPr>
        <w:pStyle w:val="FootnoteText"/>
      </w:pPr>
      <w:r>
        <w:rPr>
          <w:rStyle w:val="FootnoteReference"/>
        </w:rPr>
        <w:footnoteRef/>
      </w:r>
      <w:r>
        <w:t xml:space="preserve"> </w:t>
      </w:r>
      <w:r>
        <w:rPr>
          <w:rFonts w:cstheme="minorHAnsi"/>
        </w:rPr>
        <w:t>00121.016 Ravensdown</w:t>
      </w:r>
    </w:p>
  </w:footnote>
  <w:footnote w:id="499">
    <w:p w14:paraId="68E726F9" w14:textId="77777777" w:rsidR="00F458B9" w:rsidRPr="00080F05" w:rsidRDefault="00F458B9" w:rsidP="00F458B9">
      <w:pPr>
        <w:pStyle w:val="FootnoteText"/>
        <w:rPr>
          <w:lang w:val="en-GB"/>
        </w:rPr>
      </w:pPr>
      <w:r>
        <w:rPr>
          <w:rStyle w:val="FootnoteReference"/>
        </w:rPr>
        <w:footnoteRef/>
      </w:r>
      <w:r>
        <w:t xml:space="preserve"> </w:t>
      </w:r>
      <w:r>
        <w:rPr>
          <w:lang w:val="en-GB"/>
        </w:rPr>
        <w:t>Clause 16(2), Schedule 1, RMA</w:t>
      </w:r>
    </w:p>
  </w:footnote>
  <w:footnote w:id="500">
    <w:p w14:paraId="06CF14EC" w14:textId="77777777" w:rsidR="00F458B9" w:rsidRPr="00080F05" w:rsidRDefault="00F458B9" w:rsidP="00F458B9">
      <w:pPr>
        <w:pStyle w:val="FootnoteText"/>
        <w:rPr>
          <w:lang w:val="en-GB"/>
        </w:rPr>
      </w:pPr>
      <w:r>
        <w:rPr>
          <w:rStyle w:val="FootnoteReference"/>
        </w:rPr>
        <w:footnoteRef/>
      </w:r>
      <w:r>
        <w:t xml:space="preserve"> </w:t>
      </w:r>
      <w:r>
        <w:rPr>
          <w:lang w:val="en-GB"/>
        </w:rPr>
        <w:t>Clause 16(2), Schedule 1, RMA</w:t>
      </w:r>
    </w:p>
  </w:footnote>
  <w:footnote w:id="501">
    <w:p w14:paraId="51625BE1" w14:textId="77777777" w:rsidR="00F458B9" w:rsidRPr="00B83865" w:rsidRDefault="00F458B9" w:rsidP="00F458B9">
      <w:pPr>
        <w:pStyle w:val="FootnoteText"/>
        <w:rPr>
          <w:lang w:val="en-GB"/>
        </w:rPr>
      </w:pPr>
      <w:r>
        <w:rPr>
          <w:rStyle w:val="FootnoteReference"/>
        </w:rPr>
        <w:footnoteRef/>
      </w:r>
      <w:r>
        <w:t xml:space="preserve"> </w:t>
      </w:r>
      <w:r>
        <w:rPr>
          <w:lang w:val="en-GB"/>
        </w:rPr>
        <w:t>00137.039 DOC</w:t>
      </w:r>
    </w:p>
  </w:footnote>
  <w:footnote w:id="502">
    <w:p w14:paraId="456B9EC7" w14:textId="77777777" w:rsidR="00F458B9" w:rsidRPr="00111603" w:rsidRDefault="00F458B9" w:rsidP="00F458B9">
      <w:pPr>
        <w:pStyle w:val="FootnoteText"/>
        <w:rPr>
          <w:lang w:val="en-GB"/>
        </w:rPr>
      </w:pPr>
      <w:r>
        <w:rPr>
          <w:rStyle w:val="FootnoteReference"/>
        </w:rPr>
        <w:footnoteRef/>
      </w:r>
      <w:r>
        <w:t xml:space="preserve"> </w:t>
      </w:r>
      <w:r>
        <w:rPr>
          <w:lang w:val="en-GB"/>
        </w:rPr>
        <w:t>00231.031 Fish and Game, 00411.024 Wayfare</w:t>
      </w:r>
    </w:p>
  </w:footnote>
  <w:footnote w:id="503">
    <w:p w14:paraId="4CB7228A" w14:textId="77777777" w:rsidR="00F458B9" w:rsidRPr="009C434F" w:rsidRDefault="00F458B9" w:rsidP="00F458B9">
      <w:pPr>
        <w:pStyle w:val="FootnoteText"/>
        <w:rPr>
          <w:lang w:val="en-GB"/>
        </w:rPr>
      </w:pPr>
      <w:r>
        <w:rPr>
          <w:rStyle w:val="FootnoteReference"/>
        </w:rPr>
        <w:footnoteRef/>
      </w:r>
      <w:r>
        <w:t xml:space="preserve"> 00121.017 Ravensdown</w:t>
      </w:r>
    </w:p>
  </w:footnote>
  <w:footnote w:id="504">
    <w:p w14:paraId="1A4EC34F" w14:textId="1AEE113D" w:rsidR="001036A9" w:rsidRDefault="001036A9">
      <w:pPr>
        <w:pStyle w:val="FootnoteText"/>
      </w:pPr>
      <w:r>
        <w:rPr>
          <w:rStyle w:val="FootnoteReference"/>
        </w:rPr>
        <w:footnoteRef/>
      </w:r>
      <w:r>
        <w:t xml:space="preserve"> All formatting amendments recommended: Clause 10(2)(b)(i), Schedule 1, RMA – consequential amendments arising from 00120.025 Yellow-eyed Penguin Trust, 00509.038 Wise Response</w:t>
      </w:r>
    </w:p>
  </w:footnote>
  <w:footnote w:id="505">
    <w:p w14:paraId="28B4F7B4" w14:textId="77777777" w:rsidR="00F458B9" w:rsidRPr="00A44925" w:rsidRDefault="00F458B9" w:rsidP="00F458B9">
      <w:pPr>
        <w:pStyle w:val="FootnoteText"/>
        <w:rPr>
          <w:lang w:val="en-GB"/>
        </w:rPr>
      </w:pPr>
      <w:r>
        <w:rPr>
          <w:rStyle w:val="FootnoteReference"/>
        </w:rPr>
        <w:footnoteRef/>
      </w:r>
      <w:r>
        <w:t xml:space="preserve"> </w:t>
      </w:r>
      <w:r>
        <w:rPr>
          <w:lang w:val="en-GB"/>
        </w:rPr>
        <w:t>Clause 16(2), Schedule 1, RMA</w:t>
      </w:r>
    </w:p>
  </w:footnote>
  <w:footnote w:id="506">
    <w:p w14:paraId="418F79A0" w14:textId="77777777" w:rsidR="00F458B9" w:rsidRDefault="00F458B9" w:rsidP="00F458B9">
      <w:pPr>
        <w:pStyle w:val="FootnoteText"/>
      </w:pPr>
      <w:r>
        <w:rPr>
          <w:rStyle w:val="FootnoteReference"/>
        </w:rPr>
        <w:footnoteRef/>
      </w:r>
      <w:r>
        <w:t xml:space="preserve"> Clause 10(2)(b)(i), Schedule 1, RMA – Consequential amendment arising from 00509.015 Wise Response</w:t>
      </w:r>
    </w:p>
  </w:footnote>
  <w:footnote w:id="507">
    <w:p w14:paraId="3839C2AC" w14:textId="77777777" w:rsidR="00F458B9" w:rsidRDefault="00F458B9" w:rsidP="00F458B9">
      <w:pPr>
        <w:pStyle w:val="FootnoteText"/>
      </w:pPr>
      <w:r>
        <w:rPr>
          <w:rStyle w:val="FootnoteReference"/>
        </w:rPr>
        <w:footnoteRef/>
      </w:r>
      <w:r>
        <w:t xml:space="preserve"> 00120.025 Yellow-eyed Penguin Trust, 00509.038 Wise Response</w:t>
      </w:r>
    </w:p>
  </w:footnote>
  <w:footnote w:id="508">
    <w:p w14:paraId="38BFF2FE" w14:textId="77777777" w:rsidR="00F458B9" w:rsidRPr="00965320" w:rsidRDefault="00F458B9" w:rsidP="00F458B9">
      <w:pPr>
        <w:pStyle w:val="FootnoteText"/>
        <w:rPr>
          <w:lang w:val="en-GB"/>
        </w:rPr>
      </w:pPr>
      <w:r>
        <w:rPr>
          <w:rStyle w:val="FootnoteReference"/>
        </w:rPr>
        <w:footnoteRef/>
      </w:r>
      <w:r>
        <w:t xml:space="preserve"> </w:t>
      </w:r>
      <w:r>
        <w:rPr>
          <w:lang w:val="en-GB"/>
        </w:rPr>
        <w:t>Clause 16(2), Schedule 1, RMA</w:t>
      </w:r>
    </w:p>
  </w:footnote>
  <w:footnote w:id="509">
    <w:p w14:paraId="36D9CF65" w14:textId="77777777" w:rsidR="00F458B9" w:rsidRPr="00D83CA3" w:rsidRDefault="00F458B9" w:rsidP="00F458B9">
      <w:pPr>
        <w:pStyle w:val="FootnoteText"/>
        <w:ind w:left="142" w:hanging="142"/>
      </w:pPr>
      <w:r>
        <w:rPr>
          <w:rStyle w:val="FootnoteReference"/>
        </w:rPr>
        <w:footnoteRef/>
      </w:r>
      <w:r>
        <w:t xml:space="preserve"> 00139.026 DCC, 00235.062 OWRUG, 00314.011 Transpower, </w:t>
      </w:r>
      <w:r>
        <w:rPr>
          <w:lang w:val="en-GB"/>
        </w:rPr>
        <w:t xml:space="preserve">00239.036 Federated Farmers, 00139.027 DCC, </w:t>
      </w:r>
      <w:r>
        <w:t xml:space="preserve">00231.033 Fish and Game, 00314.011 Transpower, 00230.032 Forest and Bird, </w:t>
      </w:r>
      <w:r>
        <w:rPr>
          <w:lang w:val="en-GB"/>
        </w:rPr>
        <w:t xml:space="preserve">00230.033 Forest and Bird, </w:t>
      </w:r>
      <w:r>
        <w:t>00206.016 Trojan, 00411.026 Wayfare, 00306.020 Meridian</w:t>
      </w:r>
    </w:p>
  </w:footnote>
  <w:footnote w:id="510">
    <w:p w14:paraId="5CF6165A" w14:textId="77777777" w:rsidR="00F458B9" w:rsidRDefault="00F458B9" w:rsidP="00F458B9">
      <w:pPr>
        <w:pStyle w:val="FootnoteText"/>
        <w:ind w:left="142" w:hanging="142"/>
      </w:pPr>
      <w:r>
        <w:rPr>
          <w:rStyle w:val="FootnoteReference"/>
        </w:rPr>
        <w:footnoteRef/>
      </w:r>
      <w:r>
        <w:t xml:space="preserve"> 00121.020 Ravensdown, 00315.016 Aurora Energy, 00322.007 Fulton Hogan, 00235.063 OWRUG, 00314.011 Transpower, 00016.001 Alluvium and Stoney Creek, 00017.001 Danny Walker and Others, 00023.003 Waterfall Park, 00025.016 Boxer Hill Trust, 00320.013 Network Waitaki, 00511.013 PowerNet, 00313.005 Queenstown Airport, 00311.009 Trustpower, 00240.012 NZ Pork, 00301.013 Port Otago, 00236.036 Horticulture NZ, 00115.010 Oceana Gold, 00138.008 QLDC</w:t>
      </w:r>
    </w:p>
  </w:footnote>
  <w:footnote w:id="511">
    <w:p w14:paraId="67C47188" w14:textId="5C1006C3" w:rsidR="00F458B9" w:rsidRDefault="00F458B9" w:rsidP="00F458B9">
      <w:pPr>
        <w:pStyle w:val="FootnoteText"/>
      </w:pPr>
      <w:r>
        <w:rPr>
          <w:rStyle w:val="FootnoteReference"/>
        </w:rPr>
        <w:footnoteRef/>
      </w:r>
      <w:r>
        <w:t xml:space="preserve"> Clause 16(2)</w:t>
      </w:r>
      <w:r w:rsidR="00FE7B1D">
        <w:t>,</w:t>
      </w:r>
      <w:r>
        <w:t xml:space="preserve"> Schedule 1, RMA</w:t>
      </w:r>
    </w:p>
  </w:footnote>
  <w:footnote w:id="512">
    <w:p w14:paraId="76444B64" w14:textId="3E3EE65B" w:rsidR="00F458B9" w:rsidRDefault="00F458B9" w:rsidP="00F458B9">
      <w:pPr>
        <w:pStyle w:val="FootnoteText"/>
      </w:pPr>
      <w:r>
        <w:rPr>
          <w:rStyle w:val="FootnoteReference"/>
        </w:rPr>
        <w:footnoteRef/>
      </w:r>
      <w:r>
        <w:t xml:space="preserve"> 00226.091 Kāi Tahu ki Otago</w:t>
      </w:r>
    </w:p>
  </w:footnote>
  <w:footnote w:id="513">
    <w:p w14:paraId="350D2521" w14:textId="4CC2BB94" w:rsidR="00F458B9" w:rsidRDefault="00F458B9" w:rsidP="00F458B9">
      <w:pPr>
        <w:pStyle w:val="FootnoteText"/>
      </w:pPr>
      <w:r>
        <w:rPr>
          <w:rStyle w:val="FootnoteReference"/>
        </w:rPr>
        <w:footnoteRef/>
      </w:r>
      <w:r>
        <w:t xml:space="preserve"> 00226091 Kāi Tahu ki Otago</w:t>
      </w:r>
    </w:p>
  </w:footnote>
  <w:footnote w:id="514">
    <w:p w14:paraId="3DA1657C" w14:textId="37CD0AA1" w:rsidR="00B32B84" w:rsidRPr="00B32B84" w:rsidRDefault="00B32B84">
      <w:pPr>
        <w:pStyle w:val="FootnoteText"/>
        <w:rPr>
          <w:lang w:val="mi-NZ"/>
        </w:rPr>
      </w:pPr>
      <w:r w:rsidRPr="00F508DB">
        <w:rPr>
          <w:rStyle w:val="FootnoteReference"/>
        </w:rPr>
        <w:footnoteRef/>
      </w:r>
      <w:r w:rsidRPr="00F508DB">
        <w:t xml:space="preserve"> </w:t>
      </w:r>
      <w:r w:rsidRPr="00F508DB">
        <w:rPr>
          <w:lang w:val="mi-NZ"/>
        </w:rPr>
        <w:t>Clause 16(2), Schedule 1 RMA</w:t>
      </w:r>
    </w:p>
  </w:footnote>
  <w:footnote w:id="515">
    <w:p w14:paraId="5E48AF2E" w14:textId="3D623EB1" w:rsidR="000C5797" w:rsidRDefault="000C5797" w:rsidP="000C5797">
      <w:pPr>
        <w:pStyle w:val="FootnoteText"/>
      </w:pPr>
      <w:r>
        <w:rPr>
          <w:rStyle w:val="FootnoteReference"/>
        </w:rPr>
        <w:footnoteRef/>
      </w:r>
      <w:r>
        <w:t xml:space="preserve"> </w:t>
      </w:r>
      <w:r>
        <w:rPr>
          <w:rFonts w:cstheme="minorHAnsi"/>
        </w:rPr>
        <w:t xml:space="preserve">00226.091 </w:t>
      </w:r>
      <w:r w:rsidR="00854F19">
        <w:rPr>
          <w:rFonts w:eastAsia="Calibri" w:cstheme="minorHAnsi"/>
          <w:bCs/>
        </w:rPr>
        <w:t>Kāi Tahu ki Otago</w:t>
      </w:r>
    </w:p>
  </w:footnote>
  <w:footnote w:id="516">
    <w:p w14:paraId="5CE200C6" w14:textId="77777777" w:rsidR="00212778" w:rsidRDefault="00212778" w:rsidP="00212778">
      <w:pPr>
        <w:pStyle w:val="FootnoteText"/>
      </w:pPr>
      <w:r>
        <w:rPr>
          <w:rStyle w:val="FootnoteReference"/>
        </w:rPr>
        <w:footnoteRef/>
      </w:r>
      <w:r>
        <w:t xml:space="preserve"> </w:t>
      </w:r>
      <w:r w:rsidRPr="0029576C">
        <w:t>Clause 10(2)(b)(i) – consequential amendment arising from 00226.038 Kāi Tahu ki Otago</w:t>
      </w:r>
    </w:p>
  </w:footnote>
  <w:footnote w:id="517">
    <w:p w14:paraId="545628BF" w14:textId="65A2F63A" w:rsidR="00F458B9" w:rsidRDefault="00F458B9" w:rsidP="00F458B9">
      <w:pPr>
        <w:pStyle w:val="FootnoteText"/>
      </w:pPr>
      <w:r>
        <w:rPr>
          <w:rStyle w:val="FootnoteReference"/>
        </w:rPr>
        <w:footnoteRef/>
      </w:r>
      <w:r>
        <w:t xml:space="preserve"> 00226.091 Kāi Tahu ki Otago</w:t>
      </w:r>
    </w:p>
  </w:footnote>
  <w:footnote w:id="518">
    <w:p w14:paraId="0866055A" w14:textId="501D8A1E" w:rsidR="00F458B9" w:rsidRPr="003C2555" w:rsidRDefault="00F458B9" w:rsidP="00F458B9">
      <w:pPr>
        <w:pStyle w:val="FootnoteText"/>
        <w:rPr>
          <w:lang w:val="en-GB"/>
        </w:rPr>
      </w:pPr>
      <w:r>
        <w:rPr>
          <w:rStyle w:val="FootnoteReference"/>
        </w:rPr>
        <w:footnoteRef/>
      </w:r>
      <w:r>
        <w:t xml:space="preserve"> </w:t>
      </w:r>
      <w:r>
        <w:rPr>
          <w:lang w:val="en-GB"/>
        </w:rPr>
        <w:t>00231.034 Fish and Game, 00230.034 Forest and Bird</w:t>
      </w:r>
    </w:p>
  </w:footnote>
  <w:footnote w:id="519">
    <w:p w14:paraId="4CE7F8A1" w14:textId="1848939E" w:rsidR="00F458B9" w:rsidRPr="00E36ADF" w:rsidRDefault="00F458B9" w:rsidP="00F458B9">
      <w:pPr>
        <w:pStyle w:val="FootnoteText"/>
        <w:rPr>
          <w:lang w:val="en-GB"/>
        </w:rPr>
      </w:pPr>
      <w:r>
        <w:rPr>
          <w:rStyle w:val="FootnoteReference"/>
        </w:rPr>
        <w:footnoteRef/>
      </w:r>
      <w:r>
        <w:t xml:space="preserve"> </w:t>
      </w:r>
      <w:r>
        <w:rPr>
          <w:lang w:val="en-GB"/>
        </w:rPr>
        <w:t>00121.021 Ravensdown</w:t>
      </w:r>
    </w:p>
  </w:footnote>
  <w:footnote w:id="520">
    <w:p w14:paraId="7A3A1565" w14:textId="3353CB66" w:rsidR="00F458B9" w:rsidRPr="00E36ADF" w:rsidRDefault="00F458B9" w:rsidP="00F458B9">
      <w:pPr>
        <w:pStyle w:val="FootnoteText"/>
        <w:ind w:left="709" w:hanging="709"/>
        <w:rPr>
          <w:lang w:val="en-GB"/>
        </w:rPr>
      </w:pPr>
      <w:r>
        <w:rPr>
          <w:rStyle w:val="FootnoteReference"/>
        </w:rPr>
        <w:footnoteRef/>
      </w:r>
      <w:r>
        <w:t xml:space="preserve"> </w:t>
      </w:r>
      <w:r>
        <w:rPr>
          <w:lang w:val="en-GB"/>
        </w:rPr>
        <w:t xml:space="preserve">00211.006 LAC, 00210.006 Lane Hocking, 00118.007 Maryhill, 00014.007 Mt Cardrona Station, 00209.006 Universal Developments, 00121.021 Ravensdown, </w:t>
      </w:r>
      <w:r>
        <w:t>00235.064 OWRUG</w:t>
      </w:r>
    </w:p>
  </w:footnote>
  <w:footnote w:id="521">
    <w:p w14:paraId="2153CCE3" w14:textId="30AEC7F8" w:rsidR="00F458B9" w:rsidRPr="006827C3" w:rsidRDefault="00F458B9" w:rsidP="00F458B9">
      <w:pPr>
        <w:pStyle w:val="FootnoteText"/>
        <w:rPr>
          <w:lang w:val="en-GB"/>
        </w:rPr>
      </w:pPr>
      <w:r>
        <w:rPr>
          <w:rStyle w:val="FootnoteReference"/>
        </w:rPr>
        <w:footnoteRef/>
      </w:r>
      <w:r>
        <w:t xml:space="preserve"> </w:t>
      </w:r>
      <w:r>
        <w:rPr>
          <w:lang w:val="en-GB"/>
        </w:rPr>
        <w:t>00121.021 Ravensdown</w:t>
      </w:r>
    </w:p>
  </w:footnote>
  <w:footnote w:id="522">
    <w:p w14:paraId="26E7EA6C" w14:textId="3C3A4C9C" w:rsidR="00F458B9" w:rsidRPr="00661031" w:rsidRDefault="00F458B9" w:rsidP="00F458B9">
      <w:pPr>
        <w:pStyle w:val="FootnoteText"/>
        <w:rPr>
          <w:lang w:val="en-GB"/>
        </w:rPr>
      </w:pPr>
      <w:r>
        <w:rPr>
          <w:rStyle w:val="FootnoteReference"/>
        </w:rPr>
        <w:footnoteRef/>
      </w:r>
      <w:r>
        <w:t xml:space="preserve"> </w:t>
      </w:r>
      <w:r>
        <w:rPr>
          <w:lang w:val="en-GB"/>
        </w:rPr>
        <w:t>00226.092 Kāi Tahu ki Otago</w:t>
      </w:r>
    </w:p>
  </w:footnote>
  <w:footnote w:id="523">
    <w:p w14:paraId="418D168E" w14:textId="2399DC82" w:rsidR="00530182" w:rsidRPr="006827C3" w:rsidRDefault="00530182" w:rsidP="00530182">
      <w:pPr>
        <w:pStyle w:val="FootnoteText"/>
        <w:rPr>
          <w:lang w:val="en-GB"/>
        </w:rPr>
      </w:pPr>
      <w:r>
        <w:rPr>
          <w:rStyle w:val="FootnoteReference"/>
        </w:rPr>
        <w:footnoteRef/>
      </w:r>
      <w:r>
        <w:t xml:space="preserve"> </w:t>
      </w:r>
      <w:r>
        <w:rPr>
          <w:lang w:val="en-GB"/>
        </w:rPr>
        <w:t>00121.021 Ravensdown</w:t>
      </w:r>
    </w:p>
  </w:footnote>
  <w:footnote w:id="524">
    <w:p w14:paraId="19A5F94C" w14:textId="60AD26EA" w:rsidR="00F458B9" w:rsidRPr="006827C3" w:rsidRDefault="00F458B9" w:rsidP="00F458B9">
      <w:pPr>
        <w:pStyle w:val="FootnoteText"/>
        <w:rPr>
          <w:lang w:val="en-GB"/>
        </w:rPr>
      </w:pPr>
      <w:r>
        <w:rPr>
          <w:rStyle w:val="FootnoteReference"/>
        </w:rPr>
        <w:footnoteRef/>
      </w:r>
      <w:r>
        <w:t xml:space="preserve"> </w:t>
      </w:r>
      <w:r>
        <w:rPr>
          <w:lang w:val="en-GB"/>
        </w:rPr>
        <w:t>00121.021 Ravensdown</w:t>
      </w:r>
    </w:p>
  </w:footnote>
  <w:footnote w:id="525">
    <w:p w14:paraId="0F59A424" w14:textId="6DBAC7FB" w:rsidR="00F458B9" w:rsidRPr="00FB24D0" w:rsidRDefault="00F458B9" w:rsidP="00F458B9">
      <w:pPr>
        <w:pStyle w:val="FootnoteText"/>
        <w:rPr>
          <w:lang w:val="en-GB"/>
        </w:rPr>
      </w:pPr>
      <w:r>
        <w:rPr>
          <w:rStyle w:val="FootnoteReference"/>
        </w:rPr>
        <w:footnoteRef/>
      </w:r>
      <w:r>
        <w:t xml:space="preserve"> </w:t>
      </w:r>
      <w:r>
        <w:rPr>
          <w:lang w:val="en-GB"/>
        </w:rPr>
        <w:t>00223.056 Ngāi Tahu ki Murihiku</w:t>
      </w:r>
    </w:p>
  </w:footnote>
  <w:footnote w:id="526">
    <w:p w14:paraId="7CFAB026" w14:textId="3196D462" w:rsidR="00F458B9" w:rsidRPr="00CA4178" w:rsidRDefault="00F458B9" w:rsidP="00F458B9">
      <w:pPr>
        <w:pStyle w:val="FootnoteText"/>
        <w:rPr>
          <w:lang w:val="en-GB"/>
        </w:rPr>
      </w:pPr>
      <w:r>
        <w:rPr>
          <w:rStyle w:val="FootnoteReference"/>
        </w:rPr>
        <w:footnoteRef/>
      </w:r>
      <w:r>
        <w:t xml:space="preserve"> </w:t>
      </w:r>
      <w:r>
        <w:rPr>
          <w:lang w:val="en-GB"/>
        </w:rPr>
        <w:t>00407.014 Greenpeace</w:t>
      </w:r>
    </w:p>
  </w:footnote>
  <w:footnote w:id="527">
    <w:p w14:paraId="29B034FA" w14:textId="07D5A5CD" w:rsidR="00B412FA" w:rsidRPr="00224D37" w:rsidRDefault="00B412FA" w:rsidP="00B412FA">
      <w:pPr>
        <w:pStyle w:val="FootnoteText"/>
        <w:rPr>
          <w:lang w:val="en-GB"/>
        </w:rPr>
      </w:pPr>
      <w:r>
        <w:rPr>
          <w:rStyle w:val="FootnoteReference"/>
        </w:rPr>
        <w:footnoteRef/>
      </w:r>
      <w:r>
        <w:t xml:space="preserve"> </w:t>
      </w:r>
      <w:r>
        <w:rPr>
          <w:lang w:val="en-GB"/>
        </w:rPr>
        <w:t>00239.038 Federated Farmers</w:t>
      </w:r>
      <w:r w:rsidR="00D56B82">
        <w:rPr>
          <w:lang w:val="en-GB"/>
        </w:rPr>
        <w:t xml:space="preserve">, </w:t>
      </w:r>
      <w:r w:rsidR="00AA0777">
        <w:rPr>
          <w:lang w:val="en-GB"/>
        </w:rPr>
        <w:t>00235.065 OWRUG</w:t>
      </w:r>
    </w:p>
  </w:footnote>
  <w:footnote w:id="528">
    <w:p w14:paraId="514920AA" w14:textId="77777777" w:rsidR="00AA0777" w:rsidRPr="008D07EA" w:rsidRDefault="00AA0777" w:rsidP="00AA0777">
      <w:pPr>
        <w:pStyle w:val="FootnoteText"/>
        <w:ind w:left="709" w:hanging="709"/>
        <w:rPr>
          <w:lang w:val="en-GB"/>
        </w:rPr>
      </w:pPr>
      <w:r>
        <w:rPr>
          <w:rStyle w:val="FootnoteReference"/>
        </w:rPr>
        <w:footnoteRef/>
      </w:r>
      <w:r>
        <w:t xml:space="preserve"> </w:t>
      </w:r>
      <w:r>
        <w:rPr>
          <w:lang w:val="en-GB"/>
        </w:rPr>
        <w:t>00137.042 DOC, 00014.022 John Highton, 00239.038 Federated Farmers, 00235.065 OWRUG, 00233.023 Fonterra, 00406.005 Lauder Creek Farming, 00120.024 Yellow-eyed Penguin Trust, 00509.036 Wise Response</w:t>
      </w:r>
    </w:p>
  </w:footnote>
  <w:footnote w:id="529">
    <w:p w14:paraId="0BE3CC0B" w14:textId="2A465156" w:rsidR="00A1539C" w:rsidRPr="008D07EA" w:rsidRDefault="00A1539C" w:rsidP="00A1539C">
      <w:pPr>
        <w:pStyle w:val="FootnoteText"/>
        <w:ind w:left="709" w:hanging="709"/>
        <w:rPr>
          <w:lang w:val="en-GB"/>
        </w:rPr>
      </w:pPr>
      <w:r>
        <w:rPr>
          <w:rStyle w:val="FootnoteReference"/>
        </w:rPr>
        <w:footnoteRef/>
      </w:r>
      <w:r>
        <w:t xml:space="preserve"> </w:t>
      </w:r>
      <w:r>
        <w:rPr>
          <w:lang w:val="en-GB"/>
        </w:rPr>
        <w:t>00137.042 DOC, 00014.022 John Highton, 00239.038 Federated Farmers, 00235.065 OWRUG, 00233.023 Fonterra, 00406.005 Lauder Creek Farming, 00120.024 Yellow-eyed Penguin Trust, 00509.036 Wise Response</w:t>
      </w:r>
    </w:p>
  </w:footnote>
  <w:footnote w:id="530">
    <w:p w14:paraId="5D9CF8C0" w14:textId="66AB1BFE" w:rsidR="00A1539C" w:rsidRPr="006134F9" w:rsidRDefault="00A1539C" w:rsidP="00A1539C">
      <w:pPr>
        <w:pStyle w:val="FootnoteText"/>
        <w:rPr>
          <w:lang w:val="en-GB"/>
        </w:rPr>
      </w:pPr>
      <w:r>
        <w:rPr>
          <w:rStyle w:val="FootnoteReference"/>
        </w:rPr>
        <w:footnoteRef/>
      </w:r>
      <w:r>
        <w:t xml:space="preserve"> 00139.040 DCC, 00121.027 Ravensdown, </w:t>
      </w:r>
    </w:p>
  </w:footnote>
  <w:footnote w:id="531">
    <w:p w14:paraId="360B2D57" w14:textId="4D5DD19D" w:rsidR="00D85EB8" w:rsidRPr="00D85EB8" w:rsidRDefault="00D85EB8">
      <w:pPr>
        <w:pStyle w:val="FootnoteText"/>
        <w:rPr>
          <w:lang w:val="mi-NZ"/>
        </w:rPr>
      </w:pPr>
      <w:r>
        <w:rPr>
          <w:rStyle w:val="FootnoteReference"/>
        </w:rPr>
        <w:footnoteRef/>
      </w:r>
      <w:r>
        <w:t xml:space="preserve"> </w:t>
      </w:r>
      <w:r>
        <w:rPr>
          <w:lang w:val="mi-NZ"/>
        </w:rPr>
        <w:t xml:space="preserve">Clause 16(2) Schedule 1 RMA </w:t>
      </w:r>
    </w:p>
  </w:footnote>
  <w:footnote w:id="532">
    <w:p w14:paraId="1D4053DA" w14:textId="233F54EB" w:rsidR="00F458B9" w:rsidRPr="00727F49" w:rsidRDefault="00F458B9" w:rsidP="00F458B9">
      <w:pPr>
        <w:pStyle w:val="FootnoteText"/>
        <w:rPr>
          <w:lang w:val="en-GB"/>
        </w:rPr>
      </w:pPr>
      <w:r>
        <w:rPr>
          <w:rStyle w:val="FootnoteReference"/>
        </w:rPr>
        <w:footnoteRef/>
      </w:r>
      <w:r>
        <w:t xml:space="preserve"> </w:t>
      </w:r>
      <w:r>
        <w:rPr>
          <w:lang w:val="en-GB"/>
        </w:rPr>
        <w:t>00231.036 Fish and Game</w:t>
      </w:r>
    </w:p>
  </w:footnote>
  <w:footnote w:id="533">
    <w:p w14:paraId="47DD861F" w14:textId="4FA98FE4" w:rsidR="00F458B9" w:rsidRPr="00AA4796" w:rsidRDefault="00F458B9" w:rsidP="00F458B9">
      <w:pPr>
        <w:pStyle w:val="FootnoteText"/>
        <w:rPr>
          <w:lang w:val="en-GB"/>
        </w:rPr>
      </w:pPr>
      <w:r>
        <w:rPr>
          <w:rStyle w:val="FootnoteReference"/>
        </w:rPr>
        <w:footnoteRef/>
      </w:r>
      <w:r>
        <w:t xml:space="preserve"> </w:t>
      </w:r>
      <w:r w:rsidRPr="002E4E64">
        <w:t>00509.044</w:t>
      </w:r>
      <w:r>
        <w:t xml:space="preserve"> Wise Response</w:t>
      </w:r>
    </w:p>
  </w:footnote>
  <w:footnote w:id="534">
    <w:p w14:paraId="186F2862" w14:textId="3701F379" w:rsidR="00F458B9" w:rsidRPr="00AA4796" w:rsidRDefault="00F458B9" w:rsidP="00F458B9">
      <w:pPr>
        <w:pStyle w:val="FootnoteText"/>
        <w:rPr>
          <w:lang w:val="en-GB"/>
        </w:rPr>
      </w:pPr>
      <w:r>
        <w:rPr>
          <w:rStyle w:val="FootnoteReference"/>
        </w:rPr>
        <w:footnoteRef/>
      </w:r>
      <w:r>
        <w:t xml:space="preserve"> </w:t>
      </w:r>
      <w:r w:rsidRPr="002E4E64">
        <w:t>00509.044</w:t>
      </w:r>
      <w:r>
        <w:t xml:space="preserve"> Wise Response</w:t>
      </w:r>
    </w:p>
  </w:footnote>
  <w:footnote w:id="535">
    <w:p w14:paraId="7B6CF843" w14:textId="60E63409" w:rsidR="00F458B9" w:rsidRDefault="00F458B9" w:rsidP="00F458B9">
      <w:pPr>
        <w:pStyle w:val="FootnoteText"/>
      </w:pPr>
      <w:r>
        <w:rPr>
          <w:rStyle w:val="FootnoteReference"/>
        </w:rPr>
        <w:footnoteRef/>
      </w:r>
      <w:r>
        <w:t xml:space="preserve"> Clause 16(2)</w:t>
      </w:r>
      <w:r w:rsidR="00FE7B1D">
        <w:t>,</w:t>
      </w:r>
      <w:r>
        <w:t xml:space="preserve"> Schedule 1, RMA</w:t>
      </w:r>
    </w:p>
  </w:footnote>
  <w:footnote w:id="536">
    <w:p w14:paraId="1E7D192E" w14:textId="7A671741" w:rsidR="00F458B9" w:rsidRPr="00AA4796" w:rsidRDefault="00F458B9" w:rsidP="00F458B9">
      <w:pPr>
        <w:pStyle w:val="FootnoteText"/>
        <w:rPr>
          <w:lang w:val="en-GB"/>
        </w:rPr>
      </w:pPr>
      <w:r>
        <w:rPr>
          <w:rStyle w:val="FootnoteReference"/>
        </w:rPr>
        <w:footnoteRef/>
      </w:r>
      <w:r>
        <w:t xml:space="preserve"> </w:t>
      </w:r>
      <w:r w:rsidRPr="002E4E64">
        <w:t>00509.044</w:t>
      </w:r>
      <w:r>
        <w:t xml:space="preserve"> Wise Response</w:t>
      </w:r>
    </w:p>
  </w:footnote>
  <w:footnote w:id="537">
    <w:p w14:paraId="403BB07C" w14:textId="5FF41E95" w:rsidR="00F458B9" w:rsidRDefault="00F458B9" w:rsidP="00F458B9">
      <w:pPr>
        <w:pStyle w:val="FootnoteText"/>
      </w:pPr>
      <w:r>
        <w:rPr>
          <w:rStyle w:val="FootnoteReference"/>
        </w:rPr>
        <w:footnoteRef/>
      </w:r>
      <w:r>
        <w:t xml:space="preserve"> 00226.096 Kāi Tahu ki Otago</w:t>
      </w:r>
    </w:p>
  </w:footnote>
  <w:footnote w:id="538">
    <w:p w14:paraId="4CEE566B" w14:textId="334631A4" w:rsidR="00F458B9" w:rsidRPr="00AA4796" w:rsidRDefault="00F458B9" w:rsidP="00F458B9">
      <w:pPr>
        <w:pStyle w:val="FootnoteText"/>
        <w:rPr>
          <w:lang w:val="en-GB"/>
        </w:rPr>
      </w:pPr>
      <w:r>
        <w:rPr>
          <w:rStyle w:val="FootnoteReference"/>
        </w:rPr>
        <w:footnoteRef/>
      </w:r>
      <w:r>
        <w:t xml:space="preserve"> </w:t>
      </w:r>
      <w:r w:rsidRPr="002E4E64">
        <w:t>00509.044</w:t>
      </w:r>
      <w:r>
        <w:t xml:space="preserve"> Wise Response</w:t>
      </w:r>
    </w:p>
  </w:footnote>
  <w:footnote w:id="539">
    <w:p w14:paraId="6E762ABF" w14:textId="26EB2F8E" w:rsidR="00F458B9" w:rsidRDefault="00F458B9" w:rsidP="00F458B9">
      <w:pPr>
        <w:pStyle w:val="FootnoteText"/>
      </w:pPr>
      <w:r>
        <w:rPr>
          <w:rStyle w:val="FootnoteReference"/>
        </w:rPr>
        <w:footnoteRef/>
      </w:r>
      <w:r>
        <w:t xml:space="preserve"> 00239.039 Federated Farmers, 00139.033 DCC</w:t>
      </w:r>
    </w:p>
  </w:footnote>
  <w:footnote w:id="540">
    <w:p w14:paraId="4652E676" w14:textId="3A4A823B" w:rsidR="00F458B9" w:rsidRDefault="00F458B9" w:rsidP="00F458B9">
      <w:pPr>
        <w:pStyle w:val="FootnoteText"/>
      </w:pPr>
      <w:r>
        <w:rPr>
          <w:rStyle w:val="FootnoteReference"/>
        </w:rPr>
        <w:footnoteRef/>
      </w:r>
      <w:r>
        <w:t xml:space="preserve"> 00213.011 Waitaki Irrigators, 00239.040 Federated Farmers</w:t>
      </w:r>
    </w:p>
  </w:footnote>
  <w:footnote w:id="541">
    <w:p w14:paraId="7560071E" w14:textId="47C16551" w:rsidR="00F458B9" w:rsidRDefault="00F458B9" w:rsidP="00F458B9">
      <w:pPr>
        <w:pStyle w:val="FootnoteText"/>
      </w:pPr>
      <w:r>
        <w:rPr>
          <w:rStyle w:val="FootnoteReference"/>
        </w:rPr>
        <w:footnoteRef/>
      </w:r>
      <w:r>
        <w:t xml:space="preserve"> Clause 10(2)(b)(i), Schedule 1, RMA – Consequential amendment arising from 00509.015 Wise Response</w:t>
      </w:r>
    </w:p>
  </w:footnote>
  <w:footnote w:id="542">
    <w:p w14:paraId="7FFE0A52" w14:textId="5785EC26" w:rsidR="00F458B9" w:rsidRDefault="00F458B9" w:rsidP="00F458B9">
      <w:pPr>
        <w:pStyle w:val="FootnoteText"/>
      </w:pPr>
      <w:r>
        <w:rPr>
          <w:rStyle w:val="FootnoteReference"/>
        </w:rPr>
        <w:footnoteRef/>
      </w:r>
      <w:r>
        <w:t xml:space="preserve"> Clause 10(2)(b)(i), Schedule 1, RMA – Consequential amendment arising from 00509.015 Wise Response</w:t>
      </w:r>
    </w:p>
  </w:footnote>
  <w:footnote w:id="543">
    <w:p w14:paraId="4FDEF8E1" w14:textId="76D80006" w:rsidR="00F458B9" w:rsidRPr="00AA4796" w:rsidRDefault="00F458B9" w:rsidP="00F458B9">
      <w:pPr>
        <w:pStyle w:val="FootnoteText"/>
        <w:rPr>
          <w:lang w:val="en-GB"/>
        </w:rPr>
      </w:pPr>
      <w:r>
        <w:rPr>
          <w:rStyle w:val="FootnoteReference"/>
        </w:rPr>
        <w:footnoteRef/>
      </w:r>
      <w:r>
        <w:t xml:space="preserve"> </w:t>
      </w:r>
      <w:r w:rsidRPr="002E4E64">
        <w:t>00509.044</w:t>
      </w:r>
      <w:r>
        <w:t xml:space="preserve"> Wise Response</w:t>
      </w:r>
    </w:p>
  </w:footnote>
  <w:footnote w:id="544">
    <w:p w14:paraId="37FEAAC7" w14:textId="660C0991" w:rsidR="00F458B9" w:rsidRDefault="00F458B9" w:rsidP="00F458B9">
      <w:pPr>
        <w:pStyle w:val="FootnoteText"/>
      </w:pPr>
      <w:r>
        <w:rPr>
          <w:rStyle w:val="FootnoteReference"/>
        </w:rPr>
        <w:footnoteRef/>
      </w:r>
      <w:r>
        <w:t xml:space="preserve"> 00137.044 DOC, 00226.098 Kāi Tahu ki Otago</w:t>
      </w:r>
    </w:p>
  </w:footnote>
  <w:footnote w:id="545">
    <w:p w14:paraId="3FEA625E" w14:textId="4E4FC9A5" w:rsidR="00F458B9" w:rsidRDefault="00F458B9" w:rsidP="00F458B9">
      <w:pPr>
        <w:pStyle w:val="FootnoteText"/>
      </w:pPr>
      <w:r>
        <w:rPr>
          <w:rStyle w:val="FootnoteReference"/>
        </w:rPr>
        <w:footnoteRef/>
      </w:r>
      <w:r>
        <w:t xml:space="preserve"> 00137.044 DOC</w:t>
      </w:r>
    </w:p>
  </w:footnote>
  <w:footnote w:id="546">
    <w:p w14:paraId="1DCC9454" w14:textId="65F79495" w:rsidR="00F458B9" w:rsidRDefault="00F458B9" w:rsidP="00F458B9">
      <w:pPr>
        <w:pStyle w:val="FootnoteText"/>
      </w:pPr>
      <w:r>
        <w:rPr>
          <w:rStyle w:val="FootnoteReference"/>
        </w:rPr>
        <w:footnoteRef/>
      </w:r>
      <w:r>
        <w:t xml:space="preserve"> </w:t>
      </w:r>
      <w:r w:rsidR="00D54BC6">
        <w:t>0</w:t>
      </w:r>
      <w:r>
        <w:t>0119.002 Blackthorn Lodge, 00206.018 Trojan, 00411.029 Wayfare</w:t>
      </w:r>
    </w:p>
  </w:footnote>
  <w:footnote w:id="547">
    <w:p w14:paraId="4C632EBC" w14:textId="1100E0D2" w:rsidR="00F458B9" w:rsidRDefault="00F458B9" w:rsidP="00F458B9">
      <w:pPr>
        <w:pStyle w:val="FootnoteText"/>
      </w:pPr>
      <w:r>
        <w:rPr>
          <w:rStyle w:val="FootnoteReference"/>
        </w:rPr>
        <w:footnoteRef/>
      </w:r>
      <w:r w:rsidR="004A298C">
        <w:t xml:space="preserve"> </w:t>
      </w:r>
      <w:r>
        <w:t>00119.002 Blackthorn Lodge, 00206.018 Trojan, 00411.029 Wayfare</w:t>
      </w:r>
    </w:p>
  </w:footnote>
  <w:footnote w:id="548">
    <w:p w14:paraId="609DB41B" w14:textId="48371AE1" w:rsidR="008A5CA2" w:rsidRDefault="008A5CA2">
      <w:pPr>
        <w:pStyle w:val="FootnoteText"/>
      </w:pPr>
      <w:r>
        <w:rPr>
          <w:rStyle w:val="FootnoteReference"/>
        </w:rPr>
        <w:footnoteRef/>
      </w:r>
      <w:r>
        <w:t xml:space="preserve"> 00322.008 Fulton Hogan</w:t>
      </w:r>
    </w:p>
  </w:footnote>
  <w:footnote w:id="549">
    <w:p w14:paraId="1404C26F" w14:textId="4CCF2164" w:rsidR="00F458B9" w:rsidRDefault="00F458B9" w:rsidP="00F458B9">
      <w:pPr>
        <w:pStyle w:val="FootnoteText"/>
      </w:pPr>
      <w:r>
        <w:rPr>
          <w:rStyle w:val="FootnoteReference"/>
        </w:rPr>
        <w:footnoteRef/>
      </w:r>
      <w:r>
        <w:t xml:space="preserve"> 00307.011 CIAL</w:t>
      </w:r>
    </w:p>
  </w:footnote>
  <w:footnote w:id="550">
    <w:p w14:paraId="15A3D187" w14:textId="153C7E8A" w:rsidR="00F458B9" w:rsidRDefault="00F458B9" w:rsidP="00F458B9">
      <w:pPr>
        <w:pStyle w:val="FootnoteText"/>
      </w:pPr>
      <w:r>
        <w:rPr>
          <w:rStyle w:val="FootnoteReference"/>
        </w:rPr>
        <w:footnoteRef/>
      </w:r>
      <w:r>
        <w:t xml:space="preserve"> 00235.068 OWRUG</w:t>
      </w:r>
    </w:p>
  </w:footnote>
  <w:footnote w:id="551">
    <w:p w14:paraId="2110D69A" w14:textId="77777777" w:rsidR="00E71B7E" w:rsidRDefault="00E71B7E" w:rsidP="00E71B7E">
      <w:pPr>
        <w:pStyle w:val="FootnoteText"/>
      </w:pPr>
      <w:r>
        <w:rPr>
          <w:rStyle w:val="FootnoteReference"/>
        </w:rPr>
        <w:footnoteRef/>
      </w:r>
      <w:r>
        <w:t xml:space="preserve"> 00509.040 Wise Response</w:t>
      </w:r>
    </w:p>
  </w:footnote>
  <w:footnote w:id="552">
    <w:p w14:paraId="48A9DA2B" w14:textId="197AC0A0" w:rsidR="00F458B9" w:rsidRDefault="00F458B9" w:rsidP="00F458B9">
      <w:pPr>
        <w:pStyle w:val="FootnoteText"/>
      </w:pPr>
      <w:r>
        <w:rPr>
          <w:rStyle w:val="FootnoteReference"/>
        </w:rPr>
        <w:footnoteRef/>
      </w:r>
      <w:r>
        <w:t xml:space="preserve"> 00509.040 Wise Response</w:t>
      </w:r>
    </w:p>
  </w:footnote>
  <w:footnote w:id="553">
    <w:p w14:paraId="37239151" w14:textId="1112CE23" w:rsidR="00F458B9" w:rsidRDefault="00F458B9" w:rsidP="00F458B9">
      <w:pPr>
        <w:pStyle w:val="FootnoteText"/>
        <w:ind w:left="709" w:hanging="709"/>
      </w:pPr>
      <w:r>
        <w:rPr>
          <w:rStyle w:val="FootnoteReference"/>
        </w:rPr>
        <w:footnoteRef/>
      </w:r>
      <w:r>
        <w:t xml:space="preserve"> 00119.003 Blackthorn Lodge, 00231.009 Fish and Game, 00231.038 Fish and Game, 00306.025 Meridian, 00206.019 Trojan, 00411.030 Wayfare</w:t>
      </w:r>
    </w:p>
  </w:footnote>
  <w:footnote w:id="554">
    <w:p w14:paraId="6A8AA744" w14:textId="37D2123F" w:rsidR="00F458B9" w:rsidRPr="000244F2" w:rsidRDefault="00F458B9" w:rsidP="00F458B9">
      <w:pPr>
        <w:pStyle w:val="FootnoteText"/>
        <w:rPr>
          <w:lang w:val="en-GB"/>
        </w:rPr>
      </w:pPr>
      <w:r>
        <w:rPr>
          <w:rStyle w:val="FootnoteReference"/>
        </w:rPr>
        <w:footnoteRef/>
      </w:r>
      <w:r>
        <w:t xml:space="preserve"> </w:t>
      </w:r>
      <w:r>
        <w:rPr>
          <w:lang w:val="en-GB"/>
        </w:rPr>
        <w:t>00306.025 Meridian</w:t>
      </w:r>
    </w:p>
  </w:footnote>
  <w:footnote w:id="555">
    <w:p w14:paraId="2D93F64A" w14:textId="77777777" w:rsidR="00A56331" w:rsidRDefault="00A56331" w:rsidP="00A56331">
      <w:pPr>
        <w:pStyle w:val="FootnoteText"/>
      </w:pPr>
      <w:r>
        <w:rPr>
          <w:rStyle w:val="FootnoteReference"/>
        </w:rPr>
        <w:footnoteRef/>
      </w:r>
      <w:r>
        <w:t xml:space="preserve"> 00301.014 Port Otago</w:t>
      </w:r>
    </w:p>
  </w:footnote>
  <w:footnote w:id="556">
    <w:p w14:paraId="7E23E4A2" w14:textId="4E7BA3D8" w:rsidR="00F458B9" w:rsidRDefault="00F458B9" w:rsidP="00F458B9">
      <w:pPr>
        <w:pStyle w:val="FootnoteText"/>
      </w:pPr>
      <w:r>
        <w:rPr>
          <w:rStyle w:val="FootnoteReference"/>
        </w:rPr>
        <w:footnoteRef/>
      </w:r>
      <w:r>
        <w:t xml:space="preserve"> 00231.009 Fish and Game</w:t>
      </w:r>
    </w:p>
  </w:footnote>
  <w:footnote w:id="557">
    <w:p w14:paraId="420726D1" w14:textId="62400E90" w:rsidR="00F458B9" w:rsidRPr="000244F2" w:rsidRDefault="00F458B9" w:rsidP="00F458B9">
      <w:pPr>
        <w:pStyle w:val="FootnoteText"/>
        <w:rPr>
          <w:lang w:val="en-GB"/>
        </w:rPr>
      </w:pPr>
      <w:r>
        <w:rPr>
          <w:rStyle w:val="FootnoteReference"/>
        </w:rPr>
        <w:footnoteRef/>
      </w:r>
      <w:r>
        <w:t xml:space="preserve"> </w:t>
      </w:r>
      <w:r>
        <w:rPr>
          <w:lang w:val="en-GB"/>
        </w:rPr>
        <w:t>00306.025 Meridian</w:t>
      </w:r>
    </w:p>
  </w:footnote>
  <w:footnote w:id="558">
    <w:p w14:paraId="27690575" w14:textId="77777777" w:rsidR="00F458B9" w:rsidRDefault="00F458B9" w:rsidP="00F458B9">
      <w:pPr>
        <w:pStyle w:val="FootnoteText"/>
      </w:pPr>
      <w:r>
        <w:rPr>
          <w:rStyle w:val="FootnoteReference"/>
        </w:rPr>
        <w:footnoteRef/>
      </w:r>
      <w:r>
        <w:t xml:space="preserve"> 00306.025 Meridian, 00311.011 Trustpower</w:t>
      </w:r>
    </w:p>
  </w:footnote>
  <w:footnote w:id="559">
    <w:p w14:paraId="030311B4" w14:textId="77777777" w:rsidR="00F458B9" w:rsidRPr="00124D40" w:rsidRDefault="00F458B9" w:rsidP="00F458B9">
      <w:pPr>
        <w:pStyle w:val="FootnoteText"/>
        <w:ind w:left="142" w:hanging="142"/>
        <w:rPr>
          <w:lang w:val="en-GB"/>
        </w:rPr>
      </w:pPr>
      <w:r>
        <w:rPr>
          <w:rStyle w:val="FootnoteReference"/>
        </w:rPr>
        <w:footnoteRef/>
      </w:r>
      <w:r>
        <w:t xml:space="preserve"> 00119.003 Blackthorn Lodge, 00206.019 Trojan, 00411.030 Wayfare, 00306.025 Meridian, 00311.011 Trustpower, </w:t>
      </w:r>
      <w:r>
        <w:rPr>
          <w:lang w:val="en-GB"/>
        </w:rPr>
        <w:t>00318.009 Contact</w:t>
      </w:r>
    </w:p>
  </w:footnote>
  <w:footnote w:id="560">
    <w:p w14:paraId="27CAE2B6" w14:textId="77777777" w:rsidR="00F458B9" w:rsidRDefault="00F458B9" w:rsidP="00F458B9">
      <w:pPr>
        <w:pStyle w:val="FootnoteText"/>
      </w:pPr>
      <w:r>
        <w:rPr>
          <w:rStyle w:val="FootnoteReference"/>
        </w:rPr>
        <w:footnoteRef/>
      </w:r>
      <w:r>
        <w:t xml:space="preserve"> 00306.025 Meridian</w:t>
      </w:r>
    </w:p>
  </w:footnote>
  <w:footnote w:id="561">
    <w:p w14:paraId="2D681C10" w14:textId="77777777" w:rsidR="00F458B9" w:rsidRDefault="00F458B9" w:rsidP="00F458B9">
      <w:pPr>
        <w:pStyle w:val="FootnoteText"/>
      </w:pPr>
      <w:r>
        <w:rPr>
          <w:rStyle w:val="FootnoteReference"/>
        </w:rPr>
        <w:footnoteRef/>
      </w:r>
      <w:r>
        <w:t xml:space="preserve"> 00231.009 Fish and Game</w:t>
      </w:r>
    </w:p>
  </w:footnote>
  <w:footnote w:id="562">
    <w:p w14:paraId="0E096848" w14:textId="77777777" w:rsidR="00F458B9" w:rsidRDefault="00F458B9" w:rsidP="00F458B9">
      <w:pPr>
        <w:pStyle w:val="FootnoteText"/>
      </w:pPr>
      <w:r>
        <w:rPr>
          <w:rStyle w:val="FootnoteReference"/>
        </w:rPr>
        <w:footnoteRef/>
      </w:r>
      <w:r>
        <w:t xml:space="preserve"> 00235.070 OWRUG, 00121.026 Ravensdown</w:t>
      </w:r>
    </w:p>
  </w:footnote>
  <w:footnote w:id="563">
    <w:p w14:paraId="19F25D2A" w14:textId="77777777" w:rsidR="00F458B9" w:rsidRDefault="00F458B9" w:rsidP="00F458B9">
      <w:pPr>
        <w:pStyle w:val="FootnoteText"/>
      </w:pPr>
      <w:r>
        <w:rPr>
          <w:rStyle w:val="FootnoteReference"/>
        </w:rPr>
        <w:footnoteRef/>
      </w:r>
      <w:r>
        <w:t xml:space="preserve"> 00235.071 OWRUG</w:t>
      </w:r>
    </w:p>
  </w:footnote>
  <w:footnote w:id="564">
    <w:p w14:paraId="01ECC0EB" w14:textId="77777777" w:rsidR="00F458B9" w:rsidRDefault="00F458B9" w:rsidP="00F458B9">
      <w:pPr>
        <w:pStyle w:val="FootnoteText"/>
      </w:pPr>
      <w:r>
        <w:rPr>
          <w:rStyle w:val="FootnoteReference"/>
        </w:rPr>
        <w:footnoteRef/>
      </w:r>
      <w:r>
        <w:t xml:space="preserve"> 00231.009 Fish and Game</w:t>
      </w:r>
    </w:p>
  </w:footnote>
  <w:footnote w:id="565">
    <w:p w14:paraId="72B1B4BC" w14:textId="77777777" w:rsidR="00F458B9" w:rsidRDefault="00F458B9" w:rsidP="00F458B9">
      <w:pPr>
        <w:pStyle w:val="FootnoteText"/>
      </w:pPr>
      <w:r>
        <w:rPr>
          <w:rStyle w:val="FootnoteReference"/>
        </w:rPr>
        <w:footnoteRef/>
      </w:r>
      <w:r>
        <w:t xml:space="preserve"> 00235.071 OWRUG</w:t>
      </w:r>
    </w:p>
  </w:footnote>
  <w:footnote w:id="566">
    <w:p w14:paraId="266F8770" w14:textId="47B29557" w:rsidR="00F458B9" w:rsidRDefault="00F458B9" w:rsidP="00F458B9">
      <w:pPr>
        <w:pStyle w:val="FootnoteText"/>
      </w:pPr>
      <w:r>
        <w:rPr>
          <w:rStyle w:val="FootnoteReference"/>
        </w:rPr>
        <w:footnoteRef/>
      </w:r>
      <w:r>
        <w:t xml:space="preserve"> 00231.009 Fish and Game</w:t>
      </w:r>
    </w:p>
  </w:footnote>
  <w:footnote w:id="567">
    <w:p w14:paraId="1FAB96E7" w14:textId="291802DF" w:rsidR="00F458B9" w:rsidRDefault="00F458B9" w:rsidP="00F458B9">
      <w:pPr>
        <w:pStyle w:val="FootnoteText"/>
      </w:pPr>
      <w:r>
        <w:rPr>
          <w:rStyle w:val="FootnoteReference"/>
        </w:rPr>
        <w:footnoteRef/>
      </w:r>
      <w:r>
        <w:t xml:space="preserve"> 00231.009 Fish and Game</w:t>
      </w:r>
    </w:p>
  </w:footnote>
  <w:footnote w:id="568">
    <w:p w14:paraId="14C8CCC6" w14:textId="1932FDCE" w:rsidR="00F458B9" w:rsidRDefault="00F458B9" w:rsidP="00F458B9">
      <w:pPr>
        <w:pStyle w:val="FootnoteText"/>
      </w:pPr>
      <w:r>
        <w:rPr>
          <w:rStyle w:val="FootnoteReference"/>
        </w:rPr>
        <w:footnoteRef/>
      </w:r>
      <w:r>
        <w:t xml:space="preserve"> </w:t>
      </w:r>
      <w:r w:rsidRPr="004860B7">
        <w:t>00226.102 Kāi Tahu ki Otago</w:t>
      </w:r>
    </w:p>
  </w:footnote>
  <w:footnote w:id="569">
    <w:p w14:paraId="76648BE3" w14:textId="543F84AD" w:rsidR="00F458B9" w:rsidRDefault="00F458B9" w:rsidP="00F458B9">
      <w:pPr>
        <w:pStyle w:val="FootnoteText"/>
      </w:pPr>
      <w:r>
        <w:rPr>
          <w:rStyle w:val="FootnoteReference"/>
        </w:rPr>
        <w:footnoteRef/>
      </w:r>
      <w:r>
        <w:t xml:space="preserve"> </w:t>
      </w:r>
      <w:r w:rsidRPr="004860B7">
        <w:t>00137.046 DOC</w:t>
      </w:r>
    </w:p>
  </w:footnote>
  <w:footnote w:id="570">
    <w:p w14:paraId="0A577A01" w14:textId="23D1CD92" w:rsidR="00F458B9" w:rsidRPr="0041474B" w:rsidRDefault="00F458B9" w:rsidP="00F458B9">
      <w:pPr>
        <w:pStyle w:val="FootnoteText"/>
        <w:rPr>
          <w:lang w:val="en-GB"/>
        </w:rPr>
      </w:pPr>
      <w:r>
        <w:rPr>
          <w:rStyle w:val="FootnoteReference"/>
        </w:rPr>
        <w:footnoteRef/>
      </w:r>
      <w:r>
        <w:t xml:space="preserve"> </w:t>
      </w:r>
      <w:r>
        <w:rPr>
          <w:lang w:val="en-GB"/>
        </w:rPr>
        <w:t>00137.042 DOC, 00014.022 John Highton</w:t>
      </w:r>
    </w:p>
  </w:footnote>
  <w:footnote w:id="571">
    <w:p w14:paraId="67C0EE03" w14:textId="2F64C3A6" w:rsidR="00C90D8E" w:rsidRDefault="00C90D8E">
      <w:pPr>
        <w:pStyle w:val="FootnoteText"/>
      </w:pPr>
      <w:r>
        <w:rPr>
          <w:rStyle w:val="FootnoteReference"/>
        </w:rPr>
        <w:footnoteRef/>
      </w:r>
      <w:r>
        <w:t xml:space="preserve"> </w:t>
      </w:r>
      <w:r w:rsidR="00D122F1">
        <w:t>Clause 16(2), Schedule 1, RMA</w:t>
      </w:r>
    </w:p>
  </w:footnote>
  <w:footnote w:id="572">
    <w:p w14:paraId="1B993941" w14:textId="6BC73116" w:rsidR="00D122F1" w:rsidRDefault="00D122F1">
      <w:pPr>
        <w:pStyle w:val="FootnoteText"/>
      </w:pPr>
      <w:r>
        <w:rPr>
          <w:rStyle w:val="FootnoteReference"/>
        </w:rPr>
        <w:footnoteRef/>
      </w:r>
      <w:r>
        <w:t xml:space="preserve"> Clause 16(2), Schedule 1, RMA</w:t>
      </w:r>
    </w:p>
  </w:footnote>
  <w:footnote w:id="573">
    <w:p w14:paraId="58F039A0" w14:textId="42C82305" w:rsidR="00F458B9" w:rsidRPr="00361913" w:rsidRDefault="00F458B9" w:rsidP="00F458B9">
      <w:pPr>
        <w:pStyle w:val="FootnoteText"/>
        <w:rPr>
          <w:lang w:val="en-GB"/>
        </w:rPr>
      </w:pPr>
      <w:r>
        <w:rPr>
          <w:rStyle w:val="FootnoteReference"/>
        </w:rPr>
        <w:footnoteRef/>
      </w:r>
      <w:r>
        <w:t xml:space="preserve"> 00139.042 DCC, 00239.046 Federated Farmers</w:t>
      </w:r>
    </w:p>
  </w:footnote>
  <w:footnote w:id="574">
    <w:p w14:paraId="12DF90FC" w14:textId="12F44D83" w:rsidR="00F458B9" w:rsidRPr="00015978" w:rsidRDefault="00F458B9" w:rsidP="00F458B9">
      <w:pPr>
        <w:pStyle w:val="FootnoteText"/>
        <w:rPr>
          <w:lang w:val="en-GB"/>
        </w:rPr>
      </w:pPr>
      <w:r>
        <w:rPr>
          <w:rStyle w:val="FootnoteReference"/>
        </w:rPr>
        <w:footnoteRef/>
      </w:r>
      <w:r>
        <w:t xml:space="preserve"> </w:t>
      </w:r>
      <w:r>
        <w:rPr>
          <w:lang w:val="en-GB"/>
        </w:rPr>
        <w:t xml:space="preserve">00119.006 Blackthorn Lodge, </w:t>
      </w:r>
      <w:r w:rsidRPr="002E4E64">
        <w:t>00509.044</w:t>
      </w:r>
      <w:r>
        <w:t xml:space="preserve"> Wise Response</w:t>
      </w:r>
    </w:p>
  </w:footnote>
  <w:footnote w:id="575">
    <w:p w14:paraId="25C9CF91" w14:textId="414E5423" w:rsidR="00F458B9" w:rsidRDefault="00F458B9" w:rsidP="00F458B9">
      <w:pPr>
        <w:pStyle w:val="FootnoteText"/>
      </w:pPr>
      <w:r>
        <w:rPr>
          <w:rStyle w:val="FootnoteReference"/>
        </w:rPr>
        <w:footnoteRef/>
      </w:r>
      <w:r>
        <w:t xml:space="preserve"> </w:t>
      </w:r>
      <w:r>
        <w:rPr>
          <w:lang w:val="en-GB"/>
        </w:rPr>
        <w:t>00139 DCC (uncoded submission point)</w:t>
      </w:r>
    </w:p>
  </w:footnote>
  <w:footnote w:id="576">
    <w:p w14:paraId="4A2CB41C" w14:textId="74FE895F" w:rsidR="00F458B9" w:rsidRPr="00AF1C40" w:rsidRDefault="00F458B9" w:rsidP="00F458B9">
      <w:pPr>
        <w:pStyle w:val="FootnoteText"/>
        <w:rPr>
          <w:lang w:val="en-GB"/>
        </w:rPr>
      </w:pPr>
      <w:r>
        <w:rPr>
          <w:rStyle w:val="FootnoteReference"/>
        </w:rPr>
        <w:footnoteRef/>
      </w:r>
      <w:r>
        <w:t xml:space="preserve"> 00119.006 Blackthorn Lodge, 00206.023 Trojan, 00411.034 Wayfare, 00231.042 Fish and Game</w:t>
      </w:r>
    </w:p>
  </w:footnote>
  <w:footnote w:id="577">
    <w:p w14:paraId="3006661F" w14:textId="63E8E65D" w:rsidR="00F458B9" w:rsidRPr="006A34EF" w:rsidRDefault="00F458B9" w:rsidP="00F458B9">
      <w:pPr>
        <w:pStyle w:val="FootnoteText"/>
        <w:rPr>
          <w:lang w:val="en-GB"/>
        </w:rPr>
      </w:pPr>
      <w:r>
        <w:rPr>
          <w:rStyle w:val="FootnoteReference"/>
        </w:rPr>
        <w:footnoteRef/>
      </w:r>
      <w:r>
        <w:t xml:space="preserve"> </w:t>
      </w:r>
      <w:r>
        <w:rPr>
          <w:lang w:val="en-GB"/>
        </w:rPr>
        <w:t xml:space="preserve">00239.046 Federated Farmers, </w:t>
      </w:r>
      <w:r>
        <w:t>00119.006 Blackthorn Lodge, 00206.023 Trojan, 00411.034 Wayfare</w:t>
      </w:r>
    </w:p>
  </w:footnote>
  <w:footnote w:id="578">
    <w:p w14:paraId="008885D6" w14:textId="26A4C60E" w:rsidR="00F458B9" w:rsidRPr="00057278" w:rsidRDefault="00F458B9" w:rsidP="00F458B9">
      <w:pPr>
        <w:pStyle w:val="FootnoteText"/>
        <w:rPr>
          <w:lang w:val="en-GB"/>
        </w:rPr>
      </w:pPr>
      <w:r>
        <w:rPr>
          <w:rStyle w:val="FootnoteReference"/>
        </w:rPr>
        <w:footnoteRef/>
      </w:r>
      <w:r>
        <w:t xml:space="preserve"> </w:t>
      </w:r>
      <w:r>
        <w:rPr>
          <w:lang w:val="en-GB"/>
        </w:rPr>
        <w:t>00226.104 Kāi Tahu ki Otago</w:t>
      </w:r>
    </w:p>
  </w:footnote>
  <w:footnote w:id="579">
    <w:p w14:paraId="10831CAA" w14:textId="1A4EE101" w:rsidR="00F458B9" w:rsidRDefault="00F458B9" w:rsidP="00F458B9">
      <w:pPr>
        <w:pStyle w:val="FootnoteText"/>
      </w:pPr>
      <w:r>
        <w:rPr>
          <w:rStyle w:val="FootnoteReference"/>
        </w:rPr>
        <w:footnoteRef/>
      </w:r>
      <w:r>
        <w:t xml:space="preserve"> 00231.009 Fish and Game</w:t>
      </w:r>
    </w:p>
  </w:footnote>
  <w:footnote w:id="580">
    <w:p w14:paraId="10EF68E6" w14:textId="5F1A95A3" w:rsidR="00F458B9" w:rsidRPr="00794489" w:rsidRDefault="00F458B9" w:rsidP="00F458B9">
      <w:pPr>
        <w:pStyle w:val="FootnoteText"/>
        <w:rPr>
          <w:lang w:val="en-GB"/>
        </w:rPr>
      </w:pPr>
      <w:r>
        <w:rPr>
          <w:rStyle w:val="FootnoteReference"/>
        </w:rPr>
        <w:footnoteRef/>
      </w:r>
      <w:r>
        <w:t xml:space="preserve"> </w:t>
      </w:r>
      <w:r>
        <w:rPr>
          <w:lang w:val="en-GB"/>
        </w:rPr>
        <w:t>00239.047 Federated Farmers</w:t>
      </w:r>
    </w:p>
  </w:footnote>
  <w:footnote w:id="581">
    <w:p w14:paraId="4B97F4F1" w14:textId="19EB89D9" w:rsidR="00F458B9" w:rsidRPr="00E96084" w:rsidRDefault="00F458B9" w:rsidP="00F458B9">
      <w:pPr>
        <w:pStyle w:val="FootnoteText"/>
        <w:rPr>
          <w:lang w:val="en-GB"/>
        </w:rPr>
      </w:pPr>
      <w:r>
        <w:rPr>
          <w:rStyle w:val="FootnoteReference"/>
        </w:rPr>
        <w:footnoteRef/>
      </w:r>
      <w:r>
        <w:t xml:space="preserve"> </w:t>
      </w:r>
      <w:r>
        <w:rPr>
          <w:lang w:val="en-GB"/>
        </w:rPr>
        <w:t>00226.105 Kāi Tahu ki Otago</w:t>
      </w:r>
    </w:p>
  </w:footnote>
  <w:footnote w:id="582">
    <w:p w14:paraId="1F9C9848" w14:textId="7C14186E" w:rsidR="00F458B9" w:rsidRPr="00E96084" w:rsidRDefault="00F458B9" w:rsidP="00F458B9">
      <w:pPr>
        <w:pStyle w:val="FootnoteText"/>
        <w:rPr>
          <w:lang w:val="en-GB"/>
        </w:rPr>
      </w:pPr>
      <w:r>
        <w:rPr>
          <w:rStyle w:val="FootnoteReference"/>
        </w:rPr>
        <w:footnoteRef/>
      </w:r>
      <w:r>
        <w:t xml:space="preserve"> </w:t>
      </w:r>
      <w:r>
        <w:rPr>
          <w:lang w:val="en-GB"/>
        </w:rPr>
        <w:t>00013.008 ECan</w:t>
      </w:r>
    </w:p>
  </w:footnote>
  <w:footnote w:id="583">
    <w:p w14:paraId="558AD254" w14:textId="29FA228F" w:rsidR="00F458B9" w:rsidRPr="009D783A" w:rsidRDefault="00F458B9" w:rsidP="00F458B9">
      <w:pPr>
        <w:pStyle w:val="FootnoteText"/>
        <w:rPr>
          <w:lang w:val="en-GB"/>
        </w:rPr>
      </w:pPr>
      <w:r>
        <w:rPr>
          <w:rStyle w:val="FootnoteReference"/>
        </w:rPr>
        <w:footnoteRef/>
      </w:r>
      <w:r>
        <w:t xml:space="preserve"> </w:t>
      </w:r>
      <w:r>
        <w:rPr>
          <w:lang w:val="en-GB"/>
        </w:rPr>
        <w:t>00139.043 DCC</w:t>
      </w:r>
    </w:p>
  </w:footnote>
  <w:footnote w:id="584">
    <w:p w14:paraId="49B3C7FE" w14:textId="7C0C7F51" w:rsidR="00F458B9" w:rsidRPr="009D783A" w:rsidRDefault="00F458B9" w:rsidP="00F458B9">
      <w:pPr>
        <w:pStyle w:val="FootnoteText"/>
        <w:rPr>
          <w:lang w:val="en-GB"/>
        </w:rPr>
      </w:pPr>
      <w:r>
        <w:rPr>
          <w:rStyle w:val="FootnoteReference"/>
        </w:rPr>
        <w:footnoteRef/>
      </w:r>
      <w:r>
        <w:t xml:space="preserve"> </w:t>
      </w:r>
      <w:r>
        <w:rPr>
          <w:lang w:val="en-GB"/>
        </w:rPr>
        <w:t>00139.043 DCC</w:t>
      </w:r>
    </w:p>
  </w:footnote>
  <w:footnote w:id="585">
    <w:p w14:paraId="110C2F32" w14:textId="067D4F8C" w:rsidR="00F458B9" w:rsidRPr="00015978" w:rsidRDefault="00F458B9" w:rsidP="00F458B9">
      <w:pPr>
        <w:pStyle w:val="FootnoteText"/>
        <w:rPr>
          <w:lang w:val="en-GB"/>
        </w:rPr>
      </w:pPr>
      <w:r>
        <w:rPr>
          <w:rStyle w:val="FootnoteReference"/>
        </w:rPr>
        <w:footnoteRef/>
      </w:r>
      <w:r>
        <w:t xml:space="preserve"> </w:t>
      </w:r>
      <w:r>
        <w:rPr>
          <w:lang w:val="en-GB"/>
        </w:rPr>
        <w:t xml:space="preserve">00119.006 Blackthorn Lodge, </w:t>
      </w:r>
      <w:r w:rsidRPr="002E4E64">
        <w:t>00509.044</w:t>
      </w:r>
      <w:r>
        <w:t xml:space="preserve"> Wise Response</w:t>
      </w:r>
    </w:p>
  </w:footnote>
  <w:footnote w:id="586">
    <w:p w14:paraId="1B7B556D" w14:textId="106170EC" w:rsidR="00F458B9" w:rsidRPr="00FC0AB5" w:rsidRDefault="00F458B9" w:rsidP="00F458B9">
      <w:pPr>
        <w:pStyle w:val="FootnoteText"/>
        <w:rPr>
          <w:lang w:val="en-GB"/>
        </w:rPr>
      </w:pPr>
      <w:r>
        <w:rPr>
          <w:rStyle w:val="FootnoteReference"/>
        </w:rPr>
        <w:footnoteRef/>
      </w:r>
      <w:r>
        <w:t xml:space="preserve"> </w:t>
      </w:r>
      <w:r>
        <w:rPr>
          <w:lang w:val="en-GB"/>
        </w:rPr>
        <w:t>00139.044 DCC</w:t>
      </w:r>
    </w:p>
  </w:footnote>
  <w:footnote w:id="587">
    <w:p w14:paraId="6588FC47" w14:textId="0535D705" w:rsidR="00F458B9" w:rsidRPr="00AA4796" w:rsidRDefault="00F458B9" w:rsidP="00F458B9">
      <w:pPr>
        <w:pStyle w:val="FootnoteText"/>
        <w:rPr>
          <w:lang w:val="en-GB"/>
        </w:rPr>
      </w:pPr>
      <w:r>
        <w:rPr>
          <w:rStyle w:val="FootnoteReference"/>
        </w:rPr>
        <w:footnoteRef/>
      </w:r>
      <w:r>
        <w:t xml:space="preserve"> </w:t>
      </w:r>
      <w:r>
        <w:rPr>
          <w:lang w:val="en-GB"/>
        </w:rPr>
        <w:t xml:space="preserve">Clause 10(2)(b)(i), Schedule 1, RMA – Consequential amendment arising from </w:t>
      </w:r>
      <w:r w:rsidRPr="002E4E64">
        <w:t>00509.044</w:t>
      </w:r>
      <w:r>
        <w:t xml:space="preserve"> Wise Response</w:t>
      </w:r>
    </w:p>
  </w:footnote>
  <w:footnote w:id="588">
    <w:p w14:paraId="53432D26" w14:textId="7D8680A7" w:rsidR="00F458B9" w:rsidRDefault="00F458B9" w:rsidP="00F458B9">
      <w:pPr>
        <w:pStyle w:val="FootnoteText"/>
      </w:pPr>
      <w:r>
        <w:rPr>
          <w:rStyle w:val="FootnoteReference"/>
        </w:rPr>
        <w:footnoteRef/>
      </w:r>
      <w:r>
        <w:t xml:space="preserve"> 00230.037 Forest and Bird</w:t>
      </w:r>
    </w:p>
  </w:footnote>
  <w:footnote w:id="589">
    <w:p w14:paraId="0E8390D2" w14:textId="2C027C75" w:rsidR="00223898" w:rsidRPr="00015978" w:rsidRDefault="00223898" w:rsidP="00223898">
      <w:pPr>
        <w:pStyle w:val="FootnoteText"/>
        <w:rPr>
          <w:lang w:val="en-GB"/>
        </w:rPr>
      </w:pPr>
      <w:r>
        <w:rPr>
          <w:rStyle w:val="FootnoteReference"/>
        </w:rPr>
        <w:footnoteRef/>
      </w:r>
      <w:r>
        <w:t xml:space="preserve"> </w:t>
      </w:r>
      <w:r>
        <w:rPr>
          <w:lang w:val="en-GB"/>
        </w:rPr>
        <w:t xml:space="preserve">00119.006 Blackthorn Lodge, </w:t>
      </w:r>
      <w:r w:rsidRPr="002E4E64">
        <w:t>00509.044</w:t>
      </w:r>
      <w:r>
        <w:t xml:space="preserve"> Wise Response</w:t>
      </w:r>
    </w:p>
  </w:footnote>
  <w:footnote w:id="590">
    <w:p w14:paraId="5327E039" w14:textId="766D5CA8" w:rsidR="00F458B9" w:rsidRPr="00015978" w:rsidRDefault="00F458B9" w:rsidP="00F458B9">
      <w:pPr>
        <w:pStyle w:val="FootnoteText"/>
        <w:rPr>
          <w:lang w:val="en-GB"/>
        </w:rPr>
      </w:pPr>
      <w:r>
        <w:rPr>
          <w:rStyle w:val="FootnoteReference"/>
        </w:rPr>
        <w:footnoteRef/>
      </w:r>
      <w:r>
        <w:t xml:space="preserve"> </w:t>
      </w:r>
      <w:r>
        <w:rPr>
          <w:lang w:val="en-GB"/>
        </w:rPr>
        <w:t xml:space="preserve">00119.006 Blackthorn Lodge, </w:t>
      </w:r>
      <w:r w:rsidRPr="002E4E64">
        <w:t>00509.044</w:t>
      </w:r>
      <w:r>
        <w:t xml:space="preserve"> Wise Response</w:t>
      </w:r>
    </w:p>
  </w:footnote>
  <w:footnote w:id="591">
    <w:p w14:paraId="3BD1C73E" w14:textId="5C889629" w:rsidR="00F458B9" w:rsidRPr="00015978" w:rsidRDefault="00F458B9" w:rsidP="00F458B9">
      <w:pPr>
        <w:pStyle w:val="FootnoteText"/>
        <w:ind w:left="709" w:hanging="709"/>
        <w:rPr>
          <w:lang w:val="en-GB"/>
        </w:rPr>
      </w:pPr>
      <w:r>
        <w:rPr>
          <w:rStyle w:val="FootnoteReference"/>
        </w:rPr>
        <w:footnoteRef/>
      </w:r>
      <w:r>
        <w:t xml:space="preserve"> Clause 10(2)(b)(i), Schedule 1, RMA – Consequential amendment arising from </w:t>
      </w:r>
      <w:r>
        <w:rPr>
          <w:lang w:val="en-GB"/>
        </w:rPr>
        <w:t xml:space="preserve">00119.006 Blackthorn Lodge, </w:t>
      </w:r>
      <w:r w:rsidRPr="002E4E64">
        <w:t>00509.044</w:t>
      </w:r>
      <w:r>
        <w:t xml:space="preserve"> Wise Response, 00235.066 OWRUG</w:t>
      </w:r>
    </w:p>
  </w:footnote>
  <w:footnote w:id="592">
    <w:p w14:paraId="79D57BDF" w14:textId="7EF589EB" w:rsidR="00F458B9" w:rsidRDefault="00F458B9" w:rsidP="00F458B9">
      <w:pPr>
        <w:pStyle w:val="FootnoteText"/>
      </w:pPr>
      <w:r>
        <w:rPr>
          <w:rStyle w:val="FootnoteReference"/>
        </w:rPr>
        <w:footnoteRef/>
      </w:r>
      <w:r>
        <w:t xml:space="preserve"> 00119.008 Blackthorn Lodge, 00206.026 Trojan, 00411.037 Wayfare</w:t>
      </w:r>
    </w:p>
  </w:footnote>
  <w:footnote w:id="593">
    <w:p w14:paraId="0DFE1EDD" w14:textId="2CB8F335" w:rsidR="00F458B9" w:rsidRDefault="00F458B9" w:rsidP="00F458B9">
      <w:pPr>
        <w:pStyle w:val="FootnoteText"/>
      </w:pPr>
      <w:r>
        <w:rPr>
          <w:rStyle w:val="FootnoteReference"/>
        </w:rPr>
        <w:footnoteRef/>
      </w:r>
      <w:r>
        <w:t xml:space="preserve"> 00139.046 DCC</w:t>
      </w:r>
    </w:p>
  </w:footnote>
  <w:footnote w:id="594">
    <w:p w14:paraId="68F2B9B5" w14:textId="4E571564" w:rsidR="00F458B9" w:rsidRDefault="00F458B9" w:rsidP="00F458B9">
      <w:pPr>
        <w:pStyle w:val="FootnoteText"/>
      </w:pPr>
      <w:r>
        <w:rPr>
          <w:rStyle w:val="FootnoteReference"/>
        </w:rPr>
        <w:footnoteRef/>
      </w:r>
      <w:r>
        <w:t xml:space="preserve"> 00226.108 Kāi Tahu ki Otago</w:t>
      </w:r>
    </w:p>
  </w:footnote>
  <w:footnote w:id="595">
    <w:p w14:paraId="42CB4226" w14:textId="7DDC6EB2" w:rsidR="00F458B9" w:rsidRPr="004D2265" w:rsidRDefault="00F458B9" w:rsidP="00F458B9">
      <w:pPr>
        <w:pStyle w:val="FootnoteText"/>
        <w:rPr>
          <w:lang w:val="en-GB"/>
        </w:rPr>
      </w:pPr>
      <w:r>
        <w:rPr>
          <w:rStyle w:val="FootnoteReference"/>
        </w:rPr>
        <w:footnoteRef/>
      </w:r>
      <w:r>
        <w:t xml:space="preserve"> </w:t>
      </w:r>
      <w:r>
        <w:rPr>
          <w:lang w:val="en-GB"/>
        </w:rPr>
        <w:t>00226.109 Kāi Tahu ki Otago</w:t>
      </w:r>
    </w:p>
  </w:footnote>
  <w:footnote w:id="596">
    <w:p w14:paraId="0AB58D24" w14:textId="0C8FACE9" w:rsidR="00F458B9" w:rsidRPr="004D2265" w:rsidRDefault="00F458B9" w:rsidP="00F458B9">
      <w:pPr>
        <w:pStyle w:val="FootnoteText"/>
        <w:rPr>
          <w:lang w:val="en-GB"/>
        </w:rPr>
      </w:pPr>
      <w:r>
        <w:rPr>
          <w:rStyle w:val="FootnoteReference"/>
        </w:rPr>
        <w:footnoteRef/>
      </w:r>
      <w:r>
        <w:t xml:space="preserve"> </w:t>
      </w:r>
      <w:r>
        <w:rPr>
          <w:lang w:val="en-GB"/>
        </w:rPr>
        <w:t>00226.109 Kāi Tahu ki Otago</w:t>
      </w:r>
    </w:p>
  </w:footnote>
  <w:footnote w:id="597">
    <w:p w14:paraId="50C95607" w14:textId="1D1184A7" w:rsidR="00E95F5D" w:rsidRDefault="00E95F5D">
      <w:pPr>
        <w:pStyle w:val="FootnoteText"/>
      </w:pPr>
      <w:r>
        <w:rPr>
          <w:rStyle w:val="FootnoteReference"/>
        </w:rPr>
        <w:footnoteRef/>
      </w:r>
      <w:r>
        <w:t xml:space="preserve"> </w:t>
      </w:r>
      <w:r w:rsidR="00F46BBA" w:rsidRPr="00F46BBA">
        <w:t>Clause 16(2), Schedule 1, RMA</w:t>
      </w:r>
    </w:p>
  </w:footnote>
  <w:footnote w:id="598">
    <w:p w14:paraId="0E7C9344" w14:textId="272A55E5" w:rsidR="0068219A" w:rsidRDefault="0068219A">
      <w:pPr>
        <w:pStyle w:val="FootnoteText"/>
      </w:pPr>
      <w:r>
        <w:rPr>
          <w:rStyle w:val="FootnoteReference"/>
        </w:rPr>
        <w:footnoteRef/>
      </w:r>
      <w:r>
        <w:t xml:space="preserve"> </w:t>
      </w:r>
      <w:r w:rsidRPr="0068219A">
        <w:t>Clause 16(2), Schedule 1, RMA</w:t>
      </w:r>
    </w:p>
  </w:footnote>
  <w:footnote w:id="599">
    <w:p w14:paraId="71F44FAE" w14:textId="7EE91F10" w:rsidR="00F458B9" w:rsidRPr="0014419C" w:rsidRDefault="00F458B9" w:rsidP="00F458B9">
      <w:pPr>
        <w:pStyle w:val="FootnoteText"/>
        <w:rPr>
          <w:lang w:val="en-GB"/>
        </w:rPr>
      </w:pPr>
      <w:r>
        <w:rPr>
          <w:rStyle w:val="FootnoteReference"/>
        </w:rPr>
        <w:footnoteRef/>
      </w:r>
      <w:r>
        <w:t xml:space="preserve"> </w:t>
      </w:r>
      <w:r>
        <w:rPr>
          <w:lang w:val="en-GB"/>
        </w:rPr>
        <w:t>00236.041 Horticulture NZ, 00235.075 OWRUG</w:t>
      </w:r>
    </w:p>
  </w:footnote>
  <w:footnote w:id="600">
    <w:p w14:paraId="44A1A97E" w14:textId="5059A066" w:rsidR="00F458B9" w:rsidRPr="0014419C" w:rsidRDefault="00F458B9" w:rsidP="00F458B9">
      <w:pPr>
        <w:pStyle w:val="FootnoteText"/>
        <w:rPr>
          <w:lang w:val="en-GB"/>
        </w:rPr>
      </w:pPr>
      <w:r>
        <w:rPr>
          <w:rStyle w:val="FootnoteReference"/>
        </w:rPr>
        <w:footnoteRef/>
      </w:r>
      <w:r>
        <w:t xml:space="preserve"> </w:t>
      </w:r>
      <w:r>
        <w:rPr>
          <w:lang w:val="en-GB"/>
        </w:rPr>
        <w:t>00236.041 Horticulture NZ</w:t>
      </w:r>
    </w:p>
  </w:footnote>
  <w:footnote w:id="601">
    <w:p w14:paraId="08F0142E" w14:textId="69412E75" w:rsidR="00F458B9" w:rsidRDefault="00F458B9" w:rsidP="00F458B9">
      <w:pPr>
        <w:pStyle w:val="FootnoteText"/>
      </w:pPr>
      <w:r>
        <w:rPr>
          <w:rStyle w:val="FootnoteReference"/>
        </w:rPr>
        <w:footnoteRef/>
      </w:r>
      <w:r>
        <w:t xml:space="preserve"> 00231.009 Fish and Game</w:t>
      </w:r>
    </w:p>
  </w:footnote>
  <w:footnote w:id="602">
    <w:p w14:paraId="7D42CE2C" w14:textId="0C54D765" w:rsidR="00F458B9" w:rsidRPr="006C25F7" w:rsidRDefault="00F458B9" w:rsidP="00F458B9">
      <w:pPr>
        <w:pStyle w:val="FootnoteText"/>
        <w:rPr>
          <w:lang w:val="en-GB"/>
        </w:rPr>
      </w:pPr>
      <w:r>
        <w:rPr>
          <w:rStyle w:val="FootnoteReference"/>
        </w:rPr>
        <w:footnoteRef/>
      </w:r>
      <w:r>
        <w:t xml:space="preserve"> </w:t>
      </w:r>
      <w:r>
        <w:rPr>
          <w:lang w:val="en-GB"/>
        </w:rPr>
        <w:t>00223.059 Ngāi Tahu ki Murihiku</w:t>
      </w:r>
    </w:p>
  </w:footnote>
  <w:footnote w:id="603">
    <w:p w14:paraId="06EC674C" w14:textId="2DD7EBB3" w:rsidR="00F458B9" w:rsidRPr="00D930D9" w:rsidRDefault="00F458B9" w:rsidP="00F458B9">
      <w:pPr>
        <w:pStyle w:val="FootnoteText"/>
        <w:rPr>
          <w:lang w:val="en-GB"/>
        </w:rPr>
      </w:pPr>
      <w:r>
        <w:rPr>
          <w:rStyle w:val="FootnoteReference"/>
        </w:rPr>
        <w:footnoteRef/>
      </w:r>
      <w:r>
        <w:t xml:space="preserve"> </w:t>
      </w:r>
      <w:r>
        <w:rPr>
          <w:lang w:val="en-GB"/>
        </w:rPr>
        <w:t>00223.060 Ngāi Tahu ki Murihiku</w:t>
      </w:r>
    </w:p>
  </w:footnote>
  <w:footnote w:id="604">
    <w:p w14:paraId="36438515" w14:textId="4F79F9BC" w:rsidR="00F458B9" w:rsidRPr="00CC642A" w:rsidRDefault="00F458B9" w:rsidP="00F458B9">
      <w:pPr>
        <w:pStyle w:val="FootnoteText"/>
        <w:rPr>
          <w:lang w:val="en-GB"/>
        </w:rPr>
      </w:pPr>
      <w:r>
        <w:rPr>
          <w:rStyle w:val="FootnoteReference"/>
        </w:rPr>
        <w:footnoteRef/>
      </w:r>
      <w:r>
        <w:t xml:space="preserve"> </w:t>
      </w:r>
      <w:r>
        <w:rPr>
          <w:lang w:val="en-GB"/>
        </w:rPr>
        <w:t>00226.111 Kāi Tahu ki Otago</w:t>
      </w:r>
    </w:p>
  </w:footnote>
  <w:footnote w:id="605">
    <w:p w14:paraId="6810C9BD" w14:textId="156E749F" w:rsidR="0068786D" w:rsidRPr="000671D7" w:rsidRDefault="0068786D" w:rsidP="0068786D">
      <w:pPr>
        <w:pStyle w:val="FootnoteText"/>
        <w:rPr>
          <w:lang w:val="en-GB"/>
        </w:rPr>
      </w:pPr>
      <w:r>
        <w:rPr>
          <w:rStyle w:val="FootnoteReference"/>
        </w:rPr>
        <w:footnoteRef/>
      </w:r>
      <w:r>
        <w:t xml:space="preserve"> </w:t>
      </w:r>
      <w:r>
        <w:rPr>
          <w:lang w:val="en-GB"/>
        </w:rPr>
        <w:t>00226.112 Kāi Tahu ki Otago</w:t>
      </w:r>
    </w:p>
  </w:footnote>
  <w:footnote w:id="606">
    <w:p w14:paraId="7F4A79C5" w14:textId="497CAAA3" w:rsidR="00F458B9" w:rsidRPr="001C3B88" w:rsidRDefault="00F458B9" w:rsidP="00F458B9">
      <w:pPr>
        <w:pStyle w:val="FootnoteText"/>
        <w:rPr>
          <w:lang w:val="en-GB"/>
        </w:rPr>
      </w:pPr>
      <w:r>
        <w:rPr>
          <w:rStyle w:val="FootnoteReference"/>
        </w:rPr>
        <w:footnoteRef/>
      </w:r>
      <w:r>
        <w:t xml:space="preserve"> </w:t>
      </w:r>
      <w:r>
        <w:rPr>
          <w:lang w:val="en-GB"/>
        </w:rPr>
        <w:t>00226.113 Kāi Tahu ki Otago</w:t>
      </w:r>
    </w:p>
  </w:footnote>
  <w:footnote w:id="607">
    <w:p w14:paraId="10333424" w14:textId="78E928AE" w:rsidR="008D3765" w:rsidRDefault="008D3765">
      <w:pPr>
        <w:pStyle w:val="FootnoteText"/>
      </w:pPr>
      <w:r>
        <w:rPr>
          <w:rStyle w:val="FootnoteReference"/>
        </w:rPr>
        <w:footnoteRef/>
      </w:r>
      <w:r>
        <w:t xml:space="preserve"> 00226.114 Kā</w:t>
      </w:r>
      <w:r w:rsidR="00D6196B">
        <w:t>i</w:t>
      </w:r>
      <w:r>
        <w:t xml:space="preserve"> Tahu ki Otago</w:t>
      </w:r>
    </w:p>
  </w:footnote>
  <w:footnote w:id="608">
    <w:p w14:paraId="3A1E438E" w14:textId="44DB64CE" w:rsidR="00D6196B" w:rsidRDefault="00D6196B">
      <w:pPr>
        <w:pStyle w:val="FootnoteText"/>
      </w:pPr>
      <w:r>
        <w:rPr>
          <w:rStyle w:val="FootnoteReference"/>
        </w:rPr>
        <w:footnoteRef/>
      </w:r>
      <w:r>
        <w:t xml:space="preserve"> 00226.115 Kāi Tahu ki Otago</w:t>
      </w:r>
    </w:p>
  </w:footnote>
  <w:footnote w:id="609">
    <w:p w14:paraId="76A62B67" w14:textId="128A3731" w:rsidR="007F757E" w:rsidRPr="00EF34D2" w:rsidRDefault="007F757E" w:rsidP="007F757E">
      <w:pPr>
        <w:pStyle w:val="FootnoteText"/>
      </w:pPr>
      <w:r>
        <w:rPr>
          <w:rStyle w:val="FootnoteReference"/>
        </w:rPr>
        <w:footnoteRef/>
      </w:r>
      <w:r>
        <w:t xml:space="preserve"> </w:t>
      </w:r>
      <w:r w:rsidRPr="00A8514C">
        <w:t>00121.032</w:t>
      </w:r>
      <w:r>
        <w:t xml:space="preserve"> </w:t>
      </w:r>
      <w:r w:rsidRPr="00A8514C">
        <w:t xml:space="preserve">Ravensdown </w:t>
      </w:r>
    </w:p>
  </w:footnote>
  <w:footnote w:id="610">
    <w:p w14:paraId="1FF997EA" w14:textId="77777777" w:rsidR="005007AB" w:rsidRDefault="005007AB" w:rsidP="005007AB">
      <w:pPr>
        <w:pStyle w:val="FootnoteText"/>
      </w:pPr>
      <w:r>
        <w:rPr>
          <w:rStyle w:val="FootnoteReference"/>
        </w:rPr>
        <w:footnoteRef/>
      </w:r>
      <w:r>
        <w:t xml:space="preserve"> </w:t>
      </w:r>
      <w:r w:rsidRPr="00A8514C">
        <w:t>00121.032</w:t>
      </w:r>
      <w:r>
        <w:t xml:space="preserve"> </w:t>
      </w:r>
      <w:r w:rsidRPr="00A8514C">
        <w:t xml:space="preserve">Ravensdown </w:t>
      </w:r>
    </w:p>
    <w:p w14:paraId="45459D29" w14:textId="77777777" w:rsidR="005007AB" w:rsidRPr="002B6EEA" w:rsidRDefault="005007AB" w:rsidP="005007AB">
      <w:pPr>
        <w:pStyle w:val="FootnoteText"/>
      </w:pPr>
    </w:p>
  </w:footnote>
  <w:footnote w:id="611">
    <w:p w14:paraId="497072E0" w14:textId="13C59B64" w:rsidR="00326AF5" w:rsidRDefault="00326AF5">
      <w:pPr>
        <w:pStyle w:val="FootnoteText"/>
      </w:pPr>
      <w:r>
        <w:rPr>
          <w:rStyle w:val="FootnoteReference"/>
        </w:rPr>
        <w:footnoteRef/>
      </w:r>
      <w:r>
        <w:t xml:space="preserve"> </w:t>
      </w:r>
      <w:r w:rsidR="00084517">
        <w:t>00226.118 Kāi Tahu ki Otago</w:t>
      </w:r>
    </w:p>
  </w:footnote>
  <w:footnote w:id="612">
    <w:p w14:paraId="36925D42" w14:textId="2F3CFB9D" w:rsidR="00084517" w:rsidRDefault="00084517">
      <w:pPr>
        <w:pStyle w:val="FootnoteText"/>
      </w:pPr>
      <w:r>
        <w:rPr>
          <w:rStyle w:val="FootnoteReference"/>
        </w:rPr>
        <w:footnoteRef/>
      </w:r>
      <w:r>
        <w:t xml:space="preserve"> </w:t>
      </w:r>
      <w:r w:rsidR="009235AF">
        <w:t xml:space="preserve">00236.004 Horticulture NZ, </w:t>
      </w:r>
      <w:r w:rsidR="00211679">
        <w:t xml:space="preserve">00240.014 NZ Pork, </w:t>
      </w:r>
      <w:r w:rsidR="00CD63B9">
        <w:t>00239</w:t>
      </w:r>
      <w:r w:rsidR="003814F5">
        <w:t>.054</w:t>
      </w:r>
      <w:r w:rsidR="002A77CB">
        <w:t xml:space="preserve"> Federated Farmers</w:t>
      </w:r>
    </w:p>
  </w:footnote>
  <w:footnote w:id="613">
    <w:p w14:paraId="54293956" w14:textId="5911AAB5" w:rsidR="000B5561" w:rsidRDefault="000B5561">
      <w:pPr>
        <w:pStyle w:val="FootnoteText"/>
      </w:pPr>
      <w:r>
        <w:rPr>
          <w:rStyle w:val="FootnoteReference"/>
        </w:rPr>
        <w:footnoteRef/>
      </w:r>
      <w:r>
        <w:t xml:space="preserve"> </w:t>
      </w:r>
      <w:r w:rsidR="00D65F47">
        <w:t>00213.030 Fonterra, 00022.014 Graymont</w:t>
      </w:r>
    </w:p>
  </w:footnote>
  <w:footnote w:id="614">
    <w:p w14:paraId="2FF1A373" w14:textId="6D7C316A" w:rsidR="007F757E" w:rsidRPr="002B6EEA" w:rsidRDefault="007F757E" w:rsidP="007F757E">
      <w:pPr>
        <w:pStyle w:val="FootnoteText"/>
      </w:pPr>
      <w:r>
        <w:rPr>
          <w:rStyle w:val="FootnoteReference"/>
        </w:rPr>
        <w:footnoteRef/>
      </w:r>
      <w:r>
        <w:t xml:space="preserve"> </w:t>
      </w:r>
      <w:r w:rsidRPr="000E1211">
        <w:t>00236.045</w:t>
      </w:r>
      <w:r>
        <w:t xml:space="preserve"> </w:t>
      </w:r>
      <w:r w:rsidR="00E55F25">
        <w:t>Horticulture NZ</w:t>
      </w:r>
    </w:p>
  </w:footnote>
  <w:footnote w:id="615">
    <w:p w14:paraId="641840B3" w14:textId="72915A11" w:rsidR="007F757E" w:rsidRPr="002B6EEA" w:rsidRDefault="007F757E" w:rsidP="007F757E">
      <w:pPr>
        <w:pStyle w:val="FootnoteText"/>
      </w:pPr>
      <w:r>
        <w:rPr>
          <w:rStyle w:val="FootnoteReference"/>
        </w:rPr>
        <w:footnoteRef/>
      </w:r>
      <w:r>
        <w:t xml:space="preserve"> </w:t>
      </w:r>
      <w:r w:rsidRPr="000E1211">
        <w:t>00236.045</w:t>
      </w:r>
      <w:r>
        <w:t xml:space="preserve"> </w:t>
      </w:r>
      <w:r w:rsidR="00E55F25">
        <w:t>Horticulture NZ</w:t>
      </w:r>
      <w:r>
        <w:t xml:space="preserve">, </w:t>
      </w:r>
      <w:r w:rsidRPr="000E1211">
        <w:t>00240.015</w:t>
      </w:r>
      <w:r>
        <w:t xml:space="preserve"> </w:t>
      </w:r>
      <w:r w:rsidRPr="000E1211">
        <w:t>New Zealand Pork Industry</w:t>
      </w:r>
    </w:p>
  </w:footnote>
  <w:footnote w:id="616">
    <w:p w14:paraId="11770FA3" w14:textId="2BF00518" w:rsidR="007F757E" w:rsidRPr="002B6EEA" w:rsidRDefault="007F757E" w:rsidP="007F757E">
      <w:pPr>
        <w:pStyle w:val="FootnoteText"/>
      </w:pPr>
      <w:r>
        <w:rPr>
          <w:rStyle w:val="FootnoteReference"/>
        </w:rPr>
        <w:footnoteRef/>
      </w:r>
      <w:r>
        <w:t xml:space="preserve"> </w:t>
      </w:r>
      <w:r w:rsidRPr="006002E9">
        <w:t>00226.121</w:t>
      </w:r>
      <w:r>
        <w:t xml:space="preserve"> </w:t>
      </w:r>
      <w:r w:rsidRPr="006002E9">
        <w:t xml:space="preserve">Kāi Tahu ki Otago </w:t>
      </w:r>
      <w:r w:rsidR="00120D10" w:rsidRPr="00120D10">
        <w:t>and 00223.062 Ngāi Tahu ki Murihiku</w:t>
      </w:r>
    </w:p>
  </w:footnote>
  <w:footnote w:id="617">
    <w:p w14:paraId="290F69EF" w14:textId="1E6D1600" w:rsidR="00833492" w:rsidRPr="002B6EEA" w:rsidRDefault="00833492" w:rsidP="00833492">
      <w:pPr>
        <w:pStyle w:val="FootnoteText"/>
      </w:pPr>
      <w:r>
        <w:rPr>
          <w:rStyle w:val="FootnoteReference"/>
        </w:rPr>
        <w:footnoteRef/>
      </w:r>
      <w:r>
        <w:t xml:space="preserve"> </w:t>
      </w:r>
      <w:r w:rsidRPr="0095494B">
        <w:t>00138.020</w:t>
      </w:r>
      <w:r>
        <w:t xml:space="preserve"> </w:t>
      </w:r>
      <w:r w:rsidR="00FE12A2">
        <w:t>QLDC</w:t>
      </w:r>
    </w:p>
  </w:footnote>
  <w:footnote w:id="618">
    <w:p w14:paraId="48565A72" w14:textId="0CADC8F2" w:rsidR="007F757E" w:rsidRPr="002B6EEA" w:rsidRDefault="007F757E" w:rsidP="007F757E">
      <w:pPr>
        <w:pStyle w:val="FootnoteText"/>
      </w:pPr>
      <w:r>
        <w:rPr>
          <w:rStyle w:val="FootnoteReference"/>
        </w:rPr>
        <w:footnoteRef/>
      </w:r>
      <w:r>
        <w:t xml:space="preserve"> </w:t>
      </w:r>
      <w:r w:rsidR="00D61B02" w:rsidRPr="003B074F">
        <w:t>00226.122</w:t>
      </w:r>
      <w:r w:rsidR="00D61B02">
        <w:t xml:space="preserve"> Kāi Tahu ki Otago and</w:t>
      </w:r>
      <w:r>
        <w:t xml:space="preserve"> </w:t>
      </w:r>
      <w:r w:rsidRPr="00DC4464">
        <w:t>00234.012</w:t>
      </w:r>
      <w:r>
        <w:t xml:space="preserve"> </w:t>
      </w:r>
      <w:r w:rsidRPr="00DC4464">
        <w:t>Te Rūnanga o Ngāi Tahu</w:t>
      </w:r>
    </w:p>
  </w:footnote>
  <w:footnote w:id="619">
    <w:p w14:paraId="33D8AA05" w14:textId="6B2905FB" w:rsidR="007F757E" w:rsidRPr="002B6EEA" w:rsidRDefault="007F757E" w:rsidP="007F757E">
      <w:pPr>
        <w:pStyle w:val="FootnoteText"/>
      </w:pPr>
      <w:r>
        <w:rPr>
          <w:rStyle w:val="FootnoteReference"/>
        </w:rPr>
        <w:footnoteRef/>
      </w:r>
      <w:r>
        <w:t xml:space="preserve"> </w:t>
      </w:r>
      <w:r w:rsidRPr="004046AC">
        <w:t xml:space="preserve">00239.056 </w:t>
      </w:r>
      <w:r w:rsidR="00E55F25">
        <w:t>Federated Farmers</w:t>
      </w:r>
    </w:p>
  </w:footnote>
  <w:footnote w:id="620">
    <w:p w14:paraId="74621F4A" w14:textId="48AD765D" w:rsidR="009A2298" w:rsidRPr="009A2298" w:rsidRDefault="009A2298">
      <w:pPr>
        <w:pStyle w:val="FootnoteText"/>
        <w:rPr>
          <w:lang w:val="mi-NZ"/>
        </w:rPr>
      </w:pPr>
      <w:r>
        <w:rPr>
          <w:rStyle w:val="FootnoteReference"/>
        </w:rPr>
        <w:footnoteRef/>
      </w:r>
      <w:r>
        <w:t xml:space="preserve"> </w:t>
      </w:r>
      <w:r>
        <w:rPr>
          <w:lang w:val="mi-NZ"/>
        </w:rPr>
        <w:t>00411.038 Wayfare</w:t>
      </w:r>
    </w:p>
  </w:footnote>
  <w:footnote w:id="621">
    <w:p w14:paraId="680F4208" w14:textId="061F5B2F" w:rsidR="00562B3D" w:rsidRPr="00562B3D" w:rsidRDefault="00562B3D">
      <w:pPr>
        <w:pStyle w:val="FootnoteText"/>
        <w:rPr>
          <w:lang w:val="en-GB"/>
        </w:rPr>
      </w:pPr>
      <w:r>
        <w:rPr>
          <w:rStyle w:val="FootnoteReference"/>
        </w:rPr>
        <w:footnoteRef/>
      </w:r>
      <w:r w:rsidR="007A7B67">
        <w:t xml:space="preserve"> </w:t>
      </w:r>
      <w:r w:rsidR="009B418D">
        <w:t>00226</w:t>
      </w:r>
      <w:r w:rsidR="009B418D" w:rsidRPr="009B418D">
        <w:t>.125 Kāi Tahu ki Otago</w:t>
      </w:r>
    </w:p>
  </w:footnote>
  <w:footnote w:id="622">
    <w:p w14:paraId="19FF5D28" w14:textId="5362889A" w:rsidR="007F757E" w:rsidRPr="002B6EEA" w:rsidRDefault="007F757E" w:rsidP="007F757E">
      <w:pPr>
        <w:pStyle w:val="FootnoteText"/>
      </w:pPr>
      <w:r>
        <w:rPr>
          <w:rStyle w:val="FootnoteReference"/>
        </w:rPr>
        <w:footnoteRef/>
      </w:r>
      <w:r>
        <w:t xml:space="preserve"> </w:t>
      </w:r>
      <w:r w:rsidRPr="00B86084">
        <w:t>00226.125</w:t>
      </w:r>
      <w:r>
        <w:t xml:space="preserve"> </w:t>
      </w:r>
      <w:r w:rsidRPr="00B86084">
        <w:t xml:space="preserve">Kāi Tahu ki Otago </w:t>
      </w:r>
    </w:p>
  </w:footnote>
  <w:footnote w:id="623">
    <w:p w14:paraId="147E17B2" w14:textId="078D9CE3" w:rsidR="00BF7742" w:rsidRPr="00BF7742" w:rsidRDefault="00BF7742">
      <w:pPr>
        <w:pStyle w:val="FootnoteText"/>
        <w:rPr>
          <w:lang w:val="en-GB"/>
        </w:rPr>
      </w:pPr>
      <w:r>
        <w:rPr>
          <w:rStyle w:val="FootnoteReference"/>
        </w:rPr>
        <w:footnoteRef/>
      </w:r>
      <w:r>
        <w:t xml:space="preserve"> </w:t>
      </w:r>
      <w:r w:rsidRPr="00E9194F">
        <w:t>00306.026</w:t>
      </w:r>
      <w:r>
        <w:t xml:space="preserve"> </w:t>
      </w:r>
      <w:r w:rsidRPr="00E9194F">
        <w:t>Meridian</w:t>
      </w:r>
    </w:p>
  </w:footnote>
  <w:footnote w:id="624">
    <w:p w14:paraId="64244A8E" w14:textId="0AC0A3D6" w:rsidR="007059D4" w:rsidRDefault="007059D4">
      <w:pPr>
        <w:pStyle w:val="FootnoteText"/>
      </w:pPr>
      <w:r>
        <w:rPr>
          <w:rStyle w:val="FootnoteReference"/>
        </w:rPr>
        <w:footnoteRef/>
      </w:r>
      <w:r>
        <w:t xml:space="preserve"> Clause 16(2), Schedule 1, RMA</w:t>
      </w:r>
    </w:p>
  </w:footnote>
  <w:footnote w:id="625">
    <w:p w14:paraId="1FB03C59" w14:textId="6569C28B" w:rsidR="000E6F0E" w:rsidRPr="000E6F0E" w:rsidRDefault="000E6F0E">
      <w:pPr>
        <w:pStyle w:val="FootnoteText"/>
        <w:rPr>
          <w:lang w:val="en-GB"/>
        </w:rPr>
      </w:pPr>
      <w:r>
        <w:rPr>
          <w:rStyle w:val="FootnoteReference"/>
        </w:rPr>
        <w:footnoteRef/>
      </w:r>
      <w:r>
        <w:t xml:space="preserve"> </w:t>
      </w:r>
      <w:r w:rsidRPr="000E5076">
        <w:t>00226.127</w:t>
      </w:r>
      <w:r>
        <w:t xml:space="preserve"> </w:t>
      </w:r>
      <w:r w:rsidRPr="000E5076">
        <w:t>Kāi Tahu ki Otago</w:t>
      </w:r>
    </w:p>
  </w:footnote>
  <w:footnote w:id="626">
    <w:p w14:paraId="74A58B1D" w14:textId="673529D7" w:rsidR="007F757E" w:rsidRPr="002B6EEA" w:rsidRDefault="007F757E" w:rsidP="007F757E">
      <w:pPr>
        <w:pStyle w:val="FootnoteText"/>
      </w:pPr>
      <w:r>
        <w:rPr>
          <w:rStyle w:val="FootnoteReference"/>
        </w:rPr>
        <w:footnoteRef/>
      </w:r>
      <w:r>
        <w:t xml:space="preserve"> </w:t>
      </w:r>
      <w:r w:rsidRPr="000E5076">
        <w:t>00226.127</w:t>
      </w:r>
      <w:r>
        <w:t xml:space="preserve"> </w:t>
      </w:r>
      <w:r w:rsidRPr="000E5076">
        <w:t>Kāi Tahu ki Otago</w:t>
      </w:r>
    </w:p>
  </w:footnote>
  <w:footnote w:id="627">
    <w:p w14:paraId="061034C3" w14:textId="1985CA5F" w:rsidR="000E04F9" w:rsidRPr="003E4FD4" w:rsidRDefault="000E04F9" w:rsidP="000E04F9">
      <w:pPr>
        <w:pStyle w:val="FootnoteText"/>
        <w:rPr>
          <w:lang w:val="en-GB"/>
        </w:rPr>
      </w:pPr>
      <w:r>
        <w:rPr>
          <w:rStyle w:val="FootnoteReference"/>
        </w:rPr>
        <w:footnoteRef/>
      </w:r>
      <w:r>
        <w:t xml:space="preserve"> 00226.131 </w:t>
      </w:r>
      <w:r w:rsidRPr="003E4FD4">
        <w:t>Kāi Tahu Ki Otago</w:t>
      </w:r>
    </w:p>
  </w:footnote>
  <w:footnote w:id="628">
    <w:p w14:paraId="36C4CA79" w14:textId="77777777" w:rsidR="000E04F9" w:rsidRPr="00444EBA" w:rsidRDefault="000E04F9" w:rsidP="000E04F9">
      <w:pPr>
        <w:pStyle w:val="FootnoteText"/>
        <w:rPr>
          <w:lang w:val="en-GB"/>
        </w:rPr>
      </w:pPr>
      <w:r>
        <w:rPr>
          <w:rStyle w:val="FootnoteReference"/>
        </w:rPr>
        <w:footnoteRef/>
      </w:r>
      <w:r>
        <w:t xml:space="preserve"> 00226.131 </w:t>
      </w:r>
      <w:r w:rsidRPr="003E4FD4">
        <w:t>Kāi Tahu Ki Otago</w:t>
      </w:r>
    </w:p>
  </w:footnote>
  <w:footnote w:id="629">
    <w:p w14:paraId="36984F30" w14:textId="77777777" w:rsidR="000E04F9" w:rsidRPr="00EA1196" w:rsidRDefault="000E04F9" w:rsidP="000E04F9">
      <w:pPr>
        <w:pStyle w:val="FootnoteText"/>
        <w:rPr>
          <w:lang w:val="en-GB"/>
        </w:rPr>
      </w:pPr>
      <w:r>
        <w:rPr>
          <w:rStyle w:val="FootnoteReference"/>
        </w:rPr>
        <w:footnoteRef/>
      </w:r>
      <w:r>
        <w:t xml:space="preserve"> 00226.130 </w:t>
      </w:r>
      <w:r w:rsidRPr="003E4FD4">
        <w:t>Kāi Tahu Ki Otago</w:t>
      </w:r>
    </w:p>
  </w:footnote>
  <w:footnote w:id="630">
    <w:p w14:paraId="26F1AC1A" w14:textId="77777777" w:rsidR="00212778" w:rsidRDefault="00212778" w:rsidP="00212778">
      <w:pPr>
        <w:pStyle w:val="FootnoteText"/>
      </w:pPr>
      <w:r>
        <w:rPr>
          <w:rStyle w:val="FootnoteReference"/>
        </w:rPr>
        <w:footnoteRef/>
      </w:r>
      <w:r>
        <w:t xml:space="preserve"> </w:t>
      </w:r>
      <w:r w:rsidRPr="0029576C">
        <w:t>Clause 10(2)(b)(i) – consequential amendment arising from 00226.038 Kāi Tahu ki Otago</w:t>
      </w:r>
    </w:p>
  </w:footnote>
  <w:footnote w:id="631">
    <w:p w14:paraId="0C22A601" w14:textId="77777777" w:rsidR="000E04F9" w:rsidRPr="00944DAC" w:rsidRDefault="000E04F9" w:rsidP="000E04F9">
      <w:pPr>
        <w:pStyle w:val="FootnoteText"/>
        <w:rPr>
          <w:lang w:val="en-GB"/>
        </w:rPr>
      </w:pPr>
      <w:r>
        <w:rPr>
          <w:rStyle w:val="FootnoteReference"/>
        </w:rPr>
        <w:footnoteRef/>
      </w:r>
      <w:r>
        <w:t xml:space="preserve"> 00137.049 DOC, 00230.046 Forest and Bird</w:t>
      </w:r>
    </w:p>
  </w:footnote>
  <w:footnote w:id="632">
    <w:p w14:paraId="2847255E" w14:textId="77777777" w:rsidR="000E04F9" w:rsidRPr="002B47D3" w:rsidRDefault="000E04F9" w:rsidP="000E04F9">
      <w:pPr>
        <w:pStyle w:val="FootnoteText"/>
        <w:rPr>
          <w:lang w:val="en-GB"/>
        </w:rPr>
      </w:pPr>
      <w:r>
        <w:rPr>
          <w:rStyle w:val="FootnoteReference"/>
        </w:rPr>
        <w:footnoteRef/>
      </w:r>
      <w:r>
        <w:t xml:space="preserve"> 00226.131 </w:t>
      </w:r>
      <w:r w:rsidRPr="003E4FD4">
        <w:t>Kāi Tahu Ki Otago</w:t>
      </w:r>
    </w:p>
  </w:footnote>
  <w:footnote w:id="633">
    <w:p w14:paraId="4C71590B" w14:textId="77777777" w:rsidR="000E04F9" w:rsidRPr="002B47D3" w:rsidRDefault="000E04F9" w:rsidP="000E04F9">
      <w:pPr>
        <w:pStyle w:val="FootnoteText"/>
        <w:rPr>
          <w:lang w:val="en-GB"/>
        </w:rPr>
      </w:pPr>
      <w:r>
        <w:rPr>
          <w:rStyle w:val="FootnoteReference"/>
        </w:rPr>
        <w:footnoteRef/>
      </w:r>
      <w:r>
        <w:t xml:space="preserve"> 00226.131 </w:t>
      </w:r>
      <w:r w:rsidRPr="003E4FD4">
        <w:t>Kāi Tahu Ki Otago</w:t>
      </w:r>
      <w:r>
        <w:t>, 00234.015 Te Rūnanga o Ngāi Tahu</w:t>
      </w:r>
    </w:p>
  </w:footnote>
  <w:footnote w:id="634">
    <w:p w14:paraId="3371E94B" w14:textId="77777777" w:rsidR="000E04F9" w:rsidRPr="00BF0250" w:rsidRDefault="000E04F9" w:rsidP="007113CF">
      <w:pPr>
        <w:pStyle w:val="FootnoteText"/>
        <w:ind w:left="142" w:hanging="142"/>
        <w:rPr>
          <w:lang w:val="en-GB"/>
        </w:rPr>
      </w:pPr>
      <w:r>
        <w:rPr>
          <w:rStyle w:val="FootnoteReference"/>
        </w:rPr>
        <w:footnoteRef/>
      </w:r>
      <w:r>
        <w:t xml:space="preserve"> 00121.039 </w:t>
      </w:r>
      <w:r w:rsidRPr="00BF0250">
        <w:t xml:space="preserve">Ravensdown, </w:t>
      </w:r>
      <w:r>
        <w:t>00230.047</w:t>
      </w:r>
      <w:r w:rsidRPr="00BF0250">
        <w:t xml:space="preserve"> Forest and Brid, </w:t>
      </w:r>
      <w:r>
        <w:t>00239.057</w:t>
      </w:r>
      <w:r w:rsidRPr="00BF0250">
        <w:t xml:space="preserve"> Federated Farmers, </w:t>
      </w:r>
      <w:r>
        <w:t>00306.027</w:t>
      </w:r>
      <w:r w:rsidRPr="00BF0250">
        <w:t xml:space="preserve"> Meridian Energy, </w:t>
      </w:r>
      <w:r>
        <w:t>00124.015</w:t>
      </w:r>
      <w:r w:rsidRPr="00BF0250">
        <w:t xml:space="preserve"> Southern Inshore Fisheries</w:t>
      </w:r>
    </w:p>
  </w:footnote>
  <w:footnote w:id="635">
    <w:p w14:paraId="340FA41C" w14:textId="77777777" w:rsidR="000E04F9" w:rsidRPr="00BF0250" w:rsidRDefault="000E04F9" w:rsidP="000E04F9">
      <w:pPr>
        <w:pStyle w:val="FootnoteText"/>
        <w:rPr>
          <w:lang w:val="en-GB"/>
        </w:rPr>
      </w:pPr>
      <w:r>
        <w:rPr>
          <w:rStyle w:val="FootnoteReference"/>
        </w:rPr>
        <w:footnoteRef/>
      </w:r>
      <w:r>
        <w:t xml:space="preserve"> 00226.133 </w:t>
      </w:r>
      <w:r w:rsidRPr="00921A27">
        <w:rPr>
          <w:szCs w:val="22"/>
          <w:lang w:val="en-AU"/>
        </w:rPr>
        <w:t>K</w:t>
      </w:r>
      <w:r w:rsidRPr="00921A27">
        <w:rPr>
          <w:szCs w:val="22"/>
          <w:lang w:val="mi-NZ"/>
        </w:rPr>
        <w:t xml:space="preserve">āi </w:t>
      </w:r>
      <w:r w:rsidRPr="00921A27">
        <w:rPr>
          <w:szCs w:val="22"/>
          <w:lang w:val="en-GB"/>
        </w:rPr>
        <w:t>Tahu Ki Otago</w:t>
      </w:r>
      <w:r>
        <w:rPr>
          <w:szCs w:val="22"/>
          <w:lang w:val="en-GB"/>
        </w:rPr>
        <w:t xml:space="preserve"> </w:t>
      </w:r>
    </w:p>
  </w:footnote>
  <w:footnote w:id="636">
    <w:p w14:paraId="5717930C" w14:textId="77777777" w:rsidR="000E04F9" w:rsidRPr="00BF0250" w:rsidRDefault="000E04F9" w:rsidP="000E04F9">
      <w:pPr>
        <w:pStyle w:val="FootnoteText"/>
        <w:rPr>
          <w:lang w:val="en-GB"/>
        </w:rPr>
      </w:pPr>
      <w:r>
        <w:rPr>
          <w:rStyle w:val="FootnoteReference"/>
        </w:rPr>
        <w:footnoteRef/>
      </w:r>
      <w:r>
        <w:t xml:space="preserve"> 00226.134</w:t>
      </w:r>
      <w:r w:rsidRPr="00921A27">
        <w:rPr>
          <w:szCs w:val="22"/>
          <w:lang w:val="en-AU"/>
        </w:rPr>
        <w:t xml:space="preserve"> K</w:t>
      </w:r>
      <w:r w:rsidRPr="00921A27">
        <w:rPr>
          <w:szCs w:val="22"/>
          <w:lang w:val="mi-NZ"/>
        </w:rPr>
        <w:t xml:space="preserve">āi </w:t>
      </w:r>
      <w:r w:rsidRPr="00921A27">
        <w:rPr>
          <w:szCs w:val="22"/>
          <w:lang w:val="en-GB"/>
        </w:rPr>
        <w:t>Tahu Ki Otago</w:t>
      </w:r>
    </w:p>
  </w:footnote>
  <w:footnote w:id="637">
    <w:p w14:paraId="3E711B23" w14:textId="77777777" w:rsidR="000E04F9" w:rsidRPr="003E4FD4" w:rsidRDefault="000E04F9" w:rsidP="000E04F9">
      <w:pPr>
        <w:pStyle w:val="FootnoteText"/>
        <w:rPr>
          <w:lang w:val="en-GB"/>
        </w:rPr>
      </w:pPr>
      <w:r>
        <w:rPr>
          <w:rStyle w:val="FootnoteReference"/>
        </w:rPr>
        <w:footnoteRef/>
      </w:r>
      <w:r>
        <w:t xml:space="preserve"> 00226.134</w:t>
      </w:r>
      <w:r w:rsidRPr="00921A27">
        <w:rPr>
          <w:szCs w:val="22"/>
          <w:lang w:val="en-AU"/>
        </w:rPr>
        <w:t xml:space="preserve"> K</w:t>
      </w:r>
      <w:r w:rsidRPr="00921A27">
        <w:rPr>
          <w:szCs w:val="22"/>
          <w:lang w:val="mi-NZ"/>
        </w:rPr>
        <w:t xml:space="preserve">āi </w:t>
      </w:r>
      <w:r w:rsidRPr="00921A27">
        <w:rPr>
          <w:szCs w:val="22"/>
          <w:lang w:val="en-GB"/>
        </w:rPr>
        <w:t>Tahu Ki Otago</w:t>
      </w:r>
    </w:p>
  </w:footnote>
  <w:footnote w:id="638">
    <w:p w14:paraId="142AD726" w14:textId="77777777" w:rsidR="000E04F9" w:rsidRPr="00E51708" w:rsidRDefault="000E04F9" w:rsidP="000E04F9">
      <w:pPr>
        <w:pStyle w:val="FootnoteText"/>
        <w:rPr>
          <w:lang w:val="en-GB"/>
        </w:rPr>
      </w:pPr>
      <w:r>
        <w:rPr>
          <w:rStyle w:val="FootnoteReference"/>
        </w:rPr>
        <w:footnoteRef/>
      </w:r>
      <w:r>
        <w:t xml:space="preserve"> </w:t>
      </w:r>
      <w:r w:rsidRPr="00342F89">
        <w:t>00234.017 Te Rūnanga o Ngāi Tahu</w:t>
      </w:r>
    </w:p>
  </w:footnote>
  <w:footnote w:id="639">
    <w:p w14:paraId="4A8C8094" w14:textId="77777777" w:rsidR="000E04F9" w:rsidRPr="00A85E87" w:rsidRDefault="000E04F9" w:rsidP="000E04F9">
      <w:pPr>
        <w:pStyle w:val="FootnoteText"/>
        <w:rPr>
          <w:lang w:val="en-GB"/>
        </w:rPr>
      </w:pPr>
      <w:r>
        <w:rPr>
          <w:rStyle w:val="FootnoteReference"/>
        </w:rPr>
        <w:footnoteRef/>
      </w:r>
      <w:r>
        <w:t xml:space="preserve"> 00226.136 Kāi Tahu ki Otago</w:t>
      </w:r>
    </w:p>
  </w:footnote>
  <w:footnote w:id="640">
    <w:p w14:paraId="0B2D9B50" w14:textId="55C70B4B" w:rsidR="000E04F9" w:rsidRPr="00E26142" w:rsidRDefault="000E04F9" w:rsidP="000E04F9">
      <w:pPr>
        <w:pStyle w:val="FootnoteText"/>
        <w:rPr>
          <w:lang w:val="en-GB"/>
        </w:rPr>
      </w:pPr>
      <w:r>
        <w:rPr>
          <w:rStyle w:val="FootnoteReference"/>
        </w:rPr>
        <w:footnoteRef/>
      </w:r>
      <w:r>
        <w:t xml:space="preserve"> 00301.018 </w:t>
      </w:r>
      <w:r w:rsidR="00012977">
        <w:rPr>
          <w:lang w:val="en-GB"/>
        </w:rPr>
        <w:t>Port Otago</w:t>
      </w:r>
      <w:r>
        <w:rPr>
          <w:lang w:val="en-GB"/>
        </w:rPr>
        <w:t xml:space="preserve"> </w:t>
      </w:r>
    </w:p>
  </w:footnote>
  <w:footnote w:id="641">
    <w:p w14:paraId="6FAC14F7" w14:textId="07451FCE" w:rsidR="000E04F9" w:rsidRPr="00E26142" w:rsidRDefault="000E04F9" w:rsidP="000E04F9">
      <w:pPr>
        <w:pStyle w:val="FootnoteText"/>
        <w:rPr>
          <w:lang w:val="en-GB"/>
        </w:rPr>
      </w:pPr>
      <w:r>
        <w:rPr>
          <w:rStyle w:val="FootnoteReference"/>
        </w:rPr>
        <w:footnoteRef/>
      </w:r>
      <w:r>
        <w:t xml:space="preserve"> 00301.018 </w:t>
      </w:r>
      <w:r w:rsidR="00012977">
        <w:rPr>
          <w:lang w:val="en-GB"/>
        </w:rPr>
        <w:t>Port Otago</w:t>
      </w:r>
      <w:r>
        <w:rPr>
          <w:lang w:val="en-GB"/>
        </w:rPr>
        <w:t xml:space="preserve"> </w:t>
      </w:r>
    </w:p>
  </w:footnote>
  <w:footnote w:id="642">
    <w:p w14:paraId="37AD3DD1" w14:textId="77777777" w:rsidR="000E04F9" w:rsidRPr="00A1055F" w:rsidRDefault="000E04F9" w:rsidP="000E04F9">
      <w:pPr>
        <w:pStyle w:val="FootnoteText"/>
        <w:rPr>
          <w:lang w:val="en-GB"/>
        </w:rPr>
      </w:pPr>
      <w:r>
        <w:rPr>
          <w:rStyle w:val="FootnoteReference"/>
        </w:rPr>
        <w:footnoteRef/>
      </w:r>
      <w:r>
        <w:t xml:space="preserve"> </w:t>
      </w:r>
      <w:r w:rsidRPr="00A1055F">
        <w:t>00137.052 DOC</w:t>
      </w:r>
      <w:r>
        <w:t xml:space="preserve"> </w:t>
      </w:r>
    </w:p>
  </w:footnote>
  <w:footnote w:id="643">
    <w:p w14:paraId="0C295EF5" w14:textId="77777777" w:rsidR="000E04F9" w:rsidRPr="00A85E87" w:rsidRDefault="000E04F9" w:rsidP="000E04F9">
      <w:pPr>
        <w:pStyle w:val="FootnoteText"/>
        <w:rPr>
          <w:lang w:val="en-GB"/>
        </w:rPr>
      </w:pPr>
      <w:r>
        <w:rPr>
          <w:rStyle w:val="FootnoteReference"/>
        </w:rPr>
        <w:footnoteRef/>
      </w:r>
      <w:r>
        <w:t xml:space="preserve"> 00226.137 Kāi Tahu ki Otago</w:t>
      </w:r>
    </w:p>
  </w:footnote>
  <w:footnote w:id="644">
    <w:p w14:paraId="2A2CA34A" w14:textId="77777777" w:rsidR="000E04F9" w:rsidRPr="00A85E87" w:rsidRDefault="000E04F9" w:rsidP="000E04F9">
      <w:pPr>
        <w:pStyle w:val="FootnoteText"/>
        <w:rPr>
          <w:lang w:val="en-GB"/>
        </w:rPr>
      </w:pPr>
      <w:r>
        <w:rPr>
          <w:rStyle w:val="FootnoteReference"/>
        </w:rPr>
        <w:footnoteRef/>
      </w:r>
      <w:r>
        <w:t xml:space="preserve"> 00226.137 Kāi Tahu ki Otago</w:t>
      </w:r>
    </w:p>
  </w:footnote>
  <w:footnote w:id="645">
    <w:p w14:paraId="717A9AF4" w14:textId="77777777" w:rsidR="00212778" w:rsidRDefault="00212778" w:rsidP="00212778">
      <w:pPr>
        <w:pStyle w:val="FootnoteText"/>
      </w:pPr>
      <w:r>
        <w:rPr>
          <w:rStyle w:val="FootnoteReference"/>
        </w:rPr>
        <w:footnoteRef/>
      </w:r>
      <w:r>
        <w:t xml:space="preserve"> </w:t>
      </w:r>
      <w:r w:rsidRPr="0029576C">
        <w:t>Clause 10(2)(b)(i) – consequential amendment arising from 00226.038 Kāi Tahu ki Otago</w:t>
      </w:r>
    </w:p>
  </w:footnote>
  <w:footnote w:id="646">
    <w:p w14:paraId="0D810FE6" w14:textId="77777777" w:rsidR="000E04F9" w:rsidRPr="003F4DFE" w:rsidRDefault="000E04F9" w:rsidP="000E04F9">
      <w:pPr>
        <w:pStyle w:val="FootnoteText"/>
        <w:rPr>
          <w:lang w:val="en-GB"/>
        </w:rPr>
      </w:pPr>
      <w:r>
        <w:rPr>
          <w:rStyle w:val="FootnoteReference"/>
        </w:rPr>
        <w:footnoteRef/>
      </w:r>
      <w:r>
        <w:t xml:space="preserve"> 00234.018</w:t>
      </w:r>
      <w:r>
        <w:rPr>
          <w:lang w:val="en-GB"/>
        </w:rPr>
        <w:t xml:space="preserve"> </w:t>
      </w:r>
      <w:bookmarkStart w:id="125" w:name="_Hlk86141170"/>
      <w:r>
        <w:rPr>
          <w:lang w:val="en-GB"/>
        </w:rPr>
        <w:t>Te Runanga o Ngāi Tahu</w:t>
      </w:r>
      <w:bookmarkEnd w:id="125"/>
    </w:p>
  </w:footnote>
  <w:footnote w:id="647">
    <w:p w14:paraId="2B4B9F02" w14:textId="77777777" w:rsidR="000E04F9" w:rsidRPr="008A2361" w:rsidRDefault="000E04F9" w:rsidP="000E04F9">
      <w:pPr>
        <w:pStyle w:val="FootnoteText"/>
        <w:rPr>
          <w:lang w:val="en-GB"/>
        </w:rPr>
      </w:pPr>
      <w:r>
        <w:rPr>
          <w:rStyle w:val="FootnoteReference"/>
        </w:rPr>
        <w:footnoteRef/>
      </w:r>
      <w:r>
        <w:t xml:space="preserve"> 00139.064</w:t>
      </w:r>
      <w:r>
        <w:rPr>
          <w:lang w:val="en-GB"/>
        </w:rPr>
        <w:t xml:space="preserve"> DCC</w:t>
      </w:r>
      <w:r w:rsidRPr="00A96AF4">
        <w:rPr>
          <w:lang w:val="en-GB"/>
        </w:rPr>
        <w:t xml:space="preserve">, </w:t>
      </w:r>
      <w:r w:rsidRPr="00A96AF4">
        <w:t>00226.138 Kāi Tahu Ki Otago</w:t>
      </w:r>
      <w:r>
        <w:t>, 00223.070</w:t>
      </w:r>
      <w:r w:rsidRPr="009D774C">
        <w:t xml:space="preserve"> </w:t>
      </w:r>
      <w:r w:rsidRPr="00933CEA">
        <w:t>Ngāi Tahu ki Murihiku</w:t>
      </w:r>
    </w:p>
  </w:footnote>
  <w:footnote w:id="648">
    <w:p w14:paraId="0F1FC8E6" w14:textId="77777777" w:rsidR="000E04F9" w:rsidRPr="00F25DA9" w:rsidRDefault="000E04F9" w:rsidP="000E04F9">
      <w:pPr>
        <w:pStyle w:val="FootnoteText"/>
        <w:rPr>
          <w:lang w:val="en-GB"/>
        </w:rPr>
      </w:pPr>
      <w:r>
        <w:rPr>
          <w:rStyle w:val="FootnoteReference"/>
        </w:rPr>
        <w:footnoteRef/>
      </w:r>
      <w:r>
        <w:t xml:space="preserve"> 00226.138 </w:t>
      </w:r>
      <w:r w:rsidRPr="00F25DA9">
        <w:t xml:space="preserve">Kāi Tahu Ki Otago, </w:t>
      </w:r>
      <w:r>
        <w:t>00137.054</w:t>
      </w:r>
      <w:r w:rsidRPr="00F25DA9">
        <w:t xml:space="preserve"> DOC, </w:t>
      </w:r>
      <w:r>
        <w:t>00301.020</w:t>
      </w:r>
      <w:r w:rsidRPr="00F25DA9">
        <w:t xml:space="preserve"> Port Otago, </w:t>
      </w:r>
      <w:r>
        <w:t>00121.043</w:t>
      </w:r>
      <w:r w:rsidRPr="00F25DA9">
        <w:t xml:space="preserve"> Ravensdown, </w:t>
      </w:r>
      <w:r>
        <w:t>00223.070</w:t>
      </w:r>
      <w:r w:rsidRPr="00F25DA9">
        <w:t xml:space="preserve"> Ngāi Tahu ki Murihiku, </w:t>
      </w:r>
      <w:r>
        <w:t>00234.019</w:t>
      </w:r>
      <w:r w:rsidRPr="00F25DA9">
        <w:t xml:space="preserve"> Te Runanga o Ngāi Tahu</w:t>
      </w:r>
      <w:r>
        <w:t xml:space="preserve"> </w:t>
      </w:r>
    </w:p>
  </w:footnote>
  <w:footnote w:id="649">
    <w:p w14:paraId="516AE9BC" w14:textId="77777777" w:rsidR="000E04F9" w:rsidRPr="008A2361" w:rsidRDefault="000E04F9" w:rsidP="000E04F9">
      <w:pPr>
        <w:pStyle w:val="FootnoteText"/>
        <w:rPr>
          <w:lang w:val="en-GB"/>
        </w:rPr>
      </w:pPr>
      <w:r>
        <w:rPr>
          <w:rStyle w:val="FootnoteReference"/>
        </w:rPr>
        <w:footnoteRef/>
      </w:r>
      <w:r>
        <w:t xml:space="preserve"> 00139.064</w:t>
      </w:r>
      <w:r>
        <w:rPr>
          <w:lang w:val="en-GB"/>
        </w:rPr>
        <w:t xml:space="preserve"> DCC</w:t>
      </w:r>
      <w:r w:rsidRPr="00A96AF4">
        <w:rPr>
          <w:lang w:val="en-GB"/>
        </w:rPr>
        <w:t xml:space="preserve">, </w:t>
      </w:r>
      <w:r w:rsidRPr="00A96AF4">
        <w:t>00226.138 Kāi Tahu Ki Otago</w:t>
      </w:r>
      <w:r>
        <w:t>, 00223.070</w:t>
      </w:r>
      <w:r w:rsidRPr="009D774C">
        <w:t xml:space="preserve"> </w:t>
      </w:r>
      <w:r w:rsidRPr="00933CEA">
        <w:t>Ngāi Tahu ki Murihiku</w:t>
      </w:r>
    </w:p>
  </w:footnote>
  <w:footnote w:id="650">
    <w:p w14:paraId="0D95A465" w14:textId="2C6D68B1" w:rsidR="000E04F9" w:rsidRPr="00813D07" w:rsidRDefault="000E04F9" w:rsidP="000E04F9">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rsidR="00664B7B">
        <w:t xml:space="preserve">00226.138 </w:t>
      </w:r>
      <w:r w:rsidR="00664B7B" w:rsidRPr="00F25DA9">
        <w:t>Kāi Tahu Ki Otago</w:t>
      </w:r>
    </w:p>
  </w:footnote>
  <w:footnote w:id="651">
    <w:p w14:paraId="40D07B07" w14:textId="4C0F148F" w:rsidR="000E04F9" w:rsidRPr="008A2361" w:rsidRDefault="000E04F9" w:rsidP="000E04F9">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rsidR="00664B7B">
        <w:t xml:space="preserve">00226.138 </w:t>
      </w:r>
      <w:r w:rsidR="00664B7B" w:rsidRPr="00F25DA9">
        <w:t>Kāi Tahu Ki Otago</w:t>
      </w:r>
    </w:p>
  </w:footnote>
  <w:footnote w:id="652">
    <w:p w14:paraId="190C8833" w14:textId="1A305051" w:rsidR="000E04F9" w:rsidRPr="00813D07" w:rsidRDefault="000E04F9" w:rsidP="000E04F9">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rsidR="00664B7B">
        <w:t xml:space="preserve">00226.138 </w:t>
      </w:r>
      <w:r w:rsidR="00664B7B" w:rsidRPr="00F25DA9">
        <w:t>Kāi Tahu Ki Otago</w:t>
      </w:r>
    </w:p>
  </w:footnote>
  <w:footnote w:id="653">
    <w:p w14:paraId="10D1B90A" w14:textId="5678C18A" w:rsidR="000E04F9" w:rsidRPr="00813D07" w:rsidRDefault="000E04F9" w:rsidP="000E04F9">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rsidR="00664B7B">
        <w:t xml:space="preserve">00226.138 </w:t>
      </w:r>
      <w:r w:rsidR="00664B7B" w:rsidRPr="00F25DA9">
        <w:t>Kāi Tahu Ki Otago</w:t>
      </w:r>
    </w:p>
  </w:footnote>
  <w:footnote w:id="654">
    <w:p w14:paraId="58B46410" w14:textId="7AC32174" w:rsidR="000E04F9" w:rsidRPr="00813D07" w:rsidRDefault="000E04F9" w:rsidP="000E04F9">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rsidR="00917BC1">
        <w:t xml:space="preserve">00226.138 </w:t>
      </w:r>
      <w:r w:rsidR="00917BC1" w:rsidRPr="00F25DA9">
        <w:t>Kāi Tahu Ki Otago</w:t>
      </w:r>
    </w:p>
  </w:footnote>
  <w:footnote w:id="655">
    <w:p w14:paraId="1B6F92D4" w14:textId="12FD4236" w:rsidR="000E04F9" w:rsidRPr="00813D07" w:rsidRDefault="000E04F9" w:rsidP="000E04F9">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rsidR="00917BC1">
        <w:t xml:space="preserve">00226.138 </w:t>
      </w:r>
      <w:r w:rsidR="00917BC1" w:rsidRPr="00F25DA9">
        <w:t>Kāi Tahu Ki Otago</w:t>
      </w:r>
    </w:p>
  </w:footnote>
  <w:footnote w:id="656">
    <w:p w14:paraId="2260A0C4" w14:textId="77777777" w:rsidR="000E04F9" w:rsidRPr="00265710" w:rsidRDefault="000E04F9" w:rsidP="000E04F9">
      <w:pPr>
        <w:pStyle w:val="FootnoteText"/>
        <w:rPr>
          <w:lang w:val="en-GB"/>
        </w:rPr>
      </w:pPr>
      <w:r>
        <w:rPr>
          <w:rStyle w:val="FootnoteReference"/>
        </w:rPr>
        <w:footnoteRef/>
      </w:r>
      <w:r>
        <w:t xml:space="preserve"> </w:t>
      </w:r>
      <w:r w:rsidRPr="00BA7D97">
        <w:rPr>
          <w:rFonts w:cstheme="minorHAnsi"/>
        </w:rPr>
        <w:t>00226.138</w:t>
      </w:r>
      <w:r>
        <w:rPr>
          <w:rFonts w:cstheme="minorHAnsi"/>
        </w:rPr>
        <w:t xml:space="preserve"> </w:t>
      </w:r>
      <w:r>
        <w:t xml:space="preserve">Kāi Tahu Ki Otago, </w:t>
      </w:r>
      <w:r w:rsidRPr="00BA7D97">
        <w:rPr>
          <w:rFonts w:cstheme="minorHAnsi"/>
        </w:rPr>
        <w:t>00234.019</w:t>
      </w:r>
      <w:r>
        <w:rPr>
          <w:rFonts w:cstheme="minorHAnsi"/>
        </w:rPr>
        <w:t xml:space="preserve"> </w:t>
      </w:r>
      <w:r w:rsidRPr="00BA7D97">
        <w:rPr>
          <w:rFonts w:cstheme="minorHAnsi"/>
          <w:lang w:val="en-US"/>
        </w:rPr>
        <w:t>Te Rūnanga o Ngāi Tahu</w:t>
      </w:r>
    </w:p>
  </w:footnote>
  <w:footnote w:id="657">
    <w:p w14:paraId="70043932" w14:textId="77777777" w:rsidR="000E04F9" w:rsidRPr="00F20405" w:rsidRDefault="000E04F9" w:rsidP="000E04F9">
      <w:pPr>
        <w:pStyle w:val="FootnoteText"/>
        <w:rPr>
          <w:lang w:val="en-GB"/>
        </w:rPr>
      </w:pPr>
      <w:r>
        <w:rPr>
          <w:rStyle w:val="FootnoteReference"/>
        </w:rPr>
        <w:footnoteRef/>
      </w:r>
      <w:r>
        <w:t xml:space="preserve"> 00230.053 </w:t>
      </w:r>
      <w:r>
        <w:rPr>
          <w:lang w:val="en-GB"/>
        </w:rPr>
        <w:t>Forest and Bird</w:t>
      </w:r>
    </w:p>
  </w:footnote>
  <w:footnote w:id="658">
    <w:p w14:paraId="6D1323A1" w14:textId="77777777" w:rsidR="000E04F9" w:rsidRPr="00431836" w:rsidRDefault="000E04F9" w:rsidP="000E04F9">
      <w:pPr>
        <w:pStyle w:val="FootnoteText"/>
        <w:rPr>
          <w:lang w:val="en-GB"/>
        </w:rPr>
      </w:pPr>
      <w:r>
        <w:rPr>
          <w:rStyle w:val="FootnoteReference"/>
        </w:rPr>
        <w:footnoteRef/>
      </w:r>
      <w:r>
        <w:t xml:space="preserve"> </w:t>
      </w:r>
      <w:r w:rsidRPr="00BA7D97">
        <w:rPr>
          <w:rFonts w:cstheme="minorHAnsi"/>
        </w:rPr>
        <w:t>00226.138</w:t>
      </w:r>
      <w:r>
        <w:rPr>
          <w:rFonts w:cstheme="minorHAnsi"/>
        </w:rPr>
        <w:t xml:space="preserve"> </w:t>
      </w:r>
      <w:r>
        <w:t xml:space="preserve">Kāi Tahu Ki Otago, </w:t>
      </w:r>
      <w:r w:rsidRPr="00BA7D97">
        <w:rPr>
          <w:rFonts w:cstheme="minorHAnsi"/>
        </w:rPr>
        <w:t>00234.019</w:t>
      </w:r>
      <w:r>
        <w:rPr>
          <w:rFonts w:cstheme="minorHAnsi"/>
        </w:rPr>
        <w:t xml:space="preserve"> </w:t>
      </w:r>
      <w:r w:rsidRPr="00BA7D97">
        <w:rPr>
          <w:rFonts w:cstheme="minorHAnsi"/>
          <w:lang w:val="en-US"/>
        </w:rPr>
        <w:t>Te Rūnanga o Ngāi Tahu</w:t>
      </w:r>
    </w:p>
  </w:footnote>
  <w:footnote w:id="659">
    <w:p w14:paraId="6F8F71B2" w14:textId="58DF5BC6" w:rsidR="008F46DD" w:rsidRPr="008F46DD" w:rsidRDefault="008F46DD">
      <w:pPr>
        <w:pStyle w:val="FootnoteText"/>
        <w:rPr>
          <w:lang w:val="mi-NZ"/>
        </w:rPr>
      </w:pPr>
      <w:r>
        <w:rPr>
          <w:rStyle w:val="FootnoteReference"/>
        </w:rPr>
        <w:footnoteRef/>
      </w:r>
      <w:r>
        <w:t xml:space="preserve"> </w:t>
      </w:r>
      <w:r w:rsidRPr="00BA7D97">
        <w:rPr>
          <w:rFonts w:cstheme="minorHAnsi"/>
        </w:rPr>
        <w:t>00226.138</w:t>
      </w:r>
      <w:r>
        <w:rPr>
          <w:rFonts w:cstheme="minorHAnsi"/>
        </w:rPr>
        <w:t xml:space="preserve"> </w:t>
      </w:r>
      <w:r>
        <w:t xml:space="preserve">Kāi Tahu Ki Otago, </w:t>
      </w:r>
      <w:r w:rsidRPr="00BA7D97">
        <w:rPr>
          <w:rFonts w:cstheme="minorHAnsi"/>
        </w:rPr>
        <w:t>00234.019</w:t>
      </w:r>
      <w:r>
        <w:rPr>
          <w:rFonts w:cstheme="minorHAnsi"/>
        </w:rPr>
        <w:t xml:space="preserve"> </w:t>
      </w:r>
      <w:r w:rsidRPr="00BA7D97">
        <w:rPr>
          <w:rFonts w:cstheme="minorHAnsi"/>
          <w:lang w:val="en-US"/>
        </w:rPr>
        <w:t>Te Rūnanga o Ngāi Tahu</w:t>
      </w:r>
    </w:p>
  </w:footnote>
  <w:footnote w:id="660">
    <w:p w14:paraId="124ACA0F" w14:textId="77777777" w:rsidR="000E04F9" w:rsidRPr="008D74DD" w:rsidRDefault="000E04F9" w:rsidP="000E04F9">
      <w:pPr>
        <w:pStyle w:val="FootnoteText"/>
        <w:rPr>
          <w:lang w:val="en-GB"/>
        </w:rPr>
      </w:pPr>
      <w:r>
        <w:rPr>
          <w:rStyle w:val="FootnoteReference"/>
        </w:rPr>
        <w:footnoteRef/>
      </w:r>
      <w:r>
        <w:t xml:space="preserve"> 00226.139 Kāi Tahu ki Otago</w:t>
      </w:r>
    </w:p>
  </w:footnote>
  <w:footnote w:id="661">
    <w:p w14:paraId="5A364A95" w14:textId="77777777" w:rsidR="000E04F9" w:rsidRPr="008D74DD" w:rsidRDefault="000E04F9" w:rsidP="000E04F9">
      <w:pPr>
        <w:pStyle w:val="FootnoteText"/>
        <w:rPr>
          <w:lang w:val="en-GB"/>
        </w:rPr>
      </w:pPr>
      <w:r>
        <w:rPr>
          <w:rStyle w:val="FootnoteReference"/>
        </w:rPr>
        <w:footnoteRef/>
      </w:r>
      <w:r>
        <w:t xml:space="preserve"> 00226.139 Kāi Tahu ki Otago</w:t>
      </w:r>
    </w:p>
  </w:footnote>
  <w:footnote w:id="662">
    <w:p w14:paraId="6FD82B9D" w14:textId="77777777" w:rsidR="000E04F9" w:rsidRPr="008D74DD" w:rsidRDefault="000E04F9" w:rsidP="000E04F9">
      <w:pPr>
        <w:pStyle w:val="FootnoteText"/>
        <w:rPr>
          <w:lang w:val="en-GB"/>
        </w:rPr>
      </w:pPr>
      <w:r>
        <w:rPr>
          <w:rStyle w:val="FootnoteReference"/>
        </w:rPr>
        <w:footnoteRef/>
      </w:r>
      <w:r>
        <w:t xml:space="preserve"> 00226.139 Kāi Tahu ki Otago</w:t>
      </w:r>
    </w:p>
  </w:footnote>
  <w:footnote w:id="663">
    <w:p w14:paraId="530E1F0B" w14:textId="77777777" w:rsidR="000E04F9" w:rsidRPr="00926271" w:rsidRDefault="000E04F9" w:rsidP="000E04F9">
      <w:pPr>
        <w:pStyle w:val="FootnoteText"/>
        <w:rPr>
          <w:lang w:val="en-GB"/>
        </w:rPr>
      </w:pPr>
      <w:r>
        <w:rPr>
          <w:rStyle w:val="FootnoteReference"/>
        </w:rPr>
        <w:footnoteRef/>
      </w:r>
      <w:r>
        <w:t xml:space="preserve"> 00137.055 </w:t>
      </w:r>
      <w:r>
        <w:rPr>
          <w:lang w:val="en-GB"/>
        </w:rPr>
        <w:t xml:space="preserve">DOC, </w:t>
      </w:r>
      <w:r>
        <w:t xml:space="preserve">00120.042 </w:t>
      </w:r>
      <w:r>
        <w:rPr>
          <w:lang w:val="en-GB"/>
        </w:rPr>
        <w:t>Yellow-eyed Penguin Society</w:t>
      </w:r>
    </w:p>
  </w:footnote>
  <w:footnote w:id="664">
    <w:p w14:paraId="5FC9D052" w14:textId="77777777" w:rsidR="000E04F9" w:rsidRPr="00F177F2" w:rsidRDefault="000E04F9" w:rsidP="000E04F9">
      <w:pPr>
        <w:pStyle w:val="FootnoteText"/>
        <w:rPr>
          <w:lang w:val="en-GB"/>
        </w:rPr>
      </w:pPr>
      <w:r>
        <w:rPr>
          <w:rStyle w:val="FootnoteReference"/>
        </w:rPr>
        <w:footnoteRef/>
      </w:r>
      <w:r>
        <w:t xml:space="preserve"> </w:t>
      </w:r>
      <w:r w:rsidRPr="00F177F2">
        <w:t>00230.056 Forest &amp; Bird, 00122.018 Sanford</w:t>
      </w:r>
    </w:p>
  </w:footnote>
  <w:footnote w:id="665">
    <w:p w14:paraId="5A7EE646" w14:textId="77777777" w:rsidR="00384FB1" w:rsidRPr="00B87248" w:rsidRDefault="00384FB1" w:rsidP="00384FB1">
      <w:pPr>
        <w:pStyle w:val="FootnoteText"/>
        <w:rPr>
          <w:lang w:val="en-GB"/>
        </w:rPr>
      </w:pPr>
      <w:r>
        <w:rPr>
          <w:rStyle w:val="FootnoteReference"/>
        </w:rPr>
        <w:footnoteRef/>
      </w:r>
      <w:r>
        <w:t xml:space="preserve"> 00226.143 </w:t>
      </w:r>
      <w:r w:rsidRPr="00B87248">
        <w:t>Kāi Tahu Ki Otago</w:t>
      </w:r>
      <w:r>
        <w:t xml:space="preserve">, 00230.058 Forest and Bird </w:t>
      </w:r>
    </w:p>
  </w:footnote>
  <w:footnote w:id="666">
    <w:p w14:paraId="455F9E47" w14:textId="77777777" w:rsidR="000E04F9" w:rsidRPr="00CF0803" w:rsidRDefault="000E04F9" w:rsidP="000E04F9">
      <w:pPr>
        <w:pStyle w:val="FootnoteText"/>
        <w:rPr>
          <w:lang w:val="en-GB"/>
        </w:rPr>
      </w:pPr>
      <w:r>
        <w:rPr>
          <w:rStyle w:val="FootnoteReference"/>
        </w:rPr>
        <w:footnoteRef/>
      </w:r>
      <w:r>
        <w:t xml:space="preserve"> 00305.013, </w:t>
      </w:r>
      <w:r w:rsidRPr="00BA7D97">
        <w:rPr>
          <w:rFonts w:cstheme="minorHAnsi"/>
        </w:rPr>
        <w:t>00305.014</w:t>
      </w:r>
      <w:r>
        <w:rPr>
          <w:rFonts w:cstheme="minorHAnsi"/>
        </w:rPr>
        <w:t xml:space="preserve">, </w:t>
      </w:r>
      <w:r w:rsidRPr="00BA7D97">
        <w:rPr>
          <w:rFonts w:cstheme="minorHAnsi"/>
        </w:rPr>
        <w:t>00305.015</w:t>
      </w:r>
      <w:r>
        <w:rPr>
          <w:rFonts w:cstheme="minorHAnsi"/>
        </w:rPr>
        <w:t xml:space="preserve"> </w:t>
      </w:r>
      <w:r>
        <w:rPr>
          <w:lang w:val="en-GB"/>
        </w:rPr>
        <w:t>Waka Kotahi</w:t>
      </w:r>
    </w:p>
  </w:footnote>
  <w:footnote w:id="667">
    <w:p w14:paraId="0047E7D5" w14:textId="77777777" w:rsidR="000E04F9" w:rsidRPr="00BA6985" w:rsidRDefault="000E04F9" w:rsidP="000E04F9">
      <w:pPr>
        <w:pStyle w:val="FootnoteText"/>
        <w:rPr>
          <w:lang w:val="en-GB"/>
        </w:rPr>
      </w:pPr>
      <w:r>
        <w:rPr>
          <w:rStyle w:val="FootnoteReference"/>
        </w:rPr>
        <w:footnoteRef/>
      </w:r>
      <w:r>
        <w:t xml:space="preserve"> </w:t>
      </w:r>
      <w:r w:rsidRPr="00884CC0">
        <w:t>00239.062 Federated Farmers, 00236.055 Horticulture</w:t>
      </w:r>
    </w:p>
  </w:footnote>
  <w:footnote w:id="668">
    <w:p w14:paraId="61958848" w14:textId="77777777" w:rsidR="000E04F9" w:rsidRPr="00A73E4B" w:rsidRDefault="000E04F9" w:rsidP="000E04F9">
      <w:pPr>
        <w:pStyle w:val="FootnoteText"/>
        <w:rPr>
          <w:lang w:val="en-GB"/>
        </w:rPr>
      </w:pPr>
      <w:r>
        <w:rPr>
          <w:rStyle w:val="FootnoteReference"/>
        </w:rPr>
        <w:footnoteRef/>
      </w:r>
      <w:r>
        <w:t xml:space="preserve"> 00226.145 </w:t>
      </w:r>
      <w:r w:rsidRPr="00072F13">
        <w:t>Kāi Tahu Ki Otago</w:t>
      </w:r>
    </w:p>
  </w:footnote>
  <w:footnote w:id="669">
    <w:p w14:paraId="4757CA30" w14:textId="058E1726" w:rsidR="002B5B51" w:rsidRPr="002B5B51" w:rsidRDefault="002B5B51">
      <w:pPr>
        <w:pStyle w:val="FootnoteText"/>
        <w:rPr>
          <w:lang w:val="en-GB"/>
        </w:rPr>
      </w:pPr>
      <w:r>
        <w:rPr>
          <w:rStyle w:val="FootnoteReference"/>
        </w:rPr>
        <w:footnoteRef/>
      </w:r>
      <w:r>
        <w:t xml:space="preserve"> </w:t>
      </w:r>
      <w:r w:rsidR="008B2194" w:rsidRPr="008B2194">
        <w:t>00315.025 Aurora</w:t>
      </w:r>
      <w:r w:rsidR="009410C4">
        <w:t xml:space="preserve"> Energy</w:t>
      </w:r>
    </w:p>
  </w:footnote>
  <w:footnote w:id="670">
    <w:p w14:paraId="2EF9E227" w14:textId="61A6C7ED" w:rsidR="00EF43CD" w:rsidRDefault="00EF43CD">
      <w:pPr>
        <w:pStyle w:val="FootnoteText"/>
      </w:pPr>
      <w:r>
        <w:rPr>
          <w:rStyle w:val="FootnoteReference"/>
        </w:rPr>
        <w:footnoteRef/>
      </w:r>
      <w:r>
        <w:t xml:space="preserve"> Clause 16(2), Schedule 1</w:t>
      </w:r>
      <w:r w:rsidR="007F78D6">
        <w:t>,</w:t>
      </w:r>
      <w:r>
        <w:t xml:space="preserve"> RMA</w:t>
      </w:r>
    </w:p>
  </w:footnote>
  <w:footnote w:id="671">
    <w:p w14:paraId="409A0AF3" w14:textId="77777777" w:rsidR="000E04F9" w:rsidRPr="00674DB0" w:rsidRDefault="000E04F9" w:rsidP="000E04F9">
      <w:pPr>
        <w:pStyle w:val="FootnoteText"/>
        <w:rPr>
          <w:lang w:val="en-GB"/>
        </w:rPr>
      </w:pPr>
      <w:r>
        <w:rPr>
          <w:rStyle w:val="FootnoteReference"/>
        </w:rPr>
        <w:footnoteRef/>
      </w:r>
      <w:r>
        <w:t xml:space="preserve"> 00226.146 </w:t>
      </w:r>
      <w:r>
        <w:rPr>
          <w:lang w:val="en-US"/>
        </w:rPr>
        <w:t>Kai Tahu Ki Otago</w:t>
      </w:r>
    </w:p>
  </w:footnote>
  <w:footnote w:id="672">
    <w:p w14:paraId="70A2D781" w14:textId="77777777" w:rsidR="000E04F9" w:rsidRPr="00674DB0" w:rsidRDefault="000E04F9" w:rsidP="000E04F9">
      <w:pPr>
        <w:pStyle w:val="FootnoteText"/>
        <w:rPr>
          <w:lang w:val="en-GB"/>
        </w:rPr>
      </w:pPr>
      <w:r>
        <w:rPr>
          <w:rStyle w:val="FootnoteReference"/>
        </w:rPr>
        <w:footnoteRef/>
      </w:r>
      <w:r>
        <w:t xml:space="preserve"> 00226.146 </w:t>
      </w:r>
      <w:r>
        <w:rPr>
          <w:lang w:val="en-US"/>
        </w:rPr>
        <w:t>Kai Tahu Ki Otago</w:t>
      </w:r>
    </w:p>
  </w:footnote>
  <w:footnote w:id="673">
    <w:p w14:paraId="6E17DA95" w14:textId="0D2B4EF4" w:rsidR="00BC5D5F" w:rsidRPr="00BC5D5F" w:rsidRDefault="00BC5D5F">
      <w:pPr>
        <w:pStyle w:val="FootnoteText"/>
        <w:rPr>
          <w:lang w:val="mi-NZ"/>
        </w:rPr>
      </w:pPr>
      <w:r>
        <w:rPr>
          <w:rStyle w:val="FootnoteReference"/>
        </w:rPr>
        <w:footnoteRef/>
      </w:r>
      <w:r>
        <w:t xml:space="preserve"> 00226.147 Kāi Tahu ki Otago</w:t>
      </w:r>
    </w:p>
  </w:footnote>
  <w:footnote w:id="674">
    <w:p w14:paraId="323257CA" w14:textId="77777777" w:rsidR="000E04F9" w:rsidRPr="00BD4C00" w:rsidRDefault="000E04F9" w:rsidP="000E04F9">
      <w:pPr>
        <w:pStyle w:val="FootnoteText"/>
        <w:rPr>
          <w:lang w:val="en-GB"/>
        </w:rPr>
      </w:pPr>
      <w:r>
        <w:rPr>
          <w:rStyle w:val="FootnoteReference"/>
        </w:rPr>
        <w:footnoteRef/>
      </w:r>
      <w:r>
        <w:t xml:space="preserve"> 00226.147 Kāi Tahu ki Otago</w:t>
      </w:r>
    </w:p>
  </w:footnote>
  <w:footnote w:id="675">
    <w:p w14:paraId="505EB7D3" w14:textId="77777777" w:rsidR="000E04F9" w:rsidRPr="00F14B35" w:rsidRDefault="000E04F9" w:rsidP="000E04F9">
      <w:pPr>
        <w:pStyle w:val="FootnoteText"/>
        <w:rPr>
          <w:lang w:val="en-GB"/>
        </w:rPr>
      </w:pPr>
      <w:r>
        <w:rPr>
          <w:rStyle w:val="FootnoteReference"/>
        </w:rPr>
        <w:footnoteRef/>
      </w:r>
      <w:r>
        <w:t xml:space="preserve"> </w:t>
      </w:r>
      <w:r w:rsidRPr="00F14B35">
        <w:t>00226.147 Kāi Tahu ki Otago</w:t>
      </w:r>
    </w:p>
  </w:footnote>
  <w:footnote w:id="676">
    <w:p w14:paraId="5CBEF284" w14:textId="77777777" w:rsidR="000E04F9" w:rsidRPr="00453578" w:rsidRDefault="000E04F9" w:rsidP="000E04F9">
      <w:pPr>
        <w:pStyle w:val="FootnoteText"/>
        <w:rPr>
          <w:lang w:val="en-GB"/>
        </w:rPr>
      </w:pPr>
      <w:r>
        <w:rPr>
          <w:rStyle w:val="FootnoteReference"/>
        </w:rPr>
        <w:footnoteRef/>
      </w:r>
      <w:r>
        <w:t xml:space="preserve"> 00226.147 Kāi Tahu ki Otago</w:t>
      </w:r>
    </w:p>
  </w:footnote>
  <w:footnote w:id="677">
    <w:p w14:paraId="5FDF5514" w14:textId="77777777" w:rsidR="00C6703D" w:rsidRPr="00A2437F" w:rsidRDefault="00C6703D" w:rsidP="00C6703D">
      <w:pPr>
        <w:pStyle w:val="FootnoteText"/>
      </w:pPr>
      <w:r>
        <w:rPr>
          <w:rStyle w:val="FootnoteReference"/>
        </w:rPr>
        <w:footnoteRef/>
      </w:r>
      <w:r>
        <w:t xml:space="preserve"> 00226.148 </w:t>
      </w:r>
      <w:r w:rsidRPr="00072F13">
        <w:t xml:space="preserve">Kāi Tahu </w:t>
      </w:r>
      <w:r>
        <w:t>ki</w:t>
      </w:r>
      <w:r w:rsidRPr="00072F13">
        <w:t xml:space="preserve"> Otago</w:t>
      </w:r>
    </w:p>
  </w:footnote>
  <w:footnote w:id="678">
    <w:p w14:paraId="28F4603A" w14:textId="77777777" w:rsidR="000E04F9" w:rsidRPr="00005707" w:rsidRDefault="000E04F9" w:rsidP="000E04F9">
      <w:pPr>
        <w:pStyle w:val="FootnoteText"/>
        <w:rPr>
          <w:lang w:val="en-GB"/>
        </w:rPr>
      </w:pPr>
      <w:r>
        <w:rPr>
          <w:rStyle w:val="FootnoteReference"/>
        </w:rPr>
        <w:footnoteRef/>
      </w:r>
      <w:r>
        <w:t xml:space="preserve"> 00226.148 </w:t>
      </w:r>
      <w:r w:rsidRPr="00072F13">
        <w:t>Kāi Tahu Ki Otago</w:t>
      </w:r>
    </w:p>
  </w:footnote>
  <w:footnote w:id="679">
    <w:p w14:paraId="421C5A6D" w14:textId="77777777" w:rsidR="000E04F9" w:rsidRPr="00005707" w:rsidRDefault="000E04F9" w:rsidP="000E04F9">
      <w:pPr>
        <w:pStyle w:val="FootnoteText"/>
        <w:rPr>
          <w:lang w:val="en-GB"/>
        </w:rPr>
      </w:pPr>
      <w:r>
        <w:rPr>
          <w:rStyle w:val="FootnoteReference"/>
        </w:rPr>
        <w:footnoteRef/>
      </w:r>
      <w:r>
        <w:t xml:space="preserve"> 00226.148 </w:t>
      </w:r>
      <w:r w:rsidRPr="00072F13">
        <w:t>Kāi Tahu Ki Otago</w:t>
      </w:r>
    </w:p>
  </w:footnote>
  <w:footnote w:id="680">
    <w:p w14:paraId="3AC5C334" w14:textId="77777777" w:rsidR="00CF3CE4" w:rsidRDefault="00CF3CE4" w:rsidP="00CF3CE4">
      <w:pPr>
        <w:pStyle w:val="FootnoteText"/>
      </w:pPr>
      <w:r>
        <w:rPr>
          <w:rStyle w:val="FootnoteReference"/>
        </w:rPr>
        <w:footnoteRef/>
      </w:r>
      <w:r>
        <w:t xml:space="preserve"> </w:t>
      </w:r>
      <w:r w:rsidRPr="0029576C">
        <w:t>Clause 10(2)(b)(i) – consequential amendment arising from 00226.038 Kāi Tahu ki Otago</w:t>
      </w:r>
    </w:p>
  </w:footnote>
  <w:footnote w:id="681">
    <w:p w14:paraId="54C5DAC4" w14:textId="77777777" w:rsidR="000E04F9" w:rsidRPr="00005707" w:rsidRDefault="000E04F9" w:rsidP="000E04F9">
      <w:pPr>
        <w:pStyle w:val="FootnoteText"/>
        <w:rPr>
          <w:lang w:val="en-GB"/>
        </w:rPr>
      </w:pPr>
      <w:r>
        <w:rPr>
          <w:rStyle w:val="FootnoteReference"/>
        </w:rPr>
        <w:footnoteRef/>
      </w:r>
      <w:r>
        <w:t xml:space="preserve"> 00226.148 </w:t>
      </w:r>
      <w:r w:rsidRPr="00072F13">
        <w:t>Kāi Tahu Ki Otago</w:t>
      </w:r>
    </w:p>
  </w:footnote>
  <w:footnote w:id="682">
    <w:p w14:paraId="145D33B7" w14:textId="74ACDB7D" w:rsidR="007457F3" w:rsidRPr="007457F3" w:rsidRDefault="007457F3">
      <w:pPr>
        <w:pStyle w:val="FootnoteText"/>
        <w:rPr>
          <w:lang w:val="mi-NZ"/>
        </w:rPr>
      </w:pPr>
      <w:r>
        <w:rPr>
          <w:rStyle w:val="FootnoteReference"/>
        </w:rPr>
        <w:footnoteRef/>
      </w:r>
      <w:r>
        <w:t xml:space="preserve"> 00226.156 </w:t>
      </w:r>
      <w:r w:rsidRPr="00072F13">
        <w:t>Kāi Tahu Ki Otago</w:t>
      </w:r>
    </w:p>
  </w:footnote>
  <w:footnote w:id="683">
    <w:p w14:paraId="456682DF" w14:textId="77777777" w:rsidR="000E04F9" w:rsidRPr="00FA2D09" w:rsidRDefault="000E04F9" w:rsidP="000E04F9">
      <w:pPr>
        <w:pStyle w:val="FootnoteText"/>
        <w:rPr>
          <w:lang w:val="en-GB"/>
        </w:rPr>
      </w:pPr>
      <w:r>
        <w:rPr>
          <w:rStyle w:val="FootnoteReference"/>
        </w:rPr>
        <w:footnoteRef/>
      </w:r>
      <w:r>
        <w:t xml:space="preserve"> </w:t>
      </w:r>
      <w:r w:rsidRPr="00F70BDD">
        <w:rPr>
          <w:lang w:val="en-GB"/>
        </w:rPr>
        <w:t xml:space="preserve">00013.009 </w:t>
      </w:r>
      <w:r>
        <w:rPr>
          <w:lang w:val="en-GB"/>
        </w:rPr>
        <w:t>ECan</w:t>
      </w:r>
    </w:p>
  </w:footnote>
  <w:footnote w:id="684">
    <w:p w14:paraId="0ACA59F8" w14:textId="55B7AD11" w:rsidR="0063411B" w:rsidRDefault="0063411B">
      <w:pPr>
        <w:pStyle w:val="FootnoteText"/>
      </w:pPr>
      <w:r>
        <w:rPr>
          <w:rStyle w:val="FootnoteReference"/>
        </w:rPr>
        <w:footnoteRef/>
      </w:r>
      <w:r>
        <w:t xml:space="preserve"> </w:t>
      </w:r>
      <w:r w:rsidR="000F743F">
        <w:t>Clause 16(2), Schedule 1, RMA</w:t>
      </w:r>
    </w:p>
  </w:footnote>
  <w:footnote w:id="685">
    <w:p w14:paraId="08B76D8C" w14:textId="77777777" w:rsidR="000E04F9" w:rsidRPr="00D85620" w:rsidRDefault="000E04F9" w:rsidP="000E04F9">
      <w:pPr>
        <w:pStyle w:val="FootnoteText"/>
        <w:rPr>
          <w:lang w:val="en-GB"/>
        </w:rPr>
      </w:pPr>
      <w:r>
        <w:rPr>
          <w:rStyle w:val="FootnoteReference"/>
        </w:rPr>
        <w:footnoteRef/>
      </w:r>
      <w:r>
        <w:t xml:space="preserve"> 00226.149 </w:t>
      </w:r>
      <w:r w:rsidRPr="00F973F0">
        <w:rPr>
          <w:rFonts w:eastAsia="Wingdings" w:cstheme="minorHAnsi"/>
          <w:szCs w:val="22"/>
        </w:rPr>
        <w:t>Kāi Tahu ki Otago</w:t>
      </w:r>
    </w:p>
  </w:footnote>
  <w:footnote w:id="686">
    <w:p w14:paraId="7FF240BD" w14:textId="77777777" w:rsidR="000E04F9" w:rsidRPr="00263745" w:rsidRDefault="000E04F9" w:rsidP="000E04F9">
      <w:pPr>
        <w:pStyle w:val="FootnoteText"/>
        <w:rPr>
          <w:lang w:val="en-GB"/>
        </w:rPr>
      </w:pPr>
      <w:r>
        <w:rPr>
          <w:rStyle w:val="FootnoteReference"/>
        </w:rPr>
        <w:footnoteRef/>
      </w:r>
      <w:r>
        <w:t xml:space="preserve"> </w:t>
      </w:r>
      <w:r w:rsidRPr="00F70BDD">
        <w:rPr>
          <w:lang w:val="en-GB"/>
        </w:rPr>
        <w:t xml:space="preserve">00013.010 </w:t>
      </w:r>
      <w:r>
        <w:rPr>
          <w:lang w:val="en-GB"/>
        </w:rPr>
        <w:t>ECan</w:t>
      </w:r>
    </w:p>
  </w:footnote>
  <w:footnote w:id="687">
    <w:p w14:paraId="594DB5E6" w14:textId="1C634A7B" w:rsidR="0028765C" w:rsidRDefault="0028765C">
      <w:pPr>
        <w:pStyle w:val="FootnoteText"/>
      </w:pPr>
      <w:r>
        <w:rPr>
          <w:rStyle w:val="FootnoteReference"/>
        </w:rPr>
        <w:footnoteRef/>
      </w:r>
      <w:r>
        <w:t xml:space="preserve"> Clause 16(2), Schedule 1, RMA</w:t>
      </w:r>
    </w:p>
  </w:footnote>
  <w:footnote w:id="688">
    <w:p w14:paraId="0BAA8B4C" w14:textId="77777777" w:rsidR="000E04F9" w:rsidRPr="00C637DE" w:rsidRDefault="000E04F9" w:rsidP="000E04F9">
      <w:pPr>
        <w:pStyle w:val="FootnoteText"/>
        <w:rPr>
          <w:lang w:val="en-GB"/>
        </w:rPr>
      </w:pPr>
      <w:r>
        <w:rPr>
          <w:rStyle w:val="FootnoteReference"/>
        </w:rPr>
        <w:footnoteRef/>
      </w:r>
      <w:r>
        <w:t xml:space="preserve"> 00122.018 </w:t>
      </w:r>
      <w:r w:rsidRPr="00C637DE">
        <w:t>Sanford</w:t>
      </w:r>
    </w:p>
  </w:footnote>
  <w:footnote w:id="689">
    <w:p w14:paraId="221229BE" w14:textId="717D8DBB" w:rsidR="002F6C87" w:rsidRDefault="002F6C87">
      <w:pPr>
        <w:pStyle w:val="FootnoteText"/>
      </w:pPr>
      <w:r>
        <w:rPr>
          <w:rStyle w:val="FootnoteReference"/>
        </w:rPr>
        <w:footnoteRef/>
      </w:r>
      <w:r>
        <w:t xml:space="preserve"> </w:t>
      </w:r>
      <w:r w:rsidR="00831A02">
        <w:t>Clause 16(2), Schedule 1, RMA</w:t>
      </w:r>
    </w:p>
  </w:footnote>
  <w:footnote w:id="690">
    <w:p w14:paraId="2A2D64C9" w14:textId="4B66C4EB" w:rsidR="00455CF3" w:rsidRDefault="00455CF3">
      <w:pPr>
        <w:pStyle w:val="FootnoteText"/>
      </w:pPr>
      <w:r>
        <w:rPr>
          <w:rStyle w:val="FootnoteReference"/>
        </w:rPr>
        <w:footnoteRef/>
      </w:r>
      <w:r>
        <w:t xml:space="preserve"> Clause 16(2), Schedule 1, RMA</w:t>
      </w:r>
    </w:p>
  </w:footnote>
  <w:footnote w:id="691">
    <w:p w14:paraId="28AEA72C" w14:textId="77777777" w:rsidR="000E04F9" w:rsidRPr="00240704" w:rsidRDefault="000E04F9" w:rsidP="000E04F9">
      <w:pPr>
        <w:pStyle w:val="FootnoteText"/>
        <w:rPr>
          <w:lang w:val="en-GB"/>
        </w:rPr>
      </w:pPr>
      <w:r>
        <w:rPr>
          <w:rStyle w:val="FootnoteReference"/>
        </w:rPr>
        <w:footnoteRef/>
      </w:r>
      <w:r>
        <w:t xml:space="preserve"> 00226.151 K</w:t>
      </w:r>
      <w:r>
        <w:rPr>
          <w:rFonts w:cstheme="minorHAnsi"/>
        </w:rPr>
        <w:t>ā</w:t>
      </w:r>
      <w:r>
        <w:t>i Tahi ki Otago</w:t>
      </w:r>
    </w:p>
  </w:footnote>
  <w:footnote w:id="692">
    <w:p w14:paraId="5672DE1F" w14:textId="77777777" w:rsidR="005451B5" w:rsidRPr="00D430F3" w:rsidRDefault="005451B5" w:rsidP="005451B5">
      <w:pPr>
        <w:pStyle w:val="FootnoteText"/>
        <w:rPr>
          <w:lang w:val="en-GB"/>
        </w:rPr>
      </w:pPr>
      <w:r>
        <w:rPr>
          <w:rStyle w:val="FootnoteReference"/>
        </w:rPr>
        <w:footnoteRef/>
      </w:r>
      <w:r>
        <w:t xml:space="preserve"> 00226.153 </w:t>
      </w:r>
      <w:r w:rsidRPr="00CD04D8">
        <w:t>Kāi Tahu ki Otago</w:t>
      </w:r>
    </w:p>
  </w:footnote>
  <w:footnote w:id="693">
    <w:p w14:paraId="4F4FFE2D" w14:textId="77777777" w:rsidR="000E04F9" w:rsidRPr="00D430F3" w:rsidRDefault="000E04F9" w:rsidP="000E04F9">
      <w:pPr>
        <w:pStyle w:val="FootnoteText"/>
        <w:rPr>
          <w:lang w:val="en-GB"/>
        </w:rPr>
      </w:pPr>
      <w:r>
        <w:rPr>
          <w:rStyle w:val="FootnoteReference"/>
        </w:rPr>
        <w:footnoteRef/>
      </w:r>
      <w:r>
        <w:t xml:space="preserve"> 00226.153 </w:t>
      </w:r>
      <w:r w:rsidRPr="00CD04D8">
        <w:t>Kāi Tahu ki Otago</w:t>
      </w:r>
    </w:p>
  </w:footnote>
  <w:footnote w:id="694">
    <w:p w14:paraId="57538DAE" w14:textId="76A81D6A" w:rsidR="006C4721" w:rsidRPr="006C4721" w:rsidRDefault="006C4721">
      <w:pPr>
        <w:pStyle w:val="FootnoteText"/>
        <w:rPr>
          <w:lang w:val="mi-NZ"/>
        </w:rPr>
      </w:pPr>
      <w:r>
        <w:rPr>
          <w:rStyle w:val="FootnoteReference"/>
        </w:rPr>
        <w:footnoteRef/>
      </w:r>
      <w:r>
        <w:t xml:space="preserve"> 00226.153 </w:t>
      </w:r>
      <w:r w:rsidRPr="00CD04D8">
        <w:t>Kāi Tahu ki Otago</w:t>
      </w:r>
    </w:p>
  </w:footnote>
  <w:footnote w:id="695">
    <w:p w14:paraId="4AD6F138" w14:textId="6F22CEBA" w:rsidR="000E04F9" w:rsidRPr="007E3402" w:rsidRDefault="000E04F9" w:rsidP="000E04F9">
      <w:pPr>
        <w:pStyle w:val="FootnoteText"/>
        <w:rPr>
          <w:lang w:val="en-GB"/>
        </w:rPr>
      </w:pPr>
      <w:r>
        <w:rPr>
          <w:rStyle w:val="FootnoteReference"/>
        </w:rPr>
        <w:footnoteRef/>
      </w:r>
      <w:r>
        <w:t xml:space="preserve"> </w:t>
      </w:r>
      <w:r>
        <w:rPr>
          <w:lang w:val="en-GB"/>
        </w:rPr>
        <w:t>Clause 16</w:t>
      </w:r>
      <w:r w:rsidR="006C4721">
        <w:rPr>
          <w:lang w:val="en-GB"/>
        </w:rPr>
        <w:t>(2), Schedule 1 RMA</w:t>
      </w:r>
    </w:p>
  </w:footnote>
  <w:footnote w:id="696">
    <w:p w14:paraId="385FA7EA" w14:textId="21B367CE" w:rsidR="00E80622" w:rsidRPr="00DD70D6" w:rsidRDefault="00E80622">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 amendment arising from </w:t>
      </w:r>
      <w:r>
        <w:t xml:space="preserve">00226.153 </w:t>
      </w:r>
      <w:r w:rsidRPr="00CD04D8">
        <w:t>Kāi Tahu ki Otago</w:t>
      </w:r>
    </w:p>
  </w:footnote>
  <w:footnote w:id="697">
    <w:p w14:paraId="32F0C843" w14:textId="77777777" w:rsidR="000E04F9" w:rsidRPr="005B59EC" w:rsidRDefault="000E04F9" w:rsidP="000E04F9">
      <w:pPr>
        <w:pStyle w:val="FootnoteText"/>
        <w:rPr>
          <w:lang w:val="en-GB"/>
        </w:rPr>
      </w:pPr>
      <w:r>
        <w:rPr>
          <w:rStyle w:val="FootnoteReference"/>
        </w:rPr>
        <w:footnoteRef/>
      </w:r>
      <w:r>
        <w:t xml:space="preserve"> </w:t>
      </w:r>
      <w:r w:rsidRPr="005B59EC">
        <w:t>00139.076 DCC</w:t>
      </w:r>
    </w:p>
  </w:footnote>
  <w:footnote w:id="698">
    <w:p w14:paraId="5A3F80CA" w14:textId="77777777" w:rsidR="000E04F9" w:rsidRPr="006D39A4" w:rsidRDefault="000E04F9" w:rsidP="000E04F9">
      <w:pPr>
        <w:pStyle w:val="FootnoteText"/>
        <w:rPr>
          <w:lang w:val="en-GB"/>
        </w:rPr>
      </w:pPr>
      <w:r>
        <w:rPr>
          <w:rStyle w:val="FootnoteReference"/>
        </w:rPr>
        <w:footnoteRef/>
      </w:r>
      <w:r>
        <w:t xml:space="preserve"> 00139.076 </w:t>
      </w:r>
      <w:r>
        <w:rPr>
          <w:lang w:val="en-GB"/>
        </w:rPr>
        <w:t>DCC</w:t>
      </w:r>
    </w:p>
  </w:footnote>
  <w:footnote w:id="699">
    <w:p w14:paraId="513CA60A" w14:textId="77777777" w:rsidR="000E04F9" w:rsidRPr="006D39A4" w:rsidRDefault="000E04F9" w:rsidP="000E04F9">
      <w:pPr>
        <w:pStyle w:val="FootnoteText"/>
        <w:rPr>
          <w:lang w:val="en-GB"/>
        </w:rPr>
      </w:pPr>
      <w:r>
        <w:rPr>
          <w:rStyle w:val="FootnoteReference"/>
        </w:rPr>
        <w:footnoteRef/>
      </w:r>
      <w:r>
        <w:t xml:space="preserve"> 00139.076 </w:t>
      </w:r>
      <w:r>
        <w:rPr>
          <w:lang w:val="en-GB"/>
        </w:rPr>
        <w:t>DCC</w:t>
      </w:r>
    </w:p>
  </w:footnote>
  <w:footnote w:id="700">
    <w:p w14:paraId="1EBAB39D" w14:textId="77777777" w:rsidR="000E04F9" w:rsidRPr="00983D67" w:rsidRDefault="000E04F9" w:rsidP="000E04F9">
      <w:pPr>
        <w:pStyle w:val="FootnoteText"/>
        <w:rPr>
          <w:lang w:val="en-GB"/>
        </w:rPr>
      </w:pPr>
      <w:r>
        <w:rPr>
          <w:rStyle w:val="FootnoteReference"/>
        </w:rPr>
        <w:footnoteRef/>
      </w:r>
      <w:r>
        <w:t xml:space="preserve"> 00510.020 </w:t>
      </w:r>
      <w:r>
        <w:rPr>
          <w:lang w:val="en-GB"/>
        </w:rPr>
        <w:t xml:space="preserve">Fuel Companies </w:t>
      </w:r>
    </w:p>
  </w:footnote>
  <w:footnote w:id="701">
    <w:p w14:paraId="1FC6FDCF" w14:textId="77777777" w:rsidR="00452397" w:rsidRPr="00DB6ED0" w:rsidRDefault="00452397" w:rsidP="00452397">
      <w:pPr>
        <w:pStyle w:val="FootnoteText"/>
        <w:rPr>
          <w:lang w:val="en-GB"/>
        </w:rPr>
      </w:pPr>
      <w:r>
        <w:rPr>
          <w:rStyle w:val="FootnoteReference"/>
        </w:rPr>
        <w:footnoteRef/>
      </w:r>
      <w:r>
        <w:t xml:space="preserve"> 00139.076 </w:t>
      </w:r>
      <w:r>
        <w:rPr>
          <w:lang w:val="en-GB"/>
        </w:rPr>
        <w:t>DCC</w:t>
      </w:r>
    </w:p>
  </w:footnote>
  <w:footnote w:id="702">
    <w:p w14:paraId="6E5AB59B" w14:textId="6F73F8A8" w:rsidR="002017AB" w:rsidRPr="002017AB" w:rsidRDefault="002017AB">
      <w:pPr>
        <w:pStyle w:val="FootnoteText"/>
        <w:rPr>
          <w:lang w:val="mi-NZ"/>
        </w:rPr>
      </w:pPr>
      <w:r>
        <w:rPr>
          <w:rStyle w:val="FootnoteReference"/>
        </w:rPr>
        <w:footnoteRef/>
      </w:r>
      <w:r>
        <w:t xml:space="preserve"> </w:t>
      </w:r>
      <w:r w:rsidR="0045633A">
        <w:rPr>
          <w:lang w:val="mi-NZ"/>
        </w:rPr>
        <w:t>00226.153 Kāi Tahu ki Otago</w:t>
      </w:r>
    </w:p>
  </w:footnote>
  <w:footnote w:id="703">
    <w:p w14:paraId="0DAEC9E4" w14:textId="41EE7750" w:rsidR="000E04F9" w:rsidRPr="00291EA2" w:rsidRDefault="000E04F9" w:rsidP="000E04F9">
      <w:pPr>
        <w:pStyle w:val="FootnoteText"/>
        <w:rPr>
          <w:lang w:val="en-GB"/>
        </w:rPr>
      </w:pPr>
      <w:r w:rsidRPr="00460A28">
        <w:rPr>
          <w:rStyle w:val="FootnoteReference"/>
        </w:rPr>
        <w:footnoteRef/>
      </w:r>
      <w:r w:rsidRPr="00460A28">
        <w:t xml:space="preserve"> </w:t>
      </w:r>
      <w:r w:rsidRPr="00460A28">
        <w:rPr>
          <w:lang w:val="en-GB"/>
        </w:rPr>
        <w:t>Clause 16</w:t>
      </w:r>
      <w:r w:rsidR="00460A28" w:rsidRPr="00460A28">
        <w:rPr>
          <w:lang w:val="en-GB"/>
        </w:rPr>
        <w:t xml:space="preserve">(2), </w:t>
      </w:r>
      <w:r w:rsidR="00460A28" w:rsidRPr="00291EA2">
        <w:rPr>
          <w:lang w:val="en-GB"/>
        </w:rPr>
        <w:t>Schedule 1</w:t>
      </w:r>
      <w:r w:rsidR="00906D13">
        <w:rPr>
          <w:lang w:val="en-GB"/>
        </w:rPr>
        <w:t>,</w:t>
      </w:r>
      <w:r w:rsidR="00460A28" w:rsidRPr="00291EA2">
        <w:rPr>
          <w:lang w:val="en-GB"/>
        </w:rPr>
        <w:t xml:space="preserve"> RMA</w:t>
      </w:r>
    </w:p>
  </w:footnote>
  <w:footnote w:id="704">
    <w:p w14:paraId="0583E123" w14:textId="6A120DA1" w:rsidR="000E04F9" w:rsidRPr="002F1B60" w:rsidRDefault="000E04F9" w:rsidP="000E04F9">
      <w:pPr>
        <w:pStyle w:val="FootnoteText"/>
        <w:rPr>
          <w:lang w:val="en-GB"/>
        </w:rPr>
      </w:pPr>
      <w:r w:rsidRPr="00291EA2">
        <w:rPr>
          <w:rStyle w:val="FootnoteReference"/>
        </w:rPr>
        <w:footnoteRef/>
      </w:r>
      <w:r w:rsidRPr="00291EA2">
        <w:t xml:space="preserve"> </w:t>
      </w:r>
      <w:r w:rsidR="00DD70D6">
        <w:t>Clause 10(2)(b)(i)</w:t>
      </w:r>
      <w:r w:rsidR="00906D13">
        <w:t>, Schedule 1, RMA</w:t>
      </w:r>
      <w:r w:rsidR="00DD70D6">
        <w:t xml:space="preserve"> – consequential</w:t>
      </w:r>
      <w:r>
        <w:t xml:space="preserve"> amendment</w:t>
      </w:r>
      <w:r w:rsidR="00291EA2">
        <w:t xml:space="preserve"> </w:t>
      </w:r>
      <w:r w:rsidR="00DD70D6">
        <w:t xml:space="preserve">arising from </w:t>
      </w:r>
      <w:r w:rsidR="00291EA2" w:rsidRPr="00291EA2">
        <w:rPr>
          <w:lang w:val="en-GB"/>
        </w:rPr>
        <w:t>00137</w:t>
      </w:r>
      <w:r w:rsidR="00291EA2">
        <w:rPr>
          <w:lang w:val="en-GB"/>
        </w:rPr>
        <w:t>.042 DOC, 00014.022 John Highton</w:t>
      </w:r>
    </w:p>
  </w:footnote>
  <w:footnote w:id="705">
    <w:p w14:paraId="2F609CC2" w14:textId="77777777" w:rsidR="000E04F9" w:rsidRPr="00AF039B" w:rsidRDefault="000E04F9" w:rsidP="000E04F9">
      <w:pPr>
        <w:pStyle w:val="FootnoteText"/>
        <w:rPr>
          <w:lang w:val="en-GB"/>
        </w:rPr>
      </w:pPr>
      <w:r>
        <w:rPr>
          <w:rStyle w:val="FootnoteReference"/>
        </w:rPr>
        <w:footnoteRef/>
      </w:r>
      <w:r>
        <w:t xml:space="preserve"> 00230.063</w:t>
      </w:r>
      <w:r>
        <w:rPr>
          <w:lang w:val="en-GB"/>
        </w:rPr>
        <w:t xml:space="preserve"> Forest and Bird</w:t>
      </w:r>
    </w:p>
  </w:footnote>
  <w:footnote w:id="706">
    <w:p w14:paraId="286A9C4A" w14:textId="77777777" w:rsidR="000E04F9" w:rsidRPr="00BB20B8" w:rsidRDefault="000E04F9" w:rsidP="000E04F9">
      <w:pPr>
        <w:pStyle w:val="FootnoteText"/>
        <w:rPr>
          <w:lang w:val="en-GB"/>
        </w:rPr>
      </w:pPr>
      <w:r>
        <w:rPr>
          <w:rStyle w:val="FootnoteReference"/>
        </w:rPr>
        <w:footnoteRef/>
      </w:r>
      <w:r>
        <w:t xml:space="preserve"> </w:t>
      </w:r>
      <w:r w:rsidRPr="00BB20B8">
        <w:t>00226.147 Kāi Tahu ki Otago</w:t>
      </w:r>
    </w:p>
  </w:footnote>
  <w:footnote w:id="707">
    <w:p w14:paraId="1CFA863F" w14:textId="77777777" w:rsidR="000E04F9" w:rsidRPr="00EA2129" w:rsidRDefault="000E04F9" w:rsidP="000E04F9">
      <w:pPr>
        <w:pStyle w:val="FootnoteText"/>
        <w:rPr>
          <w:lang w:val="en-GB"/>
        </w:rPr>
      </w:pPr>
      <w:r>
        <w:rPr>
          <w:rStyle w:val="FootnoteReference"/>
        </w:rPr>
        <w:footnoteRef/>
      </w:r>
      <w:r>
        <w:t xml:space="preserve"> 00226.153 </w:t>
      </w:r>
      <w:r w:rsidRPr="00CD04D8">
        <w:t>Kāi Tahu ki Otago</w:t>
      </w:r>
    </w:p>
  </w:footnote>
  <w:footnote w:id="708">
    <w:p w14:paraId="1CF7E7A6" w14:textId="73F1332E" w:rsidR="001D71A6" w:rsidRPr="001D71A6" w:rsidRDefault="001D71A6">
      <w:pPr>
        <w:pStyle w:val="FootnoteText"/>
        <w:rPr>
          <w:lang w:val="en-GB"/>
        </w:rPr>
      </w:pPr>
      <w:r>
        <w:rPr>
          <w:rStyle w:val="FootnoteReference"/>
        </w:rPr>
        <w:footnoteRef/>
      </w:r>
      <w:r>
        <w:t xml:space="preserve"> 00226.153 </w:t>
      </w:r>
      <w:r w:rsidRPr="00CD04D8">
        <w:t>Kāi Tahu ki Otago</w:t>
      </w:r>
    </w:p>
  </w:footnote>
  <w:footnote w:id="709">
    <w:p w14:paraId="3BF1682F" w14:textId="3CB74DA3" w:rsidR="001D71A6" w:rsidRPr="001D71A6" w:rsidRDefault="001D71A6">
      <w:pPr>
        <w:pStyle w:val="FootnoteText"/>
        <w:rPr>
          <w:lang w:val="en-GB"/>
        </w:rPr>
      </w:pPr>
      <w:r>
        <w:rPr>
          <w:rStyle w:val="FootnoteReference"/>
        </w:rPr>
        <w:footnoteRef/>
      </w:r>
      <w:r>
        <w:t xml:space="preserve"> 00226.153 </w:t>
      </w:r>
      <w:r w:rsidRPr="00CD04D8">
        <w:t>Kāi Tahu ki Otago</w:t>
      </w:r>
    </w:p>
  </w:footnote>
  <w:footnote w:id="710">
    <w:p w14:paraId="14CFF228" w14:textId="52F95FFB" w:rsidR="001640A1" w:rsidRPr="001640A1" w:rsidRDefault="001640A1">
      <w:pPr>
        <w:pStyle w:val="FootnoteText"/>
        <w:rPr>
          <w:lang w:val="en-GB"/>
        </w:rPr>
      </w:pPr>
      <w:r>
        <w:rPr>
          <w:rStyle w:val="FootnoteReference"/>
        </w:rPr>
        <w:footnoteRef/>
      </w:r>
      <w:r>
        <w:t xml:space="preserve"> </w:t>
      </w:r>
      <w:r w:rsidRPr="001640A1">
        <w:t>00226.153 Kāi Tahu ki Otago</w:t>
      </w:r>
    </w:p>
  </w:footnote>
  <w:footnote w:id="711">
    <w:p w14:paraId="51FCDDAD" w14:textId="77777777" w:rsidR="000E04F9" w:rsidRPr="00CD0D29" w:rsidRDefault="000E04F9" w:rsidP="000E04F9">
      <w:pPr>
        <w:pStyle w:val="FootnoteText"/>
        <w:rPr>
          <w:lang w:val="en-GB"/>
        </w:rPr>
      </w:pPr>
      <w:r>
        <w:rPr>
          <w:rStyle w:val="FootnoteReference"/>
        </w:rPr>
        <w:footnoteRef/>
      </w:r>
      <w:r>
        <w:t xml:space="preserve"> 00137.059 DO</w:t>
      </w:r>
      <w:r w:rsidRPr="00CD0D29">
        <w:t>C</w:t>
      </w:r>
      <w:r>
        <w:t xml:space="preserve">, 00226.154 </w:t>
      </w:r>
      <w:r w:rsidRPr="00CD0D29">
        <w:t>Kāi Tahu</w:t>
      </w:r>
      <w:r>
        <w:t xml:space="preserve"> ki Otago</w:t>
      </w:r>
    </w:p>
  </w:footnote>
  <w:footnote w:id="712">
    <w:p w14:paraId="0D9D5D20" w14:textId="751B4BA8" w:rsidR="00B32CEE" w:rsidRPr="00B32CEE" w:rsidRDefault="00B32CEE">
      <w:pPr>
        <w:pStyle w:val="FootnoteText"/>
        <w:rPr>
          <w:lang w:val="en-GB"/>
        </w:rPr>
      </w:pPr>
      <w:r>
        <w:rPr>
          <w:rStyle w:val="FootnoteReference"/>
        </w:rPr>
        <w:footnoteRef/>
      </w:r>
      <w:r>
        <w:t xml:space="preserve"> </w:t>
      </w:r>
      <w:r w:rsidR="00DD70D6">
        <w:t>Clause 10(2)(b)(i)</w:t>
      </w:r>
      <w:r w:rsidR="00906D13">
        <w:t>, Schedule 1, RMA</w:t>
      </w:r>
      <w:r w:rsidR="00DD70D6">
        <w:t xml:space="preserve"> – consequential</w:t>
      </w:r>
      <w:r>
        <w:t xml:space="preserve"> amendment </w:t>
      </w:r>
      <w:r w:rsidR="00DD70D6">
        <w:t xml:space="preserve">arising from </w:t>
      </w:r>
      <w:r>
        <w:rPr>
          <w:lang w:val="en-GB"/>
        </w:rPr>
        <w:t>00137.042 DOC, 00014.022 John Highton</w:t>
      </w:r>
    </w:p>
  </w:footnote>
  <w:footnote w:id="713">
    <w:p w14:paraId="6CD117ED" w14:textId="77777777" w:rsidR="000E04F9" w:rsidRPr="00AF039B" w:rsidRDefault="000E04F9" w:rsidP="000E04F9">
      <w:pPr>
        <w:pStyle w:val="FootnoteText"/>
        <w:rPr>
          <w:lang w:val="en-GB"/>
        </w:rPr>
      </w:pPr>
      <w:r>
        <w:rPr>
          <w:rStyle w:val="FootnoteReference"/>
        </w:rPr>
        <w:footnoteRef/>
      </w:r>
      <w:r>
        <w:t xml:space="preserve"> 00230.064 </w:t>
      </w:r>
      <w:r>
        <w:rPr>
          <w:lang w:val="en-GB"/>
        </w:rPr>
        <w:t>Forest and Bird</w:t>
      </w:r>
    </w:p>
  </w:footnote>
  <w:footnote w:id="714">
    <w:p w14:paraId="2C8FD663" w14:textId="26A4EEBB" w:rsidR="000E04F9" w:rsidRPr="00AD55F4" w:rsidRDefault="000E04F9" w:rsidP="000E04F9">
      <w:pPr>
        <w:pStyle w:val="FootnoteText"/>
        <w:rPr>
          <w:lang w:val="en-GB"/>
        </w:rPr>
      </w:pPr>
      <w:r w:rsidRPr="003C35FA">
        <w:rPr>
          <w:rStyle w:val="FootnoteReference"/>
        </w:rPr>
        <w:footnoteRef/>
      </w:r>
      <w:r w:rsidRPr="003C35FA">
        <w:t xml:space="preserve"> </w:t>
      </w:r>
      <w:r w:rsidR="003C35FA" w:rsidRPr="003C35FA">
        <w:rPr>
          <w:lang w:val="en-GB"/>
        </w:rPr>
        <w:t>Clause 16(2), Schedule 1</w:t>
      </w:r>
      <w:r w:rsidR="00FE7B1D">
        <w:rPr>
          <w:lang w:val="en-GB"/>
        </w:rPr>
        <w:t>,</w:t>
      </w:r>
      <w:r w:rsidR="003C35FA" w:rsidRPr="003C35FA">
        <w:rPr>
          <w:lang w:val="en-GB"/>
        </w:rPr>
        <w:t xml:space="preserve"> RMA</w:t>
      </w:r>
    </w:p>
  </w:footnote>
  <w:footnote w:id="715">
    <w:p w14:paraId="25204E09" w14:textId="77777777" w:rsidR="000E04F9" w:rsidRPr="00DA364C" w:rsidRDefault="000E04F9" w:rsidP="000E04F9">
      <w:pPr>
        <w:pStyle w:val="FootnoteText"/>
        <w:rPr>
          <w:lang w:val="en-GB"/>
        </w:rPr>
      </w:pPr>
      <w:r>
        <w:rPr>
          <w:rStyle w:val="FootnoteReference"/>
        </w:rPr>
        <w:footnoteRef/>
      </w:r>
      <w:r>
        <w:t xml:space="preserve"> </w:t>
      </w:r>
      <w:r w:rsidRPr="00CF35E5">
        <w:t>00137.060 DOC</w:t>
      </w:r>
    </w:p>
  </w:footnote>
  <w:footnote w:id="716">
    <w:p w14:paraId="3FA0ADD6" w14:textId="7BC9D4A6" w:rsidR="000E04F9" w:rsidRPr="00CC48D3" w:rsidRDefault="000E04F9" w:rsidP="000E04F9">
      <w:pPr>
        <w:pStyle w:val="FootnoteText"/>
        <w:rPr>
          <w:lang w:val="en-GB"/>
        </w:rPr>
      </w:pPr>
      <w:r w:rsidRPr="003C35FA">
        <w:rPr>
          <w:rStyle w:val="FootnoteReference"/>
        </w:rPr>
        <w:footnoteRef/>
      </w:r>
      <w:r w:rsidRPr="003C35FA">
        <w:t xml:space="preserve"> </w:t>
      </w:r>
      <w:r w:rsidRPr="003C35FA">
        <w:rPr>
          <w:lang w:val="en-GB"/>
        </w:rPr>
        <w:t>Clause 16</w:t>
      </w:r>
      <w:r w:rsidR="003C35FA" w:rsidRPr="003C35FA">
        <w:rPr>
          <w:lang w:val="en-GB"/>
        </w:rPr>
        <w:t>(2), Schedule 1</w:t>
      </w:r>
      <w:r w:rsidR="00FE7B1D">
        <w:rPr>
          <w:lang w:val="en-GB"/>
        </w:rPr>
        <w:t>,</w:t>
      </w:r>
      <w:r w:rsidR="003C35FA" w:rsidRPr="003C35FA">
        <w:rPr>
          <w:lang w:val="en-GB"/>
        </w:rPr>
        <w:t xml:space="preserve"> RMA</w:t>
      </w:r>
    </w:p>
  </w:footnote>
  <w:footnote w:id="717">
    <w:p w14:paraId="3B6E77FA" w14:textId="77777777" w:rsidR="000E04F9" w:rsidRPr="006542EC" w:rsidRDefault="000E04F9" w:rsidP="000E04F9">
      <w:pPr>
        <w:pStyle w:val="FootnoteText"/>
        <w:rPr>
          <w:lang w:val="en-GB"/>
        </w:rPr>
      </w:pPr>
      <w:r>
        <w:rPr>
          <w:rStyle w:val="FootnoteReference"/>
        </w:rPr>
        <w:footnoteRef/>
      </w:r>
      <w:r>
        <w:t xml:space="preserve"> 00226.155 </w:t>
      </w:r>
      <w:r>
        <w:rPr>
          <w:lang w:val="en-GB"/>
        </w:rPr>
        <w:t>Kai Tahu Ki Otago</w:t>
      </w:r>
    </w:p>
  </w:footnote>
  <w:footnote w:id="718">
    <w:p w14:paraId="17FD7AA7" w14:textId="77777777" w:rsidR="000E04F9" w:rsidRPr="007A4150" w:rsidRDefault="000E04F9" w:rsidP="000E04F9">
      <w:pPr>
        <w:pStyle w:val="FootnoteText"/>
        <w:rPr>
          <w:lang w:val="en-GB"/>
        </w:rPr>
      </w:pPr>
      <w:r>
        <w:rPr>
          <w:rStyle w:val="FootnoteReference"/>
        </w:rPr>
        <w:footnoteRef/>
      </w:r>
      <w:r>
        <w:t xml:space="preserve"> </w:t>
      </w:r>
      <w:r w:rsidRPr="007A4150">
        <w:t>00226.155 Kāi Tahu ki Otago</w:t>
      </w:r>
    </w:p>
  </w:footnote>
  <w:footnote w:id="719">
    <w:p w14:paraId="7257216C" w14:textId="77777777" w:rsidR="000E04F9" w:rsidRPr="009E792F" w:rsidRDefault="000E04F9" w:rsidP="000E04F9">
      <w:pPr>
        <w:pStyle w:val="FootnoteText"/>
        <w:rPr>
          <w:lang w:val="en-GB"/>
        </w:rPr>
      </w:pPr>
      <w:r>
        <w:rPr>
          <w:rStyle w:val="FootnoteReference"/>
        </w:rPr>
        <w:footnoteRef/>
      </w:r>
      <w:r>
        <w:t xml:space="preserve"> </w:t>
      </w:r>
      <w:r w:rsidRPr="009E792F">
        <w:t>00226.155 Kāi Tahu ki Otago</w:t>
      </w:r>
    </w:p>
  </w:footnote>
  <w:footnote w:id="720">
    <w:p w14:paraId="13AA1463" w14:textId="77777777" w:rsidR="000E04F9" w:rsidRPr="006542EC" w:rsidRDefault="000E04F9" w:rsidP="000E04F9">
      <w:pPr>
        <w:pStyle w:val="FootnoteText"/>
        <w:rPr>
          <w:lang w:val="en-GB"/>
        </w:rPr>
      </w:pPr>
      <w:r>
        <w:rPr>
          <w:rStyle w:val="FootnoteReference"/>
        </w:rPr>
        <w:footnoteRef/>
      </w:r>
      <w:r>
        <w:t xml:space="preserve"> 00226.155 </w:t>
      </w:r>
      <w:r>
        <w:rPr>
          <w:lang w:val="en-GB"/>
        </w:rPr>
        <w:t xml:space="preserve">Kai Tahu Ki Otago </w:t>
      </w:r>
    </w:p>
  </w:footnote>
  <w:footnote w:id="721">
    <w:p w14:paraId="7EDCE005" w14:textId="77777777" w:rsidR="000E04F9" w:rsidRPr="00B83D2A" w:rsidRDefault="000E04F9" w:rsidP="000E04F9">
      <w:pPr>
        <w:pStyle w:val="FootnoteText"/>
        <w:rPr>
          <w:lang w:val="en-GB"/>
        </w:rPr>
      </w:pPr>
      <w:r>
        <w:rPr>
          <w:rStyle w:val="FootnoteReference"/>
        </w:rPr>
        <w:footnoteRef/>
      </w:r>
      <w:r>
        <w:t xml:space="preserve"> 00226.157 </w:t>
      </w:r>
      <w:r w:rsidRPr="00C5422C">
        <w:rPr>
          <w:szCs w:val="22"/>
        </w:rPr>
        <w:t>Kāi Tahu Ki Otago</w:t>
      </w:r>
    </w:p>
  </w:footnote>
  <w:footnote w:id="722">
    <w:p w14:paraId="7A8B19A6" w14:textId="77777777" w:rsidR="000E04F9" w:rsidRPr="00F02478" w:rsidRDefault="000E04F9" w:rsidP="000E04F9">
      <w:pPr>
        <w:pStyle w:val="FootnoteText"/>
        <w:rPr>
          <w:lang w:val="en-GB"/>
        </w:rPr>
      </w:pPr>
      <w:r>
        <w:rPr>
          <w:rStyle w:val="FootnoteReference"/>
        </w:rPr>
        <w:footnoteRef/>
      </w:r>
      <w:r>
        <w:t xml:space="preserve"> 00230.066 </w:t>
      </w:r>
      <w:r>
        <w:rPr>
          <w:lang w:val="en-GB"/>
        </w:rPr>
        <w:t>Forest and Bird</w:t>
      </w:r>
    </w:p>
  </w:footnote>
  <w:footnote w:id="723">
    <w:p w14:paraId="4563DCA1" w14:textId="77777777" w:rsidR="000E04F9" w:rsidRPr="0061342A" w:rsidRDefault="000E04F9" w:rsidP="000E04F9">
      <w:pPr>
        <w:pStyle w:val="FootnoteText"/>
        <w:rPr>
          <w:lang w:val="en-GB"/>
        </w:rPr>
      </w:pPr>
      <w:r>
        <w:rPr>
          <w:rStyle w:val="FootnoteReference"/>
        </w:rPr>
        <w:footnoteRef/>
      </w:r>
      <w:r>
        <w:t xml:space="preserve"> 00230.066 </w:t>
      </w:r>
      <w:r>
        <w:rPr>
          <w:lang w:val="en-GB"/>
        </w:rPr>
        <w:t>Forest and Bird</w:t>
      </w:r>
    </w:p>
  </w:footnote>
  <w:footnote w:id="724">
    <w:p w14:paraId="3E6FB158" w14:textId="2EFC635C" w:rsidR="00D81DFC" w:rsidRDefault="00D81DFC">
      <w:pPr>
        <w:pStyle w:val="FootnoteText"/>
      </w:pPr>
      <w:r>
        <w:rPr>
          <w:rStyle w:val="FootnoteReference"/>
        </w:rPr>
        <w:footnoteRef/>
      </w:r>
      <w:r>
        <w:t xml:space="preserve"> </w:t>
      </w:r>
      <w:r w:rsidR="00E77D53">
        <w:t>Clause 16(2), Schedule 1, RMA</w:t>
      </w:r>
    </w:p>
  </w:footnote>
  <w:footnote w:id="725">
    <w:p w14:paraId="5A7ECACE" w14:textId="7459AADA" w:rsidR="00E77D53" w:rsidRDefault="00E77D53">
      <w:pPr>
        <w:pStyle w:val="FootnoteText"/>
      </w:pPr>
      <w:r>
        <w:rPr>
          <w:rStyle w:val="FootnoteReference"/>
        </w:rPr>
        <w:footnoteRef/>
      </w:r>
      <w:r>
        <w:t xml:space="preserve"> Clause 16(2), Schedule 1, RMA</w:t>
      </w:r>
    </w:p>
  </w:footnote>
  <w:footnote w:id="726">
    <w:p w14:paraId="2313F8E9" w14:textId="5233D38A" w:rsidR="000E04F9" w:rsidRPr="009234E1" w:rsidRDefault="000E04F9" w:rsidP="000E04F9">
      <w:pPr>
        <w:pStyle w:val="FootnoteText"/>
        <w:rPr>
          <w:lang w:val="en-GB"/>
        </w:rPr>
      </w:pPr>
      <w:r>
        <w:rPr>
          <w:rStyle w:val="FootnoteReference"/>
        </w:rPr>
        <w:footnoteRef/>
      </w:r>
      <w:r>
        <w:t xml:space="preserve"> 00301.027 </w:t>
      </w:r>
      <w:r w:rsidR="00012977">
        <w:rPr>
          <w:lang w:val="en-GB"/>
        </w:rPr>
        <w:t>Port Otago</w:t>
      </w:r>
      <w:r>
        <w:rPr>
          <w:lang w:val="en-GB"/>
        </w:rPr>
        <w:t xml:space="preserve">, </w:t>
      </w:r>
      <w:r>
        <w:t xml:space="preserve">00230.066 </w:t>
      </w:r>
      <w:r>
        <w:rPr>
          <w:lang w:val="en-GB"/>
        </w:rPr>
        <w:t>Forest and Bird</w:t>
      </w:r>
    </w:p>
  </w:footnote>
  <w:footnote w:id="727">
    <w:p w14:paraId="67654284" w14:textId="720972B5" w:rsidR="0068219A" w:rsidRDefault="0068219A">
      <w:pPr>
        <w:pStyle w:val="FootnoteText"/>
      </w:pPr>
      <w:r>
        <w:rPr>
          <w:rStyle w:val="FootnoteReference"/>
        </w:rPr>
        <w:footnoteRef/>
      </w:r>
      <w:r>
        <w:t xml:space="preserve"> </w:t>
      </w:r>
      <w:r w:rsidRPr="0068219A">
        <w:t>Clause 16(2), Schedule 1, RMA</w:t>
      </w:r>
    </w:p>
  </w:footnote>
  <w:footnote w:id="728">
    <w:p w14:paraId="55037A69" w14:textId="77777777" w:rsidR="00F0363C" w:rsidRDefault="00F0363C" w:rsidP="00F0363C">
      <w:pPr>
        <w:pStyle w:val="FootnoteText"/>
      </w:pPr>
      <w:r>
        <w:rPr>
          <w:rStyle w:val="FootnoteReference"/>
        </w:rPr>
        <w:footnoteRef/>
      </w:r>
      <w:r>
        <w:t xml:space="preserve"> </w:t>
      </w:r>
      <w:r w:rsidRPr="00351935">
        <w:t>Clause 16(2), Schedule 1, RMA</w:t>
      </w:r>
    </w:p>
  </w:footnote>
  <w:footnote w:id="729">
    <w:p w14:paraId="36F07317"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30">
    <w:p w14:paraId="55BDED37"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31">
    <w:p w14:paraId="24F6255F" w14:textId="7377AF6F" w:rsidR="001C0803" w:rsidRDefault="001C0803">
      <w:pPr>
        <w:pStyle w:val="FootnoteText"/>
      </w:pPr>
      <w:r>
        <w:rPr>
          <w:rStyle w:val="FootnoteReference"/>
        </w:rPr>
        <w:footnoteRef/>
      </w:r>
      <w:r>
        <w:t xml:space="preserve"> </w:t>
      </w:r>
      <w:r w:rsidR="00346BC3">
        <w:t>Clause 16(2), Schedule 1, RMA</w:t>
      </w:r>
    </w:p>
  </w:footnote>
  <w:footnote w:id="732">
    <w:p w14:paraId="5040D61D" w14:textId="5DCC5EAD" w:rsidR="000E04F9" w:rsidRPr="00930A40" w:rsidRDefault="000E04F9" w:rsidP="000E04F9">
      <w:pPr>
        <w:pStyle w:val="FootnoteText"/>
        <w:rPr>
          <w:lang w:val="en-GB"/>
        </w:rPr>
      </w:pPr>
      <w:r>
        <w:rPr>
          <w:rStyle w:val="FootnoteReference"/>
        </w:rPr>
        <w:footnoteRef/>
      </w:r>
      <w:r>
        <w:t xml:space="preserve"> 00239.067 </w:t>
      </w:r>
      <w:r>
        <w:rPr>
          <w:lang w:val="en-GB"/>
        </w:rPr>
        <w:t xml:space="preserve">Federated </w:t>
      </w:r>
      <w:r w:rsidR="00784714">
        <w:rPr>
          <w:lang w:val="en-GB"/>
        </w:rPr>
        <w:t>F</w:t>
      </w:r>
      <w:r>
        <w:rPr>
          <w:lang w:val="en-GB"/>
        </w:rPr>
        <w:t>armers</w:t>
      </w:r>
    </w:p>
  </w:footnote>
  <w:footnote w:id="733">
    <w:p w14:paraId="6262FDB6" w14:textId="77777777" w:rsidR="000E04F9" w:rsidRPr="00652206" w:rsidRDefault="000E04F9" w:rsidP="000E04F9">
      <w:pPr>
        <w:pStyle w:val="FootnoteText"/>
        <w:rPr>
          <w:lang w:val="en-GB"/>
        </w:rPr>
      </w:pPr>
      <w:r>
        <w:rPr>
          <w:rStyle w:val="FootnoteReference"/>
        </w:rPr>
        <w:footnoteRef/>
      </w:r>
      <w:r>
        <w:t xml:space="preserve"> </w:t>
      </w:r>
      <w:r w:rsidRPr="00652206">
        <w:t>00234.014</w:t>
      </w:r>
      <w:r>
        <w:t xml:space="preserve"> </w:t>
      </w:r>
      <w:r w:rsidRPr="00B112F8">
        <w:t>Ngāi Tahu ki Murihiku</w:t>
      </w:r>
    </w:p>
  </w:footnote>
  <w:footnote w:id="734">
    <w:p w14:paraId="0AAC0D88" w14:textId="77777777" w:rsidR="000E04F9" w:rsidRPr="00B112F8" w:rsidRDefault="000E04F9" w:rsidP="000E04F9">
      <w:pPr>
        <w:pStyle w:val="FootnoteText"/>
        <w:rPr>
          <w:lang w:val="en-GB"/>
        </w:rPr>
      </w:pPr>
      <w:r>
        <w:rPr>
          <w:rStyle w:val="FootnoteReference"/>
        </w:rPr>
        <w:footnoteRef/>
      </w:r>
      <w:r>
        <w:t xml:space="preserve"> </w:t>
      </w:r>
      <w:r w:rsidRPr="00652206">
        <w:t>00234.014</w:t>
      </w:r>
      <w:r>
        <w:t xml:space="preserve"> </w:t>
      </w:r>
      <w:r w:rsidRPr="00B112F8">
        <w:t>Ngāi Tahu ki Murihiku</w:t>
      </w:r>
    </w:p>
  </w:footnote>
  <w:footnote w:id="735">
    <w:p w14:paraId="4B70B240" w14:textId="60C29B18" w:rsidR="00F9704F" w:rsidRPr="001F0A19" w:rsidRDefault="00F9704F" w:rsidP="00F9704F">
      <w:pPr>
        <w:pStyle w:val="FootnoteText"/>
        <w:rPr>
          <w:lang w:val="en-GB"/>
        </w:rPr>
      </w:pPr>
      <w:r>
        <w:rPr>
          <w:rStyle w:val="FootnoteReference"/>
        </w:rPr>
        <w:footnoteRef/>
      </w:r>
      <w:r>
        <w:t xml:space="preserve"> 00235.077 OWRUG</w:t>
      </w:r>
    </w:p>
  </w:footnote>
  <w:footnote w:id="736">
    <w:p w14:paraId="78AB1E44" w14:textId="77777777" w:rsidR="009E3814" w:rsidRPr="001F0A19" w:rsidRDefault="009E3814" w:rsidP="009E3814">
      <w:pPr>
        <w:pStyle w:val="FootnoteText"/>
      </w:pPr>
      <w:r>
        <w:rPr>
          <w:rStyle w:val="FootnoteReference"/>
        </w:rPr>
        <w:footnoteRef/>
      </w:r>
      <w:r>
        <w:t xml:space="preserve"> 00223.079 Ngāi Tahu ki Murihiku, 00234.024 Te Rūnanga o Ngāi Tahu, 00226.158 Kāi Tahu ki Otago, 00226.158 Kāi Tahu ki Otago</w:t>
      </w:r>
    </w:p>
  </w:footnote>
  <w:footnote w:id="737">
    <w:p w14:paraId="57B515EE" w14:textId="77777777" w:rsidR="009E3814" w:rsidRDefault="009E3814" w:rsidP="009E3814">
      <w:pPr>
        <w:pStyle w:val="FootnoteText"/>
        <w:rPr>
          <w:lang w:val="en-GB"/>
        </w:rPr>
      </w:pPr>
      <w:r w:rsidRPr="2BE5B368">
        <w:rPr>
          <w:rStyle w:val="FootnoteReference"/>
        </w:rPr>
        <w:footnoteRef/>
      </w:r>
      <w:r>
        <w:t xml:space="preserve"> </w:t>
      </w:r>
      <w:r w:rsidRPr="2BE5B368">
        <w:rPr>
          <w:lang w:val="en-GB"/>
        </w:rPr>
        <w:t>00235.077 OWRUG</w:t>
      </w:r>
    </w:p>
  </w:footnote>
  <w:footnote w:id="738">
    <w:p w14:paraId="591735C8" w14:textId="77777777" w:rsidR="009E3814" w:rsidRDefault="009E3814" w:rsidP="009E3814">
      <w:pPr>
        <w:pStyle w:val="FootnoteText"/>
      </w:pPr>
      <w:r>
        <w:rPr>
          <w:rStyle w:val="FootnoteReference"/>
        </w:rPr>
        <w:footnoteRef/>
      </w:r>
      <w:r>
        <w:t xml:space="preserve"> 00231.045 Fish and Game</w:t>
      </w:r>
    </w:p>
  </w:footnote>
  <w:footnote w:id="739">
    <w:p w14:paraId="6A773031" w14:textId="77777777" w:rsidR="009E3814" w:rsidRDefault="009E3814" w:rsidP="009E3814">
      <w:pPr>
        <w:pStyle w:val="FootnoteText"/>
      </w:pPr>
      <w:r>
        <w:rPr>
          <w:rStyle w:val="FootnoteReference"/>
        </w:rPr>
        <w:footnoteRef/>
      </w:r>
      <w:r>
        <w:t xml:space="preserve"> 00136.003 Minister for the Environment</w:t>
      </w:r>
    </w:p>
  </w:footnote>
  <w:footnote w:id="740">
    <w:p w14:paraId="212E5E81" w14:textId="36E23765" w:rsidR="00784714" w:rsidRDefault="00784714">
      <w:pPr>
        <w:pStyle w:val="FootnoteText"/>
      </w:pPr>
      <w:r w:rsidRPr="00784714">
        <w:rPr>
          <w:rStyle w:val="FootnoteReference"/>
          <w:shd w:val="clear" w:color="auto" w:fill="D9D9D9" w:themeFill="background1" w:themeFillShade="D9"/>
        </w:rPr>
        <w:footnoteRef/>
      </w:r>
      <w:r w:rsidRPr="00784714">
        <w:rPr>
          <w:shd w:val="clear" w:color="auto" w:fill="D9D9D9" w:themeFill="background1" w:themeFillShade="D9"/>
        </w:rPr>
        <w:t xml:space="preserve"> In matters of mana, the associated spiritual and cultural responsibilities connect natural resources and mana whenua in a kinship relationship that is reciprocal and stems from the time of creation.</w:t>
      </w:r>
    </w:p>
  </w:footnote>
  <w:footnote w:id="741">
    <w:p w14:paraId="58D10AB6" w14:textId="77777777" w:rsidR="009E3814" w:rsidRDefault="009E3814" w:rsidP="009E3814">
      <w:pPr>
        <w:pStyle w:val="FootnoteText"/>
      </w:pPr>
      <w:r>
        <w:rPr>
          <w:rStyle w:val="FootnoteReference"/>
        </w:rPr>
        <w:footnoteRef/>
      </w:r>
      <w:r>
        <w:t xml:space="preserve"> 00213.016 Waitaki Irrigators</w:t>
      </w:r>
    </w:p>
  </w:footnote>
  <w:footnote w:id="742">
    <w:p w14:paraId="6694D2BD" w14:textId="7D1A0447" w:rsidR="009E3814" w:rsidRDefault="009E3814" w:rsidP="009E3814">
      <w:pPr>
        <w:pStyle w:val="FootnoteText"/>
      </w:pPr>
      <w:r>
        <w:rPr>
          <w:rStyle w:val="FootnoteReference"/>
        </w:rPr>
        <w:footnoteRef/>
      </w:r>
      <w:r>
        <w:t xml:space="preserve"> Clause 16(2), Schedule 1, RMA</w:t>
      </w:r>
    </w:p>
  </w:footnote>
  <w:footnote w:id="743">
    <w:p w14:paraId="766588B4" w14:textId="77777777" w:rsidR="009E3814" w:rsidRDefault="009E3814" w:rsidP="009E3814">
      <w:pPr>
        <w:pStyle w:val="FootnoteText"/>
      </w:pPr>
      <w:r>
        <w:rPr>
          <w:rStyle w:val="FootnoteReference"/>
        </w:rPr>
        <w:footnoteRef/>
      </w:r>
      <w:r>
        <w:t xml:space="preserve"> </w:t>
      </w:r>
      <w:r w:rsidRPr="001678AB">
        <w:t>00230.074</w:t>
      </w:r>
      <w:r>
        <w:t xml:space="preserve"> Forest and Bird</w:t>
      </w:r>
    </w:p>
  </w:footnote>
  <w:footnote w:id="744">
    <w:p w14:paraId="303A5EBF" w14:textId="77777777" w:rsidR="009E3814" w:rsidRDefault="009E3814" w:rsidP="009E3814">
      <w:pPr>
        <w:pStyle w:val="FootnoteText"/>
      </w:pPr>
      <w:r>
        <w:rPr>
          <w:rStyle w:val="FootnoteReference"/>
        </w:rPr>
        <w:footnoteRef/>
      </w:r>
      <w:r>
        <w:t xml:space="preserve"> 00231.046 Fish and Game</w:t>
      </w:r>
    </w:p>
  </w:footnote>
  <w:footnote w:id="745">
    <w:p w14:paraId="4A519AE1" w14:textId="77777777" w:rsidR="009E3814" w:rsidRDefault="009E3814" w:rsidP="009E3814">
      <w:pPr>
        <w:pStyle w:val="FootnoteText"/>
      </w:pPr>
      <w:r>
        <w:rPr>
          <w:rStyle w:val="FootnoteReference"/>
        </w:rPr>
        <w:footnoteRef/>
      </w:r>
      <w:r>
        <w:t xml:space="preserve"> </w:t>
      </w:r>
      <w:r w:rsidRPr="00293488">
        <w:t>00239.071</w:t>
      </w:r>
      <w:r>
        <w:t xml:space="preserve"> Federated Farmers</w:t>
      </w:r>
    </w:p>
  </w:footnote>
  <w:footnote w:id="746">
    <w:p w14:paraId="2060D2C4"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47">
    <w:p w14:paraId="37AF8D3E" w14:textId="77777777" w:rsidR="009E3814" w:rsidRDefault="009E3814" w:rsidP="009E3814">
      <w:pPr>
        <w:pStyle w:val="FootnoteText"/>
      </w:pPr>
      <w:r>
        <w:rPr>
          <w:rStyle w:val="FootnoteReference"/>
        </w:rPr>
        <w:footnoteRef/>
      </w:r>
      <w:r>
        <w:t xml:space="preserve"> 00234.026 </w:t>
      </w:r>
      <w:r w:rsidRPr="004A5C09">
        <w:rPr>
          <w:rFonts w:eastAsia="Times New Roman" w:cstheme="minorHAnsi"/>
          <w:color w:val="000000"/>
          <w:lang w:eastAsia="en-NZ"/>
        </w:rPr>
        <w:t>Te Rūnanga o Ngāi Tahu</w:t>
      </w:r>
    </w:p>
  </w:footnote>
  <w:footnote w:id="748">
    <w:p w14:paraId="43AE7BF9" w14:textId="77777777" w:rsidR="009E3814" w:rsidRDefault="009E3814" w:rsidP="009E3814">
      <w:pPr>
        <w:pStyle w:val="FootnoteText"/>
      </w:pPr>
      <w:r>
        <w:rPr>
          <w:rStyle w:val="FootnoteReference"/>
        </w:rPr>
        <w:footnoteRef/>
      </w:r>
      <w:r>
        <w:t xml:space="preserve"> 00234.027 </w:t>
      </w:r>
      <w:r w:rsidRPr="004A5C09">
        <w:rPr>
          <w:rFonts w:eastAsia="Times New Roman" w:cstheme="minorHAnsi"/>
          <w:color w:val="000000"/>
          <w:lang w:eastAsia="en-NZ"/>
        </w:rPr>
        <w:t>Te Rūnanga o Ngāi Tahu</w:t>
      </w:r>
    </w:p>
  </w:footnote>
  <w:footnote w:id="749">
    <w:p w14:paraId="17D6D7A7" w14:textId="77777777" w:rsidR="009E3814" w:rsidRDefault="009E3814" w:rsidP="009E3814">
      <w:pPr>
        <w:pStyle w:val="FootnoteText"/>
      </w:pPr>
      <w:r>
        <w:rPr>
          <w:rStyle w:val="FootnoteReference"/>
        </w:rPr>
        <w:footnoteRef/>
      </w:r>
      <w:r>
        <w:t xml:space="preserve"> 00026.161 Moutere Station</w:t>
      </w:r>
    </w:p>
  </w:footnote>
  <w:footnote w:id="750">
    <w:p w14:paraId="281BCD21" w14:textId="77777777" w:rsidR="009E3814" w:rsidRDefault="009E3814" w:rsidP="009E3814">
      <w:pPr>
        <w:pStyle w:val="FootnoteText"/>
      </w:pPr>
      <w:r>
        <w:rPr>
          <w:rStyle w:val="FootnoteReference"/>
        </w:rPr>
        <w:footnoteRef/>
      </w:r>
      <w:r>
        <w:t xml:space="preserve"> 00026.161 Moutere Station</w:t>
      </w:r>
    </w:p>
  </w:footnote>
  <w:footnote w:id="751">
    <w:p w14:paraId="7ED00772"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52">
    <w:p w14:paraId="0837F5A1" w14:textId="77777777" w:rsidR="009E3814" w:rsidRPr="0012062D" w:rsidRDefault="009E3814" w:rsidP="009E3814">
      <w:pPr>
        <w:pStyle w:val="FootnoteText"/>
      </w:pPr>
      <w:r>
        <w:rPr>
          <w:rStyle w:val="FootnoteReference"/>
        </w:rPr>
        <w:footnoteRef/>
      </w:r>
      <w:r>
        <w:t xml:space="preserve"> </w:t>
      </w:r>
      <w:r w:rsidRPr="009B2CF0">
        <w:t>00226.161</w:t>
      </w:r>
      <w:r w:rsidRPr="0012062D">
        <w:t xml:space="preserve"> </w:t>
      </w:r>
      <w:r w:rsidRPr="00874C6C">
        <w:t>Kāi Tahu ki Otago</w:t>
      </w:r>
      <w:r w:rsidRPr="009B2CF0">
        <w:t>, 00234.027</w:t>
      </w:r>
      <w:r>
        <w:t xml:space="preserve"> </w:t>
      </w:r>
      <w:r w:rsidRPr="004A5C09">
        <w:rPr>
          <w:rFonts w:eastAsia="Times New Roman" w:cstheme="minorHAnsi"/>
          <w:color w:val="000000"/>
          <w:lang w:eastAsia="en-NZ"/>
        </w:rPr>
        <w:t>Te Rūnanga o Ngāi Tahu</w:t>
      </w:r>
    </w:p>
  </w:footnote>
  <w:footnote w:id="753">
    <w:p w14:paraId="65D6C7A0" w14:textId="77777777" w:rsidR="009E3814" w:rsidRPr="001A5428" w:rsidRDefault="009E3814" w:rsidP="009E3814">
      <w:pPr>
        <w:pStyle w:val="FootnoteText"/>
        <w:rPr>
          <w:lang w:val="en-GB"/>
        </w:rPr>
      </w:pPr>
      <w:r>
        <w:rPr>
          <w:rStyle w:val="FootnoteReference"/>
        </w:rPr>
        <w:footnoteRef/>
      </w:r>
      <w:r>
        <w:t xml:space="preserve"> </w:t>
      </w:r>
      <w:r w:rsidRPr="009B2CF0">
        <w:t>00226.161</w:t>
      </w:r>
      <w:r>
        <w:t xml:space="preserve"> Kāi Tahu ki Otago</w:t>
      </w:r>
      <w:r w:rsidRPr="009B2CF0">
        <w:t>, 00234.027</w:t>
      </w:r>
      <w:r>
        <w:t xml:space="preserve"> Te Rūnanga o Ngāi Tahu</w:t>
      </w:r>
    </w:p>
  </w:footnote>
  <w:footnote w:id="754">
    <w:p w14:paraId="7BB5306B" w14:textId="77777777" w:rsidR="009E3814" w:rsidRPr="00B52EF9" w:rsidRDefault="009E3814" w:rsidP="009E3814">
      <w:pPr>
        <w:pStyle w:val="FootnoteText"/>
        <w:rPr>
          <w:lang w:val="en-GB"/>
        </w:rPr>
      </w:pPr>
      <w:r>
        <w:rPr>
          <w:rStyle w:val="FootnoteReference"/>
        </w:rPr>
        <w:footnoteRef/>
      </w:r>
      <w:r>
        <w:t xml:space="preserve"> </w:t>
      </w:r>
      <w:r>
        <w:rPr>
          <w:lang w:val="en-GB"/>
        </w:rPr>
        <w:t>00226.161 Kāi Tahu ki Otago, 00234.027 Te Rūnanga o Ngāi Tahu</w:t>
      </w:r>
    </w:p>
  </w:footnote>
  <w:footnote w:id="755">
    <w:p w14:paraId="710F7D44" w14:textId="77777777" w:rsidR="009E3814" w:rsidRPr="00943959" w:rsidRDefault="009E3814" w:rsidP="009E3814">
      <w:pPr>
        <w:pStyle w:val="FootnoteText"/>
        <w:rPr>
          <w:lang w:val="en-GB"/>
        </w:rPr>
      </w:pPr>
      <w:r>
        <w:rPr>
          <w:rStyle w:val="FootnoteReference"/>
        </w:rPr>
        <w:footnoteRef/>
      </w:r>
      <w:r>
        <w:t xml:space="preserve"> </w:t>
      </w:r>
      <w:r w:rsidRPr="005229C3">
        <w:rPr>
          <w:rFonts w:cstheme="minorHAnsi"/>
        </w:rPr>
        <w:t>00231.047</w:t>
      </w:r>
      <w:r>
        <w:rPr>
          <w:rFonts w:cstheme="minorHAnsi"/>
        </w:rPr>
        <w:t xml:space="preserve"> Fish and Game</w:t>
      </w:r>
    </w:p>
  </w:footnote>
  <w:footnote w:id="756">
    <w:p w14:paraId="7A459867" w14:textId="77777777" w:rsidR="009E3814" w:rsidRPr="00943959" w:rsidRDefault="009E3814" w:rsidP="009E3814">
      <w:pPr>
        <w:pStyle w:val="FootnoteText"/>
        <w:rPr>
          <w:lang w:val="en-GB"/>
        </w:rPr>
      </w:pPr>
      <w:r>
        <w:rPr>
          <w:rStyle w:val="FootnoteReference"/>
        </w:rPr>
        <w:footnoteRef/>
      </w:r>
      <w:r>
        <w:t xml:space="preserve"> </w:t>
      </w:r>
      <w:r w:rsidRPr="005229C3">
        <w:rPr>
          <w:rFonts w:cstheme="minorHAnsi"/>
        </w:rPr>
        <w:t>00231.047</w:t>
      </w:r>
      <w:r>
        <w:rPr>
          <w:rFonts w:cstheme="minorHAnsi"/>
        </w:rPr>
        <w:t xml:space="preserve"> Fish and Game</w:t>
      </w:r>
    </w:p>
  </w:footnote>
  <w:footnote w:id="757">
    <w:p w14:paraId="5AF4AD9D" w14:textId="77777777" w:rsidR="009E3814" w:rsidRPr="00835822" w:rsidRDefault="009E3814" w:rsidP="009E3814">
      <w:pPr>
        <w:pStyle w:val="FootnoteText"/>
      </w:pPr>
      <w:r>
        <w:rPr>
          <w:rStyle w:val="FootnoteReference"/>
        </w:rPr>
        <w:footnoteRef/>
      </w:r>
      <w:r>
        <w:t xml:space="preserve"> </w:t>
      </w:r>
      <w:r w:rsidRPr="00D916D0">
        <w:t>00239.072</w:t>
      </w:r>
      <w:r>
        <w:t xml:space="preserve"> Federated Farmers, </w:t>
      </w:r>
      <w:r w:rsidRPr="00D916D0">
        <w:t>00022.016</w:t>
      </w:r>
      <w:r>
        <w:t xml:space="preserve"> Graymont</w:t>
      </w:r>
      <w:r w:rsidRPr="00D916D0">
        <w:t>, 00409.005</w:t>
      </w:r>
      <w:r>
        <w:t xml:space="preserve"> Ballance </w:t>
      </w:r>
    </w:p>
  </w:footnote>
  <w:footnote w:id="758">
    <w:p w14:paraId="77B54629" w14:textId="77777777" w:rsidR="009E3814" w:rsidRPr="00AE3783" w:rsidRDefault="009E3814" w:rsidP="009E3814">
      <w:pPr>
        <w:pStyle w:val="FootnoteText"/>
        <w:rPr>
          <w:lang w:val="en-GB"/>
        </w:rPr>
      </w:pPr>
      <w:r>
        <w:rPr>
          <w:rStyle w:val="FootnoteReference"/>
        </w:rPr>
        <w:footnoteRef/>
      </w:r>
      <w:r>
        <w:t xml:space="preserve"> 00226.163 Kāi Tahu ki Otago</w:t>
      </w:r>
    </w:p>
  </w:footnote>
  <w:footnote w:id="759">
    <w:p w14:paraId="7C7D9E8F" w14:textId="4805B168" w:rsidR="0068219A" w:rsidRDefault="0068219A">
      <w:pPr>
        <w:pStyle w:val="FootnoteText"/>
      </w:pPr>
      <w:r>
        <w:rPr>
          <w:rStyle w:val="FootnoteReference"/>
        </w:rPr>
        <w:footnoteRef/>
      </w:r>
      <w:r>
        <w:t xml:space="preserve"> </w:t>
      </w:r>
      <w:r w:rsidRPr="0068219A">
        <w:t>Clause 16(2), Schedule 1, RMA</w:t>
      </w:r>
    </w:p>
  </w:footnote>
  <w:footnote w:id="760">
    <w:p w14:paraId="005182D7" w14:textId="77777777" w:rsidR="009E3814" w:rsidRPr="00AE3783" w:rsidRDefault="009E3814" w:rsidP="009E3814">
      <w:pPr>
        <w:pStyle w:val="FootnoteText"/>
        <w:rPr>
          <w:lang w:val="en-GB"/>
        </w:rPr>
      </w:pPr>
      <w:r>
        <w:rPr>
          <w:rStyle w:val="FootnoteReference"/>
        </w:rPr>
        <w:footnoteRef/>
      </w:r>
      <w:r>
        <w:t xml:space="preserve"> 00223.081 Ngāi Tahu ki Murihiku</w:t>
      </w:r>
    </w:p>
  </w:footnote>
  <w:footnote w:id="761">
    <w:p w14:paraId="521533F7" w14:textId="6B591DCA" w:rsidR="009E3814" w:rsidRDefault="009E3814" w:rsidP="009E3814">
      <w:pPr>
        <w:pStyle w:val="FootnoteText"/>
      </w:pPr>
      <w:r>
        <w:rPr>
          <w:rStyle w:val="FootnoteReference"/>
        </w:rPr>
        <w:footnoteRef/>
      </w:r>
      <w:r>
        <w:t xml:space="preserve"> 00226.024 </w:t>
      </w:r>
      <w:r w:rsidR="00E55F25">
        <w:t>Ngāi Tahu ki Murihiku</w:t>
      </w:r>
      <w:r>
        <w:t xml:space="preserve"> </w:t>
      </w:r>
    </w:p>
  </w:footnote>
  <w:footnote w:id="762">
    <w:p w14:paraId="12777DFA" w14:textId="19F63F36" w:rsidR="009E3814" w:rsidRDefault="009E3814" w:rsidP="009E3814">
      <w:pPr>
        <w:pStyle w:val="FootnoteText"/>
      </w:pPr>
      <w:r>
        <w:rPr>
          <w:rStyle w:val="FootnoteReference"/>
        </w:rPr>
        <w:footnoteRef/>
      </w:r>
      <w:r>
        <w:t xml:space="preserve"> 00226.024 </w:t>
      </w:r>
      <w:r w:rsidR="00E55F25">
        <w:t>Ngāi Tahu ki Murihiku</w:t>
      </w:r>
      <w:r>
        <w:t xml:space="preserve"> </w:t>
      </w:r>
    </w:p>
  </w:footnote>
  <w:footnote w:id="763">
    <w:p w14:paraId="0D288942" w14:textId="77777777" w:rsidR="009E3814" w:rsidRDefault="009E3814" w:rsidP="009E3814">
      <w:pPr>
        <w:pStyle w:val="FootnoteText"/>
      </w:pPr>
      <w:r>
        <w:rPr>
          <w:rStyle w:val="FootnoteReference"/>
        </w:rPr>
        <w:footnoteRef/>
      </w:r>
      <w:r>
        <w:t xml:space="preserve"> 00226.165 Kāi Tahu ki Otago</w:t>
      </w:r>
    </w:p>
  </w:footnote>
  <w:footnote w:id="764">
    <w:p w14:paraId="67266D9C" w14:textId="77777777" w:rsidR="009E3814" w:rsidRDefault="009E3814" w:rsidP="009E3814">
      <w:pPr>
        <w:pStyle w:val="FootnoteText"/>
      </w:pPr>
      <w:r>
        <w:rPr>
          <w:rStyle w:val="FootnoteReference"/>
        </w:rPr>
        <w:footnoteRef/>
      </w:r>
      <w:r>
        <w:t xml:space="preserve"> 00226.165 Kāi Tahu ki Otago</w:t>
      </w:r>
    </w:p>
  </w:footnote>
  <w:footnote w:id="765">
    <w:p w14:paraId="4847E232" w14:textId="197A9DB0" w:rsidR="009E3814" w:rsidRDefault="009E3814" w:rsidP="009E3814">
      <w:pPr>
        <w:pStyle w:val="FootnoteText"/>
      </w:pPr>
      <w:r>
        <w:rPr>
          <w:rStyle w:val="FootnoteReference"/>
        </w:rPr>
        <w:footnoteRef/>
      </w:r>
      <w:r>
        <w:t xml:space="preserve">00239.192 Federated Farmers; 00236.111 </w:t>
      </w:r>
      <w:r w:rsidR="00E55F25">
        <w:t>Horticulture NZ</w:t>
      </w:r>
      <w:r>
        <w:t xml:space="preserve">; 00140.003 </w:t>
      </w:r>
      <w:r w:rsidR="00E55F25">
        <w:t>Waitaki DC</w:t>
      </w:r>
      <w:r>
        <w:t xml:space="preserve">  </w:t>
      </w:r>
    </w:p>
  </w:footnote>
  <w:footnote w:id="766">
    <w:p w14:paraId="08BD80EB" w14:textId="60F8F3D7" w:rsidR="009E3814" w:rsidRDefault="009E3814" w:rsidP="009E3814">
      <w:pPr>
        <w:pStyle w:val="FootnoteText"/>
      </w:pPr>
      <w:r>
        <w:rPr>
          <w:rStyle w:val="FootnoteReference"/>
        </w:rPr>
        <w:footnoteRef/>
      </w:r>
      <w:r>
        <w:t xml:space="preserve">00239.192 </w:t>
      </w:r>
      <w:r w:rsidR="00E55F25">
        <w:t>Federated Farmers</w:t>
      </w:r>
      <w:r>
        <w:t xml:space="preserve">; 00236.111 </w:t>
      </w:r>
      <w:r w:rsidR="00E55F25">
        <w:t>Horticulture NZ</w:t>
      </w:r>
      <w:r>
        <w:t xml:space="preserve">; 00140.003 </w:t>
      </w:r>
      <w:r w:rsidR="00E55F25">
        <w:t>Waitaki DC</w:t>
      </w:r>
      <w:r>
        <w:t xml:space="preserve">  </w:t>
      </w:r>
    </w:p>
  </w:footnote>
  <w:footnote w:id="767">
    <w:p w14:paraId="6907684C" w14:textId="6C1E5218" w:rsidR="009E3814" w:rsidRDefault="009E3814" w:rsidP="009E3814">
      <w:pPr>
        <w:pStyle w:val="FootnoteText"/>
      </w:pPr>
      <w:r>
        <w:rPr>
          <w:rStyle w:val="FootnoteReference"/>
        </w:rPr>
        <w:footnoteRef/>
      </w:r>
      <w:r>
        <w:t xml:space="preserve">00239.192 </w:t>
      </w:r>
      <w:r w:rsidR="00E55F25">
        <w:t>Federated Farmers</w:t>
      </w:r>
      <w:r>
        <w:t xml:space="preserve">; 00236.111 </w:t>
      </w:r>
      <w:r w:rsidR="00E55F25">
        <w:t>Horticulture NZ</w:t>
      </w:r>
      <w:r>
        <w:t xml:space="preserve">; 00140.003 </w:t>
      </w:r>
      <w:r w:rsidR="00E55F25">
        <w:t>Waitaki DC</w:t>
      </w:r>
      <w:r>
        <w:t xml:space="preserve">  </w:t>
      </w:r>
    </w:p>
  </w:footnote>
  <w:footnote w:id="768">
    <w:p w14:paraId="5C391CE6" w14:textId="58AD25AC" w:rsidR="009E3814" w:rsidRDefault="009E3814" w:rsidP="009E3814">
      <w:pPr>
        <w:pStyle w:val="FootnoteText"/>
      </w:pPr>
      <w:r>
        <w:rPr>
          <w:rStyle w:val="FootnoteReference"/>
        </w:rPr>
        <w:footnoteRef/>
      </w:r>
      <w:r>
        <w:t xml:space="preserve">00239.192 </w:t>
      </w:r>
      <w:r w:rsidR="00E55F25">
        <w:t>Federated Farmers</w:t>
      </w:r>
      <w:r>
        <w:t xml:space="preserve">; 00236.111 </w:t>
      </w:r>
      <w:r w:rsidR="00E55F25">
        <w:t>Horticulture NZ</w:t>
      </w:r>
      <w:r>
        <w:t xml:space="preserve">; 00140.003 </w:t>
      </w:r>
      <w:r w:rsidR="00E55F25">
        <w:t>Waitaki DC</w:t>
      </w:r>
      <w:r>
        <w:t xml:space="preserve">  </w:t>
      </w:r>
    </w:p>
  </w:footnote>
  <w:footnote w:id="769">
    <w:p w14:paraId="161695F9" w14:textId="4685A7E6" w:rsidR="009E3814" w:rsidRDefault="009E3814" w:rsidP="009E3814">
      <w:pPr>
        <w:pStyle w:val="FootnoteText"/>
      </w:pPr>
      <w:r>
        <w:rPr>
          <w:rStyle w:val="FootnoteReference"/>
        </w:rPr>
        <w:footnoteRef/>
      </w:r>
      <w:r>
        <w:t xml:space="preserve">00239.192 </w:t>
      </w:r>
      <w:r w:rsidR="00E55F25">
        <w:t>Federated Farmers</w:t>
      </w:r>
      <w:r>
        <w:t xml:space="preserve">; 00236.111 </w:t>
      </w:r>
      <w:r w:rsidR="00E55F25">
        <w:t>Horticulture NZ</w:t>
      </w:r>
      <w:r>
        <w:t xml:space="preserve">; 00140.003 </w:t>
      </w:r>
      <w:r w:rsidR="00E55F25">
        <w:t>Waitaki DC</w:t>
      </w:r>
      <w:r>
        <w:t xml:space="preserve">  </w:t>
      </w:r>
    </w:p>
  </w:footnote>
  <w:footnote w:id="770">
    <w:p w14:paraId="7B8432F1" w14:textId="77777777" w:rsidR="009E3814" w:rsidRPr="005F0D4C" w:rsidRDefault="009E3814" w:rsidP="009E3814">
      <w:pPr>
        <w:pStyle w:val="FootnoteText"/>
        <w:rPr>
          <w:lang w:val="en-GB"/>
        </w:rPr>
      </w:pPr>
      <w:r>
        <w:rPr>
          <w:rStyle w:val="FootnoteReference"/>
        </w:rPr>
        <w:footnoteRef/>
      </w:r>
      <w:r>
        <w:t xml:space="preserve"> 00235.082 OWRUG</w:t>
      </w:r>
    </w:p>
  </w:footnote>
  <w:footnote w:id="771">
    <w:p w14:paraId="19A33E51" w14:textId="77777777" w:rsidR="009E3814" w:rsidRDefault="009E3814" w:rsidP="009E3814">
      <w:pPr>
        <w:pStyle w:val="FootnoteText"/>
      </w:pPr>
      <w:r>
        <w:rPr>
          <w:rStyle w:val="FootnoteReference"/>
        </w:rPr>
        <w:footnoteRef/>
      </w:r>
      <w:r>
        <w:t xml:space="preserve"> 00226.165 Kāi Tahu ki Otago</w:t>
      </w:r>
    </w:p>
  </w:footnote>
  <w:footnote w:id="772">
    <w:p w14:paraId="269A5928" w14:textId="77777777" w:rsidR="009E3814" w:rsidRPr="00997BC5" w:rsidRDefault="009E3814" w:rsidP="009E3814">
      <w:pPr>
        <w:pStyle w:val="FootnoteText"/>
        <w:rPr>
          <w:lang w:val="en-GB"/>
        </w:rPr>
      </w:pPr>
      <w:r>
        <w:rPr>
          <w:rStyle w:val="FootnoteReference"/>
        </w:rPr>
        <w:footnoteRef/>
      </w:r>
      <w:r>
        <w:t xml:space="preserve"> </w:t>
      </w:r>
      <w:r>
        <w:rPr>
          <w:lang w:val="en-GB"/>
        </w:rPr>
        <w:t>00226.165 Kāi Tahu ki Otago</w:t>
      </w:r>
    </w:p>
  </w:footnote>
  <w:footnote w:id="773">
    <w:p w14:paraId="0A5B220F" w14:textId="77777777" w:rsidR="009E3814" w:rsidRPr="00997BC5" w:rsidRDefault="009E3814" w:rsidP="009E3814">
      <w:pPr>
        <w:pStyle w:val="FootnoteText"/>
        <w:rPr>
          <w:lang w:val="en-GB"/>
        </w:rPr>
      </w:pPr>
      <w:r>
        <w:rPr>
          <w:rStyle w:val="FootnoteReference"/>
        </w:rPr>
        <w:footnoteRef/>
      </w:r>
      <w:r>
        <w:t xml:space="preserve"> 00235.082 OWRUG</w:t>
      </w:r>
    </w:p>
  </w:footnote>
  <w:footnote w:id="774">
    <w:p w14:paraId="65365AB6" w14:textId="77777777" w:rsidR="009E3814" w:rsidRPr="00997BC5" w:rsidRDefault="009E3814" w:rsidP="009E3814">
      <w:pPr>
        <w:pStyle w:val="FootnoteText"/>
        <w:rPr>
          <w:lang w:val="en-GB"/>
        </w:rPr>
      </w:pPr>
      <w:r>
        <w:rPr>
          <w:rStyle w:val="FootnoteReference"/>
        </w:rPr>
        <w:footnoteRef/>
      </w:r>
      <w:r>
        <w:t xml:space="preserve"> </w:t>
      </w:r>
      <w:r>
        <w:rPr>
          <w:lang w:val="en-GB"/>
        </w:rPr>
        <w:t>00226.165 Kāi Tahu ki Otago</w:t>
      </w:r>
    </w:p>
  </w:footnote>
  <w:footnote w:id="775">
    <w:p w14:paraId="7142D9F9" w14:textId="77777777" w:rsidR="009E3814" w:rsidRPr="00997BC5" w:rsidRDefault="009E3814" w:rsidP="009E3814">
      <w:pPr>
        <w:pStyle w:val="FootnoteText"/>
        <w:rPr>
          <w:lang w:val="en-GB"/>
        </w:rPr>
      </w:pPr>
      <w:r>
        <w:rPr>
          <w:rStyle w:val="FootnoteReference"/>
        </w:rPr>
        <w:footnoteRef/>
      </w:r>
      <w:r>
        <w:t xml:space="preserve"> </w:t>
      </w:r>
      <w:r>
        <w:rPr>
          <w:lang w:val="en-GB"/>
        </w:rPr>
        <w:t>00235.082 OWRUG</w:t>
      </w:r>
    </w:p>
  </w:footnote>
  <w:footnote w:id="776">
    <w:p w14:paraId="2CB107D7" w14:textId="77777777" w:rsidR="009E3814" w:rsidRDefault="009E3814" w:rsidP="009E3814">
      <w:pPr>
        <w:pStyle w:val="FootnoteText"/>
      </w:pPr>
      <w:r>
        <w:rPr>
          <w:rStyle w:val="FootnoteReference"/>
        </w:rPr>
        <w:footnoteRef/>
      </w:r>
      <w:r>
        <w:t xml:space="preserve"> 00226.166 Kāi Tahu ki Otago</w:t>
      </w:r>
    </w:p>
  </w:footnote>
  <w:footnote w:id="777">
    <w:p w14:paraId="1E86899E" w14:textId="77777777" w:rsidR="009E3814" w:rsidRDefault="009E3814" w:rsidP="009E3814">
      <w:pPr>
        <w:pStyle w:val="FootnoteText"/>
      </w:pPr>
      <w:r>
        <w:rPr>
          <w:rStyle w:val="FootnoteReference"/>
        </w:rPr>
        <w:footnoteRef/>
      </w:r>
      <w:r>
        <w:t xml:space="preserve"> 00226.166 Kāi Tahu ki Otago</w:t>
      </w:r>
    </w:p>
  </w:footnote>
  <w:footnote w:id="778">
    <w:p w14:paraId="614B8986"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79">
    <w:p w14:paraId="2A5A22F4" w14:textId="77777777" w:rsidR="009E3814" w:rsidRDefault="009E3814" w:rsidP="009E3814">
      <w:pPr>
        <w:pStyle w:val="FootnoteText"/>
      </w:pPr>
      <w:r>
        <w:rPr>
          <w:rStyle w:val="FootnoteReference"/>
        </w:rPr>
        <w:footnoteRef/>
      </w:r>
      <w:r>
        <w:t xml:space="preserve"> </w:t>
      </w:r>
      <w:r w:rsidRPr="797D8368">
        <w:rPr>
          <w:szCs w:val="18"/>
        </w:rPr>
        <w:t>00223.084</w:t>
      </w:r>
      <w:r>
        <w:rPr>
          <w:szCs w:val="18"/>
        </w:rPr>
        <w:t xml:space="preserve"> Ngāi Tahu ki Murihiku, </w:t>
      </w:r>
      <w:r w:rsidRPr="797D8368">
        <w:rPr>
          <w:szCs w:val="18"/>
        </w:rPr>
        <w:t>00230.077</w:t>
      </w:r>
      <w:r>
        <w:rPr>
          <w:szCs w:val="18"/>
        </w:rPr>
        <w:t xml:space="preserve"> Forest and Bird, </w:t>
      </w:r>
      <w:r w:rsidRPr="797D8368">
        <w:rPr>
          <w:szCs w:val="18"/>
        </w:rPr>
        <w:t>00235.084</w:t>
      </w:r>
      <w:r>
        <w:rPr>
          <w:szCs w:val="18"/>
        </w:rPr>
        <w:t xml:space="preserve"> OWRUG</w:t>
      </w:r>
    </w:p>
  </w:footnote>
  <w:footnote w:id="780">
    <w:p w14:paraId="5EFBB917" w14:textId="77777777" w:rsidR="009E3814" w:rsidRDefault="009E3814" w:rsidP="009E3814">
      <w:pPr>
        <w:pStyle w:val="FootnoteText"/>
      </w:pPr>
      <w:r>
        <w:rPr>
          <w:rStyle w:val="FootnoteReference"/>
        </w:rPr>
        <w:footnoteRef/>
      </w:r>
      <w:r>
        <w:t xml:space="preserve"> </w:t>
      </w:r>
      <w:r>
        <w:rPr>
          <w:rFonts w:cstheme="minorHAnsi"/>
        </w:rPr>
        <w:t>00223.085a Ngāi Tahu ki Murihiku</w:t>
      </w:r>
    </w:p>
  </w:footnote>
  <w:footnote w:id="781">
    <w:p w14:paraId="79F88802" w14:textId="77777777" w:rsidR="009E3814" w:rsidRDefault="009E3814" w:rsidP="009E3814">
      <w:pPr>
        <w:pStyle w:val="FootnoteText"/>
      </w:pPr>
      <w:r>
        <w:rPr>
          <w:rStyle w:val="FootnoteReference"/>
        </w:rPr>
        <w:footnoteRef/>
      </w:r>
      <w:r>
        <w:t xml:space="preserve"> </w:t>
      </w:r>
      <w:r>
        <w:rPr>
          <w:rFonts w:cstheme="minorHAnsi"/>
        </w:rPr>
        <w:t xml:space="preserve">00101.031 Toitū te Whenua </w:t>
      </w:r>
    </w:p>
  </w:footnote>
  <w:footnote w:id="782">
    <w:p w14:paraId="554298C5"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83">
    <w:p w14:paraId="4E86C111" w14:textId="77777777" w:rsidR="009E3814" w:rsidRDefault="009E3814" w:rsidP="009E3814">
      <w:pPr>
        <w:pStyle w:val="FootnoteText"/>
      </w:pPr>
      <w:r>
        <w:rPr>
          <w:rStyle w:val="FootnoteReference"/>
        </w:rPr>
        <w:footnoteRef/>
      </w:r>
      <w:r>
        <w:t xml:space="preserve"> </w:t>
      </w:r>
      <w:r>
        <w:rPr>
          <w:rFonts w:cstheme="minorHAnsi"/>
        </w:rPr>
        <w:t>00226.011 Kāi Tahu ki Otago</w:t>
      </w:r>
    </w:p>
  </w:footnote>
  <w:footnote w:id="784">
    <w:p w14:paraId="797D5252"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85">
    <w:p w14:paraId="22A98B42" w14:textId="77777777" w:rsidR="009E3814" w:rsidRDefault="009E3814" w:rsidP="009E3814">
      <w:pPr>
        <w:pStyle w:val="FootnoteText"/>
      </w:pPr>
      <w:r>
        <w:rPr>
          <w:rStyle w:val="FootnoteReference"/>
        </w:rPr>
        <w:footnoteRef/>
      </w:r>
      <w:r>
        <w:t xml:space="preserve"> 00226.168 Kāi Tahu ki Otago</w:t>
      </w:r>
    </w:p>
  </w:footnote>
  <w:footnote w:id="786">
    <w:p w14:paraId="5D5033E6" w14:textId="77777777" w:rsidR="009E3814" w:rsidRDefault="009E3814" w:rsidP="009E3814">
      <w:pPr>
        <w:pStyle w:val="FootnoteText"/>
      </w:pPr>
      <w:r>
        <w:rPr>
          <w:rStyle w:val="FootnoteReference"/>
        </w:rPr>
        <w:footnoteRef/>
      </w:r>
      <w:r>
        <w:t xml:space="preserve"> 00226.168 Kāi Tahu ki Otago, 00509.072 Wise Response</w:t>
      </w:r>
    </w:p>
  </w:footnote>
  <w:footnote w:id="787">
    <w:p w14:paraId="68E3DEFC" w14:textId="77777777" w:rsidR="009E3814" w:rsidRDefault="009E3814" w:rsidP="009E3814">
      <w:pPr>
        <w:pStyle w:val="FootnoteText"/>
      </w:pPr>
      <w:r>
        <w:rPr>
          <w:rStyle w:val="FootnoteReference"/>
        </w:rPr>
        <w:footnoteRef/>
      </w:r>
      <w:r>
        <w:t xml:space="preserve"> 00226.168 Kāi Tahu ki Otago, 00237.026 Beef + Lamb and DINZ</w:t>
      </w:r>
    </w:p>
  </w:footnote>
  <w:footnote w:id="788">
    <w:p w14:paraId="08EE60FC" w14:textId="77777777" w:rsidR="009E3814" w:rsidRDefault="009E3814" w:rsidP="009E3814">
      <w:pPr>
        <w:pStyle w:val="FootnoteText"/>
      </w:pPr>
      <w:r>
        <w:rPr>
          <w:rStyle w:val="FootnoteReference"/>
        </w:rPr>
        <w:footnoteRef/>
      </w:r>
      <w:r>
        <w:t xml:space="preserve"> 00226.168 Kāi Tahu ki Otago, 00213.035 Fonterra</w:t>
      </w:r>
    </w:p>
  </w:footnote>
  <w:footnote w:id="789">
    <w:p w14:paraId="3C0B6B8E" w14:textId="5D5529A8" w:rsidR="009E3814" w:rsidRDefault="009E3814" w:rsidP="009E3814">
      <w:pPr>
        <w:pStyle w:val="FootnoteText"/>
        <w:rPr>
          <w:lang w:val="en-GB"/>
        </w:rPr>
      </w:pPr>
      <w:r>
        <w:rPr>
          <w:rStyle w:val="FootnoteReference"/>
        </w:rPr>
        <w:footnoteRef/>
      </w:r>
      <w:r>
        <w:t xml:space="preserve"> 00023.004 Waterfall Park</w:t>
      </w:r>
    </w:p>
  </w:footnote>
  <w:footnote w:id="790">
    <w:p w14:paraId="1D29EF6B" w14:textId="77777777" w:rsidR="009E3814" w:rsidRDefault="009E3814" w:rsidP="009E3814">
      <w:pPr>
        <w:pStyle w:val="FootnoteText"/>
      </w:pPr>
      <w:r>
        <w:rPr>
          <w:rStyle w:val="FootnoteReference"/>
        </w:rPr>
        <w:footnoteRef/>
      </w:r>
      <w:r>
        <w:t xml:space="preserve"> 00226.168 Kāi Tahu ki Otago </w:t>
      </w:r>
    </w:p>
  </w:footnote>
  <w:footnote w:id="791">
    <w:p w14:paraId="6CD2A4A0" w14:textId="77777777" w:rsidR="009E3814" w:rsidRDefault="009E3814" w:rsidP="009E3814">
      <w:pPr>
        <w:pStyle w:val="FootnoteText"/>
      </w:pPr>
      <w:r>
        <w:rPr>
          <w:rStyle w:val="FootnoteReference"/>
        </w:rPr>
        <w:footnoteRef/>
      </w:r>
      <w:r>
        <w:t xml:space="preserve"> 00226.168 Kāi Tahu ki Otago</w:t>
      </w:r>
    </w:p>
  </w:footnote>
  <w:footnote w:id="792">
    <w:p w14:paraId="68027646" w14:textId="77777777" w:rsidR="009E3814" w:rsidRDefault="009E3814" w:rsidP="009E3814">
      <w:pPr>
        <w:pStyle w:val="FootnoteText"/>
      </w:pPr>
      <w:r>
        <w:rPr>
          <w:rStyle w:val="FootnoteReference"/>
        </w:rPr>
        <w:footnoteRef/>
      </w:r>
      <w:r>
        <w:t xml:space="preserve"> 00406.008 Lauder Creek Farming</w:t>
      </w:r>
    </w:p>
  </w:footnote>
  <w:footnote w:id="793">
    <w:p w14:paraId="418047DA" w14:textId="77777777" w:rsidR="009E3814" w:rsidRDefault="009E3814" w:rsidP="009E3814">
      <w:pPr>
        <w:pStyle w:val="FootnoteText"/>
      </w:pPr>
      <w:r>
        <w:rPr>
          <w:rStyle w:val="FootnoteReference"/>
        </w:rPr>
        <w:footnoteRef/>
      </w:r>
      <w:r>
        <w:t xml:space="preserve"> 00226.168 Kāi Tahu ki Otago</w:t>
      </w:r>
    </w:p>
  </w:footnote>
  <w:footnote w:id="794">
    <w:p w14:paraId="715149AA" w14:textId="77777777" w:rsidR="009E3814" w:rsidRPr="00502C09" w:rsidRDefault="009E3814" w:rsidP="009E3814">
      <w:pPr>
        <w:pStyle w:val="FootnoteText"/>
        <w:rPr>
          <w:lang w:val="en-GB"/>
        </w:rPr>
      </w:pPr>
      <w:r>
        <w:rPr>
          <w:rStyle w:val="FootnoteReference"/>
        </w:rPr>
        <w:footnoteRef/>
      </w:r>
      <w:r>
        <w:t xml:space="preserve"> 00139.088 DCC, 00305.020 Waka Kotahi</w:t>
      </w:r>
    </w:p>
  </w:footnote>
  <w:footnote w:id="795">
    <w:p w14:paraId="5683E5EF" w14:textId="5D4FFEAA" w:rsidR="009E3814" w:rsidRPr="00F500C4" w:rsidRDefault="009E3814" w:rsidP="009E3814">
      <w:pPr>
        <w:pStyle w:val="FootnoteText"/>
        <w:rPr>
          <w:lang w:val="en-GB"/>
        </w:rPr>
      </w:pPr>
      <w:r w:rsidRPr="000C270A">
        <w:rPr>
          <w:rStyle w:val="FootnoteReference"/>
        </w:rPr>
        <w:footnoteRef/>
      </w:r>
      <w:r w:rsidRPr="000C270A">
        <w:t xml:space="preserve"> </w:t>
      </w:r>
      <w:r w:rsidRPr="000C270A">
        <w:rPr>
          <w:lang w:val="en-GB"/>
        </w:rPr>
        <w:t>Clause 10(</w:t>
      </w:r>
      <w:r w:rsidR="00336E81">
        <w:rPr>
          <w:lang w:val="en-GB"/>
        </w:rPr>
        <w:t>2</w:t>
      </w:r>
      <w:r w:rsidRPr="000C270A">
        <w:rPr>
          <w:lang w:val="en-GB"/>
        </w:rPr>
        <w:t>)(b)(i)</w:t>
      </w:r>
      <w:r w:rsidR="00906D13">
        <w:t>, Schedule 1, RMA</w:t>
      </w:r>
      <w:r w:rsidRPr="000C270A">
        <w:rPr>
          <w:lang w:val="en-GB"/>
        </w:rPr>
        <w:t xml:space="preserve"> </w:t>
      </w:r>
      <w:r w:rsidR="00DD70D6">
        <w:rPr>
          <w:lang w:val="en-GB"/>
        </w:rPr>
        <w:t>- c</w:t>
      </w:r>
      <w:r w:rsidRPr="000C270A">
        <w:rPr>
          <w:lang w:val="en-GB"/>
        </w:rPr>
        <w:t xml:space="preserve">onsequential amendment arising from </w:t>
      </w:r>
      <w:r w:rsidRPr="000C270A">
        <w:t>00139.088 DCC, 00305.020 Waka Kotahi</w:t>
      </w:r>
    </w:p>
  </w:footnote>
  <w:footnote w:id="796">
    <w:p w14:paraId="1D18E050" w14:textId="77777777" w:rsidR="009E3814" w:rsidRDefault="009E3814" w:rsidP="009E3814">
      <w:pPr>
        <w:pStyle w:val="FootnoteText"/>
      </w:pPr>
      <w:r>
        <w:rPr>
          <w:rStyle w:val="FootnoteReference"/>
        </w:rPr>
        <w:footnoteRef/>
      </w:r>
      <w:r>
        <w:t xml:space="preserve"> 00226.168 Kāi Tahu ki Otago</w:t>
      </w:r>
    </w:p>
  </w:footnote>
  <w:footnote w:id="797">
    <w:p w14:paraId="5E621269" w14:textId="77777777" w:rsidR="009E3814" w:rsidRDefault="009E3814" w:rsidP="009E3814">
      <w:pPr>
        <w:pStyle w:val="FootnoteText"/>
      </w:pPr>
      <w:r>
        <w:rPr>
          <w:rStyle w:val="FootnoteReference"/>
        </w:rPr>
        <w:footnoteRef/>
      </w:r>
      <w:r>
        <w:t xml:space="preserve"> 00226.168 Kāi Tahu ki Otago</w:t>
      </w:r>
    </w:p>
  </w:footnote>
  <w:footnote w:id="798">
    <w:p w14:paraId="77B4D6C1"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799">
    <w:p w14:paraId="73692C92" w14:textId="77777777" w:rsidR="009E3814" w:rsidRDefault="009E3814" w:rsidP="009E3814">
      <w:pPr>
        <w:pStyle w:val="FootnoteText"/>
      </w:pPr>
      <w:r>
        <w:rPr>
          <w:rStyle w:val="FootnoteReference"/>
        </w:rPr>
        <w:footnoteRef/>
      </w:r>
      <w:r>
        <w:t xml:space="preserve"> 00137.065 DOC</w:t>
      </w:r>
    </w:p>
  </w:footnote>
  <w:footnote w:id="800">
    <w:p w14:paraId="24DFC27E" w14:textId="77777777" w:rsidR="009E3814" w:rsidRDefault="009E3814" w:rsidP="009E3814">
      <w:pPr>
        <w:pStyle w:val="FootnoteText"/>
      </w:pPr>
      <w:r>
        <w:rPr>
          <w:rStyle w:val="FootnoteReference"/>
        </w:rPr>
        <w:footnoteRef/>
      </w:r>
      <w:r>
        <w:t xml:space="preserve"> 00237.027 Beef + Lamb and DINZ</w:t>
      </w:r>
    </w:p>
  </w:footnote>
  <w:footnote w:id="801">
    <w:p w14:paraId="37353384" w14:textId="77777777" w:rsidR="009E3814" w:rsidRDefault="009E3814" w:rsidP="009E3814">
      <w:pPr>
        <w:pStyle w:val="FootnoteText"/>
      </w:pPr>
      <w:r>
        <w:rPr>
          <w:rStyle w:val="FootnoteReference"/>
        </w:rPr>
        <w:footnoteRef/>
      </w:r>
      <w:r>
        <w:t xml:space="preserve"> 00237.027 Beef + Lamb and DINZ</w:t>
      </w:r>
    </w:p>
  </w:footnote>
  <w:footnote w:id="802">
    <w:p w14:paraId="0F061D55" w14:textId="77777777" w:rsidR="009E3814" w:rsidRDefault="009E3814" w:rsidP="009E3814">
      <w:pPr>
        <w:pStyle w:val="FootnoteText"/>
      </w:pPr>
      <w:r>
        <w:rPr>
          <w:rStyle w:val="FootnoteReference"/>
        </w:rPr>
        <w:footnoteRef/>
      </w:r>
      <w:r>
        <w:t xml:space="preserve"> 00022.017 Graymont</w:t>
      </w:r>
    </w:p>
  </w:footnote>
  <w:footnote w:id="803">
    <w:p w14:paraId="789FF934" w14:textId="77777777" w:rsidR="009E3814" w:rsidRDefault="009E3814" w:rsidP="009E3814">
      <w:pPr>
        <w:pStyle w:val="FootnoteText"/>
      </w:pPr>
      <w:r>
        <w:rPr>
          <w:rStyle w:val="FootnoteReference"/>
        </w:rPr>
        <w:footnoteRef/>
      </w:r>
      <w:r>
        <w:t xml:space="preserve"> 00237.027 Beef + Lamb and DINZ</w:t>
      </w:r>
    </w:p>
  </w:footnote>
  <w:footnote w:id="804">
    <w:p w14:paraId="2C2829FE" w14:textId="77777777" w:rsidR="009E3814" w:rsidRDefault="009E3814" w:rsidP="009E3814">
      <w:pPr>
        <w:pStyle w:val="FootnoteText"/>
      </w:pPr>
      <w:r>
        <w:rPr>
          <w:rStyle w:val="FootnoteReference"/>
        </w:rPr>
        <w:footnoteRef/>
      </w:r>
      <w:r>
        <w:t xml:space="preserve"> 00226.169 Kāi Tahu ki Otago</w:t>
      </w:r>
    </w:p>
  </w:footnote>
  <w:footnote w:id="805">
    <w:p w14:paraId="1BDFB08B" w14:textId="77777777" w:rsidR="009E3814" w:rsidRDefault="009E3814" w:rsidP="009E3814">
      <w:pPr>
        <w:pStyle w:val="FootnoteText"/>
        <w:rPr>
          <w:lang w:val="en-GB"/>
        </w:rPr>
      </w:pPr>
      <w:r>
        <w:rPr>
          <w:rStyle w:val="FootnoteReference"/>
        </w:rPr>
        <w:footnoteRef/>
      </w:r>
      <w:r>
        <w:t xml:space="preserve"> 00226.169 Kāi Tahu ki Otago</w:t>
      </w:r>
    </w:p>
  </w:footnote>
  <w:footnote w:id="806">
    <w:p w14:paraId="6F8491F8" w14:textId="77777777" w:rsidR="009E3814" w:rsidRDefault="009E3814" w:rsidP="009E3814">
      <w:pPr>
        <w:pStyle w:val="FootnoteText"/>
        <w:rPr>
          <w:lang w:val="en-GB"/>
        </w:rPr>
      </w:pPr>
      <w:r>
        <w:rPr>
          <w:rStyle w:val="FootnoteReference"/>
        </w:rPr>
        <w:footnoteRef/>
      </w:r>
      <w:r>
        <w:t xml:space="preserve"> 00226.169 Kāi Tahu ki Otago</w:t>
      </w:r>
    </w:p>
  </w:footnote>
  <w:footnote w:id="807">
    <w:p w14:paraId="4BE0D041" w14:textId="77777777" w:rsidR="009E3814" w:rsidRDefault="009E3814" w:rsidP="009E3814">
      <w:pPr>
        <w:pStyle w:val="FootnoteText"/>
      </w:pPr>
      <w:r>
        <w:rPr>
          <w:rStyle w:val="FootnoteReference"/>
        </w:rPr>
        <w:footnoteRef/>
      </w:r>
      <w:r>
        <w:t xml:space="preserve"> 00137.065 DOC</w:t>
      </w:r>
    </w:p>
  </w:footnote>
  <w:footnote w:id="808">
    <w:p w14:paraId="33EDB5D9" w14:textId="3CC6CD8D" w:rsidR="00E63FA1" w:rsidRDefault="00E63FA1" w:rsidP="00E63FA1">
      <w:pPr>
        <w:pStyle w:val="FootnoteText"/>
      </w:pPr>
      <w:r>
        <w:rPr>
          <w:rStyle w:val="FootnoteReference"/>
        </w:rPr>
        <w:footnoteRef/>
      </w:r>
      <w:r>
        <w:t xml:space="preserve"> 00226.170 Kāi Tahu ki Otago</w:t>
      </w:r>
    </w:p>
  </w:footnote>
  <w:footnote w:id="809">
    <w:p w14:paraId="0E176957" w14:textId="31C86D52" w:rsidR="00E63FA1" w:rsidRDefault="00E63FA1" w:rsidP="00E63FA1">
      <w:pPr>
        <w:pStyle w:val="FootnoteText"/>
      </w:pPr>
      <w:r>
        <w:rPr>
          <w:rStyle w:val="FootnoteReference"/>
        </w:rPr>
        <w:footnoteRef/>
      </w:r>
      <w:r>
        <w:t xml:space="preserve"> 00226.170 Kāi Tahu ki Otago</w:t>
      </w:r>
    </w:p>
  </w:footnote>
  <w:footnote w:id="810">
    <w:p w14:paraId="0AA21C84" w14:textId="77777777" w:rsidR="009E3814" w:rsidRDefault="009E3814" w:rsidP="009E3814">
      <w:pPr>
        <w:pStyle w:val="FootnoteText"/>
      </w:pPr>
      <w:r>
        <w:rPr>
          <w:rStyle w:val="FootnoteReference"/>
        </w:rPr>
        <w:footnoteRef/>
      </w:r>
      <w:r>
        <w:t xml:space="preserve"> 00226.170 Kāi Tahu ki Otago</w:t>
      </w:r>
    </w:p>
  </w:footnote>
  <w:footnote w:id="811">
    <w:p w14:paraId="082CB1B3" w14:textId="77777777" w:rsidR="009E3814" w:rsidRDefault="009E3814" w:rsidP="009E3814">
      <w:pPr>
        <w:pStyle w:val="FootnoteText"/>
      </w:pPr>
      <w:r>
        <w:rPr>
          <w:rStyle w:val="FootnoteReference"/>
        </w:rPr>
        <w:footnoteRef/>
      </w:r>
      <w:r>
        <w:t xml:space="preserve"> 00237.028 Beef + Lamb and DINZ</w:t>
      </w:r>
    </w:p>
  </w:footnote>
  <w:footnote w:id="812">
    <w:p w14:paraId="7789C982" w14:textId="77777777" w:rsidR="00DE73D9" w:rsidRDefault="00DE73D9" w:rsidP="00DE73D9">
      <w:pPr>
        <w:pStyle w:val="FootnoteText"/>
      </w:pPr>
      <w:r>
        <w:rPr>
          <w:rStyle w:val="FootnoteReference"/>
        </w:rPr>
        <w:footnoteRef/>
      </w:r>
      <w:r>
        <w:t xml:space="preserve"> 00226.170 Kāi Tahu ki Otago</w:t>
      </w:r>
    </w:p>
  </w:footnote>
  <w:footnote w:id="813">
    <w:p w14:paraId="35A9C6EB" w14:textId="77777777" w:rsidR="009E3814" w:rsidRDefault="009E3814" w:rsidP="009E3814">
      <w:pPr>
        <w:pStyle w:val="FootnoteText"/>
      </w:pPr>
      <w:r>
        <w:rPr>
          <w:rStyle w:val="FootnoteReference"/>
        </w:rPr>
        <w:footnoteRef/>
      </w:r>
      <w:r>
        <w:t xml:space="preserve"> 00237.028 Beef + Lamb and DINZ</w:t>
      </w:r>
    </w:p>
  </w:footnote>
  <w:footnote w:id="814">
    <w:p w14:paraId="4D40E343" w14:textId="77777777" w:rsidR="009E3814" w:rsidRDefault="009E3814" w:rsidP="009E3814">
      <w:pPr>
        <w:pStyle w:val="FootnoteText"/>
        <w:rPr>
          <w:lang w:val="en-GB"/>
        </w:rPr>
      </w:pPr>
      <w:r>
        <w:rPr>
          <w:rStyle w:val="FootnoteReference"/>
        </w:rPr>
        <w:footnoteRef/>
      </w:r>
      <w:r>
        <w:t xml:space="preserve"> 00104.005 Gavan Herlihy</w:t>
      </w:r>
    </w:p>
  </w:footnote>
  <w:footnote w:id="815">
    <w:p w14:paraId="40923BDC" w14:textId="77777777" w:rsidR="00FC6069" w:rsidRDefault="00FC6069" w:rsidP="00FC6069">
      <w:pPr>
        <w:pStyle w:val="FootnoteText"/>
      </w:pPr>
      <w:r>
        <w:rPr>
          <w:rStyle w:val="FootnoteReference"/>
        </w:rPr>
        <w:footnoteRef/>
      </w:r>
      <w:r>
        <w:t xml:space="preserve"> 00226.170 Kāi Tahu ki Otago</w:t>
      </w:r>
    </w:p>
  </w:footnote>
  <w:footnote w:id="816">
    <w:p w14:paraId="4D5B5C87" w14:textId="77777777" w:rsidR="009E3814" w:rsidRDefault="009E3814" w:rsidP="009E3814">
      <w:pPr>
        <w:pStyle w:val="FootnoteText"/>
      </w:pPr>
      <w:r>
        <w:rPr>
          <w:rStyle w:val="FootnoteReference"/>
        </w:rPr>
        <w:footnoteRef/>
      </w:r>
      <w:r>
        <w:t xml:space="preserve"> 00137.066 DOC, 00226.170</w:t>
      </w:r>
      <w:r>
        <w:rPr>
          <w:rFonts w:eastAsia="Times New Roman" w:cstheme="minorHAnsi"/>
          <w:color w:val="000000"/>
          <w:lang w:eastAsia="en-NZ"/>
        </w:rPr>
        <w:t xml:space="preserve"> </w:t>
      </w:r>
      <w:r>
        <w:t>Kāi Tahu ki Otago</w:t>
      </w:r>
    </w:p>
  </w:footnote>
  <w:footnote w:id="817">
    <w:p w14:paraId="44F9830E" w14:textId="77777777" w:rsidR="009E3814" w:rsidRDefault="009E3814" w:rsidP="009E3814">
      <w:pPr>
        <w:pStyle w:val="FootnoteText"/>
      </w:pPr>
      <w:r>
        <w:rPr>
          <w:rStyle w:val="FootnoteReference"/>
        </w:rPr>
        <w:footnoteRef/>
      </w:r>
      <w:r>
        <w:t xml:space="preserve"> </w:t>
      </w:r>
      <w:r>
        <w:rPr>
          <w:rFonts w:cstheme="minorHAnsi"/>
        </w:rPr>
        <w:t>00213.035 Fonterra</w:t>
      </w:r>
    </w:p>
  </w:footnote>
  <w:footnote w:id="818">
    <w:p w14:paraId="33258C06" w14:textId="77777777" w:rsidR="009E3814" w:rsidRDefault="009E3814" w:rsidP="009E3814">
      <w:pPr>
        <w:pStyle w:val="FootnoteText"/>
      </w:pPr>
      <w:r>
        <w:rPr>
          <w:rStyle w:val="FootnoteReference"/>
        </w:rPr>
        <w:footnoteRef/>
      </w:r>
      <w:r>
        <w:t xml:space="preserve"> 00226.169 Kāi Tahu ki Otago</w:t>
      </w:r>
    </w:p>
  </w:footnote>
  <w:footnote w:id="819">
    <w:p w14:paraId="42799726" w14:textId="77777777" w:rsidR="009E3814" w:rsidRDefault="009E3814" w:rsidP="009E3814">
      <w:pPr>
        <w:pStyle w:val="FootnoteText"/>
      </w:pPr>
      <w:r>
        <w:rPr>
          <w:rStyle w:val="FootnoteReference"/>
        </w:rPr>
        <w:footnoteRef/>
      </w:r>
      <w:r>
        <w:t xml:space="preserve"> 00226.169 Kāi Tahu ki Otago</w:t>
      </w:r>
    </w:p>
  </w:footnote>
  <w:footnote w:id="820">
    <w:p w14:paraId="4DA865E5" w14:textId="77777777" w:rsidR="009E3814" w:rsidRDefault="009E3814" w:rsidP="009E3814">
      <w:pPr>
        <w:pStyle w:val="FootnoteText"/>
      </w:pPr>
      <w:r>
        <w:rPr>
          <w:rStyle w:val="FootnoteReference"/>
        </w:rPr>
        <w:footnoteRef/>
      </w:r>
      <w:r>
        <w:t xml:space="preserve"> 00137.066 DOC</w:t>
      </w:r>
    </w:p>
  </w:footnote>
  <w:footnote w:id="821">
    <w:p w14:paraId="5059DAE8" w14:textId="77777777" w:rsidR="009E3814" w:rsidRDefault="009E3814" w:rsidP="009E3814">
      <w:pPr>
        <w:pStyle w:val="FootnoteText"/>
        <w:rPr>
          <w:lang w:val="en-GB"/>
        </w:rPr>
      </w:pPr>
      <w:r>
        <w:rPr>
          <w:rStyle w:val="FootnoteReference"/>
        </w:rPr>
        <w:footnoteRef/>
      </w:r>
      <w:r>
        <w:t xml:space="preserve"> 00226.171 Kāi Tahu ki Otago</w:t>
      </w:r>
    </w:p>
  </w:footnote>
  <w:footnote w:id="822">
    <w:p w14:paraId="029F2DA3"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823">
    <w:p w14:paraId="222FD285" w14:textId="77777777" w:rsidR="009E3814" w:rsidRPr="00502C09" w:rsidRDefault="009E3814" w:rsidP="009E3814">
      <w:pPr>
        <w:pStyle w:val="FootnoteText"/>
        <w:rPr>
          <w:lang w:val="en-GB"/>
        </w:rPr>
      </w:pPr>
      <w:r>
        <w:rPr>
          <w:rStyle w:val="FootnoteReference"/>
        </w:rPr>
        <w:footnoteRef/>
      </w:r>
      <w:r>
        <w:t xml:space="preserve"> 00139.088 DCC, 00305.020 Waka Kotahi</w:t>
      </w:r>
    </w:p>
  </w:footnote>
  <w:footnote w:id="824">
    <w:p w14:paraId="1FAC02CC" w14:textId="3D70569E" w:rsidR="009E3814" w:rsidRPr="00F500C4" w:rsidRDefault="009E3814" w:rsidP="009E3814">
      <w:pPr>
        <w:pStyle w:val="FootnoteText"/>
        <w:rPr>
          <w:lang w:val="en-GB"/>
        </w:rPr>
      </w:pPr>
      <w:r w:rsidRPr="000C270A">
        <w:rPr>
          <w:rStyle w:val="FootnoteReference"/>
        </w:rPr>
        <w:footnoteRef/>
      </w:r>
      <w:r w:rsidRPr="000C270A">
        <w:t xml:space="preserve"> </w:t>
      </w:r>
      <w:r w:rsidRPr="000C270A">
        <w:rPr>
          <w:lang w:val="en-GB"/>
        </w:rPr>
        <w:t>Clause 10(</w:t>
      </w:r>
      <w:r w:rsidR="00336E81">
        <w:rPr>
          <w:lang w:val="en-GB"/>
        </w:rPr>
        <w:t>2</w:t>
      </w:r>
      <w:r w:rsidRPr="000C270A">
        <w:rPr>
          <w:lang w:val="en-GB"/>
        </w:rPr>
        <w:t>)(b)(i)</w:t>
      </w:r>
      <w:r w:rsidR="00906D13">
        <w:t>, Schedule 1, RMA</w:t>
      </w:r>
      <w:r w:rsidRPr="000C270A">
        <w:rPr>
          <w:lang w:val="en-GB"/>
        </w:rPr>
        <w:t xml:space="preserve"> </w:t>
      </w:r>
      <w:r w:rsidR="00336E81">
        <w:rPr>
          <w:lang w:val="en-GB"/>
        </w:rPr>
        <w:t>- c</w:t>
      </w:r>
      <w:r w:rsidRPr="000C270A">
        <w:rPr>
          <w:lang w:val="en-GB"/>
        </w:rPr>
        <w:t xml:space="preserve">onsequential amendment arising from </w:t>
      </w:r>
      <w:r w:rsidRPr="000C270A">
        <w:t>00139.088 DCC, 00305.020 Waka Kotahi</w:t>
      </w:r>
    </w:p>
  </w:footnote>
  <w:footnote w:id="825">
    <w:p w14:paraId="24F414B8" w14:textId="77777777" w:rsidR="009E3814" w:rsidRDefault="009E3814" w:rsidP="009E3814">
      <w:pPr>
        <w:pStyle w:val="FootnoteText"/>
        <w:rPr>
          <w:lang w:val="en-GB"/>
        </w:rPr>
      </w:pPr>
      <w:r>
        <w:rPr>
          <w:rStyle w:val="FootnoteReference"/>
        </w:rPr>
        <w:footnoteRef/>
      </w:r>
      <w:r>
        <w:t xml:space="preserve"> 00139.088 DCC </w:t>
      </w:r>
    </w:p>
  </w:footnote>
  <w:footnote w:id="826">
    <w:p w14:paraId="42CB8AB2" w14:textId="77777777" w:rsidR="009E3814" w:rsidRDefault="009E3814" w:rsidP="009E3814">
      <w:pPr>
        <w:pStyle w:val="FootnoteText"/>
        <w:rPr>
          <w:lang w:val="en-GB"/>
        </w:rPr>
      </w:pPr>
      <w:r>
        <w:rPr>
          <w:rStyle w:val="FootnoteReference"/>
        </w:rPr>
        <w:footnoteRef/>
      </w:r>
      <w:r>
        <w:t xml:space="preserve"> 00226.171 Kāi Tahu ki Otago</w:t>
      </w:r>
    </w:p>
  </w:footnote>
  <w:footnote w:id="827">
    <w:p w14:paraId="0150C2B7" w14:textId="77777777" w:rsidR="009E3814" w:rsidRDefault="009E3814" w:rsidP="009E3814">
      <w:pPr>
        <w:pStyle w:val="FootnoteText"/>
      </w:pPr>
      <w:r>
        <w:rPr>
          <w:rStyle w:val="FootnoteReference"/>
        </w:rPr>
        <w:footnoteRef/>
      </w:r>
      <w:r>
        <w:t xml:space="preserve"> </w:t>
      </w:r>
      <w:r>
        <w:rPr>
          <w:rFonts w:cstheme="minorHAnsi"/>
        </w:rPr>
        <w:t>00101.031 Toitū te Whenua, 00223.086 Ngāi Tahu ki Murihiku</w:t>
      </w:r>
    </w:p>
  </w:footnote>
  <w:footnote w:id="828">
    <w:p w14:paraId="0F4D62BC"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829">
    <w:p w14:paraId="124A9038" w14:textId="77777777" w:rsidR="009E3814" w:rsidRDefault="009E3814" w:rsidP="009E3814">
      <w:pPr>
        <w:pStyle w:val="FootnoteText"/>
      </w:pPr>
      <w:r>
        <w:rPr>
          <w:rStyle w:val="FootnoteReference"/>
        </w:rPr>
        <w:footnoteRef/>
      </w:r>
      <w:r>
        <w:t xml:space="preserve"> </w:t>
      </w:r>
      <w:r>
        <w:rPr>
          <w:rFonts w:cstheme="minorHAnsi"/>
        </w:rPr>
        <w:t>00226.011 Kāi Tahu ki Otago, 00223.086 Ngāi Tahu ki Murihiku</w:t>
      </w:r>
    </w:p>
  </w:footnote>
  <w:footnote w:id="830">
    <w:p w14:paraId="518B6E7D" w14:textId="77777777" w:rsidR="009E3814" w:rsidRDefault="009E3814" w:rsidP="009E3814">
      <w:pPr>
        <w:pStyle w:val="FootnoteText"/>
      </w:pPr>
      <w:r w:rsidRPr="14C11886">
        <w:rPr>
          <w:rStyle w:val="FootnoteReference"/>
          <w:rFonts w:eastAsia="Calibri"/>
          <w:szCs w:val="18"/>
        </w:rPr>
        <w:footnoteRef/>
      </w:r>
      <w:r w:rsidRPr="14C11886">
        <w:rPr>
          <w:rFonts w:eastAsia="Calibri"/>
          <w:szCs w:val="18"/>
        </w:rPr>
        <w:t xml:space="preserve"> Clause 16(2) Schedule 1, RMA</w:t>
      </w:r>
    </w:p>
  </w:footnote>
  <w:footnote w:id="831">
    <w:p w14:paraId="6D1A94F3" w14:textId="77777777" w:rsidR="009E3814" w:rsidRDefault="009E3814" w:rsidP="009E3814">
      <w:pPr>
        <w:pStyle w:val="FootnoteText"/>
        <w:rPr>
          <w:rFonts w:eastAsia="Calibri"/>
          <w:szCs w:val="18"/>
        </w:rPr>
      </w:pPr>
      <w:r w:rsidRPr="14C11886">
        <w:rPr>
          <w:rStyle w:val="FootnoteReference"/>
          <w:rFonts w:eastAsia="Calibri"/>
          <w:szCs w:val="18"/>
        </w:rPr>
        <w:footnoteRef/>
      </w:r>
      <w:r w:rsidRPr="14C11886">
        <w:rPr>
          <w:rFonts w:eastAsia="Calibri"/>
          <w:szCs w:val="18"/>
        </w:rPr>
        <w:t xml:space="preserve"> Clause 16(2) Schedule 1, RMA</w:t>
      </w:r>
    </w:p>
  </w:footnote>
  <w:footnote w:id="832">
    <w:p w14:paraId="39CE22FA"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833">
    <w:p w14:paraId="2FD12737" w14:textId="77777777" w:rsidR="009E3814" w:rsidRDefault="009E3814" w:rsidP="009E3814">
      <w:pPr>
        <w:pStyle w:val="FootnoteText"/>
      </w:pPr>
      <w:r>
        <w:rPr>
          <w:rStyle w:val="FootnoteReference"/>
        </w:rPr>
        <w:footnoteRef/>
      </w:r>
      <w:r>
        <w:t xml:space="preserve"> 00239.083 Federated Farmers</w:t>
      </w:r>
    </w:p>
  </w:footnote>
  <w:footnote w:id="834">
    <w:p w14:paraId="70944F5F" w14:textId="50B1E891" w:rsidR="00E8447E" w:rsidRPr="004D0D2A" w:rsidRDefault="00E8447E">
      <w:pPr>
        <w:pStyle w:val="FootnoteText"/>
      </w:pPr>
      <w:r>
        <w:rPr>
          <w:rStyle w:val="FootnoteReference"/>
        </w:rPr>
        <w:footnoteRef/>
      </w:r>
      <w:r>
        <w:t xml:space="preserve"> </w:t>
      </w:r>
      <w:r w:rsidR="004D0D2A">
        <w:t>00226.170 Kāi Tahu ki Otago</w:t>
      </w:r>
    </w:p>
  </w:footnote>
  <w:footnote w:id="835">
    <w:p w14:paraId="05DA230E" w14:textId="77777777" w:rsidR="009E3814" w:rsidRDefault="009E3814" w:rsidP="009E3814">
      <w:pPr>
        <w:pStyle w:val="FootnoteText"/>
      </w:pPr>
      <w:r w:rsidRPr="14C11886">
        <w:rPr>
          <w:rStyle w:val="FootnoteReference"/>
          <w:rFonts w:eastAsia="Calibri"/>
          <w:szCs w:val="18"/>
        </w:rPr>
        <w:footnoteRef/>
      </w:r>
      <w:r w:rsidRPr="14C11886">
        <w:rPr>
          <w:rFonts w:eastAsia="Calibri"/>
          <w:szCs w:val="18"/>
        </w:rPr>
        <w:t xml:space="preserve"> Clause 16(2) Schedule 1, RMA</w:t>
      </w:r>
    </w:p>
  </w:footnote>
  <w:footnote w:id="836">
    <w:p w14:paraId="1C7F7ACC" w14:textId="77777777" w:rsidR="009E3814" w:rsidRDefault="009E3814" w:rsidP="009E3814">
      <w:pPr>
        <w:pStyle w:val="FootnoteText"/>
        <w:rPr>
          <w:rFonts w:eastAsia="Calibri"/>
          <w:szCs w:val="18"/>
        </w:rPr>
      </w:pPr>
      <w:r w:rsidRPr="14C11886">
        <w:rPr>
          <w:rStyle w:val="FootnoteReference"/>
          <w:rFonts w:eastAsia="Calibri"/>
          <w:szCs w:val="18"/>
        </w:rPr>
        <w:footnoteRef/>
      </w:r>
      <w:r w:rsidRPr="14C11886">
        <w:rPr>
          <w:rFonts w:eastAsia="Calibri"/>
          <w:szCs w:val="18"/>
        </w:rPr>
        <w:t xml:space="preserve"> Clause 16(2) Schedule 1, RMA</w:t>
      </w:r>
    </w:p>
  </w:footnote>
  <w:footnote w:id="837">
    <w:p w14:paraId="6196AC1D" w14:textId="77777777" w:rsidR="009E3814" w:rsidRDefault="009E3814" w:rsidP="009E3814">
      <w:pPr>
        <w:pStyle w:val="FootnoteText"/>
        <w:rPr>
          <w:rFonts w:eastAsia="Calibri"/>
          <w:szCs w:val="18"/>
        </w:rPr>
      </w:pPr>
      <w:r w:rsidRPr="14C11886">
        <w:rPr>
          <w:rStyle w:val="FootnoteReference"/>
          <w:rFonts w:eastAsia="Calibri"/>
          <w:szCs w:val="18"/>
        </w:rPr>
        <w:footnoteRef/>
      </w:r>
      <w:r w:rsidRPr="14C11886">
        <w:rPr>
          <w:rFonts w:eastAsia="Calibri"/>
          <w:szCs w:val="18"/>
        </w:rPr>
        <w:t xml:space="preserve"> Clause 16(2) Schedule 1, RMA</w:t>
      </w:r>
    </w:p>
  </w:footnote>
  <w:footnote w:id="838">
    <w:p w14:paraId="6C55C3BA" w14:textId="15C3D5A4" w:rsidR="009E3814" w:rsidRDefault="009E3814" w:rsidP="009E3814">
      <w:pPr>
        <w:pStyle w:val="FootnoteText"/>
      </w:pPr>
      <w:r>
        <w:rPr>
          <w:rStyle w:val="FootnoteReference"/>
        </w:rPr>
        <w:footnoteRef/>
      </w:r>
      <w:r>
        <w:t xml:space="preserve"> </w:t>
      </w:r>
      <w:r>
        <w:rPr>
          <w:rFonts w:cstheme="minorHAnsi"/>
        </w:rPr>
        <w:t>00226.174</w:t>
      </w:r>
      <w:r w:rsidR="004F5D88">
        <w:rPr>
          <w:rFonts w:cstheme="minorHAnsi"/>
        </w:rPr>
        <w:t xml:space="preserve"> </w:t>
      </w:r>
      <w:r w:rsidR="004F5D88">
        <w:t>Kāi Tahu ki Otago</w:t>
      </w:r>
    </w:p>
  </w:footnote>
  <w:footnote w:id="839">
    <w:p w14:paraId="3142A5B1" w14:textId="09CFE61C" w:rsidR="009E3814" w:rsidRDefault="009E3814" w:rsidP="009E3814">
      <w:pPr>
        <w:pStyle w:val="FootnoteText"/>
      </w:pPr>
      <w:r>
        <w:rPr>
          <w:rStyle w:val="FootnoteReference"/>
        </w:rPr>
        <w:footnoteRef/>
      </w:r>
      <w:r>
        <w:t xml:space="preserve"> </w:t>
      </w:r>
      <w:r>
        <w:rPr>
          <w:rFonts w:cstheme="minorHAnsi"/>
        </w:rPr>
        <w:t>00237.030</w:t>
      </w:r>
      <w:r w:rsidR="004F5D88">
        <w:rPr>
          <w:rFonts w:cstheme="minorHAnsi"/>
        </w:rPr>
        <w:t xml:space="preserve"> </w:t>
      </w:r>
      <w:r w:rsidR="004F5D88">
        <w:t>Beef + Lamb and DINZ</w:t>
      </w:r>
    </w:p>
  </w:footnote>
  <w:footnote w:id="840">
    <w:p w14:paraId="64DB3929" w14:textId="48324B86" w:rsidR="009E3814" w:rsidRDefault="009E3814" w:rsidP="009E3814">
      <w:pPr>
        <w:pStyle w:val="FootnoteText"/>
      </w:pPr>
      <w:r>
        <w:rPr>
          <w:rStyle w:val="FootnoteReference"/>
        </w:rPr>
        <w:footnoteRef/>
      </w:r>
      <w:r>
        <w:t xml:space="preserve"> </w:t>
      </w:r>
      <w:r>
        <w:rPr>
          <w:rFonts w:cstheme="minorHAnsi"/>
        </w:rPr>
        <w:t>00237.030</w:t>
      </w:r>
      <w:r w:rsidR="00CB2104">
        <w:rPr>
          <w:rFonts w:cstheme="minorHAnsi"/>
        </w:rPr>
        <w:t xml:space="preserve"> </w:t>
      </w:r>
      <w:r w:rsidR="00CB2104">
        <w:t>Beef + Lamb and DINZ</w:t>
      </w:r>
    </w:p>
  </w:footnote>
  <w:footnote w:id="841">
    <w:p w14:paraId="492CCD22" w14:textId="23251F3F" w:rsidR="009E3814" w:rsidRDefault="009E3814" w:rsidP="009E3814">
      <w:pPr>
        <w:pStyle w:val="FootnoteText"/>
      </w:pPr>
      <w:r>
        <w:rPr>
          <w:rStyle w:val="FootnoteReference"/>
        </w:rPr>
        <w:footnoteRef/>
      </w:r>
      <w:r>
        <w:t xml:space="preserve"> </w:t>
      </w:r>
      <w:r>
        <w:rPr>
          <w:rFonts w:cstheme="minorHAnsi"/>
        </w:rPr>
        <w:t>00237.030</w:t>
      </w:r>
      <w:r w:rsidR="00CB2104">
        <w:rPr>
          <w:rFonts w:cstheme="minorHAnsi"/>
        </w:rPr>
        <w:t xml:space="preserve"> </w:t>
      </w:r>
      <w:r w:rsidR="00CB2104">
        <w:t>Beef + Lamb and DINZ</w:t>
      </w:r>
    </w:p>
  </w:footnote>
  <w:footnote w:id="842">
    <w:p w14:paraId="18BC0CF2" w14:textId="70F3016E" w:rsidR="001B2CD0" w:rsidRDefault="001B2CD0">
      <w:pPr>
        <w:pStyle w:val="FootnoteText"/>
      </w:pPr>
      <w:r>
        <w:rPr>
          <w:rStyle w:val="FootnoteReference"/>
        </w:rPr>
        <w:footnoteRef/>
      </w:r>
      <w:r>
        <w:t xml:space="preserve"> </w:t>
      </w:r>
      <w:r w:rsidR="00705DE5">
        <w:t>Clause 16(2), Schedule 1, RMA</w:t>
      </w:r>
    </w:p>
  </w:footnote>
  <w:footnote w:id="843">
    <w:p w14:paraId="56C67920" w14:textId="77777777" w:rsidR="009E3814" w:rsidRDefault="009E3814" w:rsidP="009E3814">
      <w:pPr>
        <w:pStyle w:val="FootnoteText"/>
      </w:pPr>
      <w:r>
        <w:rPr>
          <w:rStyle w:val="FootnoteReference"/>
        </w:rPr>
        <w:footnoteRef/>
      </w:r>
      <w:r>
        <w:t xml:space="preserve"> </w:t>
      </w:r>
      <w:r>
        <w:rPr>
          <w:rFonts w:cstheme="minorHAnsi"/>
        </w:rPr>
        <w:t>00226.175 Kāi Tahu ki Otago</w:t>
      </w:r>
    </w:p>
  </w:footnote>
  <w:footnote w:id="844">
    <w:p w14:paraId="1721B06C" w14:textId="77777777" w:rsidR="009E3814" w:rsidRDefault="009E3814" w:rsidP="009E3814">
      <w:pPr>
        <w:pStyle w:val="FootnoteText"/>
      </w:pPr>
      <w:r>
        <w:rPr>
          <w:rStyle w:val="FootnoteReference"/>
        </w:rPr>
        <w:footnoteRef/>
      </w:r>
      <w:r>
        <w:t xml:space="preserve"> </w:t>
      </w:r>
      <w:r>
        <w:rPr>
          <w:rFonts w:cstheme="minorHAnsi"/>
        </w:rPr>
        <w:t>00226.175 Kāi Tahu ki Otago</w:t>
      </w:r>
    </w:p>
  </w:footnote>
  <w:footnote w:id="845">
    <w:p w14:paraId="0279D304" w14:textId="77777777" w:rsidR="009E3814" w:rsidRDefault="009E3814" w:rsidP="009E3814">
      <w:pPr>
        <w:pStyle w:val="FootnoteText"/>
      </w:pPr>
      <w:r w:rsidRPr="4D7F44F5">
        <w:rPr>
          <w:rStyle w:val="FootnoteReference"/>
          <w:rFonts w:eastAsia="Calibri"/>
          <w:szCs w:val="18"/>
        </w:rPr>
        <w:footnoteRef/>
      </w:r>
      <w:r w:rsidRPr="4D7F44F5">
        <w:rPr>
          <w:rFonts w:eastAsia="Calibri"/>
          <w:szCs w:val="18"/>
        </w:rPr>
        <w:t xml:space="preserve"> 00139.0</w:t>
      </w:r>
      <w:r w:rsidRPr="673A1FF6">
        <w:rPr>
          <w:rFonts w:eastAsia="Calibri"/>
          <w:szCs w:val="18"/>
        </w:rPr>
        <w:t>96 DCC</w:t>
      </w:r>
    </w:p>
  </w:footnote>
  <w:footnote w:id="846">
    <w:p w14:paraId="16A0E146" w14:textId="77777777" w:rsidR="009E3814" w:rsidRDefault="009E3814" w:rsidP="009E3814">
      <w:pPr>
        <w:pStyle w:val="FootnoteText"/>
      </w:pPr>
      <w:r w:rsidRPr="58110089">
        <w:rPr>
          <w:rStyle w:val="FootnoteReference"/>
          <w:rFonts w:eastAsia="Calibri"/>
          <w:szCs w:val="18"/>
        </w:rPr>
        <w:footnoteRef/>
      </w:r>
      <w:r>
        <w:t xml:space="preserve"> </w:t>
      </w:r>
      <w:r>
        <w:rPr>
          <w:szCs w:val="18"/>
        </w:rPr>
        <w:t>00237.031 Beef + Lamb and DINZ</w:t>
      </w:r>
    </w:p>
  </w:footnote>
  <w:footnote w:id="847">
    <w:p w14:paraId="34EF0357" w14:textId="77777777" w:rsidR="009E3814" w:rsidRDefault="009E3814" w:rsidP="009E3814">
      <w:pPr>
        <w:pStyle w:val="FootnoteText"/>
      </w:pPr>
      <w:r>
        <w:rPr>
          <w:rStyle w:val="FootnoteReference"/>
        </w:rPr>
        <w:footnoteRef/>
      </w:r>
      <w:r>
        <w:t xml:space="preserve"> </w:t>
      </w:r>
      <w:r>
        <w:rPr>
          <w:szCs w:val="18"/>
        </w:rPr>
        <w:t xml:space="preserve">00014.052 John Highton, </w:t>
      </w:r>
      <w:r>
        <w:t>00235.089 OWRUG</w:t>
      </w:r>
    </w:p>
  </w:footnote>
  <w:footnote w:id="848">
    <w:p w14:paraId="505FE0F8" w14:textId="77777777" w:rsidR="009E3814" w:rsidRDefault="009E3814" w:rsidP="009E3814">
      <w:pPr>
        <w:pStyle w:val="FootnoteText"/>
      </w:pPr>
      <w:r>
        <w:rPr>
          <w:rStyle w:val="FootnoteReference"/>
        </w:rPr>
        <w:footnoteRef/>
      </w:r>
      <w:r>
        <w:t xml:space="preserve"> 00231.051 Fish and Game</w:t>
      </w:r>
    </w:p>
  </w:footnote>
  <w:footnote w:id="849">
    <w:p w14:paraId="6C9FB78E" w14:textId="77777777" w:rsidR="009E3814" w:rsidRDefault="009E3814" w:rsidP="009E3814">
      <w:pPr>
        <w:pStyle w:val="FootnoteText"/>
      </w:pPr>
      <w:r>
        <w:rPr>
          <w:rStyle w:val="FootnoteReference"/>
        </w:rPr>
        <w:footnoteRef/>
      </w:r>
      <w:r>
        <w:t xml:space="preserve"> 00223.087 Ngāi Tahu ki Murihiku</w:t>
      </w:r>
    </w:p>
  </w:footnote>
  <w:footnote w:id="850">
    <w:p w14:paraId="1C6702C0"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851">
    <w:p w14:paraId="2B9AC133" w14:textId="067F7D5A" w:rsidR="000419F6" w:rsidRPr="00E81795" w:rsidRDefault="000419F6" w:rsidP="000419F6">
      <w:pPr>
        <w:pStyle w:val="FootnoteText"/>
        <w:ind w:left="709" w:hanging="709"/>
        <w:rPr>
          <w:rFonts w:cstheme="minorHAnsi"/>
        </w:rPr>
      </w:pPr>
      <w:r w:rsidRPr="00E81795">
        <w:rPr>
          <w:rStyle w:val="FootnoteReference"/>
          <w:rFonts w:cstheme="minorHAnsi"/>
        </w:rPr>
        <w:footnoteRef/>
      </w:r>
      <w:r w:rsidRPr="00E81795">
        <w:rPr>
          <w:rFonts w:cstheme="minorHAnsi"/>
        </w:rPr>
        <w:t xml:space="preserve"> 00207.002 PWCG, 00213.019 Waitaki Irrigators, 00235.093 OWRUG, 00306.033 Meridian, 00509.074 Wise Response, 00213.019 Waitaki Irrigators</w:t>
      </w:r>
    </w:p>
  </w:footnote>
  <w:footnote w:id="852">
    <w:p w14:paraId="200CDAE8" w14:textId="77777777" w:rsidR="00FF7FCE" w:rsidRDefault="00FF7FCE" w:rsidP="00FF7FCE">
      <w:pPr>
        <w:pStyle w:val="FootnoteText"/>
      </w:pPr>
      <w:r>
        <w:rPr>
          <w:rStyle w:val="FootnoteReference"/>
        </w:rPr>
        <w:footnoteRef/>
      </w:r>
      <w:r>
        <w:t xml:space="preserve"> 00231.053 Fish and Game</w:t>
      </w:r>
    </w:p>
  </w:footnote>
  <w:footnote w:id="853">
    <w:p w14:paraId="6AF2832A" w14:textId="63F88FA7" w:rsidR="000419F6" w:rsidRPr="00163C0D" w:rsidRDefault="000419F6" w:rsidP="000419F6">
      <w:pPr>
        <w:pStyle w:val="FootnoteText"/>
        <w:rPr>
          <w:lang w:val="en-GB"/>
        </w:rPr>
      </w:pPr>
      <w:r>
        <w:rPr>
          <w:rStyle w:val="FootnoteReference"/>
        </w:rPr>
        <w:footnoteRef/>
      </w:r>
      <w:r>
        <w:t xml:space="preserve"> </w:t>
      </w:r>
      <w:r w:rsidRPr="00E81795">
        <w:rPr>
          <w:rFonts w:cstheme="minorHAnsi"/>
        </w:rPr>
        <w:t>00226.179</w:t>
      </w:r>
      <w:r w:rsidRPr="00E81795">
        <w:rPr>
          <w:rFonts w:eastAsia="Yu Mincho" w:cstheme="minorHAnsi"/>
          <w:color w:val="000000"/>
          <w:lang w:eastAsia="en-NZ"/>
        </w:rPr>
        <w:t xml:space="preserve"> </w:t>
      </w:r>
      <w:r w:rsidRPr="00E81795">
        <w:rPr>
          <w:rFonts w:cstheme="minorHAnsi"/>
        </w:rPr>
        <w:t>Kāi Tahu ki Otago</w:t>
      </w:r>
    </w:p>
  </w:footnote>
  <w:footnote w:id="854">
    <w:p w14:paraId="7BF0E689"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855">
    <w:p w14:paraId="749EC097" w14:textId="51ABEF14" w:rsidR="000419F6" w:rsidRPr="00942CF5" w:rsidRDefault="000419F6" w:rsidP="000419F6">
      <w:pPr>
        <w:pStyle w:val="FootnoteText"/>
        <w:rPr>
          <w:lang w:val="en-GB"/>
        </w:rPr>
      </w:pPr>
      <w:r>
        <w:rPr>
          <w:rStyle w:val="FootnoteReference"/>
        </w:rPr>
        <w:footnoteRef/>
      </w:r>
      <w:r>
        <w:t xml:space="preserve"> </w:t>
      </w:r>
      <w:r w:rsidRPr="005613E4">
        <w:rPr>
          <w:rFonts w:cstheme="minorHAnsi"/>
        </w:rPr>
        <w:t>00119.009</w:t>
      </w:r>
      <w:r>
        <w:rPr>
          <w:rFonts w:cstheme="minorHAnsi"/>
        </w:rPr>
        <w:t xml:space="preserve"> Blackthorn, </w:t>
      </w:r>
      <w:r w:rsidRPr="005613E4">
        <w:rPr>
          <w:rFonts w:cstheme="minorHAnsi"/>
        </w:rPr>
        <w:t>00206.030</w:t>
      </w:r>
      <w:r>
        <w:rPr>
          <w:rFonts w:cstheme="minorHAnsi"/>
        </w:rPr>
        <w:t xml:space="preserve"> Trojan, </w:t>
      </w:r>
      <w:r w:rsidRPr="005613E4">
        <w:rPr>
          <w:rFonts w:cstheme="minorHAnsi"/>
        </w:rPr>
        <w:t>00411.042</w:t>
      </w:r>
      <w:r>
        <w:rPr>
          <w:rFonts w:cstheme="minorHAnsi"/>
        </w:rPr>
        <w:t xml:space="preserve"> Wayfare</w:t>
      </w:r>
    </w:p>
  </w:footnote>
  <w:footnote w:id="856">
    <w:p w14:paraId="094F5513" w14:textId="4BFFC44E" w:rsidR="000419F6" w:rsidRPr="00C4711D" w:rsidRDefault="000419F6" w:rsidP="000419F6">
      <w:pPr>
        <w:pStyle w:val="FootnoteText"/>
        <w:rPr>
          <w:lang w:val="en-GB"/>
        </w:rPr>
      </w:pPr>
      <w:r>
        <w:rPr>
          <w:rStyle w:val="FootnoteReference"/>
        </w:rPr>
        <w:footnoteRef/>
      </w:r>
      <w:r>
        <w:t xml:space="preserve"> </w:t>
      </w:r>
      <w:r w:rsidRPr="00D70089">
        <w:t>00237.033</w:t>
      </w:r>
      <w:r>
        <w:t xml:space="preserve"> Beef + Lamb and </w:t>
      </w:r>
      <w:r w:rsidRPr="00565E1C">
        <w:t>DINZ</w:t>
      </w:r>
    </w:p>
  </w:footnote>
  <w:footnote w:id="857">
    <w:p w14:paraId="437F62E3" w14:textId="2E1ACFB6" w:rsidR="000419F6" w:rsidRPr="00942CF5" w:rsidRDefault="000419F6" w:rsidP="000419F6">
      <w:pPr>
        <w:pStyle w:val="FootnoteText"/>
        <w:rPr>
          <w:lang w:val="en-GB"/>
        </w:rPr>
      </w:pPr>
      <w:r>
        <w:rPr>
          <w:rStyle w:val="FootnoteReference"/>
        </w:rPr>
        <w:footnoteRef/>
      </w:r>
      <w:r>
        <w:t xml:space="preserve"> </w:t>
      </w:r>
      <w:r w:rsidRPr="005613E4">
        <w:rPr>
          <w:rFonts w:cstheme="minorHAnsi"/>
        </w:rPr>
        <w:t>00119.009</w:t>
      </w:r>
      <w:r>
        <w:rPr>
          <w:rFonts w:cstheme="minorHAnsi"/>
        </w:rPr>
        <w:t xml:space="preserve"> Blackthorn, </w:t>
      </w:r>
      <w:r w:rsidRPr="005613E4">
        <w:rPr>
          <w:rFonts w:cstheme="minorHAnsi"/>
        </w:rPr>
        <w:t>00206.030</w:t>
      </w:r>
      <w:r>
        <w:rPr>
          <w:rFonts w:cstheme="minorHAnsi"/>
        </w:rPr>
        <w:t xml:space="preserve"> Trojan, </w:t>
      </w:r>
      <w:r w:rsidRPr="005613E4">
        <w:rPr>
          <w:rFonts w:cstheme="minorHAnsi"/>
        </w:rPr>
        <w:t>00411.042</w:t>
      </w:r>
      <w:r>
        <w:rPr>
          <w:rFonts w:cstheme="minorHAnsi"/>
        </w:rPr>
        <w:t xml:space="preserve"> Wayfare</w:t>
      </w:r>
    </w:p>
  </w:footnote>
  <w:footnote w:id="858">
    <w:p w14:paraId="09018605" w14:textId="559F37C2" w:rsidR="000419F6" w:rsidRPr="00CE721D" w:rsidRDefault="000419F6" w:rsidP="000419F6">
      <w:pPr>
        <w:pStyle w:val="FootnoteText"/>
        <w:rPr>
          <w:lang w:val="en-GB"/>
        </w:rPr>
      </w:pPr>
      <w:r>
        <w:rPr>
          <w:rStyle w:val="FootnoteReference"/>
        </w:rPr>
        <w:footnoteRef/>
      </w:r>
      <w:r>
        <w:t xml:space="preserve"> </w:t>
      </w:r>
      <w:r w:rsidRPr="005613E4">
        <w:rPr>
          <w:rFonts w:cstheme="minorHAnsi"/>
        </w:rPr>
        <w:t>00226.180</w:t>
      </w:r>
      <w:r>
        <w:rPr>
          <w:rFonts w:cstheme="minorHAnsi"/>
        </w:rPr>
        <w:t xml:space="preserve"> </w:t>
      </w:r>
      <w:r w:rsidRPr="006F61C4">
        <w:t>Kāi Tahu ki Otago</w:t>
      </w:r>
    </w:p>
  </w:footnote>
  <w:footnote w:id="859">
    <w:p w14:paraId="1A7F2258" w14:textId="582AE19F" w:rsidR="000419F6" w:rsidRPr="00CE721D" w:rsidRDefault="000419F6" w:rsidP="000419F6">
      <w:pPr>
        <w:pStyle w:val="FootnoteText"/>
        <w:rPr>
          <w:lang w:val="en-GB"/>
        </w:rPr>
      </w:pPr>
      <w:r>
        <w:rPr>
          <w:rStyle w:val="FootnoteReference"/>
        </w:rPr>
        <w:footnoteRef/>
      </w:r>
      <w:r>
        <w:t xml:space="preserve"> </w:t>
      </w:r>
      <w:r w:rsidRPr="005613E4">
        <w:rPr>
          <w:rFonts w:cstheme="minorHAnsi"/>
        </w:rPr>
        <w:t>00226.180</w:t>
      </w:r>
      <w:r>
        <w:rPr>
          <w:rFonts w:cstheme="minorHAnsi"/>
        </w:rPr>
        <w:t xml:space="preserve"> </w:t>
      </w:r>
      <w:r w:rsidRPr="006F61C4">
        <w:t>Kāi Tahu ki Otago</w:t>
      </w:r>
    </w:p>
  </w:footnote>
  <w:footnote w:id="860">
    <w:p w14:paraId="1A554A1C" w14:textId="77777777" w:rsidR="000419F6" w:rsidRDefault="000419F6" w:rsidP="000419F6">
      <w:pPr>
        <w:pStyle w:val="FootnoteText"/>
      </w:pPr>
      <w:r>
        <w:rPr>
          <w:rStyle w:val="FootnoteReference"/>
        </w:rPr>
        <w:footnoteRef/>
      </w:r>
      <w:r>
        <w:t xml:space="preserve"> </w:t>
      </w:r>
      <w:r w:rsidRPr="005613E4">
        <w:rPr>
          <w:rFonts w:cstheme="minorHAnsi"/>
        </w:rPr>
        <w:t>00136.006</w:t>
      </w:r>
      <w:r>
        <w:rPr>
          <w:rFonts w:cstheme="minorHAnsi"/>
        </w:rPr>
        <w:t xml:space="preserve"> Minister for the Environment</w:t>
      </w:r>
    </w:p>
  </w:footnote>
  <w:footnote w:id="861">
    <w:p w14:paraId="4FA8DCE7" w14:textId="77777777" w:rsidR="000419F6" w:rsidRDefault="000419F6" w:rsidP="000419F6">
      <w:pPr>
        <w:pStyle w:val="FootnoteText"/>
      </w:pPr>
      <w:r>
        <w:rPr>
          <w:rStyle w:val="FootnoteReference"/>
        </w:rPr>
        <w:footnoteRef/>
      </w:r>
      <w:r>
        <w:t xml:space="preserve"> </w:t>
      </w:r>
      <w:r w:rsidRPr="005613E4">
        <w:rPr>
          <w:rFonts w:cstheme="minorHAnsi"/>
        </w:rPr>
        <w:t>00306.034</w:t>
      </w:r>
      <w:r>
        <w:rPr>
          <w:rFonts w:cstheme="minorHAnsi"/>
        </w:rPr>
        <w:t xml:space="preserve"> Meridian</w:t>
      </w:r>
    </w:p>
  </w:footnote>
  <w:footnote w:id="862">
    <w:p w14:paraId="1C2F7119" w14:textId="77777777" w:rsidR="000419F6" w:rsidRPr="00806CB4" w:rsidRDefault="000419F6" w:rsidP="000419F6">
      <w:pPr>
        <w:pStyle w:val="FootnoteText"/>
        <w:rPr>
          <w:lang w:val="en-GB"/>
        </w:rPr>
      </w:pPr>
      <w:r>
        <w:rPr>
          <w:rStyle w:val="FootnoteReference"/>
        </w:rPr>
        <w:footnoteRef/>
      </w:r>
      <w:r>
        <w:t xml:space="preserve"> </w:t>
      </w:r>
      <w:r w:rsidRPr="005613E4">
        <w:rPr>
          <w:rFonts w:cstheme="minorHAnsi"/>
        </w:rPr>
        <w:t>00226.182</w:t>
      </w:r>
      <w:r>
        <w:rPr>
          <w:rFonts w:cstheme="minorHAnsi"/>
        </w:rPr>
        <w:t xml:space="preserve"> </w:t>
      </w:r>
      <w:r w:rsidRPr="0083612B">
        <w:t>Kāi Tahu ki Otago</w:t>
      </w:r>
      <w:r>
        <w:rPr>
          <w:rFonts w:cstheme="minorHAnsi"/>
        </w:rPr>
        <w:t xml:space="preserve">, </w:t>
      </w:r>
      <w:r w:rsidRPr="005613E4">
        <w:rPr>
          <w:rFonts w:cstheme="minorHAnsi"/>
        </w:rPr>
        <w:t>00234.029</w:t>
      </w:r>
      <w:r>
        <w:rPr>
          <w:rFonts w:cstheme="minorHAnsi"/>
        </w:rPr>
        <w:t xml:space="preserve"> Te Rūnanga o Ngāi Tahu</w:t>
      </w:r>
    </w:p>
  </w:footnote>
  <w:footnote w:id="863">
    <w:p w14:paraId="2690B5B5" w14:textId="77777777" w:rsidR="00A166F5" w:rsidRDefault="00A166F5" w:rsidP="00A166F5">
      <w:pPr>
        <w:pStyle w:val="FootnoteText"/>
      </w:pPr>
      <w:r>
        <w:rPr>
          <w:rStyle w:val="FootnoteReference"/>
        </w:rPr>
        <w:footnoteRef/>
      </w:r>
      <w:r>
        <w:t xml:space="preserve"> 00231.055 Fish and Game</w:t>
      </w:r>
    </w:p>
  </w:footnote>
  <w:footnote w:id="864">
    <w:p w14:paraId="20CAE43E"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865">
    <w:p w14:paraId="63128420" w14:textId="77777777" w:rsidR="000419F6" w:rsidRDefault="000419F6" w:rsidP="000419F6">
      <w:pPr>
        <w:pStyle w:val="FootnoteText"/>
      </w:pPr>
      <w:r>
        <w:rPr>
          <w:rStyle w:val="FootnoteReference"/>
        </w:rPr>
        <w:footnoteRef/>
      </w:r>
      <w:r>
        <w:t xml:space="preserve"> </w:t>
      </w:r>
      <w:bookmarkStart w:id="163" w:name="_Hlk86817206"/>
      <w:r w:rsidRPr="005613E4">
        <w:rPr>
          <w:rFonts w:cstheme="minorHAnsi"/>
        </w:rPr>
        <w:t>00226.182</w:t>
      </w:r>
      <w:bookmarkEnd w:id="163"/>
      <w:r>
        <w:rPr>
          <w:rFonts w:cstheme="minorHAnsi"/>
        </w:rPr>
        <w:t xml:space="preserve"> Kāi Tahu ki Otago</w:t>
      </w:r>
    </w:p>
  </w:footnote>
  <w:footnote w:id="866">
    <w:p w14:paraId="5863BABB" w14:textId="77777777" w:rsidR="000419F6" w:rsidRDefault="000419F6" w:rsidP="000419F6">
      <w:pPr>
        <w:pStyle w:val="FootnoteText"/>
      </w:pPr>
      <w:r>
        <w:rPr>
          <w:rStyle w:val="FootnoteReference"/>
        </w:rPr>
        <w:footnoteRef/>
      </w:r>
      <w:r>
        <w:t xml:space="preserve"> </w:t>
      </w:r>
      <w:r w:rsidRPr="005613E4">
        <w:rPr>
          <w:rFonts w:cstheme="minorHAnsi"/>
        </w:rPr>
        <w:t>00137.072</w:t>
      </w:r>
      <w:r>
        <w:rPr>
          <w:rFonts w:cstheme="minorHAnsi"/>
        </w:rPr>
        <w:t xml:space="preserve"> DOC</w:t>
      </w:r>
    </w:p>
  </w:footnote>
  <w:footnote w:id="867">
    <w:p w14:paraId="04FF827C" w14:textId="77777777" w:rsidR="000419F6" w:rsidRDefault="000419F6" w:rsidP="000419F6">
      <w:pPr>
        <w:pStyle w:val="FootnoteText"/>
      </w:pPr>
      <w:r w:rsidRPr="00C04E0D">
        <w:rPr>
          <w:rStyle w:val="FootnoteReference"/>
        </w:rPr>
        <w:footnoteRef/>
      </w:r>
      <w:r w:rsidRPr="00C04E0D">
        <w:t xml:space="preserve"> 00306.032 Meridian</w:t>
      </w:r>
    </w:p>
  </w:footnote>
  <w:footnote w:id="868">
    <w:p w14:paraId="0CEB5FF7" w14:textId="77777777" w:rsidR="009E5068" w:rsidRPr="00142051" w:rsidRDefault="009E5068" w:rsidP="009E5068">
      <w:pPr>
        <w:pStyle w:val="FootnoteText"/>
        <w:rPr>
          <w:lang w:val="en-GB"/>
        </w:rPr>
      </w:pPr>
      <w:r>
        <w:rPr>
          <w:rStyle w:val="FootnoteReference"/>
        </w:rPr>
        <w:footnoteRef/>
      </w:r>
      <w:r>
        <w:t xml:space="preserve"> </w:t>
      </w:r>
      <w:r w:rsidRPr="005613E4">
        <w:rPr>
          <w:rFonts w:cstheme="minorHAnsi"/>
        </w:rPr>
        <w:t>00230.088</w:t>
      </w:r>
      <w:r>
        <w:rPr>
          <w:rFonts w:cstheme="minorHAnsi"/>
        </w:rPr>
        <w:t xml:space="preserve"> Forest and Bird</w:t>
      </w:r>
    </w:p>
  </w:footnote>
  <w:footnote w:id="869">
    <w:p w14:paraId="29744CF4" w14:textId="77777777" w:rsidR="000419F6" w:rsidRPr="00A75D2B" w:rsidRDefault="000419F6" w:rsidP="000419F6">
      <w:pPr>
        <w:pStyle w:val="FootnoteText"/>
        <w:rPr>
          <w:lang w:val="en-GB"/>
        </w:rPr>
      </w:pPr>
      <w:r>
        <w:rPr>
          <w:rStyle w:val="FootnoteReference"/>
        </w:rPr>
        <w:footnoteRef/>
      </w:r>
      <w:r>
        <w:t xml:space="preserve"> </w:t>
      </w:r>
      <w:r w:rsidRPr="005613E4">
        <w:rPr>
          <w:rFonts w:cstheme="minorHAnsi"/>
        </w:rPr>
        <w:t>00226.184</w:t>
      </w:r>
      <w:r w:rsidRPr="00F4137F">
        <w:rPr>
          <w:rFonts w:cstheme="minorHAnsi"/>
        </w:rPr>
        <w:t xml:space="preserve"> </w:t>
      </w:r>
      <w:r w:rsidRPr="00F4137F">
        <w:t>Kāi Tahu ki Otago</w:t>
      </w:r>
    </w:p>
  </w:footnote>
  <w:footnote w:id="870">
    <w:p w14:paraId="6DB901AF" w14:textId="5D19FF54" w:rsidR="000419F6" w:rsidRPr="00C53B8E" w:rsidRDefault="000419F6" w:rsidP="00CB2104">
      <w:pPr>
        <w:pStyle w:val="FootnoteText"/>
        <w:rPr>
          <w:lang w:val="en-GB"/>
        </w:rPr>
      </w:pPr>
      <w:r>
        <w:rPr>
          <w:rStyle w:val="FootnoteReference"/>
        </w:rPr>
        <w:footnoteRef/>
      </w:r>
      <w:r>
        <w:t xml:space="preserve"> </w:t>
      </w:r>
      <w:r w:rsidRPr="00ED2D5C">
        <w:t>00119.010</w:t>
      </w:r>
      <w:r>
        <w:t xml:space="preserve"> Blackthorn Lodge, </w:t>
      </w:r>
      <w:r w:rsidRPr="00ED2D5C">
        <w:t>00206.031</w:t>
      </w:r>
      <w:r>
        <w:t xml:space="preserve"> Trojan, </w:t>
      </w:r>
      <w:r w:rsidRPr="005613E4">
        <w:rPr>
          <w:rFonts w:cstheme="minorHAnsi"/>
        </w:rPr>
        <w:t>00226.184</w:t>
      </w:r>
      <w:r w:rsidRPr="00F4137F">
        <w:rPr>
          <w:rFonts w:cstheme="minorHAnsi"/>
        </w:rPr>
        <w:t xml:space="preserve"> </w:t>
      </w:r>
      <w:r w:rsidRPr="00F4137F">
        <w:t>Kāi Tahu ki Otago</w:t>
      </w:r>
      <w:r>
        <w:rPr>
          <w:rFonts w:cstheme="minorHAnsi"/>
        </w:rPr>
        <w:t xml:space="preserve">, </w:t>
      </w:r>
      <w:r w:rsidRPr="00ED2D5C">
        <w:rPr>
          <w:rFonts w:cstheme="minorHAnsi"/>
        </w:rPr>
        <w:t>00231.056</w:t>
      </w:r>
      <w:r>
        <w:rPr>
          <w:rFonts w:cstheme="minorHAnsi"/>
        </w:rPr>
        <w:t xml:space="preserve"> Fish and Game, 00</w:t>
      </w:r>
      <w:r w:rsidR="00A228B2">
        <w:rPr>
          <w:rFonts w:cstheme="minorHAnsi"/>
        </w:rPr>
        <w:t>306</w:t>
      </w:r>
      <w:r w:rsidRPr="00ED2D5C">
        <w:rPr>
          <w:rFonts w:cstheme="minorHAnsi"/>
        </w:rPr>
        <w:t>.035</w:t>
      </w:r>
      <w:r w:rsidR="00A228B2">
        <w:rPr>
          <w:rFonts w:cstheme="minorHAnsi"/>
        </w:rPr>
        <w:t xml:space="preserve"> M</w:t>
      </w:r>
      <w:r>
        <w:rPr>
          <w:rFonts w:cstheme="minorHAnsi"/>
        </w:rPr>
        <w:t xml:space="preserve">eridian, </w:t>
      </w:r>
      <w:bookmarkStart w:id="164" w:name="_Hlk86909398"/>
      <w:r w:rsidRPr="005613E4">
        <w:rPr>
          <w:rFonts w:cstheme="minorHAnsi"/>
        </w:rPr>
        <w:t>00311.016</w:t>
      </w:r>
      <w:bookmarkEnd w:id="164"/>
      <w:r>
        <w:rPr>
          <w:rFonts w:cstheme="minorHAnsi"/>
        </w:rPr>
        <w:t xml:space="preserve"> Trustpower, </w:t>
      </w:r>
      <w:r w:rsidRPr="005613E4">
        <w:rPr>
          <w:rFonts w:cstheme="minorHAnsi"/>
        </w:rPr>
        <w:t>00315.031</w:t>
      </w:r>
      <w:r>
        <w:rPr>
          <w:rFonts w:cstheme="minorHAnsi"/>
        </w:rPr>
        <w:t xml:space="preserve"> Aurora Energy</w:t>
      </w:r>
    </w:p>
  </w:footnote>
  <w:footnote w:id="871">
    <w:p w14:paraId="6D8276A1" w14:textId="1058AFE5"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72">
    <w:p w14:paraId="410DF999" w14:textId="4CD10227"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73">
    <w:p w14:paraId="502D26D7" w14:textId="22C6B38C"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74">
    <w:p w14:paraId="6F37F226" w14:textId="59D6DEC1"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75">
    <w:p w14:paraId="50519929" w14:textId="56FB5A22"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76">
    <w:p w14:paraId="656D8F63" w14:textId="3B698404"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77">
    <w:p w14:paraId="3722AC78" w14:textId="77777777" w:rsidR="000419F6" w:rsidRPr="006C428C" w:rsidRDefault="000419F6" w:rsidP="000419F6">
      <w:pPr>
        <w:pStyle w:val="FootnoteText"/>
        <w:rPr>
          <w:lang w:val="en-GB"/>
        </w:rPr>
      </w:pPr>
      <w:r>
        <w:rPr>
          <w:rStyle w:val="FootnoteReference"/>
        </w:rPr>
        <w:footnoteRef/>
      </w:r>
      <w:r>
        <w:t xml:space="preserve"> 00119.010 Blackthorn, 00206.031 Trojan, 00411.043 Wayfare</w:t>
      </w:r>
    </w:p>
  </w:footnote>
  <w:footnote w:id="878">
    <w:p w14:paraId="483F59D3" w14:textId="77777777" w:rsidR="000419F6" w:rsidRDefault="000419F6" w:rsidP="000419F6">
      <w:pPr>
        <w:pStyle w:val="FootnoteText"/>
      </w:pPr>
      <w:r>
        <w:rPr>
          <w:rStyle w:val="FootnoteReference"/>
        </w:rPr>
        <w:footnoteRef/>
      </w:r>
      <w:r>
        <w:t xml:space="preserve"> Clause 16(2), Schedule 1, RMA</w:t>
      </w:r>
    </w:p>
  </w:footnote>
  <w:footnote w:id="879">
    <w:p w14:paraId="70B5B525" w14:textId="13CC8E42" w:rsidR="00777342" w:rsidRDefault="00777342">
      <w:pPr>
        <w:pStyle w:val="FootnoteText"/>
      </w:pPr>
      <w:r>
        <w:rPr>
          <w:rStyle w:val="FootnoteReference"/>
        </w:rPr>
        <w:footnoteRef/>
      </w:r>
      <w:r>
        <w:t xml:space="preserve"> </w:t>
      </w:r>
      <w:r w:rsidRPr="00E81795">
        <w:rPr>
          <w:rFonts w:cstheme="minorHAnsi"/>
        </w:rPr>
        <w:t>00237.037 Beef + Lamb and DINZ, 00239.087 Federated Farmers</w:t>
      </w:r>
    </w:p>
  </w:footnote>
  <w:footnote w:id="880">
    <w:p w14:paraId="4A3648EE" w14:textId="77777777" w:rsidR="00777342" w:rsidRDefault="00777342" w:rsidP="00777342">
      <w:pPr>
        <w:pStyle w:val="FootnoteText"/>
      </w:pPr>
      <w:r>
        <w:rPr>
          <w:rStyle w:val="FootnoteReference"/>
        </w:rPr>
        <w:footnoteRef/>
      </w:r>
      <w:r>
        <w:t xml:space="preserve"> </w:t>
      </w:r>
      <w:r w:rsidRPr="00E81795">
        <w:rPr>
          <w:rFonts w:cstheme="minorHAnsi"/>
        </w:rPr>
        <w:t>00237.037 Beef + Lamb and DINZ, 00239.087 Federated Farmers</w:t>
      </w:r>
    </w:p>
  </w:footnote>
  <w:footnote w:id="881">
    <w:p w14:paraId="4165D283" w14:textId="77777777" w:rsidR="000419F6" w:rsidRDefault="000419F6" w:rsidP="000419F6">
      <w:pPr>
        <w:pStyle w:val="FootnoteText"/>
      </w:pPr>
      <w:r>
        <w:rPr>
          <w:rStyle w:val="FootnoteReference"/>
        </w:rPr>
        <w:footnoteRef/>
      </w:r>
      <w:r>
        <w:t xml:space="preserve"> Clause 16(2), Schedule 1, RMA</w:t>
      </w:r>
    </w:p>
  </w:footnote>
  <w:footnote w:id="882">
    <w:p w14:paraId="7A49C3C7" w14:textId="77777777" w:rsidR="000419F6" w:rsidRPr="000111D9" w:rsidRDefault="000419F6" w:rsidP="000419F6">
      <w:pPr>
        <w:pStyle w:val="FootnoteText"/>
        <w:rPr>
          <w:lang w:val="en-GB"/>
        </w:rPr>
      </w:pPr>
      <w:r>
        <w:rPr>
          <w:rStyle w:val="FootnoteReference"/>
        </w:rPr>
        <w:footnoteRef/>
      </w:r>
      <w:r>
        <w:t xml:space="preserve"> </w:t>
      </w:r>
      <w:r w:rsidRPr="00E81795">
        <w:rPr>
          <w:rFonts w:cstheme="minorHAnsi"/>
        </w:rPr>
        <w:t>00230.091 Forest and Bird</w:t>
      </w:r>
    </w:p>
  </w:footnote>
  <w:footnote w:id="883">
    <w:p w14:paraId="7AE8A17A" w14:textId="77777777" w:rsidR="000419F6" w:rsidRPr="00E81795" w:rsidRDefault="000419F6" w:rsidP="000419F6">
      <w:pPr>
        <w:pStyle w:val="FootnoteText"/>
        <w:rPr>
          <w:rFonts w:cstheme="minorHAnsi"/>
        </w:rPr>
      </w:pPr>
      <w:r w:rsidRPr="00E81795">
        <w:rPr>
          <w:rStyle w:val="FootnoteReference"/>
          <w:rFonts w:cstheme="minorHAnsi"/>
        </w:rPr>
        <w:footnoteRef/>
      </w:r>
      <w:r>
        <w:rPr>
          <w:rFonts w:cstheme="minorHAnsi"/>
        </w:rPr>
        <w:t xml:space="preserve"> 0</w:t>
      </w:r>
      <w:r w:rsidRPr="00E81795">
        <w:rPr>
          <w:rFonts w:cstheme="minorHAnsi"/>
        </w:rPr>
        <w:t>0235.095 OWRUG, 00315.032 Aurora Energy</w:t>
      </w:r>
      <w:r>
        <w:rPr>
          <w:rFonts w:cstheme="minorHAnsi"/>
        </w:rPr>
        <w:t xml:space="preserve">, </w:t>
      </w:r>
      <w:r w:rsidRPr="00E81795">
        <w:rPr>
          <w:rFonts w:cstheme="minorHAnsi"/>
        </w:rPr>
        <w:t>00305.023 Waka Kotahi</w:t>
      </w:r>
      <w:r>
        <w:rPr>
          <w:rFonts w:cstheme="minorHAnsi"/>
        </w:rPr>
        <w:t xml:space="preserve">, </w:t>
      </w:r>
    </w:p>
  </w:footnote>
  <w:footnote w:id="884">
    <w:p w14:paraId="4987ACA5"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00231.058 Fish and Game</w:t>
      </w:r>
    </w:p>
  </w:footnote>
  <w:footnote w:id="885">
    <w:p w14:paraId="74F7225C"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00231.058 Fish and Game</w:t>
      </w:r>
    </w:p>
  </w:footnote>
  <w:footnote w:id="886">
    <w:p w14:paraId="47EE1D41" w14:textId="3C936F01" w:rsidR="000419F6" w:rsidRDefault="000419F6" w:rsidP="000419F6">
      <w:pPr>
        <w:pStyle w:val="FootnoteText"/>
      </w:pPr>
      <w:r>
        <w:rPr>
          <w:rStyle w:val="FootnoteReference"/>
        </w:rPr>
        <w:footnoteRef/>
      </w:r>
      <w:r>
        <w:t xml:space="preserve"> Clause 10(</w:t>
      </w:r>
      <w:r w:rsidR="00853E46">
        <w:t>2</w:t>
      </w:r>
      <w:r>
        <w:t>)(b)(i)</w:t>
      </w:r>
      <w:r w:rsidR="00906D13">
        <w:t>, Schedule 1, RMA -</w:t>
      </w:r>
      <w:r>
        <w:t xml:space="preserve"> consequential amendment arising from </w:t>
      </w:r>
      <w:r w:rsidRPr="00E81795">
        <w:rPr>
          <w:rFonts w:cstheme="minorHAnsi"/>
        </w:rPr>
        <w:t>00231.058 Fish and Game</w:t>
      </w:r>
    </w:p>
  </w:footnote>
  <w:footnote w:id="887">
    <w:p w14:paraId="14E52DF1" w14:textId="4D588947"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88">
    <w:p w14:paraId="37203C89" w14:textId="77777777" w:rsidR="000419F6" w:rsidRPr="00F135EF" w:rsidRDefault="000419F6" w:rsidP="000419F6">
      <w:pPr>
        <w:pStyle w:val="FootnoteText"/>
        <w:rPr>
          <w:lang w:val="en-GB"/>
        </w:rPr>
      </w:pPr>
      <w:r>
        <w:rPr>
          <w:rStyle w:val="FootnoteReference"/>
        </w:rPr>
        <w:footnoteRef/>
      </w:r>
      <w:r>
        <w:t xml:space="preserve"> </w:t>
      </w:r>
      <w:r>
        <w:rPr>
          <w:lang w:val="en-GB"/>
        </w:rPr>
        <w:t>Clause 16(2), Schedule 1, RMA</w:t>
      </w:r>
    </w:p>
  </w:footnote>
  <w:footnote w:id="889">
    <w:p w14:paraId="6ABF2045" w14:textId="26F551A4" w:rsidR="000419F6" w:rsidRPr="00C90F54" w:rsidRDefault="000419F6" w:rsidP="000419F6">
      <w:pPr>
        <w:pStyle w:val="FootnoteText"/>
      </w:pPr>
      <w:r>
        <w:rPr>
          <w:rStyle w:val="FootnoteReference"/>
        </w:rPr>
        <w:footnoteRef/>
      </w:r>
      <w:r>
        <w:t xml:space="preserve"> </w:t>
      </w:r>
      <w:r>
        <w:rPr>
          <w:lang w:val="en-GB"/>
        </w:rPr>
        <w:t>Clause 10(2)(b)(i</w:t>
      </w:r>
      <w:r w:rsidR="00906D13">
        <w:rPr>
          <w:lang w:val="en-GB"/>
        </w:rPr>
        <w:t>)</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90">
    <w:p w14:paraId="4145E25D" w14:textId="77777777" w:rsidR="000419F6" w:rsidRPr="00632F7F" w:rsidRDefault="000419F6" w:rsidP="000419F6">
      <w:pPr>
        <w:pStyle w:val="FootnoteText"/>
        <w:rPr>
          <w:lang w:val="en-GB"/>
        </w:rPr>
      </w:pPr>
      <w:r>
        <w:rPr>
          <w:rStyle w:val="FootnoteReference"/>
        </w:rPr>
        <w:footnoteRef/>
      </w:r>
      <w:r>
        <w:t xml:space="preserve"> </w:t>
      </w:r>
      <w:r w:rsidRPr="00E81795">
        <w:rPr>
          <w:rFonts w:cstheme="minorHAnsi"/>
        </w:rPr>
        <w:t>00137.074 DOC</w:t>
      </w:r>
    </w:p>
  </w:footnote>
  <w:footnote w:id="891">
    <w:p w14:paraId="3109E7D2" w14:textId="1A698EB2"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92">
    <w:p w14:paraId="640F3B8D" w14:textId="4DD783EE"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93">
    <w:p w14:paraId="376C8F60" w14:textId="2B63ABA6"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94">
    <w:p w14:paraId="5AC53914" w14:textId="3114D8F7"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95">
    <w:p w14:paraId="5B2BA0FC" w14:textId="5992AFD0" w:rsidR="000419F6" w:rsidRPr="006C428C" w:rsidRDefault="000419F6" w:rsidP="000419F6">
      <w:pPr>
        <w:pStyle w:val="FootnoteText"/>
        <w:rPr>
          <w:lang w:val="en-GB"/>
        </w:rPr>
      </w:pPr>
      <w:r>
        <w:rPr>
          <w:rStyle w:val="FootnoteReference"/>
        </w:rPr>
        <w:footnoteRef/>
      </w:r>
      <w:r>
        <w:t xml:space="preserve"> Clause 10(2)(b)(i)</w:t>
      </w:r>
      <w:r w:rsidR="00906D13">
        <w:t>, Schedule 1, RMA</w:t>
      </w:r>
      <w:r>
        <w:t xml:space="preserve"> – consequential amendment arising from 00119.010 Blackthorn, 00206.031 Trojan, 00411.043 Wayfare</w:t>
      </w:r>
    </w:p>
  </w:footnote>
  <w:footnote w:id="896">
    <w:p w14:paraId="33CBD2E4"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00206.034 Trojan, 00411.046 Wayfare, 00119.012 Blackthorn Lodge</w:t>
      </w:r>
    </w:p>
  </w:footnote>
  <w:footnote w:id="897">
    <w:p w14:paraId="2D664B86"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00226.187 Kāi Tahu ki Otago</w:t>
      </w:r>
    </w:p>
  </w:footnote>
  <w:footnote w:id="898">
    <w:p w14:paraId="486C0D39" w14:textId="034716E9" w:rsidR="000419F6" w:rsidRPr="00C90F54" w:rsidRDefault="000419F6" w:rsidP="000419F6">
      <w:pPr>
        <w:pStyle w:val="FootnoteText"/>
      </w:pPr>
      <w:r>
        <w:rPr>
          <w:rStyle w:val="FootnoteReference"/>
        </w:rPr>
        <w:footnoteRef/>
      </w:r>
      <w:r>
        <w:t xml:space="preserve"> </w:t>
      </w:r>
      <w:r>
        <w:rPr>
          <w:lang w:val="en-GB"/>
        </w:rPr>
        <w:t>Clause 10(2)(b)(i)</w:t>
      </w:r>
      <w:r w:rsidR="00906D13">
        <w:t>, Schedule 1, RMA</w:t>
      </w:r>
      <w:r>
        <w:rPr>
          <w:lang w:val="en-GB"/>
        </w:rPr>
        <w:t xml:space="preserve"> – consequential amendment arising from </w:t>
      </w:r>
      <w:r w:rsidRPr="00FB0794">
        <w:t>00315.014 Aurora</w:t>
      </w:r>
      <w:r>
        <w:t xml:space="preserve"> Energy,</w:t>
      </w:r>
      <w:r w:rsidRPr="00FB0794">
        <w:t xml:space="preserve"> 00235.125 OWRUG</w:t>
      </w:r>
      <w:r>
        <w:t xml:space="preserve">, </w:t>
      </w:r>
      <w:r w:rsidRPr="00B20929">
        <w:rPr>
          <w:noProof/>
        </w:rPr>
        <w:t>00511.012</w:t>
      </w:r>
      <w:r w:rsidRPr="00B20929">
        <w:t xml:space="preserve"> </w:t>
      </w:r>
      <w:r w:rsidRPr="00B20929">
        <w:rPr>
          <w:noProof/>
        </w:rPr>
        <w:t>PowerNet, 00320.012</w:t>
      </w:r>
      <w:r w:rsidRPr="00B20929">
        <w:t xml:space="preserve"> </w:t>
      </w:r>
      <w:r w:rsidRPr="00B20929">
        <w:rPr>
          <w:noProof/>
        </w:rPr>
        <w:t>Network Waitaki</w:t>
      </w:r>
    </w:p>
  </w:footnote>
  <w:footnote w:id="899">
    <w:p w14:paraId="744430BA"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00230.093 Forest and Bird, 00231.059 Fish and Game</w:t>
      </w:r>
    </w:p>
  </w:footnote>
  <w:footnote w:id="900">
    <w:p w14:paraId="770E346C"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00230.093 Forest and Bird, 00231.059 Fish and Game</w:t>
      </w:r>
    </w:p>
  </w:footnote>
  <w:footnote w:id="901">
    <w:p w14:paraId="76FDFFF4" w14:textId="0B13AB9B"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w:t>
      </w:r>
      <w:r>
        <w:rPr>
          <w:rFonts w:cstheme="minorHAnsi"/>
        </w:rPr>
        <w:t>Clause 19(1)(b)(i)</w:t>
      </w:r>
      <w:r w:rsidR="00906D13">
        <w:t>, Schedule 1, RMA -</w:t>
      </w:r>
      <w:r>
        <w:rPr>
          <w:rFonts w:cstheme="minorHAnsi"/>
        </w:rPr>
        <w:t xml:space="preserve"> consequential amendment arising from </w:t>
      </w:r>
      <w:r w:rsidRPr="00E81795">
        <w:rPr>
          <w:rFonts w:cstheme="minorHAnsi"/>
        </w:rPr>
        <w:t>00230.093 Forest and Bird, 00231.059 Fish and Game</w:t>
      </w:r>
    </w:p>
  </w:footnote>
  <w:footnote w:id="902">
    <w:p w14:paraId="09512310" w14:textId="77777777" w:rsidR="000419F6" w:rsidRDefault="000419F6" w:rsidP="000419F6">
      <w:pPr>
        <w:pStyle w:val="FootnoteText"/>
      </w:pPr>
      <w:r>
        <w:rPr>
          <w:rStyle w:val="FootnoteReference"/>
        </w:rPr>
        <w:footnoteRef/>
      </w:r>
      <w:r>
        <w:t xml:space="preserve"> </w:t>
      </w:r>
      <w:r>
        <w:rPr>
          <w:rFonts w:cstheme="minorHAnsi"/>
        </w:rPr>
        <w:t xml:space="preserve">00223.088 </w:t>
      </w:r>
      <w:r>
        <w:rPr>
          <w:szCs w:val="22"/>
        </w:rPr>
        <w:t>Ngāi Tahu ki Murihiku</w:t>
      </w:r>
    </w:p>
  </w:footnote>
  <w:footnote w:id="903">
    <w:p w14:paraId="08BAD430" w14:textId="77777777" w:rsidR="000419F6" w:rsidRDefault="000419F6" w:rsidP="000419F6">
      <w:pPr>
        <w:pStyle w:val="FootnoteText"/>
      </w:pPr>
      <w:r>
        <w:rPr>
          <w:rStyle w:val="FootnoteReference"/>
        </w:rPr>
        <w:footnoteRef/>
      </w:r>
      <w:r>
        <w:t xml:space="preserve"> </w:t>
      </w:r>
      <w:r>
        <w:rPr>
          <w:rFonts w:cstheme="minorHAnsi"/>
        </w:rPr>
        <w:t>00509.080 Wise Response</w:t>
      </w:r>
    </w:p>
  </w:footnote>
  <w:footnote w:id="904">
    <w:p w14:paraId="026AF1D5" w14:textId="77777777" w:rsidR="000419F6" w:rsidRDefault="000419F6" w:rsidP="00CB2104">
      <w:pPr>
        <w:pStyle w:val="FootnoteText"/>
      </w:pPr>
      <w:r>
        <w:rPr>
          <w:rStyle w:val="FootnoteReference"/>
        </w:rPr>
        <w:footnoteRef/>
      </w:r>
      <w:r>
        <w:t xml:space="preserve"> All amendments relating to the separation of this policy as notified into two distinct policies (LF-FW-P15 and LF-FW-P16), including consequential amendments throughout both policies, are attributable to </w:t>
      </w:r>
      <w:r w:rsidRPr="00E81795">
        <w:rPr>
          <w:rFonts w:cstheme="minorHAnsi"/>
        </w:rPr>
        <w:t>00226.189 Kāi Tahu ki Otago</w:t>
      </w:r>
      <w:r>
        <w:rPr>
          <w:rFonts w:cstheme="minorHAnsi"/>
        </w:rPr>
        <w:t xml:space="preserve"> and</w:t>
      </w:r>
      <w:r w:rsidRPr="00E81795">
        <w:rPr>
          <w:rFonts w:cstheme="minorHAnsi"/>
        </w:rPr>
        <w:t xml:space="preserve"> 00230.094 Forest and Bird</w:t>
      </w:r>
    </w:p>
  </w:footnote>
  <w:footnote w:id="905">
    <w:p w14:paraId="5BCC3B4A" w14:textId="77777777" w:rsidR="000419F6" w:rsidRDefault="000419F6" w:rsidP="000419F6">
      <w:pPr>
        <w:pStyle w:val="FootnoteText"/>
      </w:pPr>
      <w:r>
        <w:rPr>
          <w:rStyle w:val="FootnoteReference"/>
        </w:rPr>
        <w:footnoteRef/>
      </w:r>
      <w:r>
        <w:t xml:space="preserve"> </w:t>
      </w:r>
      <w:r w:rsidRPr="00E81795">
        <w:rPr>
          <w:rFonts w:cstheme="minorHAnsi"/>
        </w:rPr>
        <w:t>00139.108 DCC</w:t>
      </w:r>
    </w:p>
  </w:footnote>
  <w:footnote w:id="906">
    <w:p w14:paraId="450B6797" w14:textId="77777777" w:rsidR="000419F6" w:rsidRDefault="000419F6" w:rsidP="000419F6">
      <w:pPr>
        <w:pStyle w:val="FootnoteText"/>
      </w:pPr>
      <w:r>
        <w:rPr>
          <w:rStyle w:val="FootnoteReference"/>
        </w:rPr>
        <w:footnoteRef/>
      </w:r>
      <w:r>
        <w:t xml:space="preserve"> 00206.036 Trojan, 00411.048 Wayfare, </w:t>
      </w:r>
      <w:r>
        <w:rPr>
          <w:rFonts w:cstheme="minorHAnsi"/>
        </w:rPr>
        <w:t>00213.037 Fonterra</w:t>
      </w:r>
    </w:p>
  </w:footnote>
  <w:footnote w:id="907">
    <w:p w14:paraId="6805F903" w14:textId="77777777" w:rsidR="00276CC1" w:rsidRDefault="00276CC1" w:rsidP="00276CC1">
      <w:pPr>
        <w:pStyle w:val="FootnoteText"/>
      </w:pPr>
      <w:r>
        <w:rPr>
          <w:rStyle w:val="FootnoteReference"/>
        </w:rPr>
        <w:footnoteRef/>
      </w:r>
      <w:r>
        <w:t xml:space="preserve"> 00139.108 DCC</w:t>
      </w:r>
    </w:p>
  </w:footnote>
  <w:footnote w:id="908">
    <w:p w14:paraId="37C930F2" w14:textId="77777777" w:rsidR="000419F6" w:rsidRDefault="000419F6" w:rsidP="000419F6">
      <w:pPr>
        <w:pStyle w:val="FootnoteText"/>
      </w:pPr>
      <w:r>
        <w:rPr>
          <w:rStyle w:val="FootnoteReference"/>
        </w:rPr>
        <w:footnoteRef/>
      </w:r>
      <w:r>
        <w:t xml:space="preserve"> Clause 16(2), Schedule 1, RMA</w:t>
      </w:r>
    </w:p>
  </w:footnote>
  <w:footnote w:id="909">
    <w:p w14:paraId="3C6783F0"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00510.023 </w:t>
      </w:r>
      <w:r>
        <w:rPr>
          <w:rFonts w:cstheme="minorHAnsi"/>
        </w:rPr>
        <w:t>The Fuel Companies</w:t>
      </w:r>
    </w:p>
  </w:footnote>
  <w:footnote w:id="910">
    <w:p w14:paraId="6A3D67B9" w14:textId="77777777" w:rsidR="000419F6" w:rsidRPr="00E81795" w:rsidRDefault="000419F6" w:rsidP="000419F6">
      <w:pPr>
        <w:pStyle w:val="FootnoteText"/>
        <w:rPr>
          <w:rFonts w:cstheme="minorHAnsi"/>
          <w:b/>
        </w:rPr>
      </w:pPr>
      <w:r w:rsidRPr="00E81795">
        <w:rPr>
          <w:rStyle w:val="FootnoteReference"/>
          <w:rFonts w:cstheme="minorHAnsi"/>
        </w:rPr>
        <w:footnoteRef/>
      </w:r>
      <w:r w:rsidRPr="00E81795">
        <w:rPr>
          <w:rFonts w:cstheme="minorHAnsi"/>
        </w:rPr>
        <w:t xml:space="preserve"> 00226.189 Kāi Tahu ki Otago</w:t>
      </w:r>
    </w:p>
  </w:footnote>
  <w:footnote w:id="911">
    <w:p w14:paraId="50C126BB" w14:textId="77777777" w:rsidR="000419F6" w:rsidRPr="00753C9C" w:rsidRDefault="000419F6" w:rsidP="000419F6">
      <w:pPr>
        <w:pStyle w:val="FootnoteText"/>
        <w:rPr>
          <w:lang w:val="en-GB"/>
        </w:rPr>
      </w:pPr>
      <w:r>
        <w:rPr>
          <w:rStyle w:val="FootnoteReference"/>
        </w:rPr>
        <w:footnoteRef/>
      </w:r>
      <w:r>
        <w:t xml:space="preserve"> </w:t>
      </w:r>
      <w:r w:rsidRPr="00E81795">
        <w:rPr>
          <w:rFonts w:cstheme="minorHAnsi"/>
        </w:rPr>
        <w:t>00226.189 Kāi Tahu ki Otago</w:t>
      </w:r>
      <w:r>
        <w:rPr>
          <w:rFonts w:cstheme="minorHAnsi"/>
        </w:rPr>
        <w:t>, 00213.037 Fonterra</w:t>
      </w:r>
    </w:p>
  </w:footnote>
  <w:footnote w:id="912">
    <w:p w14:paraId="1CF7BDCF" w14:textId="77777777" w:rsidR="000419F6" w:rsidRDefault="000419F6" w:rsidP="000419F6">
      <w:pPr>
        <w:pStyle w:val="FootnoteText"/>
      </w:pPr>
      <w:r>
        <w:rPr>
          <w:rStyle w:val="FootnoteReference"/>
        </w:rPr>
        <w:footnoteRef/>
      </w:r>
      <w:r>
        <w:t xml:space="preserve"> </w:t>
      </w:r>
      <w:r>
        <w:rPr>
          <w:rFonts w:cstheme="minorHAnsi"/>
        </w:rPr>
        <w:t>00139.108 DCC</w:t>
      </w:r>
    </w:p>
  </w:footnote>
  <w:footnote w:id="913">
    <w:p w14:paraId="67397AEC" w14:textId="77777777" w:rsidR="000419F6" w:rsidRPr="00E81795" w:rsidRDefault="000419F6" w:rsidP="000419F6">
      <w:pPr>
        <w:pStyle w:val="FootnoteText"/>
        <w:rPr>
          <w:rFonts w:cstheme="minorHAnsi"/>
          <w:b/>
        </w:rPr>
      </w:pPr>
      <w:r w:rsidRPr="00E81795">
        <w:rPr>
          <w:rStyle w:val="FootnoteReference"/>
          <w:rFonts w:cstheme="minorHAnsi"/>
        </w:rPr>
        <w:footnoteRef/>
      </w:r>
      <w:r w:rsidRPr="00E81795">
        <w:rPr>
          <w:rFonts w:cstheme="minorHAnsi"/>
        </w:rPr>
        <w:t xml:space="preserve"> 00226.189 Kāi Tahu ki Otago</w:t>
      </w:r>
    </w:p>
  </w:footnote>
  <w:footnote w:id="914">
    <w:p w14:paraId="232DAFF0" w14:textId="77777777" w:rsidR="000419F6" w:rsidRDefault="000419F6" w:rsidP="000419F6">
      <w:pPr>
        <w:pStyle w:val="FootnoteText"/>
      </w:pPr>
      <w:r>
        <w:rPr>
          <w:rStyle w:val="FootnoteReference"/>
        </w:rPr>
        <w:footnoteRef/>
      </w:r>
      <w:r>
        <w:t xml:space="preserve"> </w:t>
      </w:r>
      <w:r w:rsidRPr="00E81795">
        <w:rPr>
          <w:rFonts w:cstheme="minorHAnsi"/>
        </w:rPr>
        <w:t>00139.108 DCC</w:t>
      </w:r>
    </w:p>
  </w:footnote>
  <w:footnote w:id="915">
    <w:p w14:paraId="2AC35BDC" w14:textId="77777777" w:rsidR="000419F6" w:rsidRDefault="000419F6" w:rsidP="000419F6">
      <w:pPr>
        <w:pStyle w:val="FootnoteText"/>
      </w:pPr>
      <w:r>
        <w:rPr>
          <w:rStyle w:val="FootnoteReference"/>
        </w:rPr>
        <w:footnoteRef/>
      </w:r>
      <w:r>
        <w:t xml:space="preserve"> 00206.036 Trojan, 00411.048 Wayfare, </w:t>
      </w:r>
      <w:r>
        <w:rPr>
          <w:rFonts w:cstheme="minorHAnsi"/>
        </w:rPr>
        <w:t>00213.037 Fonterra</w:t>
      </w:r>
    </w:p>
  </w:footnote>
  <w:footnote w:id="916">
    <w:p w14:paraId="23A7E050"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00510.023 </w:t>
      </w:r>
      <w:r>
        <w:rPr>
          <w:rFonts w:cstheme="minorHAnsi"/>
        </w:rPr>
        <w:t>The Fuel Companies</w:t>
      </w:r>
    </w:p>
  </w:footnote>
  <w:footnote w:id="917">
    <w:p w14:paraId="7A552B49" w14:textId="77777777" w:rsidR="000419F6" w:rsidRDefault="000419F6" w:rsidP="000419F6">
      <w:pPr>
        <w:pStyle w:val="FootnoteText"/>
      </w:pPr>
      <w:r>
        <w:rPr>
          <w:rStyle w:val="FootnoteReference"/>
        </w:rPr>
        <w:footnoteRef/>
      </w:r>
      <w:r>
        <w:t xml:space="preserve"> </w:t>
      </w:r>
      <w:r w:rsidRPr="00E81795">
        <w:rPr>
          <w:rFonts w:cstheme="minorHAnsi"/>
          <w:szCs w:val="18"/>
        </w:rPr>
        <w:t>00013.012 CRC</w:t>
      </w:r>
      <w:r>
        <w:rPr>
          <w:rFonts w:cstheme="minorHAnsi"/>
          <w:szCs w:val="18"/>
        </w:rPr>
        <w:t xml:space="preserve">, </w:t>
      </w:r>
      <w:r w:rsidRPr="00E81795">
        <w:rPr>
          <w:rFonts w:cstheme="minorHAnsi"/>
        </w:rPr>
        <w:t>00213.020 Waitaki Irrigators</w:t>
      </w:r>
    </w:p>
  </w:footnote>
  <w:footnote w:id="918">
    <w:p w14:paraId="415DC255" w14:textId="7435ECA2" w:rsidR="00385F1F" w:rsidRPr="00385F1F" w:rsidRDefault="00385F1F">
      <w:pPr>
        <w:pStyle w:val="FootnoteText"/>
        <w:rPr>
          <w:lang w:val="en-GB"/>
        </w:rPr>
      </w:pPr>
      <w:r>
        <w:rPr>
          <w:rStyle w:val="FootnoteReference"/>
        </w:rPr>
        <w:footnoteRef/>
      </w:r>
      <w:r>
        <w:t xml:space="preserve"> </w:t>
      </w:r>
      <w:r w:rsidR="00F10C24" w:rsidRPr="00E81795">
        <w:rPr>
          <w:rFonts w:cstheme="minorHAnsi"/>
        </w:rPr>
        <w:t xml:space="preserve">00013.012 </w:t>
      </w:r>
      <w:r w:rsidR="00F10C24">
        <w:rPr>
          <w:rFonts w:cstheme="minorHAnsi"/>
        </w:rPr>
        <w:t>ECan</w:t>
      </w:r>
    </w:p>
  </w:footnote>
  <w:footnote w:id="919">
    <w:p w14:paraId="306A81A3" w14:textId="77777777" w:rsidR="000419F6" w:rsidRPr="005E3C78" w:rsidRDefault="000419F6" w:rsidP="000419F6">
      <w:pPr>
        <w:pStyle w:val="FootnoteText"/>
        <w:rPr>
          <w:lang w:val="en-GB"/>
        </w:rPr>
      </w:pPr>
      <w:r>
        <w:rPr>
          <w:rStyle w:val="FootnoteReference"/>
        </w:rPr>
        <w:footnoteRef/>
      </w:r>
      <w:r>
        <w:t xml:space="preserve"> </w:t>
      </w:r>
      <w:r>
        <w:rPr>
          <w:lang w:val="en-GB"/>
        </w:rPr>
        <w:t>00237 Beef + Lamb and DINZ (uncoded submission point)</w:t>
      </w:r>
    </w:p>
  </w:footnote>
  <w:footnote w:id="920">
    <w:p w14:paraId="00FC1645" w14:textId="77777777" w:rsidR="000419F6" w:rsidRPr="005E3C78" w:rsidRDefault="000419F6" w:rsidP="000419F6">
      <w:pPr>
        <w:pStyle w:val="FootnoteText"/>
        <w:rPr>
          <w:lang w:val="en-GB"/>
        </w:rPr>
      </w:pPr>
      <w:r>
        <w:rPr>
          <w:rStyle w:val="FootnoteReference"/>
        </w:rPr>
        <w:footnoteRef/>
      </w:r>
      <w:r>
        <w:t xml:space="preserve"> </w:t>
      </w:r>
      <w:r>
        <w:rPr>
          <w:lang w:val="en-GB"/>
        </w:rPr>
        <w:t>00237 Beef + Lamb and DINZ (uncoded submission point)</w:t>
      </w:r>
    </w:p>
  </w:footnote>
  <w:footnote w:id="921">
    <w:p w14:paraId="61EF168D" w14:textId="77777777" w:rsidR="000419F6" w:rsidRPr="005E3C78" w:rsidRDefault="000419F6" w:rsidP="000419F6">
      <w:pPr>
        <w:pStyle w:val="FootnoteText"/>
        <w:rPr>
          <w:lang w:val="en-GB"/>
        </w:rPr>
      </w:pPr>
      <w:r>
        <w:rPr>
          <w:rStyle w:val="FootnoteReference"/>
        </w:rPr>
        <w:footnoteRef/>
      </w:r>
      <w:r>
        <w:t xml:space="preserve"> </w:t>
      </w:r>
      <w:r>
        <w:rPr>
          <w:lang w:val="en-GB"/>
        </w:rPr>
        <w:t>00237 Beef + Lamb and DINZ (uncoded submission point)</w:t>
      </w:r>
    </w:p>
  </w:footnote>
  <w:footnote w:id="922">
    <w:p w14:paraId="2C4115FD" w14:textId="77777777" w:rsidR="000419F6" w:rsidRPr="005E3C78" w:rsidRDefault="000419F6" w:rsidP="000419F6">
      <w:pPr>
        <w:pStyle w:val="FootnoteText"/>
        <w:rPr>
          <w:lang w:val="en-GB"/>
        </w:rPr>
      </w:pPr>
      <w:r>
        <w:rPr>
          <w:rStyle w:val="FootnoteReference"/>
        </w:rPr>
        <w:footnoteRef/>
      </w:r>
      <w:r>
        <w:t xml:space="preserve"> </w:t>
      </w:r>
      <w:r>
        <w:rPr>
          <w:lang w:val="en-GB"/>
        </w:rPr>
        <w:t>00237 Beef + Lamb and DINZ (uncoded submission point)</w:t>
      </w:r>
    </w:p>
  </w:footnote>
  <w:footnote w:id="923">
    <w:p w14:paraId="57F54607" w14:textId="77777777" w:rsidR="000419F6" w:rsidRPr="005E3C78" w:rsidRDefault="000419F6" w:rsidP="000419F6">
      <w:pPr>
        <w:pStyle w:val="FootnoteText"/>
        <w:rPr>
          <w:lang w:val="en-GB"/>
        </w:rPr>
      </w:pPr>
      <w:r>
        <w:rPr>
          <w:rStyle w:val="FootnoteReference"/>
        </w:rPr>
        <w:footnoteRef/>
      </w:r>
      <w:r>
        <w:t xml:space="preserve"> </w:t>
      </w:r>
      <w:r>
        <w:rPr>
          <w:lang w:val="en-GB"/>
        </w:rPr>
        <w:t>00237 Beef + Lamb and DINZ (uncoded submission point), 00226.191 Kāi Tahu ki Otago</w:t>
      </w:r>
    </w:p>
  </w:footnote>
  <w:footnote w:id="924">
    <w:p w14:paraId="164E05FF"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925">
    <w:p w14:paraId="778C6071" w14:textId="77777777" w:rsidR="000419F6" w:rsidRPr="005E3C78" w:rsidRDefault="000419F6" w:rsidP="000419F6">
      <w:pPr>
        <w:pStyle w:val="FootnoteText"/>
        <w:rPr>
          <w:lang w:val="en-GB"/>
        </w:rPr>
      </w:pPr>
      <w:r>
        <w:rPr>
          <w:rStyle w:val="FootnoteReference"/>
        </w:rPr>
        <w:footnoteRef/>
      </w:r>
      <w:r>
        <w:t xml:space="preserve"> </w:t>
      </w:r>
      <w:r>
        <w:rPr>
          <w:lang w:val="en-GB"/>
        </w:rPr>
        <w:t>00226.191 Kāi Tahu ki Otago</w:t>
      </w:r>
    </w:p>
  </w:footnote>
  <w:footnote w:id="926">
    <w:p w14:paraId="5F5CD073" w14:textId="77777777" w:rsidR="000419F6" w:rsidRPr="005E3C78" w:rsidRDefault="000419F6" w:rsidP="000419F6">
      <w:pPr>
        <w:pStyle w:val="FootnoteText"/>
        <w:ind w:left="720" w:hanging="720"/>
        <w:rPr>
          <w:lang w:val="en-GB"/>
        </w:rPr>
      </w:pPr>
      <w:r>
        <w:rPr>
          <w:rStyle w:val="FootnoteReference"/>
        </w:rPr>
        <w:footnoteRef/>
      </w:r>
      <w:r>
        <w:t xml:space="preserve"> </w:t>
      </w:r>
      <w:r>
        <w:rPr>
          <w:lang w:val="en-GB"/>
        </w:rPr>
        <w:t>00226.191 Kāi Tahu ki Otago</w:t>
      </w:r>
    </w:p>
  </w:footnote>
  <w:footnote w:id="927">
    <w:p w14:paraId="06B5C04B" w14:textId="77777777" w:rsidR="000419F6" w:rsidRPr="005E3C78" w:rsidRDefault="000419F6" w:rsidP="000419F6">
      <w:pPr>
        <w:pStyle w:val="FootnoteText"/>
        <w:ind w:left="720" w:hanging="720"/>
        <w:rPr>
          <w:lang w:val="en-GB"/>
        </w:rPr>
      </w:pPr>
      <w:r>
        <w:rPr>
          <w:rStyle w:val="FootnoteReference"/>
        </w:rPr>
        <w:footnoteRef/>
      </w:r>
      <w:r>
        <w:t xml:space="preserve"> 00136.007 Minster for the Environment</w:t>
      </w:r>
    </w:p>
  </w:footnote>
  <w:footnote w:id="928">
    <w:p w14:paraId="059EC209" w14:textId="77777777" w:rsidR="000419F6" w:rsidRPr="005E3C78" w:rsidRDefault="000419F6" w:rsidP="000419F6">
      <w:pPr>
        <w:pStyle w:val="FootnoteText"/>
        <w:ind w:left="720" w:hanging="720"/>
        <w:rPr>
          <w:lang w:val="en-GB"/>
        </w:rPr>
      </w:pPr>
      <w:r>
        <w:rPr>
          <w:rStyle w:val="FootnoteReference"/>
        </w:rPr>
        <w:footnoteRef/>
      </w:r>
      <w:r>
        <w:t xml:space="preserve"> </w:t>
      </w:r>
      <w:r>
        <w:rPr>
          <w:lang w:val="en-GB"/>
        </w:rPr>
        <w:t xml:space="preserve">00237 Beef + Lamb and DINZ (uncoded submission point), </w:t>
      </w:r>
      <w:r>
        <w:t>00136.007 Minster for the Environment, 00139.112 DCC</w:t>
      </w:r>
    </w:p>
  </w:footnote>
  <w:footnote w:id="929">
    <w:p w14:paraId="36867D01" w14:textId="6A609DB0" w:rsidR="000419F6" w:rsidRDefault="000419F6" w:rsidP="000419F6">
      <w:pPr>
        <w:pStyle w:val="FootnoteText"/>
      </w:pPr>
      <w:r>
        <w:rPr>
          <w:rStyle w:val="FootnoteReference"/>
        </w:rPr>
        <w:footnoteRef/>
      </w:r>
      <w:r>
        <w:t xml:space="preserve"> 00509.082 Wise Response</w:t>
      </w:r>
      <w:r w:rsidR="00FE7B1D">
        <w:t xml:space="preserve">; </w:t>
      </w:r>
      <w:r>
        <w:t>Clause 16(2)</w:t>
      </w:r>
      <w:r w:rsidR="00FE7B1D">
        <w:t xml:space="preserve">, </w:t>
      </w:r>
      <w:r>
        <w:t>Schedule 1</w:t>
      </w:r>
      <w:r w:rsidR="00FE7B1D">
        <w:t>,</w:t>
      </w:r>
      <w:r>
        <w:t xml:space="preserve"> RMA</w:t>
      </w:r>
    </w:p>
  </w:footnote>
  <w:footnote w:id="930">
    <w:p w14:paraId="60766FDF" w14:textId="77777777" w:rsidR="000419F6" w:rsidRPr="005E3C78" w:rsidRDefault="000419F6" w:rsidP="000419F6">
      <w:pPr>
        <w:pStyle w:val="FootnoteText"/>
        <w:rPr>
          <w:lang w:val="en-GB"/>
        </w:rPr>
      </w:pPr>
      <w:r>
        <w:rPr>
          <w:rStyle w:val="FootnoteReference"/>
        </w:rPr>
        <w:footnoteRef/>
      </w:r>
      <w:r>
        <w:t xml:space="preserve"> </w:t>
      </w:r>
      <w:r>
        <w:rPr>
          <w:lang w:val="en-GB"/>
        </w:rPr>
        <w:t>00226.191 Kāi Tahu ki Otago</w:t>
      </w:r>
    </w:p>
  </w:footnote>
  <w:footnote w:id="931">
    <w:p w14:paraId="3AAE960E" w14:textId="43B0786A" w:rsidR="000419F6" w:rsidRDefault="000419F6" w:rsidP="000419F6">
      <w:pPr>
        <w:pStyle w:val="FootnoteText"/>
      </w:pPr>
      <w:r>
        <w:rPr>
          <w:rStyle w:val="FootnoteReference"/>
        </w:rPr>
        <w:footnoteRef/>
      </w:r>
      <w:r>
        <w:t xml:space="preserve"> Clause 10(2)(b)(i)</w:t>
      </w:r>
      <w:r w:rsidR="00906D13">
        <w:t>, Schedule 1, RMA</w:t>
      </w:r>
      <w:r>
        <w:t xml:space="preserve"> – consequential amendment arising from </w:t>
      </w:r>
      <w:r w:rsidRPr="00E81795">
        <w:rPr>
          <w:rFonts w:cstheme="minorHAnsi"/>
        </w:rPr>
        <w:t xml:space="preserve">00226.189 Kāi Tahu ki </w:t>
      </w:r>
      <w:r>
        <w:rPr>
          <w:rFonts w:cstheme="minorHAnsi"/>
        </w:rPr>
        <w:t xml:space="preserve">Otago, </w:t>
      </w:r>
      <w:r w:rsidRPr="00E81795">
        <w:rPr>
          <w:rFonts w:cstheme="minorHAnsi"/>
        </w:rPr>
        <w:t>00230.094 Forest and Bird</w:t>
      </w:r>
    </w:p>
  </w:footnote>
  <w:footnote w:id="932">
    <w:p w14:paraId="56BF5AF8"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00510.023 </w:t>
      </w:r>
      <w:r>
        <w:rPr>
          <w:rFonts w:cstheme="minorHAnsi"/>
        </w:rPr>
        <w:t>The Fuel Companies</w:t>
      </w:r>
    </w:p>
  </w:footnote>
  <w:footnote w:id="933">
    <w:p w14:paraId="0611CBAA" w14:textId="77777777" w:rsidR="000419F6" w:rsidRPr="0023493D" w:rsidRDefault="000419F6" w:rsidP="000419F6">
      <w:pPr>
        <w:pStyle w:val="FootnoteText"/>
        <w:rPr>
          <w:lang w:val="en-GB"/>
        </w:rPr>
      </w:pPr>
      <w:r>
        <w:rPr>
          <w:rStyle w:val="FootnoteReference"/>
        </w:rPr>
        <w:footnoteRef/>
      </w:r>
      <w:r>
        <w:t xml:space="preserve"> </w:t>
      </w:r>
      <w:bookmarkStart w:id="165" w:name="_Hlk87867506"/>
      <w:r w:rsidRPr="005613E4">
        <w:rPr>
          <w:rFonts w:cstheme="minorHAnsi"/>
        </w:rPr>
        <w:t>00138.077</w:t>
      </w:r>
      <w:bookmarkEnd w:id="165"/>
      <w:r>
        <w:rPr>
          <w:rFonts w:cstheme="minorHAnsi"/>
        </w:rPr>
        <w:t xml:space="preserve"> QLDC</w:t>
      </w:r>
    </w:p>
  </w:footnote>
  <w:footnote w:id="934">
    <w:p w14:paraId="1670A241" w14:textId="77777777" w:rsidR="00855A9A" w:rsidRDefault="00855A9A" w:rsidP="00855A9A">
      <w:pPr>
        <w:pStyle w:val="FootnoteText"/>
      </w:pPr>
      <w:r>
        <w:rPr>
          <w:rStyle w:val="FootnoteReference"/>
        </w:rPr>
        <w:footnoteRef/>
      </w:r>
      <w:r>
        <w:t xml:space="preserve"> </w:t>
      </w:r>
      <w:r w:rsidRPr="00E81795">
        <w:rPr>
          <w:rFonts w:cstheme="minorHAnsi"/>
        </w:rPr>
        <w:t>00226.192 Kāi Tahu ki Otago</w:t>
      </w:r>
    </w:p>
  </w:footnote>
  <w:footnote w:id="935">
    <w:p w14:paraId="0122CCD3" w14:textId="77777777" w:rsidR="000419F6" w:rsidRDefault="000419F6" w:rsidP="000419F6">
      <w:pPr>
        <w:pStyle w:val="FootnoteText"/>
      </w:pPr>
      <w:r>
        <w:rPr>
          <w:rStyle w:val="FootnoteReference"/>
        </w:rPr>
        <w:footnoteRef/>
      </w:r>
      <w:r>
        <w:t xml:space="preserve"> Clause 16(2), Schedule 1, RMA</w:t>
      </w:r>
    </w:p>
  </w:footnote>
  <w:footnote w:id="936">
    <w:p w14:paraId="2F185C26"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00139.115 DCC</w:t>
      </w:r>
    </w:p>
  </w:footnote>
  <w:footnote w:id="937">
    <w:p w14:paraId="5493D8B3" w14:textId="77777777" w:rsidR="000419F6" w:rsidRPr="00242132" w:rsidRDefault="000419F6" w:rsidP="000419F6">
      <w:pPr>
        <w:pStyle w:val="FootnoteText"/>
        <w:rPr>
          <w:lang w:val="en-GB"/>
        </w:rPr>
      </w:pPr>
      <w:r>
        <w:rPr>
          <w:rStyle w:val="FootnoteReference"/>
        </w:rPr>
        <w:footnoteRef/>
      </w:r>
      <w:r>
        <w:t xml:space="preserve"> </w:t>
      </w:r>
      <w:r w:rsidRPr="14C11886">
        <w:rPr>
          <w:rFonts w:eastAsia="Calibri"/>
          <w:szCs w:val="18"/>
        </w:rPr>
        <w:t>Clause 16(2) Schedule 1, RMA</w:t>
      </w:r>
    </w:p>
  </w:footnote>
  <w:footnote w:id="938">
    <w:p w14:paraId="46ED2787" w14:textId="77777777" w:rsidR="000419F6" w:rsidRPr="00FB657F" w:rsidRDefault="000419F6" w:rsidP="000419F6">
      <w:pPr>
        <w:pStyle w:val="FootnoteText"/>
        <w:rPr>
          <w:lang w:val="en-GB"/>
        </w:rPr>
      </w:pPr>
      <w:r>
        <w:rPr>
          <w:rStyle w:val="FootnoteReference"/>
        </w:rPr>
        <w:footnoteRef/>
      </w:r>
      <w:r>
        <w:t xml:space="preserve"> </w:t>
      </w:r>
      <w:r>
        <w:rPr>
          <w:lang w:val="en-GB"/>
        </w:rPr>
        <w:t>00139.116 DCC</w:t>
      </w:r>
    </w:p>
  </w:footnote>
  <w:footnote w:id="939">
    <w:p w14:paraId="131235C5" w14:textId="77777777" w:rsidR="000419F6" w:rsidRPr="00242132" w:rsidRDefault="000419F6" w:rsidP="000419F6">
      <w:pPr>
        <w:pStyle w:val="FootnoteText"/>
        <w:rPr>
          <w:lang w:val="en-GB"/>
        </w:rPr>
      </w:pPr>
      <w:r>
        <w:rPr>
          <w:rStyle w:val="FootnoteReference"/>
        </w:rPr>
        <w:footnoteRef/>
      </w:r>
      <w:r>
        <w:t xml:space="preserve"> </w:t>
      </w:r>
      <w:r w:rsidRPr="14C11886">
        <w:rPr>
          <w:rFonts w:eastAsia="Calibri"/>
          <w:szCs w:val="18"/>
        </w:rPr>
        <w:t>Clause 16(2) Schedule 1, RMA</w:t>
      </w:r>
    </w:p>
  </w:footnote>
  <w:footnote w:id="940">
    <w:p w14:paraId="3CA5843C" w14:textId="77777777" w:rsidR="000419F6" w:rsidRPr="00FB657F" w:rsidRDefault="000419F6" w:rsidP="000419F6">
      <w:pPr>
        <w:pStyle w:val="FootnoteText"/>
        <w:rPr>
          <w:lang w:val="en-GB"/>
        </w:rPr>
      </w:pPr>
      <w:r>
        <w:rPr>
          <w:rStyle w:val="FootnoteReference"/>
        </w:rPr>
        <w:footnoteRef/>
      </w:r>
      <w:r>
        <w:t xml:space="preserve"> </w:t>
      </w:r>
      <w:r>
        <w:rPr>
          <w:lang w:val="en-GB"/>
        </w:rPr>
        <w:t>00226.194 Kāi Tahu ki Otago</w:t>
      </w:r>
    </w:p>
  </w:footnote>
  <w:footnote w:id="941">
    <w:p w14:paraId="34CEB815"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00226.196 Kāi Tahu ki Otago</w:t>
      </w:r>
    </w:p>
  </w:footnote>
  <w:footnote w:id="942">
    <w:p w14:paraId="7978BFA3" w14:textId="69A895CE" w:rsidR="000419F6" w:rsidRPr="00EC3116" w:rsidRDefault="000419F6" w:rsidP="000419F6">
      <w:pPr>
        <w:pStyle w:val="FootnoteText"/>
        <w:rPr>
          <w:lang w:val="en-GB"/>
        </w:rPr>
      </w:pPr>
      <w:r>
        <w:rPr>
          <w:rStyle w:val="FootnoteReference"/>
        </w:rPr>
        <w:footnoteRef/>
      </w:r>
      <w:r>
        <w:t xml:space="preserve"> </w:t>
      </w:r>
      <w:r>
        <w:rPr>
          <w:lang w:val="en-GB"/>
        </w:rPr>
        <w:t>Clause 16(2), Schedule 1, RMA</w:t>
      </w:r>
    </w:p>
  </w:footnote>
  <w:footnote w:id="943">
    <w:p w14:paraId="285CD165" w14:textId="77777777" w:rsidR="000419F6" w:rsidRPr="00E81795"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00226.196 Kāi Tahu ki Otago</w:t>
      </w:r>
    </w:p>
  </w:footnote>
  <w:footnote w:id="944">
    <w:p w14:paraId="7A479DE1" w14:textId="7E710FCE" w:rsidR="001D22B6" w:rsidRDefault="001D22B6">
      <w:pPr>
        <w:pStyle w:val="FootnoteText"/>
      </w:pPr>
      <w:r>
        <w:rPr>
          <w:rStyle w:val="FootnoteReference"/>
        </w:rPr>
        <w:footnoteRef/>
      </w:r>
      <w:r>
        <w:t xml:space="preserve"> </w:t>
      </w:r>
      <w:r w:rsidRPr="001D22B6">
        <w:t>Clause 16(2), Schedule 1, RMA</w:t>
      </w:r>
    </w:p>
  </w:footnote>
  <w:footnote w:id="945">
    <w:p w14:paraId="0BD9C8DD" w14:textId="77777777" w:rsidR="000419F6" w:rsidRPr="00383D66"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w:t>
      </w:r>
      <w:r w:rsidRPr="00383D66">
        <w:rPr>
          <w:rFonts w:cstheme="minorHAnsi"/>
        </w:rPr>
        <w:t>00226.196 Kāi Tahu ki Otago</w:t>
      </w:r>
    </w:p>
  </w:footnote>
  <w:footnote w:id="946">
    <w:p w14:paraId="3CFB9077" w14:textId="77777777" w:rsidR="000419F6" w:rsidRPr="00383D66" w:rsidRDefault="000419F6" w:rsidP="000419F6">
      <w:pPr>
        <w:pStyle w:val="FootnoteText"/>
        <w:rPr>
          <w:rFonts w:cstheme="minorHAnsi"/>
        </w:rPr>
      </w:pPr>
      <w:r w:rsidRPr="00E81795">
        <w:rPr>
          <w:rStyle w:val="FootnoteReference"/>
          <w:rFonts w:cstheme="minorHAnsi"/>
        </w:rPr>
        <w:footnoteRef/>
      </w:r>
      <w:r w:rsidRPr="00E81795">
        <w:rPr>
          <w:rFonts w:cstheme="minorHAnsi"/>
        </w:rPr>
        <w:t xml:space="preserve"> </w:t>
      </w:r>
      <w:r w:rsidRPr="00383D66">
        <w:rPr>
          <w:rFonts w:cstheme="minorHAnsi"/>
        </w:rPr>
        <w:t>00226.196 Kāi Tahu ki Otago</w:t>
      </w:r>
    </w:p>
  </w:footnote>
  <w:footnote w:id="947">
    <w:p w14:paraId="3EA55CAF" w14:textId="7DEC1E0A" w:rsidR="00100792" w:rsidRDefault="00100792">
      <w:pPr>
        <w:pStyle w:val="FootnoteText"/>
      </w:pPr>
      <w:r>
        <w:rPr>
          <w:rStyle w:val="FootnoteReference"/>
        </w:rPr>
        <w:footnoteRef/>
      </w:r>
      <w:r>
        <w:t xml:space="preserve"> </w:t>
      </w:r>
      <w:r w:rsidRPr="00100792">
        <w:t>Clause 16(2), Schedule 1, RMA</w:t>
      </w:r>
    </w:p>
  </w:footnote>
  <w:footnote w:id="948">
    <w:p w14:paraId="19E1F854" w14:textId="77777777" w:rsidR="000419F6" w:rsidRPr="00A84014" w:rsidRDefault="000419F6" w:rsidP="000419F6">
      <w:pPr>
        <w:pStyle w:val="FootnoteText"/>
        <w:rPr>
          <w:lang w:val="en-GB"/>
        </w:rPr>
      </w:pPr>
      <w:r>
        <w:rPr>
          <w:rStyle w:val="FootnoteReference"/>
        </w:rPr>
        <w:footnoteRef/>
      </w:r>
      <w:r>
        <w:t xml:space="preserve"> </w:t>
      </w:r>
      <w:r>
        <w:rPr>
          <w:lang w:val="en-GB"/>
        </w:rPr>
        <w:t>00236.066 Horticulture NZ, 00239.092 Federated Farmers, 00240.024 NZ Pork</w:t>
      </w:r>
    </w:p>
  </w:footnote>
  <w:footnote w:id="949">
    <w:p w14:paraId="0D0072DB" w14:textId="77777777" w:rsidR="000419F6" w:rsidRPr="008E0B6E" w:rsidRDefault="000419F6" w:rsidP="000419F6">
      <w:pPr>
        <w:pStyle w:val="FootnoteText"/>
        <w:rPr>
          <w:lang w:val="en-GB"/>
        </w:rPr>
      </w:pPr>
      <w:r>
        <w:rPr>
          <w:rStyle w:val="FootnoteReference"/>
        </w:rPr>
        <w:footnoteRef/>
      </w:r>
      <w:r>
        <w:t xml:space="preserve"> </w:t>
      </w:r>
      <w:r>
        <w:rPr>
          <w:lang w:val="en-GB"/>
        </w:rPr>
        <w:t>00223.090 Ngāi Tahu ki Murihiku</w:t>
      </w:r>
    </w:p>
  </w:footnote>
  <w:footnote w:id="950">
    <w:p w14:paraId="2A36074A" w14:textId="77777777" w:rsidR="00D7784B" w:rsidRPr="00196EC1" w:rsidRDefault="00D7784B" w:rsidP="00D7784B">
      <w:pPr>
        <w:pStyle w:val="FootnoteText"/>
        <w:rPr>
          <w:lang w:val="en-GB"/>
        </w:rPr>
      </w:pPr>
      <w:r>
        <w:rPr>
          <w:rStyle w:val="FootnoteReference"/>
        </w:rPr>
        <w:footnoteRef/>
      </w:r>
      <w:r>
        <w:t xml:space="preserve"> 00239.093 Federated Farmers</w:t>
      </w:r>
    </w:p>
  </w:footnote>
  <w:footnote w:id="951">
    <w:p w14:paraId="3C0C53B0" w14:textId="77777777" w:rsidR="00D7784B" w:rsidRPr="00BB668D" w:rsidRDefault="00D7784B" w:rsidP="00D7784B">
      <w:pPr>
        <w:pStyle w:val="FootnoteText"/>
        <w:rPr>
          <w:lang w:val="en-GB"/>
        </w:rPr>
      </w:pPr>
      <w:r>
        <w:rPr>
          <w:rStyle w:val="FootnoteReference"/>
        </w:rPr>
        <w:footnoteRef/>
      </w:r>
      <w:r>
        <w:t xml:space="preserve"> </w:t>
      </w:r>
      <w:r>
        <w:rPr>
          <w:lang w:val="en-GB"/>
        </w:rPr>
        <w:t>00235.008 OWRUG</w:t>
      </w:r>
    </w:p>
  </w:footnote>
  <w:footnote w:id="952">
    <w:p w14:paraId="3FF36114" w14:textId="77777777" w:rsidR="00D7784B" w:rsidRPr="00196EC1" w:rsidRDefault="00D7784B" w:rsidP="00D7784B">
      <w:pPr>
        <w:pStyle w:val="FootnoteText"/>
        <w:rPr>
          <w:lang w:val="en-GB"/>
        </w:rPr>
      </w:pPr>
      <w:r>
        <w:rPr>
          <w:rStyle w:val="FootnoteReference"/>
        </w:rPr>
        <w:footnoteRef/>
      </w:r>
      <w:r>
        <w:t xml:space="preserve"> 00239.093 Federated Farmers</w:t>
      </w:r>
    </w:p>
  </w:footnote>
  <w:footnote w:id="953">
    <w:p w14:paraId="76E00372" w14:textId="77777777" w:rsidR="00D7784B" w:rsidRDefault="00D7784B" w:rsidP="00D7784B">
      <w:pPr>
        <w:pStyle w:val="FootnoteText"/>
      </w:pPr>
      <w:r>
        <w:rPr>
          <w:rStyle w:val="FootnoteReference"/>
        </w:rPr>
        <w:footnoteRef/>
      </w:r>
      <w:r>
        <w:t xml:space="preserve"> 00101.043 Toitū Te Whenua</w:t>
      </w:r>
    </w:p>
  </w:footnote>
  <w:footnote w:id="954">
    <w:p w14:paraId="0AF11BB0" w14:textId="77777777" w:rsidR="00D7784B" w:rsidRDefault="00D7784B" w:rsidP="00D7784B">
      <w:pPr>
        <w:pStyle w:val="FootnoteText"/>
      </w:pPr>
      <w:r>
        <w:rPr>
          <w:rStyle w:val="FootnoteReference"/>
        </w:rPr>
        <w:footnoteRef/>
      </w:r>
      <w:r>
        <w:t xml:space="preserve"> 00022.019 Graymont</w:t>
      </w:r>
    </w:p>
  </w:footnote>
  <w:footnote w:id="955">
    <w:p w14:paraId="2AE026C1" w14:textId="77777777" w:rsidR="00D7784B" w:rsidRPr="00BB668D" w:rsidRDefault="00D7784B" w:rsidP="00D7784B">
      <w:pPr>
        <w:pStyle w:val="FootnoteText"/>
        <w:rPr>
          <w:lang w:val="en-GB"/>
        </w:rPr>
      </w:pPr>
      <w:r>
        <w:rPr>
          <w:rStyle w:val="FootnoteReference"/>
        </w:rPr>
        <w:footnoteRef/>
      </w:r>
      <w:r>
        <w:t xml:space="preserve"> </w:t>
      </w:r>
      <w:r>
        <w:rPr>
          <w:lang w:val="en-GB"/>
        </w:rPr>
        <w:t>00235.008 OWRUG</w:t>
      </w:r>
    </w:p>
  </w:footnote>
  <w:footnote w:id="956">
    <w:p w14:paraId="743B7C80" w14:textId="77777777" w:rsidR="00D7784B" w:rsidRDefault="00D7784B" w:rsidP="00B45E7A">
      <w:pPr>
        <w:pStyle w:val="FootnoteText"/>
      </w:pPr>
      <w:r>
        <w:rPr>
          <w:rStyle w:val="FootnoteReference"/>
        </w:rPr>
        <w:footnoteRef/>
      </w:r>
      <w:r>
        <w:t xml:space="preserve"> 00114.025-031 Mt Cardrona Station, 00118.025-031 Maryhill Limited, 00209.012-015 Universal Developments, 00210.011-013 &amp; 015 Lane Hocking, 00211.011-013 &amp; 015 LAC Properties Trustees Limited</w:t>
      </w:r>
    </w:p>
  </w:footnote>
  <w:footnote w:id="957">
    <w:p w14:paraId="29241D4B" w14:textId="77777777" w:rsidR="00D7784B" w:rsidRPr="00BB668D" w:rsidRDefault="00D7784B" w:rsidP="00D7784B">
      <w:pPr>
        <w:pStyle w:val="FootnoteText"/>
        <w:rPr>
          <w:lang w:val="en-GB"/>
        </w:rPr>
      </w:pPr>
      <w:r>
        <w:rPr>
          <w:rStyle w:val="FootnoteReference"/>
        </w:rPr>
        <w:footnoteRef/>
      </w:r>
      <w:r>
        <w:t xml:space="preserve"> </w:t>
      </w:r>
      <w:r>
        <w:rPr>
          <w:lang w:val="en-GB"/>
        </w:rPr>
        <w:t>00235.008 OWRUG</w:t>
      </w:r>
    </w:p>
  </w:footnote>
  <w:footnote w:id="958">
    <w:p w14:paraId="69849FEF" w14:textId="77777777" w:rsidR="00D7784B" w:rsidRPr="00BB668D" w:rsidRDefault="00D7784B" w:rsidP="00D7784B">
      <w:pPr>
        <w:pStyle w:val="FootnoteText"/>
        <w:rPr>
          <w:lang w:val="en-GB"/>
        </w:rPr>
      </w:pPr>
      <w:r>
        <w:rPr>
          <w:rStyle w:val="FootnoteReference"/>
        </w:rPr>
        <w:footnoteRef/>
      </w:r>
      <w:r>
        <w:t xml:space="preserve"> </w:t>
      </w:r>
      <w:r>
        <w:rPr>
          <w:lang w:val="en-GB"/>
        </w:rPr>
        <w:t>00235.008 OWRUG</w:t>
      </w:r>
    </w:p>
  </w:footnote>
  <w:footnote w:id="959">
    <w:p w14:paraId="1B03A85E" w14:textId="77777777" w:rsidR="00D7784B" w:rsidRPr="00BB668D" w:rsidRDefault="00D7784B" w:rsidP="00D7784B">
      <w:pPr>
        <w:pStyle w:val="FootnoteText"/>
        <w:rPr>
          <w:lang w:val="en-GB"/>
        </w:rPr>
      </w:pPr>
      <w:r>
        <w:rPr>
          <w:rStyle w:val="FootnoteReference"/>
        </w:rPr>
        <w:footnoteRef/>
      </w:r>
      <w:r>
        <w:t xml:space="preserve"> </w:t>
      </w:r>
      <w:r>
        <w:rPr>
          <w:lang w:val="en-GB"/>
        </w:rPr>
        <w:t>00235.008 OWRUG</w:t>
      </w:r>
    </w:p>
  </w:footnote>
  <w:footnote w:id="960">
    <w:p w14:paraId="765EEB9F" w14:textId="77777777" w:rsidR="00D7784B" w:rsidRDefault="00D7784B" w:rsidP="00D7784B">
      <w:pPr>
        <w:pStyle w:val="FootnoteText"/>
      </w:pPr>
      <w:r>
        <w:rPr>
          <w:rStyle w:val="FootnoteReference"/>
        </w:rPr>
        <w:footnoteRef/>
      </w:r>
      <w:r>
        <w:t xml:space="preserve"> 00413.004 New Zealand Cherry Corp, 00414.002 Infinity Investment Group</w:t>
      </w:r>
    </w:p>
  </w:footnote>
  <w:footnote w:id="961">
    <w:p w14:paraId="32822BEC" w14:textId="77777777" w:rsidR="00D7784B" w:rsidRDefault="00D7784B" w:rsidP="00D7784B">
      <w:pPr>
        <w:pStyle w:val="FootnoteText"/>
      </w:pPr>
      <w:r>
        <w:rPr>
          <w:rStyle w:val="FootnoteReference"/>
        </w:rPr>
        <w:footnoteRef/>
      </w:r>
      <w:r>
        <w:t xml:space="preserve"> 00314.027 Transpower</w:t>
      </w:r>
    </w:p>
  </w:footnote>
  <w:footnote w:id="962">
    <w:p w14:paraId="46DBCBA2" w14:textId="77777777" w:rsidR="00D7784B" w:rsidRDefault="00D7784B" w:rsidP="00D7784B">
      <w:pPr>
        <w:pStyle w:val="FootnoteText"/>
      </w:pPr>
      <w:r>
        <w:rPr>
          <w:rStyle w:val="FootnoteReference"/>
        </w:rPr>
        <w:footnoteRef/>
      </w:r>
      <w:r>
        <w:t xml:space="preserve"> 00413.004 New Zealand Cherry Corp, 00414.002 Infinity Investment Group</w:t>
      </w:r>
    </w:p>
  </w:footnote>
  <w:footnote w:id="963">
    <w:p w14:paraId="791FE9F4" w14:textId="77777777" w:rsidR="00D7784B" w:rsidRDefault="00D7784B" w:rsidP="00D7784B">
      <w:pPr>
        <w:pStyle w:val="FootnoteText"/>
      </w:pPr>
      <w:r>
        <w:rPr>
          <w:rStyle w:val="FootnoteReference"/>
        </w:rPr>
        <w:footnoteRef/>
      </w:r>
      <w:r>
        <w:t xml:space="preserve"> 00223.096 Ngāi Tahu ki Murihiku</w:t>
      </w:r>
    </w:p>
  </w:footnote>
  <w:footnote w:id="964">
    <w:p w14:paraId="585F2941" w14:textId="77777777" w:rsidR="00D7784B" w:rsidRDefault="00D7784B" w:rsidP="00D7784B">
      <w:pPr>
        <w:pStyle w:val="FootnoteText"/>
      </w:pPr>
      <w:r>
        <w:rPr>
          <w:rStyle w:val="FootnoteReference"/>
        </w:rPr>
        <w:footnoteRef/>
      </w:r>
      <w:r>
        <w:t xml:space="preserve"> 00409.015 Ballance </w:t>
      </w:r>
    </w:p>
  </w:footnote>
  <w:footnote w:id="965">
    <w:p w14:paraId="15C56AE4" w14:textId="77777777" w:rsidR="0076214E" w:rsidRDefault="0076214E" w:rsidP="0076214E">
      <w:pPr>
        <w:pStyle w:val="FootnoteText"/>
      </w:pPr>
      <w:r>
        <w:rPr>
          <w:rStyle w:val="FootnoteReference"/>
        </w:rPr>
        <w:footnoteRef/>
      </w:r>
      <w:r>
        <w:t xml:space="preserve"> 00121.066 Ravensdown</w:t>
      </w:r>
    </w:p>
  </w:footnote>
  <w:footnote w:id="966">
    <w:p w14:paraId="51A275A8" w14:textId="77777777" w:rsidR="00D7784B" w:rsidRDefault="00D7784B" w:rsidP="00D7784B">
      <w:pPr>
        <w:pStyle w:val="FootnoteText"/>
      </w:pPr>
      <w:r>
        <w:rPr>
          <w:rStyle w:val="FootnoteReference"/>
        </w:rPr>
        <w:footnoteRef/>
      </w:r>
      <w:r>
        <w:t xml:space="preserve"> </w:t>
      </w:r>
      <w:r w:rsidRPr="005229C3">
        <w:rPr>
          <w:rFonts w:cstheme="minorHAnsi"/>
        </w:rPr>
        <w:t>00226.206</w:t>
      </w:r>
      <w:r>
        <w:rPr>
          <w:rFonts w:cstheme="minorHAnsi"/>
        </w:rPr>
        <w:t xml:space="preserve"> Kāi Tahu ki Otago</w:t>
      </w:r>
    </w:p>
  </w:footnote>
  <w:footnote w:id="967">
    <w:p w14:paraId="3753D0A5" w14:textId="77777777" w:rsidR="00D7784B" w:rsidRDefault="00D7784B" w:rsidP="00D7784B">
      <w:pPr>
        <w:pStyle w:val="FootnoteText"/>
      </w:pPr>
      <w:r>
        <w:rPr>
          <w:rStyle w:val="FootnoteReference"/>
        </w:rPr>
        <w:footnoteRef/>
      </w:r>
      <w:r>
        <w:t xml:space="preserve"> </w:t>
      </w:r>
      <w:r w:rsidRPr="005229C3">
        <w:rPr>
          <w:rFonts w:cstheme="minorHAnsi"/>
        </w:rPr>
        <w:t>00236.073</w:t>
      </w:r>
      <w:r>
        <w:rPr>
          <w:rFonts w:cstheme="minorHAnsi"/>
        </w:rPr>
        <w:t xml:space="preserve"> Horticulture NZ</w:t>
      </w:r>
    </w:p>
  </w:footnote>
  <w:footnote w:id="968">
    <w:p w14:paraId="25782641" w14:textId="77777777" w:rsidR="00D7784B" w:rsidRDefault="00D7784B" w:rsidP="00D7784B">
      <w:pPr>
        <w:pStyle w:val="FootnoteText"/>
      </w:pPr>
      <w:r>
        <w:rPr>
          <w:rStyle w:val="FootnoteReference"/>
        </w:rPr>
        <w:footnoteRef/>
      </w:r>
      <w:r>
        <w:t xml:space="preserve"> </w:t>
      </w:r>
      <w:r w:rsidRPr="005229C3">
        <w:rPr>
          <w:rFonts w:cstheme="minorHAnsi"/>
        </w:rPr>
        <w:t>00221.010</w:t>
      </w:r>
      <w:r>
        <w:rPr>
          <w:rFonts w:cstheme="minorHAnsi"/>
        </w:rPr>
        <w:t xml:space="preserve"> Silver Fern Farms</w:t>
      </w:r>
    </w:p>
  </w:footnote>
  <w:footnote w:id="969">
    <w:p w14:paraId="0D605D10" w14:textId="77777777" w:rsidR="00D7784B" w:rsidRDefault="00D7784B" w:rsidP="00D7784B">
      <w:pPr>
        <w:pStyle w:val="FootnoteText"/>
      </w:pPr>
      <w:r>
        <w:rPr>
          <w:rStyle w:val="FootnoteReference"/>
        </w:rPr>
        <w:footnoteRef/>
      </w:r>
      <w:r>
        <w:t xml:space="preserve"> </w:t>
      </w:r>
      <w:r w:rsidRPr="00893ACB">
        <w:t>00236.073</w:t>
      </w:r>
      <w:r>
        <w:t xml:space="preserve"> Horticulture NZ</w:t>
      </w:r>
    </w:p>
  </w:footnote>
  <w:footnote w:id="970">
    <w:p w14:paraId="44DEF34C" w14:textId="77777777" w:rsidR="00D7784B" w:rsidRDefault="00D7784B" w:rsidP="00D7784B">
      <w:pPr>
        <w:pStyle w:val="FootnoteText"/>
      </w:pPr>
      <w:r>
        <w:rPr>
          <w:rStyle w:val="FootnoteReference"/>
        </w:rPr>
        <w:footnoteRef/>
      </w:r>
      <w:r>
        <w:t xml:space="preserve"> 00226.206 Kāi Tahu ki Otago</w:t>
      </w:r>
    </w:p>
  </w:footnote>
  <w:footnote w:id="971">
    <w:p w14:paraId="38288533" w14:textId="77777777" w:rsidR="00D7784B" w:rsidRDefault="00D7784B" w:rsidP="00D7784B">
      <w:pPr>
        <w:pStyle w:val="FootnoteText"/>
      </w:pPr>
      <w:r>
        <w:rPr>
          <w:rStyle w:val="FootnoteReference"/>
        </w:rPr>
        <w:footnoteRef/>
      </w:r>
      <w:r>
        <w:t xml:space="preserve"> 00226.206 Kāi Tahu ki Otago</w:t>
      </w:r>
    </w:p>
  </w:footnote>
  <w:footnote w:id="972">
    <w:p w14:paraId="13EA067A"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973">
    <w:p w14:paraId="058AC029" w14:textId="77777777" w:rsidR="00D7784B" w:rsidRDefault="00D7784B" w:rsidP="00D7784B">
      <w:pPr>
        <w:pStyle w:val="FootnoteText"/>
      </w:pPr>
      <w:r>
        <w:rPr>
          <w:rStyle w:val="FootnoteReference"/>
        </w:rPr>
        <w:footnoteRef/>
      </w:r>
      <w:r>
        <w:t xml:space="preserve"> </w:t>
      </w:r>
      <w:r w:rsidRPr="005229C3">
        <w:rPr>
          <w:rFonts w:cstheme="minorHAnsi"/>
        </w:rPr>
        <w:t>00231.065</w:t>
      </w:r>
      <w:r>
        <w:rPr>
          <w:rFonts w:cstheme="minorHAnsi"/>
        </w:rPr>
        <w:t xml:space="preserve"> Fish and Game</w:t>
      </w:r>
    </w:p>
  </w:footnote>
  <w:footnote w:id="974">
    <w:p w14:paraId="36FA9513" w14:textId="4767C2A9" w:rsidR="00D7784B" w:rsidRDefault="00D7784B" w:rsidP="00D7784B">
      <w:pPr>
        <w:pStyle w:val="FootnoteText"/>
      </w:pPr>
      <w:r>
        <w:rPr>
          <w:rStyle w:val="FootnoteReference"/>
        </w:rPr>
        <w:footnoteRef/>
      </w:r>
      <w:r>
        <w:t xml:space="preserve"> Clause 10(2)(b)(i)</w:t>
      </w:r>
      <w:r w:rsidR="00906D13">
        <w:t>, Schedule 1, RMA</w:t>
      </w:r>
      <w:r>
        <w:t xml:space="preserve"> – consequential amendments arising from 00314.028 Transpower</w:t>
      </w:r>
    </w:p>
  </w:footnote>
  <w:footnote w:id="975">
    <w:p w14:paraId="4635CBE0" w14:textId="77777777" w:rsidR="00D7784B" w:rsidRDefault="00D7784B" w:rsidP="00D7784B">
      <w:pPr>
        <w:pStyle w:val="FootnoteText"/>
      </w:pPr>
      <w:r>
        <w:rPr>
          <w:rStyle w:val="FootnoteReference"/>
        </w:rPr>
        <w:footnoteRef/>
      </w:r>
      <w:r>
        <w:t xml:space="preserve"> 00239.094 Federated Farmers</w:t>
      </w:r>
    </w:p>
  </w:footnote>
  <w:footnote w:id="976">
    <w:p w14:paraId="18DB1F47" w14:textId="77777777" w:rsidR="00D7784B" w:rsidRDefault="00D7784B" w:rsidP="00D7784B">
      <w:pPr>
        <w:pStyle w:val="FootnoteText"/>
      </w:pPr>
      <w:r>
        <w:rPr>
          <w:rStyle w:val="FootnoteReference"/>
        </w:rPr>
        <w:footnoteRef/>
      </w:r>
      <w:r>
        <w:t xml:space="preserve"> 00226.207 Kāi Tahu ki Otago</w:t>
      </w:r>
    </w:p>
  </w:footnote>
  <w:footnote w:id="977">
    <w:p w14:paraId="294BA489" w14:textId="77777777" w:rsidR="00D7784B" w:rsidRDefault="00D7784B" w:rsidP="00D7784B">
      <w:pPr>
        <w:pStyle w:val="FootnoteText"/>
      </w:pPr>
      <w:r>
        <w:rPr>
          <w:rStyle w:val="FootnoteReference"/>
        </w:rPr>
        <w:footnoteRef/>
      </w:r>
      <w:r>
        <w:t xml:space="preserve"> 00206.041 Trojan, 00411.053 Wayfare</w:t>
      </w:r>
    </w:p>
  </w:footnote>
  <w:footnote w:id="978">
    <w:p w14:paraId="55F3E905" w14:textId="77777777" w:rsidR="00D7784B" w:rsidRDefault="00D7784B" w:rsidP="00D7784B">
      <w:pPr>
        <w:pStyle w:val="FootnoteText"/>
      </w:pPr>
      <w:r>
        <w:rPr>
          <w:rStyle w:val="FootnoteReference"/>
        </w:rPr>
        <w:footnoteRef/>
      </w:r>
      <w:r>
        <w:t xml:space="preserve"> 00237.047 Beef + Lamb and DINZ</w:t>
      </w:r>
    </w:p>
  </w:footnote>
  <w:footnote w:id="979">
    <w:p w14:paraId="093F4913" w14:textId="77777777" w:rsidR="00D7784B" w:rsidRDefault="00D7784B" w:rsidP="00D7784B">
      <w:pPr>
        <w:pStyle w:val="FootnoteText"/>
      </w:pPr>
      <w:r>
        <w:rPr>
          <w:rStyle w:val="FootnoteReference"/>
        </w:rPr>
        <w:footnoteRef/>
      </w:r>
      <w:r>
        <w:t xml:space="preserve"> 00231.066 Fish and Game, 00226.208 Kāi Tahu ki Otago</w:t>
      </w:r>
    </w:p>
  </w:footnote>
  <w:footnote w:id="980">
    <w:p w14:paraId="5BE312BA" w14:textId="77777777" w:rsidR="00D7784B" w:rsidRDefault="00D7784B" w:rsidP="00D7784B">
      <w:pPr>
        <w:pStyle w:val="FootnoteText"/>
      </w:pPr>
      <w:r>
        <w:rPr>
          <w:rStyle w:val="FootnoteReference"/>
        </w:rPr>
        <w:footnoteRef/>
      </w:r>
      <w:r>
        <w:t xml:space="preserve"> 00240.032 NZ Pork </w:t>
      </w:r>
    </w:p>
  </w:footnote>
  <w:footnote w:id="981">
    <w:p w14:paraId="31524595" w14:textId="77777777" w:rsidR="00D7784B" w:rsidRDefault="00D7784B" w:rsidP="00D7784B">
      <w:pPr>
        <w:pStyle w:val="FootnoteText"/>
      </w:pPr>
      <w:r>
        <w:rPr>
          <w:rStyle w:val="FootnoteReference"/>
        </w:rPr>
        <w:footnoteRef/>
      </w:r>
      <w:r>
        <w:t xml:space="preserve"> Clause 16(2) Schedule 1, RMA</w:t>
      </w:r>
    </w:p>
  </w:footnote>
  <w:footnote w:id="982">
    <w:p w14:paraId="3C444111" w14:textId="77777777" w:rsidR="00D7784B" w:rsidRDefault="00D7784B" w:rsidP="00D7784B">
      <w:pPr>
        <w:pStyle w:val="FootnoteText"/>
      </w:pPr>
      <w:r>
        <w:rPr>
          <w:rStyle w:val="FootnoteReference"/>
        </w:rPr>
        <w:footnoteRef/>
      </w:r>
      <w:r>
        <w:t xml:space="preserve"> 00226.209 Kāi Tahu ki Otago, </w:t>
      </w:r>
    </w:p>
  </w:footnote>
  <w:footnote w:id="983">
    <w:p w14:paraId="2180FE26" w14:textId="77777777" w:rsidR="00D7784B" w:rsidRDefault="00D7784B" w:rsidP="00D7784B">
      <w:pPr>
        <w:pStyle w:val="FootnoteText"/>
      </w:pPr>
      <w:r>
        <w:rPr>
          <w:rStyle w:val="FootnoteReference"/>
        </w:rPr>
        <w:footnoteRef/>
      </w:r>
      <w:r>
        <w:t xml:space="preserve"> 00230.95 Forest and Bird</w:t>
      </w:r>
    </w:p>
  </w:footnote>
  <w:footnote w:id="984">
    <w:p w14:paraId="6CA2AA87" w14:textId="77777777" w:rsidR="00D7784B" w:rsidRDefault="00D7784B" w:rsidP="00D7784B">
      <w:pPr>
        <w:pStyle w:val="FootnoteText"/>
      </w:pPr>
      <w:r>
        <w:rPr>
          <w:rStyle w:val="FootnoteReference"/>
        </w:rPr>
        <w:footnoteRef/>
      </w:r>
      <w:r>
        <w:t xml:space="preserve"> Clause 16(2), Schedule 1, RMA</w:t>
      </w:r>
    </w:p>
  </w:footnote>
  <w:footnote w:id="985">
    <w:p w14:paraId="3774FC1F" w14:textId="77777777" w:rsidR="00D7784B" w:rsidRDefault="00D7784B" w:rsidP="00D7784B">
      <w:pPr>
        <w:pStyle w:val="FootnoteText"/>
      </w:pPr>
      <w:r>
        <w:rPr>
          <w:rStyle w:val="FootnoteReference"/>
        </w:rPr>
        <w:footnoteRef/>
      </w:r>
      <w:r>
        <w:t xml:space="preserve"> </w:t>
      </w:r>
      <w:r w:rsidRPr="005229C3">
        <w:rPr>
          <w:rFonts w:cstheme="minorHAnsi"/>
        </w:rPr>
        <w:t>00509.092</w:t>
      </w:r>
      <w:r>
        <w:rPr>
          <w:rFonts w:cstheme="minorHAnsi"/>
        </w:rPr>
        <w:t xml:space="preserve"> Wise Response</w:t>
      </w:r>
    </w:p>
  </w:footnote>
  <w:footnote w:id="986">
    <w:p w14:paraId="1DF90D80" w14:textId="77777777" w:rsidR="00D7784B" w:rsidRDefault="00D7784B" w:rsidP="00D7784B">
      <w:pPr>
        <w:pStyle w:val="FootnoteText"/>
      </w:pPr>
      <w:r>
        <w:rPr>
          <w:rStyle w:val="FootnoteReference"/>
        </w:rPr>
        <w:footnoteRef/>
      </w:r>
      <w:r>
        <w:t xml:space="preserve"> 00206.042 Trojan, 00411.054 Wayfare, 00231.097 Fish and Game</w:t>
      </w:r>
    </w:p>
  </w:footnote>
  <w:footnote w:id="987">
    <w:p w14:paraId="7687B1FA" w14:textId="77777777" w:rsidR="00D7784B" w:rsidRDefault="00D7784B" w:rsidP="00D7784B">
      <w:pPr>
        <w:pStyle w:val="FootnoteText"/>
      </w:pPr>
      <w:r>
        <w:rPr>
          <w:rStyle w:val="FootnoteReference"/>
        </w:rPr>
        <w:footnoteRef/>
      </w:r>
      <w:r>
        <w:t xml:space="preserve"> 00140.023 Waitaki DC</w:t>
      </w:r>
    </w:p>
  </w:footnote>
  <w:footnote w:id="988">
    <w:p w14:paraId="1B0955C2" w14:textId="25F079A9" w:rsidR="00256160" w:rsidRDefault="00256160">
      <w:pPr>
        <w:pStyle w:val="FootnoteText"/>
      </w:pPr>
      <w:r>
        <w:rPr>
          <w:rStyle w:val="FootnoteReference"/>
        </w:rPr>
        <w:footnoteRef/>
      </w:r>
      <w:r>
        <w:t xml:space="preserve"> </w:t>
      </w:r>
      <w:r w:rsidR="00AD51E3">
        <w:t>Clause 16(2), Schedule 1, RMA</w:t>
      </w:r>
    </w:p>
  </w:footnote>
  <w:footnote w:id="989">
    <w:p w14:paraId="4EC3B2CA" w14:textId="77777777" w:rsidR="00D7784B" w:rsidRDefault="00D7784B" w:rsidP="00D7784B">
      <w:pPr>
        <w:pStyle w:val="FootnoteText"/>
      </w:pPr>
      <w:r>
        <w:rPr>
          <w:rStyle w:val="FootnoteReference"/>
        </w:rPr>
        <w:footnoteRef/>
      </w:r>
      <w:r>
        <w:t xml:space="preserve"> 00509.093 Wise Response</w:t>
      </w:r>
    </w:p>
  </w:footnote>
  <w:footnote w:id="990">
    <w:p w14:paraId="44AEC9AC" w14:textId="77777777" w:rsidR="00D7784B" w:rsidRDefault="00D7784B" w:rsidP="00D7784B">
      <w:pPr>
        <w:pStyle w:val="FootnoteText"/>
      </w:pPr>
      <w:r>
        <w:rPr>
          <w:rStyle w:val="FootnoteReference"/>
        </w:rPr>
        <w:footnoteRef/>
      </w:r>
      <w:r>
        <w:t xml:space="preserve"> 00137.079 DOC</w:t>
      </w:r>
    </w:p>
  </w:footnote>
  <w:footnote w:id="991">
    <w:p w14:paraId="007BA09B" w14:textId="77777777" w:rsidR="00D7784B" w:rsidRDefault="00D7784B" w:rsidP="00D7784B">
      <w:pPr>
        <w:pStyle w:val="FootnoteText"/>
      </w:pPr>
      <w:r>
        <w:rPr>
          <w:rStyle w:val="FootnoteReference"/>
        </w:rPr>
        <w:footnoteRef/>
      </w:r>
      <w:r>
        <w:t xml:space="preserve"> 00509.093 Wise Response</w:t>
      </w:r>
    </w:p>
  </w:footnote>
  <w:footnote w:id="992">
    <w:p w14:paraId="549092EE" w14:textId="77777777" w:rsidR="00D7784B" w:rsidRPr="00BB668D" w:rsidRDefault="00D7784B" w:rsidP="00D7784B">
      <w:pPr>
        <w:pStyle w:val="FootnoteText"/>
        <w:rPr>
          <w:lang w:val="en-GB"/>
        </w:rPr>
      </w:pPr>
      <w:r>
        <w:rPr>
          <w:rStyle w:val="FootnoteReference"/>
        </w:rPr>
        <w:footnoteRef/>
      </w:r>
      <w:r>
        <w:t xml:space="preserve"> </w:t>
      </w:r>
      <w:r>
        <w:rPr>
          <w:lang w:val="en-GB"/>
        </w:rPr>
        <w:t>00235.008 OWRUG</w:t>
      </w:r>
    </w:p>
  </w:footnote>
  <w:footnote w:id="993">
    <w:p w14:paraId="49619CF3" w14:textId="420B509A" w:rsidR="00D7784B" w:rsidRPr="00951DD9" w:rsidRDefault="00D7784B" w:rsidP="00D7784B">
      <w:pPr>
        <w:pStyle w:val="FootnoteText"/>
        <w:rPr>
          <w:highlight w:val="yellow"/>
        </w:rPr>
      </w:pPr>
      <w:r w:rsidRPr="008776E9">
        <w:rPr>
          <w:rStyle w:val="FootnoteReference"/>
        </w:rPr>
        <w:footnoteRef/>
      </w:r>
      <w:r w:rsidRPr="008776E9">
        <w:t xml:space="preserve"> Clause</w:t>
      </w:r>
      <w:r>
        <w:t xml:space="preserve"> 10(2)(b)(i)</w:t>
      </w:r>
      <w:r w:rsidR="00906D13">
        <w:t>, Schedule 1, RMA</w:t>
      </w:r>
      <w:r>
        <w:t xml:space="preserve"> – consequential amendment arising from 00409.015 Ballance</w:t>
      </w:r>
    </w:p>
  </w:footnote>
  <w:footnote w:id="994">
    <w:p w14:paraId="4F31C5A2" w14:textId="7A6F0179" w:rsidR="00512E24" w:rsidRDefault="00512E24">
      <w:pPr>
        <w:pStyle w:val="FootnoteText"/>
      </w:pPr>
      <w:r>
        <w:rPr>
          <w:rStyle w:val="FootnoteReference"/>
        </w:rPr>
        <w:footnoteRef/>
      </w:r>
      <w:r>
        <w:t xml:space="preserve"> </w:t>
      </w:r>
      <w:r w:rsidR="00223185" w:rsidRPr="00223185">
        <w:t>Clause 16(2), Schedule 1, RMA</w:t>
      </w:r>
    </w:p>
  </w:footnote>
  <w:footnote w:id="995">
    <w:p w14:paraId="40CEE866" w14:textId="77777777" w:rsidR="00D7784B" w:rsidRDefault="00D7784B" w:rsidP="00D7784B">
      <w:pPr>
        <w:pStyle w:val="FootnoteText"/>
      </w:pPr>
      <w:r>
        <w:rPr>
          <w:rStyle w:val="FootnoteReference"/>
        </w:rPr>
        <w:footnoteRef/>
      </w:r>
      <w:r>
        <w:t xml:space="preserve"> 00226.212 Kāi Tahu ki Otago</w:t>
      </w:r>
    </w:p>
  </w:footnote>
  <w:footnote w:id="996">
    <w:p w14:paraId="5CB66DE4" w14:textId="77777777" w:rsidR="00D7784B" w:rsidRDefault="00D7784B" w:rsidP="00D7784B">
      <w:pPr>
        <w:pStyle w:val="FootnoteText"/>
      </w:pPr>
      <w:r>
        <w:rPr>
          <w:rStyle w:val="FootnoteReference"/>
        </w:rPr>
        <w:footnoteRef/>
      </w:r>
      <w:r>
        <w:t xml:space="preserve"> 00226.212 Kāi Tahu ki Otago</w:t>
      </w:r>
    </w:p>
  </w:footnote>
  <w:footnote w:id="997">
    <w:p w14:paraId="5DA29FB0" w14:textId="14C26FBE" w:rsidR="00D7784B" w:rsidRDefault="00D7784B" w:rsidP="00D7784B">
      <w:pPr>
        <w:pStyle w:val="FootnoteText"/>
      </w:pPr>
      <w:r w:rsidRPr="00D23C20">
        <w:rPr>
          <w:rStyle w:val="FootnoteReference"/>
        </w:rPr>
        <w:footnoteRef/>
      </w:r>
      <w:r w:rsidRPr="00D23C20">
        <w:t xml:space="preserve"> Clause 10(2)(b)(i)</w:t>
      </w:r>
      <w:r w:rsidR="00906D13">
        <w:t>, Schedule 1, RMA</w:t>
      </w:r>
      <w:r w:rsidRPr="00D23C20">
        <w:t xml:space="preserve"> – consequential amendment arising from 00239</w:t>
      </w:r>
      <w:r>
        <w:t>.094 Federated Farmers</w:t>
      </w:r>
    </w:p>
  </w:footnote>
  <w:footnote w:id="998">
    <w:p w14:paraId="2DABD275"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999">
    <w:p w14:paraId="42D5174D" w14:textId="115EA3CB" w:rsidR="00D7784B" w:rsidRPr="00BB668D" w:rsidRDefault="00D7784B" w:rsidP="00D7784B">
      <w:pPr>
        <w:pStyle w:val="FootnoteText"/>
        <w:rPr>
          <w:lang w:val="en-GB"/>
        </w:rPr>
      </w:pPr>
      <w:r>
        <w:rPr>
          <w:rStyle w:val="FootnoteReference"/>
        </w:rPr>
        <w:footnoteRef/>
      </w:r>
      <w:r>
        <w:t xml:space="preserve"> </w:t>
      </w:r>
      <w:r w:rsidRPr="008776E9">
        <w:t>Clause</w:t>
      </w:r>
      <w:r>
        <w:t xml:space="preserve"> 10(2)(b)(i)</w:t>
      </w:r>
      <w:r w:rsidR="00906D13">
        <w:t>, Schedule 1, RMA</w:t>
      </w:r>
      <w:r>
        <w:t xml:space="preserve"> – consequential amendment arising from </w:t>
      </w:r>
      <w:r>
        <w:rPr>
          <w:lang w:val="en-GB"/>
        </w:rPr>
        <w:t>00235.008 OWRUG</w:t>
      </w:r>
    </w:p>
  </w:footnote>
  <w:footnote w:id="1000">
    <w:p w14:paraId="03EBC230" w14:textId="7D00AAFA" w:rsidR="00D7784B" w:rsidRPr="00BB668D" w:rsidRDefault="00D7784B" w:rsidP="00D7784B">
      <w:pPr>
        <w:pStyle w:val="FootnoteText"/>
        <w:rPr>
          <w:lang w:val="en-GB"/>
        </w:rPr>
      </w:pPr>
      <w:r>
        <w:rPr>
          <w:rStyle w:val="FootnoteReference"/>
        </w:rPr>
        <w:footnoteRef/>
      </w:r>
      <w:r>
        <w:t xml:space="preserve"> </w:t>
      </w:r>
      <w:r w:rsidRPr="008776E9">
        <w:t>Clause</w:t>
      </w:r>
      <w:r>
        <w:t xml:space="preserve"> 10(2)(b)(i)</w:t>
      </w:r>
      <w:r w:rsidR="00906D13">
        <w:t>, Schedule 1, RMA</w:t>
      </w:r>
      <w:r>
        <w:t xml:space="preserve"> – consequential amendment arising from </w:t>
      </w:r>
      <w:r>
        <w:rPr>
          <w:lang w:val="en-GB"/>
        </w:rPr>
        <w:t>00235.008 OWRUG</w:t>
      </w:r>
    </w:p>
  </w:footnote>
  <w:footnote w:id="1001">
    <w:p w14:paraId="06855D6B" w14:textId="77777777" w:rsidR="00D7784B" w:rsidRDefault="00D7784B" w:rsidP="00D7784B">
      <w:pPr>
        <w:pStyle w:val="FootnoteText"/>
      </w:pPr>
      <w:r>
        <w:rPr>
          <w:rStyle w:val="FootnoteReference"/>
        </w:rPr>
        <w:footnoteRef/>
      </w:r>
      <w:r>
        <w:t xml:space="preserve"> 00226.213 Kāi Tahu ki Otago</w:t>
      </w:r>
    </w:p>
  </w:footnote>
  <w:footnote w:id="1002">
    <w:p w14:paraId="1D7202A0" w14:textId="77777777" w:rsidR="00157778" w:rsidRDefault="00157778" w:rsidP="00157778">
      <w:pPr>
        <w:pStyle w:val="FootnoteText"/>
        <w:rPr>
          <w:rFonts w:eastAsia="Calibri"/>
          <w:szCs w:val="18"/>
        </w:rPr>
      </w:pPr>
      <w:r w:rsidRPr="1EE00A55">
        <w:rPr>
          <w:rStyle w:val="FootnoteReference"/>
          <w:rFonts w:eastAsia="Calibri"/>
          <w:szCs w:val="18"/>
        </w:rPr>
        <w:footnoteRef/>
      </w:r>
      <w:r w:rsidRPr="1EE00A55">
        <w:rPr>
          <w:rFonts w:eastAsia="Calibri"/>
          <w:szCs w:val="18"/>
        </w:rPr>
        <w:t xml:space="preserve"> </w:t>
      </w:r>
      <w:r w:rsidRPr="0009486A">
        <w:rPr>
          <w:rFonts w:eastAsia="Calibri"/>
          <w:szCs w:val="18"/>
        </w:rPr>
        <w:t>00024.010 City Forests Limited</w:t>
      </w:r>
    </w:p>
  </w:footnote>
  <w:footnote w:id="1003">
    <w:p w14:paraId="39DB7E28" w14:textId="63521E16" w:rsidR="00157778" w:rsidRDefault="00157778" w:rsidP="00157778">
      <w:pPr>
        <w:pStyle w:val="FootnoteText"/>
        <w:rPr>
          <w:rFonts w:eastAsia="Calibri"/>
          <w:szCs w:val="18"/>
        </w:rPr>
      </w:pPr>
      <w:r w:rsidRPr="1EE00A55">
        <w:rPr>
          <w:rStyle w:val="FootnoteReference"/>
          <w:rFonts w:eastAsia="Calibri"/>
          <w:szCs w:val="18"/>
        </w:rPr>
        <w:footnoteRef/>
      </w:r>
      <w:r w:rsidRPr="1EE00A55">
        <w:rPr>
          <w:rFonts w:eastAsia="Calibri"/>
          <w:szCs w:val="18"/>
        </w:rPr>
        <w:t xml:space="preserve"> </w:t>
      </w:r>
      <w:r w:rsidRPr="0009486A">
        <w:rPr>
          <w:rFonts w:eastAsia="Calibri"/>
          <w:szCs w:val="18"/>
        </w:rPr>
        <w:t xml:space="preserve">00306.042 </w:t>
      </w:r>
      <w:r w:rsidR="00854F19">
        <w:rPr>
          <w:rFonts w:eastAsia="Calibri"/>
          <w:szCs w:val="18"/>
        </w:rPr>
        <w:t>Meridian</w:t>
      </w:r>
    </w:p>
  </w:footnote>
  <w:footnote w:id="1004">
    <w:p w14:paraId="33F9A5B2" w14:textId="4A4572D1" w:rsidR="002E40AE" w:rsidRDefault="002E40AE" w:rsidP="002E40AE">
      <w:pPr>
        <w:pStyle w:val="FootnoteText"/>
      </w:pPr>
      <w:r>
        <w:rPr>
          <w:rStyle w:val="FootnoteReference"/>
        </w:rPr>
        <w:footnoteRef/>
      </w:r>
      <w:r>
        <w:t xml:space="preserve"> 00226.215 Kāi Tahu ki Otago</w:t>
      </w:r>
    </w:p>
  </w:footnote>
  <w:footnote w:id="1005">
    <w:p w14:paraId="1DF356B6" w14:textId="38EDC464" w:rsidR="00E80572" w:rsidRDefault="00E80572" w:rsidP="00E80572">
      <w:pPr>
        <w:pStyle w:val="FootnoteText"/>
      </w:pPr>
      <w:r>
        <w:rPr>
          <w:rStyle w:val="FootnoteReference"/>
        </w:rPr>
        <w:footnoteRef/>
      </w:r>
      <w:r>
        <w:t xml:space="preserve"> 00223.099 Ngāi Tahu ki Murihiku, 00226.215 Kāi Tahu ki Otago</w:t>
      </w:r>
    </w:p>
  </w:footnote>
  <w:footnote w:id="1006">
    <w:p w14:paraId="1B523965" w14:textId="18912046" w:rsidR="00E80572" w:rsidRDefault="00E80572" w:rsidP="00E80572">
      <w:pPr>
        <w:pStyle w:val="FootnoteText"/>
      </w:pPr>
      <w:r>
        <w:rPr>
          <w:rStyle w:val="FootnoteReference"/>
        </w:rPr>
        <w:footnoteRef/>
      </w:r>
      <w:r>
        <w:t xml:space="preserve"> 00322.026 </w:t>
      </w:r>
      <w:r w:rsidR="00854F19">
        <w:t>Fulton Hogan</w:t>
      </w:r>
    </w:p>
  </w:footnote>
  <w:footnote w:id="1007">
    <w:p w14:paraId="29C800BB" w14:textId="77777777" w:rsidR="00D5481E" w:rsidRDefault="00D5481E" w:rsidP="00D5481E">
      <w:pPr>
        <w:pStyle w:val="FootnoteText"/>
      </w:pPr>
      <w:r>
        <w:rPr>
          <w:rStyle w:val="FootnoteReference"/>
        </w:rPr>
        <w:footnoteRef/>
      </w:r>
      <w:r>
        <w:t xml:space="preserve"> 00234.031 Te Rūnanga o Ngāi Tahu</w:t>
      </w:r>
    </w:p>
  </w:footnote>
  <w:footnote w:id="1008">
    <w:p w14:paraId="5B9BE091" w14:textId="072F3181" w:rsidR="00CC3C98" w:rsidRDefault="00CC3C98" w:rsidP="00CC3C98">
      <w:pPr>
        <w:pStyle w:val="FootnoteText"/>
      </w:pPr>
      <w:r>
        <w:rPr>
          <w:rStyle w:val="FootnoteReference"/>
        </w:rPr>
        <w:footnoteRef/>
      </w:r>
      <w:r>
        <w:t xml:space="preserve"> 00226.216 Kāi Tahu ki Otago, 00234.031 Te Rūnanga o Ngāi Tahu</w:t>
      </w:r>
    </w:p>
  </w:footnote>
  <w:footnote w:id="1009">
    <w:p w14:paraId="4F61211D" w14:textId="7AD78CF5" w:rsidR="003270D1" w:rsidRDefault="003270D1" w:rsidP="003270D1">
      <w:pPr>
        <w:pStyle w:val="FootnoteText"/>
      </w:pPr>
      <w:r>
        <w:rPr>
          <w:rStyle w:val="FootnoteReference"/>
        </w:rPr>
        <w:footnoteRef/>
      </w:r>
      <w:r>
        <w:t xml:space="preserve"> 00226.217 </w:t>
      </w:r>
      <w:r w:rsidR="00854F19">
        <w:t>Kāi Tahu ki Otago</w:t>
      </w:r>
    </w:p>
  </w:footnote>
  <w:footnote w:id="1010">
    <w:p w14:paraId="5C40385D" w14:textId="677123CA" w:rsidR="003270D1" w:rsidRDefault="003270D1" w:rsidP="003270D1">
      <w:pPr>
        <w:pStyle w:val="FootnoteText"/>
      </w:pPr>
      <w:r>
        <w:rPr>
          <w:rStyle w:val="FootnoteReference"/>
        </w:rPr>
        <w:footnoteRef/>
      </w:r>
      <w:r>
        <w:t xml:space="preserve"> 00226.217 </w:t>
      </w:r>
      <w:r w:rsidR="00854F19">
        <w:t>Kāi Tahu ki Otago</w:t>
      </w:r>
    </w:p>
  </w:footnote>
  <w:footnote w:id="1011">
    <w:p w14:paraId="26BF3808" w14:textId="41D8F742" w:rsidR="003270D1" w:rsidRDefault="003270D1" w:rsidP="003270D1">
      <w:pPr>
        <w:pStyle w:val="FootnoteText"/>
      </w:pPr>
      <w:r>
        <w:rPr>
          <w:rStyle w:val="FootnoteReference"/>
        </w:rPr>
        <w:footnoteRef/>
      </w:r>
      <w:r>
        <w:t xml:space="preserve"> 00226.217 </w:t>
      </w:r>
      <w:r w:rsidR="00854F19">
        <w:t>Kāi Tahu ki Otago</w:t>
      </w:r>
    </w:p>
  </w:footnote>
  <w:footnote w:id="1012">
    <w:p w14:paraId="10D54222" w14:textId="760781F6" w:rsidR="003270D1" w:rsidRDefault="003270D1" w:rsidP="003270D1">
      <w:pPr>
        <w:pStyle w:val="FootnoteText"/>
      </w:pPr>
      <w:r>
        <w:rPr>
          <w:rStyle w:val="FootnoteReference"/>
        </w:rPr>
        <w:footnoteRef/>
      </w:r>
      <w:r>
        <w:t xml:space="preserve"> 00239.099 </w:t>
      </w:r>
      <w:r w:rsidR="00387799">
        <w:t>Federated Farmers</w:t>
      </w:r>
      <w:r>
        <w:t xml:space="preserve"> </w:t>
      </w:r>
    </w:p>
  </w:footnote>
  <w:footnote w:id="1013">
    <w:p w14:paraId="6056C0CE" w14:textId="77777777" w:rsidR="003270D1" w:rsidRDefault="003270D1" w:rsidP="003270D1">
      <w:pPr>
        <w:pStyle w:val="FootnoteText"/>
      </w:pPr>
      <w:r>
        <w:rPr>
          <w:rStyle w:val="FootnoteReference"/>
        </w:rPr>
        <w:footnoteRef/>
      </w:r>
      <w:r>
        <w:t xml:space="preserve"> </w:t>
      </w:r>
      <w:r w:rsidRPr="00E95E50">
        <w:rPr>
          <w:color w:val="000000"/>
        </w:rPr>
        <w:t>00226.0038 Kāi Tahu ki Otago</w:t>
      </w:r>
    </w:p>
  </w:footnote>
  <w:footnote w:id="1014">
    <w:p w14:paraId="081714D8" w14:textId="71393D6B" w:rsidR="007545BF" w:rsidRDefault="007545BF" w:rsidP="007545BF">
      <w:pPr>
        <w:pStyle w:val="FootnoteText"/>
      </w:pPr>
      <w:r>
        <w:rPr>
          <w:rStyle w:val="FootnoteReference"/>
        </w:rPr>
        <w:footnoteRef/>
      </w:r>
      <w:r>
        <w:t xml:space="preserve"> 00020.018 </w:t>
      </w:r>
      <w:r w:rsidR="00387799">
        <w:t>Rayonier Matariki</w:t>
      </w:r>
    </w:p>
  </w:footnote>
  <w:footnote w:id="1015">
    <w:p w14:paraId="78875664" w14:textId="581C2C64" w:rsidR="007545BF" w:rsidRDefault="007545BF" w:rsidP="007545BF">
      <w:pPr>
        <w:pStyle w:val="FootnoteText"/>
      </w:pPr>
      <w:r>
        <w:rPr>
          <w:rStyle w:val="FootnoteReference"/>
        </w:rPr>
        <w:footnoteRef/>
      </w:r>
      <w:r>
        <w:t xml:space="preserve"> 00226.218 </w:t>
      </w:r>
      <w:r w:rsidR="00854F19">
        <w:t>Kāi Tahu ki Otago</w:t>
      </w:r>
      <w:r>
        <w:t xml:space="preserve">, 00230.101 </w:t>
      </w:r>
      <w:r w:rsidR="00387799">
        <w:t>Forest and Bird</w:t>
      </w:r>
      <w:r>
        <w:t xml:space="preserve"> </w:t>
      </w:r>
    </w:p>
  </w:footnote>
  <w:footnote w:id="1016">
    <w:p w14:paraId="7B0A35CF" w14:textId="610E187E" w:rsidR="007545BF" w:rsidRDefault="007545BF" w:rsidP="007545BF">
      <w:pPr>
        <w:pStyle w:val="FootnoteText"/>
      </w:pPr>
      <w:r>
        <w:rPr>
          <w:rStyle w:val="FootnoteReference"/>
        </w:rPr>
        <w:footnoteRef/>
      </w:r>
      <w:r>
        <w:t xml:space="preserve"> 00226.218 </w:t>
      </w:r>
      <w:r w:rsidR="00854F19">
        <w:t>Kāi Tahu ki Otago</w:t>
      </w:r>
    </w:p>
  </w:footnote>
  <w:footnote w:id="1017">
    <w:p w14:paraId="419D5381" w14:textId="45642F5C" w:rsidR="008B3E59" w:rsidRDefault="008B3E59" w:rsidP="008B3E59">
      <w:pPr>
        <w:pStyle w:val="FootnoteText"/>
      </w:pPr>
      <w:r>
        <w:rPr>
          <w:rStyle w:val="FootnoteReference"/>
        </w:rPr>
        <w:footnoteRef/>
      </w:r>
      <w:r>
        <w:t xml:space="preserve"> 00237.007 Beef &amp; Lamb </w:t>
      </w:r>
      <w:r w:rsidR="00F229D3">
        <w:t>and DINZ</w:t>
      </w:r>
      <w:r>
        <w:t xml:space="preserve">, 00137.016 </w:t>
      </w:r>
      <w:r w:rsidR="00387799">
        <w:t>DOC</w:t>
      </w:r>
      <w:r>
        <w:t xml:space="preserve">, 00226.035 </w:t>
      </w:r>
      <w:r w:rsidR="00854F19">
        <w:t>Kāi Tahu ki Otago</w:t>
      </w:r>
      <w:r>
        <w:t xml:space="preserve">, 00120.011 Yellow-eyed Penguin Trust, 00230.016 </w:t>
      </w:r>
      <w:r w:rsidR="00387799">
        <w:t>Forest and Bird</w:t>
      </w:r>
    </w:p>
  </w:footnote>
  <w:footnote w:id="1018">
    <w:p w14:paraId="4B9943A5" w14:textId="77777777" w:rsidR="008B3E59" w:rsidRDefault="008B3E59" w:rsidP="008B3E59">
      <w:pPr>
        <w:pStyle w:val="FootnoteText"/>
      </w:pPr>
      <w:r>
        <w:rPr>
          <w:rStyle w:val="FootnoteReference"/>
        </w:rPr>
        <w:footnoteRef/>
      </w:r>
      <w:r>
        <w:t xml:space="preserve"> 00223.100 </w:t>
      </w:r>
      <w:r w:rsidRPr="00FA72D9">
        <w:t>Ngāi Tahu ki Murihiku</w:t>
      </w:r>
    </w:p>
  </w:footnote>
  <w:footnote w:id="1019">
    <w:p w14:paraId="51C4EB3B" w14:textId="1DD8B569" w:rsidR="008B3E59" w:rsidRDefault="008B3E59" w:rsidP="008B3E59">
      <w:pPr>
        <w:pStyle w:val="FootnoteText"/>
      </w:pPr>
      <w:r>
        <w:rPr>
          <w:rStyle w:val="FootnoteReference"/>
        </w:rPr>
        <w:footnoteRef/>
      </w:r>
      <w:r>
        <w:t xml:space="preserve"> 00226.219 </w:t>
      </w:r>
      <w:r w:rsidR="00854F19">
        <w:t>Kāi Tahu ki Otago</w:t>
      </w:r>
    </w:p>
  </w:footnote>
  <w:footnote w:id="1020">
    <w:p w14:paraId="0A810B8E" w14:textId="6CC1E975" w:rsidR="008B3E59" w:rsidRDefault="008B3E59" w:rsidP="008B3E59">
      <w:pPr>
        <w:pStyle w:val="FootnoteText"/>
      </w:pPr>
      <w:r>
        <w:rPr>
          <w:rStyle w:val="FootnoteReference"/>
        </w:rPr>
        <w:footnoteRef/>
      </w:r>
      <w:r>
        <w:t xml:space="preserve"> 00230.102 </w:t>
      </w:r>
      <w:r w:rsidR="00387799">
        <w:t>Forest and Bird</w:t>
      </w:r>
    </w:p>
  </w:footnote>
  <w:footnote w:id="1021">
    <w:p w14:paraId="13A50741" w14:textId="5D533CF0" w:rsidR="008B3E59" w:rsidRDefault="008B3E59" w:rsidP="008B3E59">
      <w:pPr>
        <w:pStyle w:val="FootnoteText"/>
      </w:pPr>
      <w:r>
        <w:rPr>
          <w:rStyle w:val="FootnoteReference"/>
        </w:rPr>
        <w:footnoteRef/>
      </w:r>
      <w:r>
        <w:t xml:space="preserve"> 00230.102 </w:t>
      </w:r>
      <w:r w:rsidR="00387799">
        <w:t>Forest and Bird</w:t>
      </w:r>
    </w:p>
  </w:footnote>
  <w:footnote w:id="1022">
    <w:p w14:paraId="3D13F2B9" w14:textId="7FC604BF" w:rsidR="008B3E59" w:rsidRDefault="008B3E59" w:rsidP="008B3E59">
      <w:pPr>
        <w:pStyle w:val="FootnoteText"/>
      </w:pPr>
      <w:r>
        <w:rPr>
          <w:rStyle w:val="FootnoteReference"/>
        </w:rPr>
        <w:footnoteRef/>
      </w:r>
      <w:r>
        <w:t xml:space="preserve"> 00230.102 </w:t>
      </w:r>
      <w:r w:rsidR="00387799">
        <w:t>Forest and Bird</w:t>
      </w:r>
    </w:p>
  </w:footnote>
  <w:footnote w:id="1023">
    <w:p w14:paraId="41538031" w14:textId="086BBCFF" w:rsidR="008B3E59" w:rsidRDefault="008B3E59" w:rsidP="008B3E59">
      <w:pPr>
        <w:pStyle w:val="FootnoteText"/>
      </w:pPr>
      <w:r>
        <w:rPr>
          <w:rStyle w:val="FootnoteReference"/>
        </w:rPr>
        <w:footnoteRef/>
      </w:r>
      <w:r>
        <w:t xml:space="preserve"> 00139.129 </w:t>
      </w:r>
      <w:r w:rsidR="00387799">
        <w:t>DCC</w:t>
      </w:r>
    </w:p>
  </w:footnote>
  <w:footnote w:id="1024">
    <w:p w14:paraId="3B69C19A" w14:textId="6E332830" w:rsidR="008B3E59" w:rsidRDefault="008B3E59" w:rsidP="008B3E59">
      <w:pPr>
        <w:pStyle w:val="FootnoteText"/>
      </w:pPr>
      <w:r>
        <w:rPr>
          <w:rStyle w:val="FootnoteReference"/>
        </w:rPr>
        <w:footnoteRef/>
      </w:r>
      <w:r>
        <w:t xml:space="preserve"> 00138.033 </w:t>
      </w:r>
      <w:r w:rsidR="00387799">
        <w:t>QLDC</w:t>
      </w:r>
    </w:p>
  </w:footnote>
  <w:footnote w:id="1025">
    <w:p w14:paraId="6334F6B4" w14:textId="79AF3EA5" w:rsidR="008B3E59" w:rsidRDefault="008B3E59" w:rsidP="008B3E59">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r>
        <w:t xml:space="preserve">, 00137.009 </w:t>
      </w:r>
      <w:r w:rsidR="00387799">
        <w:t>DOC</w:t>
      </w:r>
    </w:p>
  </w:footnote>
  <w:footnote w:id="1026">
    <w:p w14:paraId="01E9355B" w14:textId="6DBE024D" w:rsidR="008B3E59" w:rsidRDefault="008B3E59" w:rsidP="008B3E59">
      <w:pPr>
        <w:pStyle w:val="FootnoteText"/>
      </w:pPr>
      <w:r>
        <w:rPr>
          <w:rStyle w:val="FootnoteReference"/>
        </w:rPr>
        <w:footnoteRef/>
      </w:r>
      <w:r>
        <w:t xml:space="preserve"> 00020.018 </w:t>
      </w:r>
      <w:r w:rsidR="00387799">
        <w:t>Rayonier Matariki</w:t>
      </w:r>
    </w:p>
  </w:footnote>
  <w:footnote w:id="1027">
    <w:p w14:paraId="6AB08EFD" w14:textId="77777777" w:rsidR="008B3E59" w:rsidRDefault="008B3E59" w:rsidP="008B3E59">
      <w:pPr>
        <w:pStyle w:val="FootnoteText"/>
      </w:pPr>
      <w:r>
        <w:rPr>
          <w:rStyle w:val="FootnoteReference"/>
        </w:rPr>
        <w:footnoteRef/>
      </w:r>
      <w:r>
        <w:t xml:space="preserve"> </w:t>
      </w:r>
      <w:r>
        <w:rPr>
          <w:rStyle w:val="normaltextrun"/>
          <w:color w:val="000000"/>
          <w:szCs w:val="18"/>
          <w:shd w:val="clear" w:color="auto" w:fill="FFFFFF"/>
        </w:rPr>
        <w:t>00139.040 DCC, 00121.027 Ravensdown</w:t>
      </w:r>
    </w:p>
  </w:footnote>
  <w:footnote w:id="1028">
    <w:p w14:paraId="559368F1" w14:textId="3B48709D" w:rsidR="005E0FED" w:rsidRDefault="005E0FED" w:rsidP="005E0FED">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r>
        <w:t xml:space="preserve">, 00137.009 </w:t>
      </w:r>
      <w:r w:rsidR="00387799">
        <w:t>DOC</w:t>
      </w:r>
    </w:p>
  </w:footnote>
  <w:footnote w:id="1029">
    <w:p w14:paraId="132DDB6B" w14:textId="00C704B2" w:rsidR="005E0FED" w:rsidRDefault="005E0FED" w:rsidP="005E0FED">
      <w:pPr>
        <w:pStyle w:val="FootnoteText"/>
      </w:pPr>
      <w:r>
        <w:rPr>
          <w:rStyle w:val="FootnoteReference"/>
        </w:rPr>
        <w:footnoteRef/>
      </w:r>
      <w:r>
        <w:t xml:space="preserve"> 00237.007 </w:t>
      </w:r>
      <w:r w:rsidR="00387799">
        <w:t>Beef &amp; Lamb and DINZ</w:t>
      </w:r>
      <w:r>
        <w:t xml:space="preserve">, 00137.016 </w:t>
      </w:r>
      <w:r w:rsidR="00387799">
        <w:t>DOC</w:t>
      </w:r>
      <w:r>
        <w:t xml:space="preserve">, 00226.035 </w:t>
      </w:r>
      <w:r w:rsidR="00854F19">
        <w:t>Kāi Tahu ki Otago</w:t>
      </w:r>
      <w:r>
        <w:t xml:space="preserve">, 00120.011 Yellow-eyed Penguin Trust, 00230.016 </w:t>
      </w:r>
      <w:r w:rsidR="00387799">
        <w:t>Forest and Bird</w:t>
      </w:r>
    </w:p>
  </w:footnote>
  <w:footnote w:id="1030">
    <w:p w14:paraId="614740A1" w14:textId="77777777" w:rsidR="005E0FED" w:rsidRDefault="005E0FED" w:rsidP="005E0FED">
      <w:pPr>
        <w:pStyle w:val="FootnoteText"/>
      </w:pPr>
      <w:r>
        <w:rPr>
          <w:rStyle w:val="FootnoteReference"/>
        </w:rPr>
        <w:footnoteRef/>
      </w:r>
      <w:r>
        <w:t xml:space="preserve"> 00311.022 Trustpower Limited</w:t>
      </w:r>
    </w:p>
  </w:footnote>
  <w:footnote w:id="1031">
    <w:p w14:paraId="05875980" w14:textId="1C9D510F" w:rsidR="005E0FED" w:rsidRDefault="005E0FED" w:rsidP="005E0FED">
      <w:pPr>
        <w:pStyle w:val="FootnoteText"/>
      </w:pPr>
      <w:r>
        <w:rPr>
          <w:rStyle w:val="FootnoteReference"/>
        </w:rPr>
        <w:footnoteRef/>
      </w:r>
      <w:r>
        <w:t xml:space="preserve"> 00314.001 </w:t>
      </w:r>
      <w:r w:rsidR="00387799">
        <w:t>Transpower</w:t>
      </w:r>
    </w:p>
  </w:footnote>
  <w:footnote w:id="1032">
    <w:p w14:paraId="34814464" w14:textId="223AC4C2" w:rsidR="005E0FED" w:rsidRDefault="005E0FED" w:rsidP="005E0FED">
      <w:pPr>
        <w:pStyle w:val="FootnoteText"/>
      </w:pPr>
      <w:r>
        <w:rPr>
          <w:rStyle w:val="FootnoteReference"/>
        </w:rPr>
        <w:footnoteRef/>
      </w:r>
      <w:r>
        <w:t xml:space="preserve"> </w:t>
      </w:r>
      <w:r w:rsidRPr="003E536A">
        <w:rPr>
          <w:color w:val="000000"/>
          <w:szCs w:val="18"/>
        </w:rPr>
        <w:t>00315.046 Aurora</w:t>
      </w:r>
      <w:r w:rsidR="00387799">
        <w:rPr>
          <w:color w:val="000000"/>
          <w:szCs w:val="18"/>
        </w:rPr>
        <w:t xml:space="preserve"> Energy</w:t>
      </w:r>
      <w:r w:rsidRPr="003E536A">
        <w:rPr>
          <w:color w:val="000000"/>
          <w:szCs w:val="18"/>
        </w:rPr>
        <w:t>, 00138.116 QLDC</w:t>
      </w:r>
    </w:p>
  </w:footnote>
  <w:footnote w:id="1033">
    <w:p w14:paraId="5E296F57" w14:textId="77777777" w:rsidR="005E0FED" w:rsidRDefault="005E0FED" w:rsidP="005E0FED">
      <w:pPr>
        <w:pStyle w:val="FootnoteText"/>
      </w:pPr>
      <w:r w:rsidRPr="007B53AF">
        <w:rPr>
          <w:rStyle w:val="FootnoteReference"/>
          <w:highlight w:val="lightGray"/>
        </w:rPr>
        <w:footnoteRef/>
      </w:r>
      <w:r w:rsidRPr="007B53AF">
        <w:rPr>
          <w:highlight w:val="lightGray"/>
        </w:rPr>
        <w:t xml:space="preserve"> ‘</w:t>
      </w:r>
      <w:r w:rsidRPr="007B53AF">
        <w:rPr>
          <w:highlight w:val="lightGray"/>
          <w:u w:val="single"/>
        </w:rPr>
        <w:t>Māori land’ applies to land in native reserves that are held under Te Ture Whenua Māori act 1993</w:t>
      </w:r>
    </w:p>
  </w:footnote>
  <w:footnote w:id="1034">
    <w:p w14:paraId="76A15397" w14:textId="77777777" w:rsidR="005E0FED" w:rsidRDefault="005E0FED" w:rsidP="005E0FED">
      <w:pPr>
        <w:pStyle w:val="FootnoteText"/>
      </w:pPr>
      <w:r>
        <w:rPr>
          <w:rStyle w:val="FootnoteReference"/>
        </w:rPr>
        <w:footnoteRef/>
      </w:r>
      <w:r>
        <w:t xml:space="preserve"> </w:t>
      </w:r>
      <w:r w:rsidRPr="00743622">
        <w:rPr>
          <w:color w:val="000000"/>
          <w:szCs w:val="18"/>
        </w:rPr>
        <w:t>00226.0038 Kāi Tahu ki Otago</w:t>
      </w:r>
    </w:p>
  </w:footnote>
  <w:footnote w:id="1035">
    <w:p w14:paraId="2610B2C8" w14:textId="3CBD25F8" w:rsidR="005E0FED" w:rsidRDefault="005E0FED" w:rsidP="005E0FED">
      <w:pPr>
        <w:pStyle w:val="FootnoteText"/>
      </w:pPr>
      <w:r>
        <w:rPr>
          <w:rStyle w:val="FootnoteReference"/>
        </w:rPr>
        <w:footnoteRef/>
      </w:r>
      <w:r>
        <w:t xml:space="preserve"> 00226.220 </w:t>
      </w:r>
      <w:r w:rsidR="00854F19">
        <w:t>Kāi Tahu ki Otago</w:t>
      </w:r>
    </w:p>
  </w:footnote>
  <w:footnote w:id="1036">
    <w:p w14:paraId="69A75DEC" w14:textId="77777777" w:rsidR="005E0FED" w:rsidRDefault="005E0FED" w:rsidP="005E0FED">
      <w:pPr>
        <w:pStyle w:val="FootnoteText"/>
      </w:pPr>
      <w:r>
        <w:rPr>
          <w:rStyle w:val="FootnoteReference"/>
        </w:rPr>
        <w:footnoteRef/>
      </w:r>
      <w:r>
        <w:t xml:space="preserve"> 00234.032 </w:t>
      </w:r>
      <w:bookmarkStart w:id="180" w:name="_Hlk94517177"/>
      <w:r>
        <w:t>Te Rūnanga o Ngāi Tahu</w:t>
      </w:r>
      <w:bookmarkEnd w:id="180"/>
    </w:p>
  </w:footnote>
  <w:footnote w:id="1037">
    <w:p w14:paraId="54CB1A93" w14:textId="77777777" w:rsidR="005E0FED" w:rsidRDefault="005E0FED" w:rsidP="005E0FED">
      <w:pPr>
        <w:pStyle w:val="FootnoteText"/>
      </w:pPr>
      <w:r>
        <w:rPr>
          <w:rStyle w:val="FootnoteReference"/>
        </w:rPr>
        <w:footnoteRef/>
      </w:r>
      <w:r>
        <w:t xml:space="preserve"> 00234.032 Te Rūnanga o Ngāi Tahu</w:t>
      </w:r>
    </w:p>
  </w:footnote>
  <w:footnote w:id="1038">
    <w:p w14:paraId="0EC74C34" w14:textId="77777777" w:rsidR="005E0FED" w:rsidRDefault="005E0FED" w:rsidP="005E0FED">
      <w:pPr>
        <w:pStyle w:val="FootnoteText"/>
      </w:pPr>
      <w:r>
        <w:rPr>
          <w:rStyle w:val="FootnoteReference"/>
        </w:rPr>
        <w:footnoteRef/>
      </w:r>
      <w:r>
        <w:t xml:space="preserve"> 00234.032 Te Rūnanga o Ngāi Tahu</w:t>
      </w:r>
    </w:p>
  </w:footnote>
  <w:footnote w:id="1039">
    <w:p w14:paraId="0EC30F5B" w14:textId="7846CA54" w:rsidR="005E0FED" w:rsidRDefault="005E0FED" w:rsidP="005E0FED">
      <w:pPr>
        <w:pStyle w:val="FootnoteText"/>
      </w:pPr>
      <w:r>
        <w:rPr>
          <w:rStyle w:val="FootnoteReference"/>
        </w:rPr>
        <w:footnoteRef/>
      </w:r>
      <w:r>
        <w:t xml:space="preserve"> 00139.130 </w:t>
      </w:r>
      <w:r w:rsidR="00387799">
        <w:t>DCC</w:t>
      </w:r>
    </w:p>
  </w:footnote>
  <w:footnote w:id="1040">
    <w:p w14:paraId="24AC8D16" w14:textId="77777777" w:rsidR="0090206A" w:rsidRDefault="0090206A" w:rsidP="0090206A">
      <w:pPr>
        <w:pStyle w:val="FootnoteText"/>
      </w:pPr>
      <w:r>
        <w:rPr>
          <w:rStyle w:val="FootnoteReference"/>
        </w:rPr>
        <w:footnoteRef/>
      </w:r>
      <w:r>
        <w:t xml:space="preserve"> Under RMA Schedule 1, Clause 16(2) of the RMA amend the cross-referencing error</w:t>
      </w:r>
    </w:p>
  </w:footnote>
  <w:footnote w:id="1041">
    <w:p w14:paraId="0AAD5339" w14:textId="7B58C1A0" w:rsidR="0090206A" w:rsidRDefault="0090206A" w:rsidP="0090206A">
      <w:pPr>
        <w:pStyle w:val="FootnoteText"/>
      </w:pPr>
      <w:r>
        <w:rPr>
          <w:rStyle w:val="FootnoteReference"/>
        </w:rPr>
        <w:footnoteRef/>
      </w:r>
      <w:r>
        <w:t xml:space="preserve"> 00230.104 </w:t>
      </w:r>
      <w:r w:rsidR="00387799">
        <w:t>Forest and Bird</w:t>
      </w:r>
    </w:p>
  </w:footnote>
  <w:footnote w:id="1042">
    <w:p w14:paraId="365E5719" w14:textId="56046431" w:rsidR="0090206A" w:rsidRDefault="0090206A" w:rsidP="0090206A">
      <w:pPr>
        <w:pStyle w:val="FootnoteText"/>
      </w:pPr>
      <w:r>
        <w:rPr>
          <w:rStyle w:val="FootnoteReference"/>
        </w:rPr>
        <w:footnoteRef/>
      </w:r>
      <w:r>
        <w:t xml:space="preserve"> 00237.007 </w:t>
      </w:r>
      <w:r w:rsidR="00387799">
        <w:t>Beef &amp; Lamb and DINZ</w:t>
      </w:r>
      <w:r>
        <w:t xml:space="preserve">, 00137.016 </w:t>
      </w:r>
      <w:r w:rsidR="00387799">
        <w:t>DOC</w:t>
      </w:r>
      <w:r>
        <w:t xml:space="preserve">, 00226.035 </w:t>
      </w:r>
      <w:r w:rsidR="00854F19">
        <w:t>Kāi Tahu ki Otago</w:t>
      </w:r>
      <w:r>
        <w:t xml:space="preserve">, 00120.011 Yellow-eyed Penguin Trust, 00230.016 </w:t>
      </w:r>
      <w:r w:rsidR="00387799">
        <w:t>Forest and Bird</w:t>
      </w:r>
    </w:p>
  </w:footnote>
  <w:footnote w:id="1043">
    <w:p w14:paraId="5C40260F" w14:textId="56FF6C9C" w:rsidR="0090206A" w:rsidRDefault="0090206A" w:rsidP="0090206A">
      <w:pPr>
        <w:pStyle w:val="FootnoteText"/>
      </w:pPr>
      <w:r>
        <w:rPr>
          <w:rStyle w:val="FootnoteReference"/>
        </w:rPr>
        <w:footnoteRef/>
      </w:r>
      <w:r>
        <w:t xml:space="preserve"> 00230.104 </w:t>
      </w:r>
      <w:r w:rsidR="00387799">
        <w:t>Forest and Bird</w:t>
      </w:r>
    </w:p>
  </w:footnote>
  <w:footnote w:id="1044">
    <w:p w14:paraId="2400EE55" w14:textId="4D60B43E" w:rsidR="0090206A" w:rsidRDefault="0090206A" w:rsidP="0090206A">
      <w:pPr>
        <w:pStyle w:val="FootnoteText"/>
      </w:pPr>
      <w:r>
        <w:rPr>
          <w:rStyle w:val="FootnoteReference"/>
        </w:rPr>
        <w:footnoteRef/>
      </w:r>
      <w:r>
        <w:t xml:space="preserve"> Clause 16(2)</w:t>
      </w:r>
      <w:r w:rsidR="00641862">
        <w:t xml:space="preserve">, Schedule 1, </w:t>
      </w:r>
      <w:r>
        <w:t xml:space="preserve">RMA </w:t>
      </w:r>
      <w:r w:rsidR="00641862">
        <w:t>(</w:t>
      </w:r>
      <w:r>
        <w:t>remove the italics from ‘degradation’ as this term is not defined in the pORPS</w:t>
      </w:r>
      <w:r w:rsidR="00641862">
        <w:t>)</w:t>
      </w:r>
    </w:p>
  </w:footnote>
  <w:footnote w:id="1045">
    <w:p w14:paraId="52C40766" w14:textId="4D610EEF" w:rsidR="0090206A" w:rsidRDefault="0090206A" w:rsidP="0090206A">
      <w:pPr>
        <w:pStyle w:val="FootnoteText"/>
      </w:pPr>
      <w:r>
        <w:rPr>
          <w:rStyle w:val="FootnoteReference"/>
        </w:rPr>
        <w:footnoteRef/>
      </w:r>
      <w:r>
        <w:t xml:space="preserve"> 00230.104 </w:t>
      </w:r>
      <w:r w:rsidR="00387799">
        <w:t>Forest and Bird</w:t>
      </w:r>
    </w:p>
  </w:footnote>
  <w:footnote w:id="1046">
    <w:p w14:paraId="49B103F3" w14:textId="60B0DE8F" w:rsidR="00440504" w:rsidRDefault="00440504" w:rsidP="00440504">
      <w:pPr>
        <w:pStyle w:val="FootnoteText"/>
      </w:pPr>
      <w:r>
        <w:rPr>
          <w:rStyle w:val="FootnoteReference"/>
        </w:rPr>
        <w:footnoteRef/>
      </w:r>
      <w:r>
        <w:t xml:space="preserve"> 00230.105 </w:t>
      </w:r>
      <w:r w:rsidR="00387799">
        <w:t>Forest and Bird</w:t>
      </w:r>
      <w:r>
        <w:t xml:space="preserve"> </w:t>
      </w:r>
    </w:p>
  </w:footnote>
  <w:footnote w:id="1047">
    <w:p w14:paraId="26F16441" w14:textId="751848D4" w:rsidR="00440504" w:rsidRDefault="00440504" w:rsidP="00440504">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p>
  </w:footnote>
  <w:footnote w:id="1048">
    <w:p w14:paraId="06263BAE" w14:textId="2EB946E0" w:rsidR="0014260A" w:rsidRPr="00FB68B2" w:rsidRDefault="0014260A">
      <w:pPr>
        <w:pStyle w:val="FootnoteText"/>
      </w:pPr>
      <w:r>
        <w:rPr>
          <w:rStyle w:val="FootnoteReference"/>
        </w:rPr>
        <w:footnoteRef/>
      </w:r>
      <w:r>
        <w:t xml:space="preserve"> </w:t>
      </w:r>
      <w:r w:rsidR="004552A9">
        <w:t xml:space="preserve">00226.223 Kāi Tahu ki Otago, </w:t>
      </w:r>
      <w:r w:rsidR="00FB68B2">
        <w:t xml:space="preserve">00230.106 </w:t>
      </w:r>
      <w:r w:rsidR="00387799">
        <w:t>Forest and Bird</w:t>
      </w:r>
    </w:p>
  </w:footnote>
  <w:footnote w:id="1049">
    <w:p w14:paraId="5EA0D712" w14:textId="2653FB75" w:rsidR="00FE2803" w:rsidRDefault="00FE2803" w:rsidP="00FE2803">
      <w:pPr>
        <w:pStyle w:val="FootnoteText"/>
      </w:pPr>
      <w:r>
        <w:rPr>
          <w:rStyle w:val="FootnoteReference"/>
        </w:rPr>
        <w:footnoteRef/>
      </w:r>
      <w:r>
        <w:t xml:space="preserve"> 00226.224 </w:t>
      </w:r>
      <w:r w:rsidR="00854F19">
        <w:t>Kāi Tahu ki Otago</w:t>
      </w:r>
      <w:r>
        <w:t xml:space="preserve"> </w:t>
      </w:r>
    </w:p>
  </w:footnote>
  <w:footnote w:id="1050">
    <w:p w14:paraId="5B67C306" w14:textId="54EEAEA4" w:rsidR="00FE2803" w:rsidRDefault="00FE2803" w:rsidP="00FE2803">
      <w:pPr>
        <w:pStyle w:val="FootnoteText"/>
      </w:pPr>
      <w:r>
        <w:rPr>
          <w:rStyle w:val="FootnoteReference"/>
        </w:rPr>
        <w:footnoteRef/>
      </w:r>
      <w:r>
        <w:t xml:space="preserve"> 00223.099 Ngāi Tahu ki Murihiku, 00226.215 </w:t>
      </w:r>
      <w:r w:rsidR="00854F19">
        <w:t>Kāi Tahu ki Otago</w:t>
      </w:r>
    </w:p>
  </w:footnote>
  <w:footnote w:id="1051">
    <w:p w14:paraId="36B1B631" w14:textId="77777777" w:rsidR="00FE2803" w:rsidRDefault="00FE2803" w:rsidP="00FE2803">
      <w:pPr>
        <w:pStyle w:val="FootnoteText"/>
      </w:pPr>
      <w:r>
        <w:rPr>
          <w:rStyle w:val="FootnoteReference"/>
        </w:rPr>
        <w:footnoteRef/>
      </w:r>
      <w:r>
        <w:t xml:space="preserve"> </w:t>
      </w:r>
      <w:r w:rsidRPr="00616EAA">
        <w:rPr>
          <w:color w:val="000000"/>
          <w:szCs w:val="18"/>
        </w:rPr>
        <w:t>00226.0038 Kāi Tahu ki Otago</w:t>
      </w:r>
    </w:p>
  </w:footnote>
  <w:footnote w:id="1052">
    <w:p w14:paraId="5AA736B0" w14:textId="09B40CA5" w:rsidR="00FE2803" w:rsidRDefault="00FE2803" w:rsidP="00FE2803">
      <w:pPr>
        <w:pStyle w:val="FootnoteText"/>
      </w:pPr>
      <w:r>
        <w:rPr>
          <w:rStyle w:val="FootnoteReference"/>
        </w:rPr>
        <w:footnoteRef/>
      </w:r>
      <w:r>
        <w:t xml:space="preserve"> 00137.091 </w:t>
      </w:r>
      <w:r w:rsidR="00387799">
        <w:t>DOC</w:t>
      </w:r>
    </w:p>
  </w:footnote>
  <w:footnote w:id="1053">
    <w:p w14:paraId="5BE9E350" w14:textId="14371FEC" w:rsidR="00FE2803" w:rsidRDefault="00FE2803" w:rsidP="00FE2803">
      <w:pPr>
        <w:pStyle w:val="FootnoteText"/>
      </w:pPr>
      <w:r>
        <w:rPr>
          <w:rStyle w:val="FootnoteReference"/>
        </w:rPr>
        <w:footnoteRef/>
      </w:r>
      <w:r>
        <w:t xml:space="preserve"> 00138.037 </w:t>
      </w:r>
      <w:r w:rsidR="00387799">
        <w:t>QLDC</w:t>
      </w:r>
    </w:p>
  </w:footnote>
  <w:footnote w:id="1054">
    <w:p w14:paraId="10F793C9" w14:textId="0473472D" w:rsidR="00D13532" w:rsidRDefault="00D13532" w:rsidP="00D13532">
      <w:pPr>
        <w:pStyle w:val="FootnoteText"/>
      </w:pPr>
      <w:r>
        <w:rPr>
          <w:rStyle w:val="FootnoteReference"/>
        </w:rPr>
        <w:footnoteRef/>
      </w:r>
      <w:r>
        <w:t xml:space="preserve"> 00137.092 </w:t>
      </w:r>
      <w:r w:rsidR="00387799">
        <w:t>DOC</w:t>
      </w:r>
    </w:p>
  </w:footnote>
  <w:footnote w:id="1055">
    <w:p w14:paraId="5CAD5921" w14:textId="68D046B9" w:rsidR="00D165EB" w:rsidRDefault="00D165EB" w:rsidP="00D165EB">
      <w:pPr>
        <w:pStyle w:val="FootnoteText"/>
      </w:pPr>
      <w:r>
        <w:rPr>
          <w:rStyle w:val="FootnoteReference"/>
        </w:rPr>
        <w:footnoteRef/>
      </w:r>
      <w:r>
        <w:t xml:space="preserve"> 00137.092 </w:t>
      </w:r>
      <w:r w:rsidR="00387799">
        <w:t>DOC</w:t>
      </w:r>
    </w:p>
  </w:footnote>
  <w:footnote w:id="1056">
    <w:p w14:paraId="221C37EF" w14:textId="6A4525AF" w:rsidR="003C3A3C" w:rsidRDefault="003C3A3C" w:rsidP="003C3A3C">
      <w:pPr>
        <w:pStyle w:val="FootnoteText"/>
      </w:pPr>
      <w:r>
        <w:rPr>
          <w:rStyle w:val="FootnoteReference"/>
        </w:rPr>
        <w:footnoteRef/>
      </w:r>
      <w:r>
        <w:t xml:space="preserve"> Clause 16(2)</w:t>
      </w:r>
      <w:r w:rsidR="00641862">
        <w:t>, Schedule 1, RMA</w:t>
      </w:r>
    </w:p>
  </w:footnote>
  <w:footnote w:id="1057">
    <w:p w14:paraId="2F9A9E2C" w14:textId="3DB49210" w:rsidR="003C3A3C" w:rsidRDefault="003C3A3C" w:rsidP="003C3A3C">
      <w:pPr>
        <w:pStyle w:val="FootnoteText"/>
      </w:pPr>
      <w:r>
        <w:rPr>
          <w:rStyle w:val="FootnoteReference"/>
        </w:rPr>
        <w:footnoteRef/>
      </w:r>
      <w:r>
        <w:t xml:space="preserve"> 00226.226 </w:t>
      </w:r>
      <w:r w:rsidR="00854F19">
        <w:t>Kāi Tahu ki Otago</w:t>
      </w:r>
    </w:p>
  </w:footnote>
  <w:footnote w:id="1058">
    <w:p w14:paraId="59B2C95C" w14:textId="6041C3E1" w:rsidR="003C3A3C" w:rsidRDefault="003C3A3C" w:rsidP="003C3A3C">
      <w:pPr>
        <w:pStyle w:val="FootnoteText"/>
      </w:pPr>
      <w:r>
        <w:rPr>
          <w:rStyle w:val="FootnoteReference"/>
        </w:rPr>
        <w:footnoteRef/>
      </w:r>
      <w:r>
        <w:t xml:space="preserve"> 00226.226 </w:t>
      </w:r>
      <w:r w:rsidR="00854F19">
        <w:t>Kāi Tahu ki Otago</w:t>
      </w:r>
    </w:p>
  </w:footnote>
  <w:footnote w:id="1059">
    <w:p w14:paraId="3AE3C449" w14:textId="77777777" w:rsidR="003C3A3C" w:rsidRDefault="003C3A3C" w:rsidP="003C3A3C">
      <w:pPr>
        <w:pStyle w:val="FootnoteText"/>
      </w:pPr>
      <w:r>
        <w:rPr>
          <w:rStyle w:val="FootnoteReference"/>
        </w:rPr>
        <w:footnoteRef/>
      </w:r>
      <w:r>
        <w:t xml:space="preserve"> 00234.033 Te Rūnanga o Ngāi Tahu</w:t>
      </w:r>
    </w:p>
  </w:footnote>
  <w:footnote w:id="1060">
    <w:p w14:paraId="0F8C8A16" w14:textId="022CC771" w:rsidR="00A05A6D" w:rsidRDefault="00A05A6D" w:rsidP="00A05A6D">
      <w:pPr>
        <w:pStyle w:val="FootnoteText"/>
      </w:pPr>
      <w:r>
        <w:rPr>
          <w:rStyle w:val="FootnoteReference"/>
        </w:rPr>
        <w:footnoteRef/>
      </w:r>
      <w:r>
        <w:t xml:space="preserve"> </w:t>
      </w:r>
      <w:r w:rsidRPr="00963D64">
        <w:t xml:space="preserve">00226.228 </w:t>
      </w:r>
      <w:r w:rsidR="00854F19">
        <w:t>Kāi Tahu ki Otago</w:t>
      </w:r>
    </w:p>
  </w:footnote>
  <w:footnote w:id="1061">
    <w:p w14:paraId="1D9A3840" w14:textId="0503FC9E" w:rsidR="00A05A6D" w:rsidRDefault="00A05A6D" w:rsidP="00A05A6D">
      <w:pPr>
        <w:pStyle w:val="FootnoteText"/>
      </w:pPr>
      <w:r>
        <w:rPr>
          <w:rStyle w:val="FootnoteReference"/>
        </w:rPr>
        <w:footnoteRef/>
      </w:r>
      <w:r>
        <w:t xml:space="preserve"> 00020.018 </w:t>
      </w:r>
      <w:r w:rsidR="00387799">
        <w:t>Rayonier Matariki</w:t>
      </w:r>
    </w:p>
  </w:footnote>
  <w:footnote w:id="1062">
    <w:p w14:paraId="406CA2F3" w14:textId="17F2E67F" w:rsidR="00A05A6D" w:rsidRDefault="00A05A6D" w:rsidP="00A05A6D">
      <w:pPr>
        <w:pStyle w:val="FootnoteText"/>
      </w:pPr>
      <w:r>
        <w:rPr>
          <w:rStyle w:val="FootnoteReference"/>
        </w:rPr>
        <w:footnoteRef/>
      </w:r>
      <w:r>
        <w:t xml:space="preserve"> </w:t>
      </w:r>
      <w:r w:rsidRPr="00963D64">
        <w:t xml:space="preserve">00226.228 </w:t>
      </w:r>
      <w:r w:rsidR="00854F19">
        <w:t>Kāi Tahu ki Otago</w:t>
      </w:r>
    </w:p>
  </w:footnote>
  <w:footnote w:id="1063">
    <w:p w14:paraId="22B42ADB" w14:textId="19F1B7B7" w:rsidR="00A05A6D" w:rsidRDefault="00A05A6D" w:rsidP="00A05A6D">
      <w:pPr>
        <w:pStyle w:val="FootnoteText"/>
      </w:pPr>
      <w:r>
        <w:rPr>
          <w:rStyle w:val="FootnoteReference"/>
        </w:rPr>
        <w:footnoteRef/>
      </w:r>
      <w:r>
        <w:t xml:space="preserve"> Clause 16(2)</w:t>
      </w:r>
      <w:r w:rsidR="00641862">
        <w:t>, Schedule 1, RMA</w:t>
      </w:r>
    </w:p>
  </w:footnote>
  <w:footnote w:id="1064">
    <w:p w14:paraId="74DCE095" w14:textId="296E5102" w:rsidR="00A05A6D" w:rsidRDefault="00A05A6D" w:rsidP="00A05A6D">
      <w:pPr>
        <w:pStyle w:val="FootnoteText"/>
      </w:pPr>
      <w:r>
        <w:rPr>
          <w:rStyle w:val="FootnoteReference"/>
        </w:rPr>
        <w:footnoteRef/>
      </w:r>
      <w:r>
        <w:t xml:space="preserve"> 00139.036 </w:t>
      </w:r>
      <w:r w:rsidR="00387799">
        <w:t>DCC</w:t>
      </w:r>
    </w:p>
  </w:footnote>
  <w:footnote w:id="1065">
    <w:p w14:paraId="58A0A9D7" w14:textId="4AEBE789" w:rsidR="00A05A6D" w:rsidRDefault="00A05A6D" w:rsidP="00A05A6D">
      <w:pPr>
        <w:pStyle w:val="FootnoteText"/>
        <w:rPr>
          <w:rFonts w:eastAsia="Calibri"/>
          <w:szCs w:val="18"/>
        </w:rPr>
      </w:pPr>
      <w:r w:rsidRPr="46C4C742">
        <w:rPr>
          <w:rStyle w:val="FootnoteReference"/>
          <w:rFonts w:eastAsia="Calibri"/>
          <w:szCs w:val="18"/>
        </w:rPr>
        <w:footnoteRef/>
      </w:r>
      <w:r w:rsidRPr="46C4C742">
        <w:rPr>
          <w:rFonts w:eastAsia="Calibri"/>
          <w:szCs w:val="18"/>
        </w:rPr>
        <w:t xml:space="preserve"> </w:t>
      </w:r>
      <w:r>
        <w:t>00311.014 Queenstown Airport</w:t>
      </w:r>
    </w:p>
  </w:footnote>
  <w:footnote w:id="1066">
    <w:p w14:paraId="26A084BC" w14:textId="44496343" w:rsidR="00A05A6D" w:rsidRDefault="00A05A6D" w:rsidP="00A05A6D">
      <w:pPr>
        <w:pStyle w:val="FootnoteText"/>
      </w:pPr>
      <w:r>
        <w:rPr>
          <w:rStyle w:val="FootnoteReference"/>
        </w:rPr>
        <w:footnoteRef/>
      </w:r>
      <w:r>
        <w:t xml:space="preserve"> Clause 16(2)</w:t>
      </w:r>
      <w:r w:rsidR="00641862">
        <w:t>, Schedule 1, RMA</w:t>
      </w:r>
    </w:p>
  </w:footnote>
  <w:footnote w:id="1067">
    <w:p w14:paraId="007DC13E" w14:textId="0D50CED1" w:rsidR="0036710E" w:rsidRDefault="0036710E" w:rsidP="0036710E">
      <w:pPr>
        <w:pStyle w:val="FootnoteText"/>
      </w:pPr>
      <w:r>
        <w:rPr>
          <w:rStyle w:val="FootnoteReference"/>
        </w:rPr>
        <w:footnoteRef/>
      </w:r>
      <w:r>
        <w:t xml:space="preserve"> 00230.113 </w:t>
      </w:r>
      <w:r w:rsidR="00387799">
        <w:t>Forest and Bird</w:t>
      </w:r>
    </w:p>
  </w:footnote>
  <w:footnote w:id="1068">
    <w:p w14:paraId="736B1AC6" w14:textId="1B7988BC" w:rsidR="0036710E" w:rsidRPr="00423ACB" w:rsidRDefault="0036710E" w:rsidP="0036710E">
      <w:pPr>
        <w:pStyle w:val="FootnoteText"/>
        <w:rPr>
          <w:lang w:val="mi-NZ"/>
        </w:rPr>
      </w:pPr>
      <w:r>
        <w:rPr>
          <w:rStyle w:val="FootnoteReference"/>
        </w:rPr>
        <w:footnoteRef/>
      </w:r>
      <w:r>
        <w:t xml:space="preserve"> </w:t>
      </w:r>
      <w:r w:rsidRPr="003E536A">
        <w:rPr>
          <w:color w:val="000000"/>
          <w:szCs w:val="18"/>
        </w:rPr>
        <w:t>00315.046 Aurora</w:t>
      </w:r>
      <w:r w:rsidR="00452714">
        <w:rPr>
          <w:color w:val="000000"/>
          <w:szCs w:val="18"/>
        </w:rPr>
        <w:t xml:space="preserve"> Energy</w:t>
      </w:r>
      <w:r w:rsidRPr="003E536A">
        <w:rPr>
          <w:color w:val="000000"/>
          <w:szCs w:val="18"/>
        </w:rPr>
        <w:t>, 00138.116 QLDC</w:t>
      </w:r>
    </w:p>
  </w:footnote>
  <w:footnote w:id="1069">
    <w:p w14:paraId="6EEF010F" w14:textId="77777777" w:rsidR="0036710E" w:rsidRDefault="0036710E" w:rsidP="0036710E">
      <w:pPr>
        <w:pStyle w:val="FootnoteText"/>
      </w:pPr>
      <w:r>
        <w:rPr>
          <w:rStyle w:val="FootnoteReference"/>
        </w:rPr>
        <w:footnoteRef/>
      </w:r>
      <w:r>
        <w:t xml:space="preserve"> </w:t>
      </w:r>
      <w:r w:rsidRPr="00616EAA">
        <w:rPr>
          <w:color w:val="000000"/>
          <w:szCs w:val="18"/>
        </w:rPr>
        <w:t>00226.0038 Kāi Tahu ki Otago</w:t>
      </w:r>
    </w:p>
  </w:footnote>
  <w:footnote w:id="1070">
    <w:p w14:paraId="62088DD0" w14:textId="77777777" w:rsidR="0036710E" w:rsidRDefault="0036710E" w:rsidP="0036710E">
      <w:pPr>
        <w:pStyle w:val="FootnoteText"/>
      </w:pPr>
      <w:r>
        <w:rPr>
          <w:rStyle w:val="FootnoteReference"/>
        </w:rPr>
        <w:footnoteRef/>
      </w:r>
      <w:r>
        <w:t xml:space="preserve"> </w:t>
      </w:r>
      <w:r>
        <w:rPr>
          <w:lang w:val="mi-NZ"/>
        </w:rPr>
        <w:t>00226.230 Kāi Tahi ki Otago / Aukaha</w:t>
      </w:r>
    </w:p>
  </w:footnote>
  <w:footnote w:id="1071">
    <w:p w14:paraId="7D355E05" w14:textId="31F24FFF" w:rsidR="0036710E" w:rsidRDefault="0036710E" w:rsidP="0036710E">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r>
        <w:t xml:space="preserve">, 00137.009 </w:t>
      </w:r>
      <w:r w:rsidR="00387799">
        <w:t>DOC</w:t>
      </w:r>
    </w:p>
  </w:footnote>
  <w:footnote w:id="1072">
    <w:p w14:paraId="0364D085" w14:textId="1A0FB9FE" w:rsidR="0036710E" w:rsidRDefault="0036710E" w:rsidP="0036710E">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r>
        <w:t xml:space="preserve">, 00137.009 </w:t>
      </w:r>
      <w:r w:rsidR="00387799">
        <w:t>DOC</w:t>
      </w:r>
    </w:p>
  </w:footnote>
  <w:footnote w:id="1073">
    <w:p w14:paraId="660C63A6" w14:textId="77777777" w:rsidR="00AA4117" w:rsidRDefault="00AA4117" w:rsidP="00AA4117">
      <w:pPr>
        <w:pStyle w:val="FootnoteText"/>
      </w:pPr>
      <w:r>
        <w:rPr>
          <w:rStyle w:val="FootnoteReference"/>
        </w:rPr>
        <w:footnoteRef/>
      </w:r>
      <w:r>
        <w:t xml:space="preserve"> </w:t>
      </w:r>
      <w:r w:rsidRPr="00616EAA">
        <w:rPr>
          <w:color w:val="000000"/>
          <w:szCs w:val="18"/>
        </w:rPr>
        <w:t>00226.0038 Kāi Tahu ki Otago</w:t>
      </w:r>
    </w:p>
  </w:footnote>
  <w:footnote w:id="1074">
    <w:p w14:paraId="0457CFDE" w14:textId="68479257" w:rsidR="00AA4117" w:rsidRDefault="00AA4117" w:rsidP="00AA4117">
      <w:pPr>
        <w:pStyle w:val="FootnoteText"/>
      </w:pPr>
      <w:r>
        <w:rPr>
          <w:rStyle w:val="FootnoteReference"/>
        </w:rPr>
        <w:footnoteRef/>
      </w:r>
      <w:r>
        <w:t xml:space="preserve"> 00226.231 </w:t>
      </w:r>
      <w:r w:rsidR="00854F19">
        <w:t>Kāi Tahu ki Otago</w:t>
      </w:r>
    </w:p>
  </w:footnote>
  <w:footnote w:id="1075">
    <w:p w14:paraId="37CE3517" w14:textId="74746F12" w:rsidR="00AA4117" w:rsidRDefault="00AA4117" w:rsidP="00AA4117">
      <w:pPr>
        <w:pStyle w:val="FootnoteText"/>
      </w:pPr>
      <w:r>
        <w:rPr>
          <w:rStyle w:val="FootnoteReference"/>
        </w:rPr>
        <w:footnoteRef/>
      </w:r>
      <w:r>
        <w:t xml:space="preserve"> 00226.231 </w:t>
      </w:r>
      <w:r w:rsidR="00854F19">
        <w:t>Kāi Tahu ki Otago</w:t>
      </w:r>
      <w:r>
        <w:t xml:space="preserve">, </w:t>
      </w:r>
      <w:r w:rsidRPr="00616EAA">
        <w:rPr>
          <w:color w:val="000000"/>
          <w:szCs w:val="18"/>
        </w:rPr>
        <w:t>00226.0038 Kāi Tahu ki Otago</w:t>
      </w:r>
    </w:p>
  </w:footnote>
  <w:footnote w:id="1076">
    <w:p w14:paraId="7CD78B18" w14:textId="1EB60CB5" w:rsidR="00AA4117" w:rsidRDefault="00AA4117" w:rsidP="00AA4117">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r>
        <w:t xml:space="preserve">, 00137.009 </w:t>
      </w:r>
      <w:r w:rsidR="00387799">
        <w:t>DOC</w:t>
      </w:r>
    </w:p>
  </w:footnote>
  <w:footnote w:id="1077">
    <w:p w14:paraId="74000C74" w14:textId="5DE0AB9B" w:rsidR="00AA4117" w:rsidRDefault="00AA4117" w:rsidP="00AA4117">
      <w:pPr>
        <w:pStyle w:val="FootnoteText"/>
      </w:pPr>
      <w:r>
        <w:rPr>
          <w:rStyle w:val="FootnoteReference"/>
        </w:rPr>
        <w:footnoteRef/>
      </w:r>
      <w:r>
        <w:t xml:space="preserve"> 00016.013 </w:t>
      </w:r>
      <w:r w:rsidR="00387799">
        <w:t>Alluvium and Stoney Creek</w:t>
      </w:r>
      <w:r>
        <w:t xml:space="preserve">, 0017.011 </w:t>
      </w:r>
      <w:r w:rsidR="00387799">
        <w:t>Danny Walker and Others</w:t>
      </w:r>
      <w:r>
        <w:t xml:space="preserve">, 00321.022 </w:t>
      </w:r>
      <w:r w:rsidR="00387799">
        <w:t>Te Waihanga</w:t>
      </w:r>
      <w:r>
        <w:t xml:space="preserve">, 00137.009 </w:t>
      </w:r>
      <w:r w:rsidR="00387799">
        <w:t>DOC</w:t>
      </w:r>
    </w:p>
  </w:footnote>
  <w:footnote w:id="1078">
    <w:p w14:paraId="40EABE58" w14:textId="6BD40E5D" w:rsidR="00AA4117" w:rsidRDefault="00AA4117" w:rsidP="00AA4117">
      <w:pPr>
        <w:pStyle w:val="FootnoteText"/>
      </w:pPr>
      <w:r>
        <w:rPr>
          <w:rStyle w:val="FootnoteReference"/>
        </w:rPr>
        <w:footnoteRef/>
      </w:r>
      <w:r>
        <w:t xml:space="preserve"> 00140.026 Waitaki </w:t>
      </w:r>
      <w:r w:rsidR="00452714">
        <w:t>DC</w:t>
      </w:r>
    </w:p>
  </w:footnote>
  <w:footnote w:id="1079">
    <w:p w14:paraId="089507B8" w14:textId="767CABAC" w:rsidR="00AA4117" w:rsidRDefault="00AA4117" w:rsidP="00AA4117">
      <w:pPr>
        <w:pStyle w:val="FootnoteText"/>
      </w:pPr>
      <w:r>
        <w:rPr>
          <w:rStyle w:val="FootnoteReference"/>
        </w:rPr>
        <w:footnoteRef/>
      </w:r>
      <w:r>
        <w:t xml:space="preserve"> 00226.231 </w:t>
      </w:r>
      <w:r w:rsidR="00854F19">
        <w:t>Kāi Tahu ki Otago</w:t>
      </w:r>
    </w:p>
  </w:footnote>
  <w:footnote w:id="1080">
    <w:p w14:paraId="5855D7D6" w14:textId="7820895A" w:rsidR="00AA4117" w:rsidRDefault="00AA4117" w:rsidP="00AA4117">
      <w:pPr>
        <w:pStyle w:val="FootnoteText"/>
      </w:pPr>
      <w:r>
        <w:rPr>
          <w:rStyle w:val="FootnoteReference"/>
        </w:rPr>
        <w:footnoteRef/>
      </w:r>
      <w:r>
        <w:t xml:space="preserve"> 00140.026 Waitaki </w:t>
      </w:r>
      <w:r w:rsidR="00452714">
        <w:t>DC</w:t>
      </w:r>
    </w:p>
  </w:footnote>
  <w:footnote w:id="1081">
    <w:p w14:paraId="3640E608" w14:textId="2C782231" w:rsidR="00814D14" w:rsidRDefault="00814D14" w:rsidP="00814D14">
      <w:pPr>
        <w:pStyle w:val="FootnoteText"/>
      </w:pPr>
      <w:r>
        <w:rPr>
          <w:rStyle w:val="FootnoteReference"/>
        </w:rPr>
        <w:footnoteRef/>
      </w:r>
      <w:r>
        <w:t xml:space="preserve"> 00137.095 </w:t>
      </w:r>
      <w:r w:rsidR="00452714">
        <w:t>DOC</w:t>
      </w:r>
      <w:r>
        <w:t xml:space="preserve">, 00226.233 </w:t>
      </w:r>
      <w:r w:rsidR="00854F19">
        <w:t>Kāi Tahu ki Otago</w:t>
      </w:r>
    </w:p>
  </w:footnote>
  <w:footnote w:id="1082">
    <w:p w14:paraId="72C587C9" w14:textId="4234AB65" w:rsidR="00814D14" w:rsidRDefault="00814D14" w:rsidP="00814D14">
      <w:pPr>
        <w:pStyle w:val="FootnoteText"/>
      </w:pPr>
      <w:r>
        <w:rPr>
          <w:rStyle w:val="FootnoteReference"/>
        </w:rPr>
        <w:footnoteRef/>
      </w:r>
      <w:r>
        <w:t xml:space="preserve"> 00226.233 </w:t>
      </w:r>
      <w:r w:rsidR="00854F19">
        <w:t>Kāi Tahu ki Otago</w:t>
      </w:r>
    </w:p>
  </w:footnote>
  <w:footnote w:id="1083">
    <w:p w14:paraId="1EF723C8" w14:textId="00F72560" w:rsidR="00814D14" w:rsidRDefault="00814D14" w:rsidP="00814D14">
      <w:pPr>
        <w:pStyle w:val="FootnoteText"/>
      </w:pPr>
      <w:r>
        <w:rPr>
          <w:rStyle w:val="FootnoteReference"/>
        </w:rPr>
        <w:footnoteRef/>
      </w:r>
      <w:r>
        <w:t xml:space="preserve"> </w:t>
      </w:r>
      <w:r w:rsidRPr="00616EAA">
        <w:rPr>
          <w:color w:val="000000"/>
          <w:szCs w:val="18"/>
        </w:rPr>
        <w:t>00226.038 Kāi Tahu ki Otago</w:t>
      </w:r>
    </w:p>
  </w:footnote>
  <w:footnote w:id="1084">
    <w:p w14:paraId="0A246994" w14:textId="0ECE5C43" w:rsidR="00814D14" w:rsidRDefault="00814D14" w:rsidP="00814D14">
      <w:pPr>
        <w:pStyle w:val="FootnoteText"/>
      </w:pPr>
      <w:r>
        <w:rPr>
          <w:rStyle w:val="FootnoteReference"/>
        </w:rPr>
        <w:footnoteRef/>
      </w:r>
      <w:r>
        <w:t xml:space="preserve"> 00226.233 </w:t>
      </w:r>
      <w:r w:rsidR="00854F19">
        <w:t>Kāi Tahu ki Otago</w:t>
      </w:r>
    </w:p>
  </w:footnote>
  <w:footnote w:id="1085">
    <w:p w14:paraId="272B597E" w14:textId="0218645A" w:rsidR="008C618E" w:rsidRDefault="008C618E" w:rsidP="008C618E">
      <w:pPr>
        <w:pStyle w:val="FootnoteText"/>
      </w:pPr>
      <w:r>
        <w:rPr>
          <w:rStyle w:val="FootnoteReference"/>
        </w:rPr>
        <w:footnoteRef/>
      </w:r>
      <w:r>
        <w:t xml:space="preserve"> 00226.234 </w:t>
      </w:r>
      <w:r w:rsidR="00452714">
        <w:t>Kāi Tahu ki Otago</w:t>
      </w:r>
    </w:p>
  </w:footnote>
  <w:footnote w:id="1086">
    <w:p w14:paraId="4514F2A4" w14:textId="246180FC" w:rsidR="008C618E" w:rsidRDefault="008C618E" w:rsidP="008C618E">
      <w:pPr>
        <w:pStyle w:val="FootnoteText"/>
      </w:pPr>
      <w:r>
        <w:rPr>
          <w:rStyle w:val="FootnoteReference"/>
        </w:rPr>
        <w:footnoteRef/>
      </w:r>
      <w:r>
        <w:t xml:space="preserve"> </w:t>
      </w:r>
      <w:r w:rsidRPr="00616EAA">
        <w:rPr>
          <w:color w:val="000000"/>
          <w:szCs w:val="18"/>
        </w:rPr>
        <w:t>00226.038 Kāi Tahu ki Otago</w:t>
      </w:r>
    </w:p>
  </w:footnote>
  <w:footnote w:id="1087">
    <w:p w14:paraId="4FAD5C70" w14:textId="186C8C46" w:rsidR="008C618E" w:rsidRDefault="008C618E" w:rsidP="008C618E">
      <w:pPr>
        <w:pStyle w:val="FootnoteText"/>
      </w:pPr>
      <w:r>
        <w:rPr>
          <w:rStyle w:val="FootnoteReference"/>
        </w:rPr>
        <w:footnoteRef/>
      </w:r>
      <w:r>
        <w:t xml:space="preserve"> 00226.234 </w:t>
      </w:r>
      <w:r w:rsidR="00452714">
        <w:t>Kāi Tahu ki Otago</w:t>
      </w:r>
    </w:p>
  </w:footnote>
  <w:footnote w:id="1088">
    <w:p w14:paraId="00718520" w14:textId="516B4F92" w:rsidR="00D04D6F" w:rsidRDefault="00D04D6F" w:rsidP="00D04D6F">
      <w:pPr>
        <w:pStyle w:val="FootnoteText"/>
      </w:pPr>
      <w:r>
        <w:rPr>
          <w:rStyle w:val="FootnoteReference"/>
        </w:rPr>
        <w:footnoteRef/>
      </w:r>
      <w:r>
        <w:t xml:space="preserve"> </w:t>
      </w:r>
      <w:r w:rsidRPr="007B0EFB">
        <w:t xml:space="preserve">00230.117 </w:t>
      </w:r>
      <w:r w:rsidR="00387799">
        <w:t>Forest and Bird</w:t>
      </w:r>
    </w:p>
  </w:footnote>
  <w:footnote w:id="1089">
    <w:p w14:paraId="1997913A" w14:textId="2C7F41D8" w:rsidR="009F2C2D" w:rsidRDefault="009F2C2D" w:rsidP="009F2C2D">
      <w:pPr>
        <w:pStyle w:val="FootnoteText"/>
      </w:pPr>
      <w:r>
        <w:rPr>
          <w:rStyle w:val="FootnoteReference"/>
        </w:rPr>
        <w:footnoteRef/>
      </w:r>
      <w:r>
        <w:t xml:space="preserve"> 00226.234 </w:t>
      </w:r>
      <w:r w:rsidR="00452714">
        <w:t>Kāi Tahu ki Otago</w:t>
      </w:r>
    </w:p>
  </w:footnote>
  <w:footnote w:id="1090">
    <w:p w14:paraId="66AB3090" w14:textId="4B9E045C" w:rsidR="009F2C2D" w:rsidRDefault="009F2C2D" w:rsidP="009F2C2D">
      <w:pPr>
        <w:pStyle w:val="FootnoteText"/>
      </w:pPr>
      <w:r>
        <w:rPr>
          <w:rStyle w:val="FootnoteReference"/>
        </w:rPr>
        <w:footnoteRef/>
      </w:r>
      <w:r>
        <w:t xml:space="preserve"> </w:t>
      </w:r>
      <w:r w:rsidRPr="00616EAA">
        <w:rPr>
          <w:color w:val="000000"/>
          <w:szCs w:val="18"/>
        </w:rPr>
        <w:t>00226.038 Kāi Tahu ki Otago</w:t>
      </w:r>
    </w:p>
  </w:footnote>
  <w:footnote w:id="1091">
    <w:p w14:paraId="507303FD" w14:textId="12E54790" w:rsidR="009F2C2D" w:rsidRDefault="009F2C2D" w:rsidP="009F2C2D">
      <w:pPr>
        <w:pStyle w:val="FootnoteText"/>
      </w:pPr>
      <w:r>
        <w:rPr>
          <w:rStyle w:val="FootnoteReference"/>
        </w:rPr>
        <w:footnoteRef/>
      </w:r>
      <w:r>
        <w:t xml:space="preserve"> 00226.234 </w:t>
      </w:r>
      <w:r w:rsidR="00452714">
        <w:t>Kāi Tahu ki Otago</w:t>
      </w:r>
    </w:p>
  </w:footnote>
  <w:footnote w:id="1092">
    <w:p w14:paraId="59A8415C" w14:textId="62B5DEE6" w:rsidR="00C41F7F" w:rsidRDefault="00C41F7F" w:rsidP="00C41F7F">
      <w:pPr>
        <w:pStyle w:val="FootnoteText"/>
      </w:pPr>
      <w:r>
        <w:rPr>
          <w:rStyle w:val="FootnoteReference"/>
        </w:rPr>
        <w:footnoteRef/>
      </w:r>
      <w:r>
        <w:t xml:space="preserve"> Clause 16(2)</w:t>
      </w:r>
      <w:r w:rsidR="00452714">
        <w:t>, Schedule 1, RMA</w:t>
      </w:r>
    </w:p>
  </w:footnote>
  <w:footnote w:id="1093">
    <w:p w14:paraId="26E0394B" w14:textId="58ADBF18" w:rsidR="00C41F7F" w:rsidRDefault="00C41F7F" w:rsidP="00C41F7F">
      <w:pPr>
        <w:pStyle w:val="FootnoteText"/>
      </w:pPr>
      <w:r>
        <w:rPr>
          <w:rStyle w:val="FootnoteReference"/>
        </w:rPr>
        <w:footnoteRef/>
      </w:r>
      <w:r>
        <w:t xml:space="preserve"> 00239.111 </w:t>
      </w:r>
      <w:r w:rsidR="00387799">
        <w:t>Federated Farmers</w:t>
      </w:r>
    </w:p>
  </w:footnote>
  <w:footnote w:id="1094">
    <w:p w14:paraId="1926FFD0" w14:textId="77777777" w:rsidR="0012114C" w:rsidRDefault="0012114C" w:rsidP="0012114C">
      <w:pPr>
        <w:pStyle w:val="FootnoteText"/>
      </w:pPr>
      <w:r>
        <w:rPr>
          <w:rStyle w:val="FootnoteReference"/>
        </w:rPr>
        <w:footnoteRef/>
      </w:r>
      <w:r>
        <w:t xml:space="preserve"> </w:t>
      </w:r>
      <w:r w:rsidRPr="00616EAA">
        <w:rPr>
          <w:color w:val="000000"/>
          <w:szCs w:val="18"/>
        </w:rPr>
        <w:t>00226.0038 Kāi Tahu ki Otago</w:t>
      </w:r>
    </w:p>
  </w:footnote>
  <w:footnote w:id="1095">
    <w:p w14:paraId="257B479C" w14:textId="4EB8455F" w:rsidR="00674462" w:rsidRPr="00674462" w:rsidRDefault="00674462" w:rsidP="00BC3822">
      <w:pPr>
        <w:pStyle w:val="FootnoteText"/>
        <w:rPr>
          <w:lang w:val="en-AU"/>
        </w:rPr>
      </w:pPr>
      <w:r>
        <w:rPr>
          <w:rStyle w:val="FootnoteReference"/>
        </w:rPr>
        <w:footnoteRef/>
      </w:r>
      <w:r>
        <w:t xml:space="preserve"> </w:t>
      </w:r>
      <w:r w:rsidR="00137E31">
        <w:t>Clause 16(2), Schedule 1, RMA.</w:t>
      </w:r>
    </w:p>
  </w:footnote>
  <w:footnote w:id="1096">
    <w:p w14:paraId="4B953833" w14:textId="77777777" w:rsidR="00570759" w:rsidRPr="00D76B16" w:rsidRDefault="00570759" w:rsidP="00BC3822">
      <w:pPr>
        <w:pStyle w:val="FootnoteText"/>
        <w:rPr>
          <w:lang w:val="en-AU"/>
        </w:rPr>
      </w:pPr>
      <w:r>
        <w:rPr>
          <w:rStyle w:val="FootnoteReference"/>
        </w:rPr>
        <w:footnoteRef/>
      </w:r>
      <w:r>
        <w:t xml:space="preserve"> </w:t>
      </w:r>
      <w:r w:rsidRPr="006F3A60">
        <w:rPr>
          <w:lang w:val="en-US"/>
        </w:rPr>
        <w:t>00318.024</w:t>
      </w:r>
      <w:r>
        <w:rPr>
          <w:lang w:val="en-US"/>
        </w:rPr>
        <w:t xml:space="preserve"> </w:t>
      </w:r>
      <w:r w:rsidRPr="005179BE">
        <w:t xml:space="preserve">Contact </w:t>
      </w:r>
    </w:p>
  </w:footnote>
  <w:footnote w:id="1097">
    <w:p w14:paraId="49036BD3" w14:textId="1A9F2468" w:rsidR="00570759" w:rsidRPr="00E56C4D" w:rsidRDefault="00570759" w:rsidP="00BC3822">
      <w:pPr>
        <w:pStyle w:val="FootnoteText"/>
        <w:rPr>
          <w:lang w:val="en-AU"/>
        </w:rPr>
      </w:pPr>
      <w:r>
        <w:rPr>
          <w:rStyle w:val="FootnoteReference"/>
        </w:rPr>
        <w:footnoteRef/>
      </w:r>
      <w:r>
        <w:t xml:space="preserve"> </w:t>
      </w:r>
      <w:r w:rsidRPr="00E56C4D">
        <w:t xml:space="preserve">00318.024 Contact, 00311.031 Trustpower, </w:t>
      </w:r>
      <w:r w:rsidRPr="00FC5644">
        <w:t>00311.039 Trustpower</w:t>
      </w:r>
      <w:r>
        <w:t xml:space="preserve">, </w:t>
      </w:r>
      <w:r w:rsidRPr="00E56C4D">
        <w:t xml:space="preserve">00321.040 </w:t>
      </w:r>
      <w:r w:rsidR="00BC3822">
        <w:t>Te Waihanga</w:t>
      </w:r>
    </w:p>
  </w:footnote>
  <w:footnote w:id="1098">
    <w:p w14:paraId="450CD431" w14:textId="77777777" w:rsidR="00570759" w:rsidRPr="00673013" w:rsidRDefault="00570759" w:rsidP="00BC3822">
      <w:pPr>
        <w:pStyle w:val="FootnoteText"/>
        <w:rPr>
          <w:lang w:val="mi-NZ"/>
        </w:rPr>
      </w:pPr>
      <w:r>
        <w:rPr>
          <w:rStyle w:val="FootnoteReference"/>
        </w:rPr>
        <w:footnoteRef/>
      </w:r>
      <w:r>
        <w:t xml:space="preserve"> </w:t>
      </w:r>
      <w:r w:rsidRPr="00A76696">
        <w:t>00306.054</w:t>
      </w:r>
      <w:r>
        <w:t xml:space="preserve"> </w:t>
      </w:r>
      <w:r w:rsidRPr="00A76696">
        <w:t xml:space="preserve">Meridian </w:t>
      </w:r>
    </w:p>
  </w:footnote>
  <w:footnote w:id="1099">
    <w:p w14:paraId="18353C9C" w14:textId="77777777" w:rsidR="00570759" w:rsidRPr="00673013" w:rsidRDefault="00570759" w:rsidP="00BC3822">
      <w:pPr>
        <w:pStyle w:val="FootnoteText"/>
        <w:rPr>
          <w:lang w:val="mi-NZ"/>
        </w:rPr>
      </w:pPr>
      <w:r>
        <w:rPr>
          <w:rStyle w:val="FootnoteReference"/>
        </w:rPr>
        <w:footnoteRef/>
      </w:r>
      <w:r>
        <w:t xml:space="preserve"> </w:t>
      </w:r>
      <w:r w:rsidRPr="00B55C10">
        <w:rPr>
          <w:lang w:val="mi-NZ"/>
        </w:rPr>
        <w:t>00137.100</w:t>
      </w:r>
      <w:r>
        <w:rPr>
          <w:lang w:val="mi-NZ"/>
        </w:rPr>
        <w:t xml:space="preserve"> DCC</w:t>
      </w:r>
    </w:p>
  </w:footnote>
  <w:footnote w:id="1100">
    <w:p w14:paraId="4D62FA39" w14:textId="77777777" w:rsidR="00570759" w:rsidRPr="00673013" w:rsidRDefault="00570759" w:rsidP="00570759">
      <w:pPr>
        <w:pStyle w:val="FootnoteText"/>
        <w:rPr>
          <w:lang w:val="mi-NZ"/>
        </w:rPr>
      </w:pPr>
      <w:r>
        <w:rPr>
          <w:rStyle w:val="FootnoteReference"/>
        </w:rPr>
        <w:footnoteRef/>
      </w:r>
      <w:r>
        <w:t xml:space="preserve"> </w:t>
      </w:r>
      <w:r w:rsidRPr="00A76696">
        <w:t>00306.054</w:t>
      </w:r>
      <w:r>
        <w:t xml:space="preserve"> </w:t>
      </w:r>
      <w:r w:rsidRPr="00A76696">
        <w:t xml:space="preserve">Meridian </w:t>
      </w:r>
    </w:p>
  </w:footnote>
  <w:footnote w:id="1101">
    <w:p w14:paraId="69263678" w14:textId="77777777" w:rsidR="00570759" w:rsidRPr="00DA043F" w:rsidRDefault="00570759" w:rsidP="00570759">
      <w:pPr>
        <w:pStyle w:val="FootnoteText"/>
        <w:rPr>
          <w:lang w:val="en-AU"/>
        </w:rPr>
      </w:pPr>
      <w:r>
        <w:rPr>
          <w:rStyle w:val="FootnoteReference"/>
        </w:rPr>
        <w:footnoteRef/>
      </w:r>
      <w:r>
        <w:t xml:space="preserve"> </w:t>
      </w:r>
      <w:r w:rsidRPr="004E4D6D">
        <w:rPr>
          <w:rFonts w:cstheme="minorHAnsi"/>
        </w:rPr>
        <w:t>00318.026</w:t>
      </w:r>
      <w:r>
        <w:rPr>
          <w:rFonts w:cstheme="minorHAnsi"/>
        </w:rPr>
        <w:t xml:space="preserve"> </w:t>
      </w:r>
      <w:r>
        <w:t>Contact</w:t>
      </w:r>
    </w:p>
  </w:footnote>
  <w:footnote w:id="1102">
    <w:p w14:paraId="7A048AA8" w14:textId="77777777" w:rsidR="00570759" w:rsidRPr="00673013" w:rsidRDefault="00570759" w:rsidP="00570759">
      <w:pPr>
        <w:pStyle w:val="FootnoteText"/>
        <w:rPr>
          <w:lang w:val="mi-NZ"/>
        </w:rPr>
      </w:pPr>
      <w:r>
        <w:rPr>
          <w:rStyle w:val="FootnoteReference"/>
        </w:rPr>
        <w:footnoteRef/>
      </w:r>
      <w:r>
        <w:t xml:space="preserve"> </w:t>
      </w:r>
      <w:r w:rsidRPr="00BB3C23">
        <w:t>00318.026</w:t>
      </w:r>
      <w:r>
        <w:t xml:space="preserve"> </w:t>
      </w:r>
      <w:r w:rsidRPr="00BB3C23">
        <w:t xml:space="preserve">Contact </w:t>
      </w:r>
    </w:p>
  </w:footnote>
  <w:footnote w:id="1103">
    <w:p w14:paraId="1B4852E8" w14:textId="0396723D" w:rsidR="00570759" w:rsidRPr="00673013" w:rsidRDefault="00570759" w:rsidP="00570759">
      <w:pPr>
        <w:pStyle w:val="FootnoteText"/>
        <w:rPr>
          <w:lang w:val="mi-NZ"/>
        </w:rPr>
      </w:pPr>
      <w:r w:rsidRPr="00567744">
        <w:rPr>
          <w:rStyle w:val="FootnoteReference"/>
        </w:rPr>
        <w:footnoteRef/>
      </w:r>
      <w:r w:rsidRPr="00567744">
        <w:t xml:space="preserve"> 00306.054 Meridian, 00311.034 Trustpower, 00321.043 </w:t>
      </w:r>
      <w:r w:rsidR="00BC3822">
        <w:t>Te Waihanga</w:t>
      </w:r>
    </w:p>
  </w:footnote>
  <w:footnote w:id="1104">
    <w:p w14:paraId="4BB0AFE7" w14:textId="55A48097" w:rsidR="00215874" w:rsidRPr="00215874" w:rsidRDefault="00215874">
      <w:pPr>
        <w:pStyle w:val="FootnoteText"/>
        <w:rPr>
          <w:lang w:val="en-AU"/>
        </w:rPr>
      </w:pPr>
      <w:r>
        <w:rPr>
          <w:rStyle w:val="FootnoteReference"/>
        </w:rPr>
        <w:footnoteRef/>
      </w:r>
      <w:r>
        <w:t xml:space="preserve"> </w:t>
      </w:r>
      <w:r w:rsidR="000B0E8C">
        <w:t>Clause 16(2), Schedule 1, RMA</w:t>
      </w:r>
    </w:p>
  </w:footnote>
  <w:footnote w:id="1105">
    <w:p w14:paraId="40A15C22" w14:textId="07BCECC4" w:rsidR="00570759" w:rsidRPr="001F6890" w:rsidRDefault="00570759" w:rsidP="00570759">
      <w:pPr>
        <w:pStyle w:val="FootnoteText"/>
        <w:rPr>
          <w:lang w:val="mi-NZ"/>
        </w:rPr>
      </w:pPr>
      <w:r>
        <w:rPr>
          <w:rStyle w:val="FootnoteReference"/>
        </w:rPr>
        <w:footnoteRef/>
      </w:r>
      <w:r w:rsidR="00B45E7A">
        <w:t xml:space="preserve"> </w:t>
      </w:r>
      <w:r w:rsidRPr="009B0003">
        <w:t>00306.057</w:t>
      </w:r>
      <w:r>
        <w:t xml:space="preserve"> </w:t>
      </w:r>
      <w:r w:rsidRPr="009B0003">
        <w:t>Meridian</w:t>
      </w:r>
    </w:p>
  </w:footnote>
  <w:footnote w:id="1106">
    <w:p w14:paraId="0FE547C2" w14:textId="67FE129F" w:rsidR="00414BA8" w:rsidRPr="00414BA8" w:rsidRDefault="00414BA8">
      <w:pPr>
        <w:pStyle w:val="FootnoteText"/>
        <w:rPr>
          <w:lang w:val="en-AU"/>
        </w:rPr>
      </w:pPr>
      <w:r>
        <w:rPr>
          <w:rStyle w:val="FootnoteReference"/>
        </w:rPr>
        <w:footnoteRef/>
      </w:r>
      <w:r>
        <w:t xml:space="preserve"> </w:t>
      </w:r>
      <w:r w:rsidRPr="007D1550">
        <w:t>00239.119</w:t>
      </w:r>
      <w:r>
        <w:t xml:space="preserve"> </w:t>
      </w:r>
      <w:r w:rsidRPr="007D1550">
        <w:t>Federated Farmers</w:t>
      </w:r>
      <w:r w:rsidR="00E7536A">
        <w:t xml:space="preserve">, </w:t>
      </w:r>
      <w:r w:rsidR="00E7536A" w:rsidRPr="005A779D">
        <w:t>00306.058</w:t>
      </w:r>
      <w:r w:rsidR="00E7536A">
        <w:t xml:space="preserve"> </w:t>
      </w:r>
      <w:r w:rsidR="00E7536A" w:rsidRPr="005A779D">
        <w:t>Meridian</w:t>
      </w:r>
    </w:p>
  </w:footnote>
  <w:footnote w:id="1107">
    <w:p w14:paraId="1C8D01B6" w14:textId="77777777" w:rsidR="00570759" w:rsidRPr="001F6890" w:rsidRDefault="00570759" w:rsidP="00570759">
      <w:pPr>
        <w:pStyle w:val="FootnoteText"/>
        <w:rPr>
          <w:lang w:val="mi-NZ"/>
        </w:rPr>
      </w:pPr>
      <w:r>
        <w:rPr>
          <w:rStyle w:val="FootnoteReference"/>
        </w:rPr>
        <w:footnoteRef/>
      </w:r>
      <w:r>
        <w:t xml:space="preserve"> </w:t>
      </w:r>
      <w:r w:rsidRPr="00706EEB">
        <w:t>00139.154 DCC</w:t>
      </w:r>
    </w:p>
  </w:footnote>
  <w:footnote w:id="1108">
    <w:p w14:paraId="68875BC3" w14:textId="79EA97BA" w:rsidR="00570759" w:rsidRPr="004B0469" w:rsidRDefault="00570759" w:rsidP="00570759">
      <w:pPr>
        <w:pStyle w:val="FootnoteText"/>
        <w:rPr>
          <w:lang w:val="mi-NZ"/>
        </w:rPr>
      </w:pPr>
      <w:r>
        <w:rPr>
          <w:rStyle w:val="FootnoteReference"/>
        </w:rPr>
        <w:footnoteRef/>
      </w:r>
      <w:r>
        <w:t xml:space="preserve"> 00223.106 </w:t>
      </w:r>
      <w:r w:rsidR="00533BA6">
        <w:t>Ngāi Tahu ki Murihiku</w:t>
      </w:r>
    </w:p>
  </w:footnote>
  <w:footnote w:id="1109">
    <w:p w14:paraId="1F684CAD" w14:textId="77777777" w:rsidR="00570759" w:rsidRPr="00F3792D" w:rsidRDefault="00570759" w:rsidP="00570759">
      <w:pPr>
        <w:pStyle w:val="FootnoteText"/>
        <w:rPr>
          <w:lang w:val="en-AU"/>
        </w:rPr>
      </w:pPr>
      <w:r>
        <w:rPr>
          <w:rStyle w:val="FootnoteReference"/>
        </w:rPr>
        <w:footnoteRef/>
      </w:r>
      <w:r>
        <w:t xml:space="preserve"> </w:t>
      </w:r>
      <w:r w:rsidRPr="00F3792D">
        <w:t>00306.061</w:t>
      </w:r>
      <w:r>
        <w:t xml:space="preserve"> </w:t>
      </w:r>
      <w:r w:rsidRPr="00F3792D">
        <w:t xml:space="preserve">Meridian </w:t>
      </w:r>
    </w:p>
  </w:footnote>
  <w:footnote w:id="1110">
    <w:p w14:paraId="7F524A8E" w14:textId="77777777" w:rsidR="00570759" w:rsidRPr="002E0442" w:rsidRDefault="00570759" w:rsidP="00570759">
      <w:pPr>
        <w:pStyle w:val="FootnoteText"/>
        <w:rPr>
          <w:lang w:val="mi-NZ"/>
        </w:rPr>
      </w:pPr>
      <w:r>
        <w:rPr>
          <w:rStyle w:val="FootnoteReference"/>
        </w:rPr>
        <w:footnoteRef/>
      </w:r>
      <w:r>
        <w:t xml:space="preserve"> </w:t>
      </w:r>
      <w:r w:rsidRPr="00336F3B">
        <w:t>00139.156</w:t>
      </w:r>
      <w:r>
        <w:t xml:space="preserve"> DCC</w:t>
      </w:r>
    </w:p>
  </w:footnote>
  <w:footnote w:id="1111">
    <w:p w14:paraId="13033541" w14:textId="77777777" w:rsidR="00570759" w:rsidRPr="002E0442" w:rsidRDefault="00570759" w:rsidP="00570759">
      <w:pPr>
        <w:pStyle w:val="FootnoteText"/>
        <w:rPr>
          <w:lang w:val="mi-NZ"/>
        </w:rPr>
      </w:pPr>
      <w:r>
        <w:rPr>
          <w:rStyle w:val="FootnoteReference"/>
        </w:rPr>
        <w:footnoteRef/>
      </w:r>
      <w:r>
        <w:t xml:space="preserve"> </w:t>
      </w:r>
      <w:r w:rsidRPr="00555289">
        <w:t>00139.157</w:t>
      </w:r>
      <w:r>
        <w:t xml:space="preserve"> DCC</w:t>
      </w:r>
    </w:p>
  </w:footnote>
  <w:footnote w:id="1112">
    <w:p w14:paraId="7D1EC844" w14:textId="77777777" w:rsidR="00570759" w:rsidRPr="00475446" w:rsidRDefault="00570759" w:rsidP="00570759">
      <w:pPr>
        <w:pStyle w:val="FootnoteText"/>
        <w:rPr>
          <w:lang w:val="mi-NZ"/>
        </w:rPr>
      </w:pPr>
      <w:r>
        <w:rPr>
          <w:rStyle w:val="FootnoteReference"/>
        </w:rPr>
        <w:footnoteRef/>
      </w:r>
      <w:r>
        <w:t xml:space="preserve"> </w:t>
      </w:r>
      <w:r w:rsidRPr="00B95C89">
        <w:t>00311.042 Trustpower</w:t>
      </w:r>
    </w:p>
  </w:footnote>
  <w:footnote w:id="1113">
    <w:p w14:paraId="04C3E2B7" w14:textId="202B8D58" w:rsidR="0062412A" w:rsidRDefault="0062412A">
      <w:pPr>
        <w:pStyle w:val="FootnoteText"/>
      </w:pPr>
      <w:r>
        <w:rPr>
          <w:rStyle w:val="FootnoteReference"/>
        </w:rPr>
        <w:footnoteRef/>
      </w:r>
      <w:r>
        <w:t xml:space="preserve"> </w:t>
      </w:r>
      <w:r w:rsidR="00CF4132">
        <w:t>Clause 16(2), Schedule 1, RMA</w:t>
      </w:r>
    </w:p>
  </w:footnote>
  <w:footnote w:id="1114">
    <w:p w14:paraId="20F5C7C0" w14:textId="77777777" w:rsidR="00570759" w:rsidRPr="00475446" w:rsidRDefault="00570759" w:rsidP="00570759">
      <w:pPr>
        <w:pStyle w:val="FootnoteText"/>
        <w:rPr>
          <w:lang w:val="mi-NZ"/>
        </w:rPr>
      </w:pPr>
      <w:r>
        <w:rPr>
          <w:rStyle w:val="FootnoteReference"/>
        </w:rPr>
        <w:footnoteRef/>
      </w:r>
      <w:r>
        <w:t xml:space="preserve"> </w:t>
      </w:r>
      <w:r w:rsidRPr="00F0622E">
        <w:t>00306.063</w:t>
      </w:r>
      <w:r>
        <w:t xml:space="preserve"> </w:t>
      </w:r>
      <w:r w:rsidRPr="00F0622E">
        <w:t>Meridian</w:t>
      </w:r>
    </w:p>
  </w:footnote>
  <w:footnote w:id="1115">
    <w:p w14:paraId="6A8154D1" w14:textId="196651EA" w:rsidR="00AB0A92" w:rsidRDefault="00AB0A92">
      <w:pPr>
        <w:pStyle w:val="FootnoteText"/>
      </w:pPr>
      <w:r>
        <w:rPr>
          <w:rStyle w:val="FootnoteReference"/>
        </w:rPr>
        <w:footnoteRef/>
      </w:r>
      <w:r>
        <w:t xml:space="preserve"> </w:t>
      </w:r>
      <w:r w:rsidR="00E55A58" w:rsidRPr="00E55A58">
        <w:t>Clause 16(2), Schedule 1, RMA</w:t>
      </w:r>
    </w:p>
  </w:footnote>
  <w:footnote w:id="1116">
    <w:p w14:paraId="4648C5C1" w14:textId="2BE4767B" w:rsidR="00322E6F" w:rsidRDefault="00322E6F">
      <w:pPr>
        <w:pStyle w:val="FootnoteText"/>
      </w:pPr>
      <w:r>
        <w:rPr>
          <w:rStyle w:val="FootnoteReference"/>
        </w:rPr>
        <w:footnoteRef/>
      </w:r>
      <w:r>
        <w:t xml:space="preserve"> Clause 16(2), Schedule 1, RMA</w:t>
      </w:r>
    </w:p>
  </w:footnote>
  <w:footnote w:id="1117">
    <w:p w14:paraId="6A84E015" w14:textId="1BD551EA" w:rsidR="00B44B93" w:rsidRPr="00B44B93" w:rsidRDefault="00B44B93">
      <w:pPr>
        <w:pStyle w:val="FootnoteText"/>
        <w:rPr>
          <w:lang w:val="en-AU"/>
        </w:rPr>
      </w:pPr>
      <w:r>
        <w:rPr>
          <w:rStyle w:val="FootnoteReference"/>
        </w:rPr>
        <w:footnoteRef/>
      </w:r>
      <w:r>
        <w:t xml:space="preserve"> </w:t>
      </w:r>
      <w:r w:rsidRPr="00E55A58">
        <w:t>Clause 16(2), Schedule 1, RMA</w:t>
      </w:r>
    </w:p>
  </w:footnote>
  <w:footnote w:id="1118">
    <w:p w14:paraId="0FFCCBB9" w14:textId="77777777" w:rsidR="00570759" w:rsidRDefault="00570759" w:rsidP="00570759">
      <w:pPr>
        <w:pStyle w:val="FootnoteText"/>
      </w:pPr>
      <w:r>
        <w:rPr>
          <w:rStyle w:val="FootnoteReference"/>
        </w:rPr>
        <w:footnoteRef/>
      </w:r>
      <w:r>
        <w:t xml:space="preserve"> Clause 16(2), Schedule 1, RMA</w:t>
      </w:r>
    </w:p>
  </w:footnote>
  <w:footnote w:id="1119">
    <w:p w14:paraId="36A1BB1B" w14:textId="513C021D" w:rsidR="0013309D" w:rsidRPr="00683CEE" w:rsidRDefault="0013309D" w:rsidP="0013309D">
      <w:pPr>
        <w:pStyle w:val="FootnoteText"/>
        <w:rPr>
          <w:lang w:val="en-AU"/>
        </w:rPr>
      </w:pPr>
      <w:r>
        <w:rPr>
          <w:rStyle w:val="FootnoteReference"/>
        </w:rPr>
        <w:footnoteRef/>
      </w:r>
      <w:r>
        <w:t xml:space="preserve"> </w:t>
      </w:r>
      <w:r w:rsidR="003E180F">
        <w:t xml:space="preserve">Clause 10(2)(b)(i), Schedule 1, RMA – consequential amendment arising from 00313.020 Queenstown Airport </w:t>
      </w:r>
    </w:p>
  </w:footnote>
  <w:footnote w:id="1120">
    <w:p w14:paraId="702029CF" w14:textId="77777777" w:rsidR="00570759" w:rsidRPr="00F17DC1" w:rsidRDefault="00570759" w:rsidP="00570759">
      <w:pPr>
        <w:pStyle w:val="FootnoteText"/>
        <w:rPr>
          <w:lang w:val="en-AU"/>
        </w:rPr>
      </w:pPr>
      <w:r>
        <w:rPr>
          <w:rStyle w:val="FootnoteReference"/>
        </w:rPr>
        <w:footnoteRef/>
      </w:r>
      <w:r>
        <w:t xml:space="preserve"> </w:t>
      </w:r>
      <w:r w:rsidRPr="002C2B8B">
        <w:t>00239.124</w:t>
      </w:r>
      <w:r>
        <w:t xml:space="preserve"> </w:t>
      </w:r>
      <w:r w:rsidRPr="002C2B8B">
        <w:t>Federated Farmers</w:t>
      </w:r>
    </w:p>
  </w:footnote>
  <w:footnote w:id="1121">
    <w:p w14:paraId="5D07B515" w14:textId="77777777" w:rsidR="00570759" w:rsidRPr="00F17DC1" w:rsidRDefault="00570759" w:rsidP="00570759">
      <w:pPr>
        <w:pStyle w:val="FootnoteText"/>
        <w:rPr>
          <w:lang w:val="en-AU"/>
        </w:rPr>
      </w:pPr>
      <w:r>
        <w:rPr>
          <w:rStyle w:val="FootnoteReference"/>
        </w:rPr>
        <w:footnoteRef/>
      </w:r>
      <w:r>
        <w:t xml:space="preserve"> </w:t>
      </w:r>
      <w:r w:rsidRPr="001552F4">
        <w:t>00239.125</w:t>
      </w:r>
      <w:r>
        <w:t xml:space="preserve"> Federated Farmers, </w:t>
      </w:r>
      <w:r w:rsidRPr="00D964FF">
        <w:t>00235.114</w:t>
      </w:r>
      <w:r>
        <w:t xml:space="preserve"> </w:t>
      </w:r>
      <w:r w:rsidRPr="00D964FF">
        <w:t>OWRUG</w:t>
      </w:r>
    </w:p>
  </w:footnote>
  <w:footnote w:id="1122">
    <w:p w14:paraId="114C52F4" w14:textId="77777777" w:rsidR="00AF57CD" w:rsidRPr="00683CEE" w:rsidRDefault="00AF57CD" w:rsidP="00AF57CD">
      <w:pPr>
        <w:pStyle w:val="FootnoteText"/>
        <w:rPr>
          <w:lang w:val="en-AU"/>
        </w:rPr>
      </w:pPr>
      <w:r>
        <w:rPr>
          <w:rStyle w:val="FootnoteReference"/>
        </w:rPr>
        <w:footnoteRef/>
      </w:r>
      <w:r>
        <w:t xml:space="preserve"> Clause 16(2), Schedule 1, RMA</w:t>
      </w:r>
    </w:p>
  </w:footnote>
  <w:footnote w:id="1123">
    <w:p w14:paraId="0BBAD8D3" w14:textId="77777777" w:rsidR="00570759" w:rsidRPr="00F17DC1" w:rsidRDefault="00570759" w:rsidP="00570759">
      <w:pPr>
        <w:pStyle w:val="FootnoteText"/>
        <w:rPr>
          <w:lang w:val="en-AU"/>
        </w:rPr>
      </w:pPr>
      <w:r>
        <w:rPr>
          <w:rStyle w:val="FootnoteReference"/>
        </w:rPr>
        <w:footnoteRef/>
      </w:r>
      <w:r>
        <w:t xml:space="preserve"> </w:t>
      </w:r>
      <w:r w:rsidRPr="001552F4">
        <w:t>00239.125</w:t>
      </w:r>
      <w:r>
        <w:t xml:space="preserve"> </w:t>
      </w:r>
      <w:r w:rsidRPr="00AE1FAF">
        <w:t>00230.128</w:t>
      </w:r>
      <w:r>
        <w:t xml:space="preserve"> Forest and Bird</w:t>
      </w:r>
    </w:p>
  </w:footnote>
  <w:footnote w:id="1124">
    <w:p w14:paraId="1A1CC33D" w14:textId="77777777" w:rsidR="00570759" w:rsidRPr="00F17DC1" w:rsidRDefault="00570759" w:rsidP="00570759">
      <w:pPr>
        <w:pStyle w:val="FootnoteText"/>
        <w:rPr>
          <w:lang w:val="en-AU"/>
        </w:rPr>
      </w:pPr>
      <w:r>
        <w:rPr>
          <w:rStyle w:val="FootnoteReference"/>
        </w:rPr>
        <w:footnoteRef/>
      </w:r>
      <w:r>
        <w:t xml:space="preserve"> 00315.046 Aurora Energy, </w:t>
      </w:r>
      <w:r w:rsidRPr="0038355F">
        <w:t>00138.116</w:t>
      </w:r>
      <w:r>
        <w:t xml:space="preserve"> QLDC</w:t>
      </w:r>
    </w:p>
  </w:footnote>
  <w:footnote w:id="1125">
    <w:p w14:paraId="5C7AB18F" w14:textId="77777777" w:rsidR="00570759" w:rsidRPr="00991334" w:rsidRDefault="00570759" w:rsidP="00570759">
      <w:pPr>
        <w:pStyle w:val="FootnoteText"/>
        <w:rPr>
          <w:lang w:val="en-AU"/>
        </w:rPr>
      </w:pPr>
      <w:r>
        <w:rPr>
          <w:rStyle w:val="FootnoteReference"/>
        </w:rPr>
        <w:footnoteRef/>
      </w:r>
      <w:r>
        <w:t xml:space="preserve"> 00314.001 Transpower</w:t>
      </w:r>
    </w:p>
  </w:footnote>
  <w:footnote w:id="1126">
    <w:p w14:paraId="69FA8FD7" w14:textId="77777777" w:rsidR="00570759" w:rsidRPr="00F515AC" w:rsidRDefault="00570759" w:rsidP="00570759">
      <w:pPr>
        <w:pStyle w:val="FootnoteText"/>
        <w:rPr>
          <w:lang w:val="en-AU"/>
        </w:rPr>
      </w:pPr>
      <w:r>
        <w:rPr>
          <w:rStyle w:val="FootnoteReference"/>
        </w:rPr>
        <w:footnoteRef/>
      </w:r>
      <w:r>
        <w:t xml:space="preserve"> 00314.001 Transpower</w:t>
      </w:r>
    </w:p>
  </w:footnote>
  <w:footnote w:id="1127">
    <w:p w14:paraId="4C6D2397" w14:textId="77777777" w:rsidR="00570759" w:rsidRPr="00A5413F" w:rsidRDefault="00570759" w:rsidP="00570759">
      <w:pPr>
        <w:pStyle w:val="FootnoteText"/>
        <w:rPr>
          <w:lang w:val="en-AU"/>
        </w:rPr>
      </w:pPr>
      <w:r>
        <w:rPr>
          <w:rStyle w:val="FootnoteReference"/>
        </w:rPr>
        <w:footnoteRef/>
      </w:r>
      <w:r>
        <w:t xml:space="preserve"> </w:t>
      </w:r>
      <w:r w:rsidRPr="00CD6BB0">
        <w:t>00139.164</w:t>
      </w:r>
      <w:r>
        <w:t xml:space="preserve"> DCC</w:t>
      </w:r>
      <w:r w:rsidRPr="00CD6BB0">
        <w:tab/>
      </w:r>
    </w:p>
  </w:footnote>
  <w:footnote w:id="1128">
    <w:p w14:paraId="11FB34B2" w14:textId="77777777" w:rsidR="00570759" w:rsidRPr="00991334" w:rsidRDefault="00570759" w:rsidP="00570759">
      <w:pPr>
        <w:pStyle w:val="FootnoteText"/>
        <w:rPr>
          <w:lang w:val="en-AU"/>
        </w:rPr>
      </w:pPr>
      <w:r>
        <w:rPr>
          <w:rStyle w:val="FootnoteReference"/>
        </w:rPr>
        <w:footnoteRef/>
      </w:r>
      <w:r>
        <w:t xml:space="preserve"> 00314.001 Transpower</w:t>
      </w:r>
    </w:p>
  </w:footnote>
  <w:footnote w:id="1129">
    <w:p w14:paraId="6D214629" w14:textId="77777777" w:rsidR="00570759" w:rsidRPr="00A5413F" w:rsidRDefault="00570759" w:rsidP="00570759">
      <w:pPr>
        <w:pStyle w:val="FootnoteText"/>
        <w:rPr>
          <w:lang w:val="en-AU"/>
        </w:rPr>
      </w:pPr>
      <w:r>
        <w:rPr>
          <w:rStyle w:val="FootnoteReference"/>
        </w:rPr>
        <w:footnoteRef/>
      </w:r>
      <w:r>
        <w:t xml:space="preserve"> 00315.048 Aurora Energy</w:t>
      </w:r>
    </w:p>
  </w:footnote>
  <w:footnote w:id="1130">
    <w:p w14:paraId="6C197CE2" w14:textId="01AC2BAF" w:rsidR="006940EC" w:rsidRPr="006940EC" w:rsidRDefault="006940EC">
      <w:pPr>
        <w:pStyle w:val="FootnoteText"/>
        <w:rPr>
          <w:lang w:val="en-AU"/>
        </w:rPr>
      </w:pPr>
      <w:r>
        <w:rPr>
          <w:rStyle w:val="FootnoteReference"/>
        </w:rPr>
        <w:footnoteRef/>
      </w:r>
      <w:r>
        <w:t xml:space="preserve"> 00315.048 Aurora Energy</w:t>
      </w:r>
    </w:p>
  </w:footnote>
  <w:footnote w:id="1131">
    <w:p w14:paraId="166019BA" w14:textId="35518DB4" w:rsidR="00D76751" w:rsidRPr="00D76751" w:rsidRDefault="00D76751">
      <w:pPr>
        <w:pStyle w:val="FootnoteText"/>
        <w:rPr>
          <w:lang w:val="en-AU"/>
        </w:rPr>
      </w:pPr>
      <w:r>
        <w:rPr>
          <w:rStyle w:val="FootnoteReference"/>
        </w:rPr>
        <w:footnoteRef/>
      </w:r>
      <w:r>
        <w:t xml:space="preserve"> Clause 10(2)(b)(i), Schedule 1, RMA – consequential amendment arising from 00315.048 Aurora Energy (</w:t>
      </w:r>
      <w:r w:rsidR="00CF270E">
        <w:t xml:space="preserve">re </w:t>
      </w:r>
      <w:r>
        <w:t>Clause 1 ame</w:t>
      </w:r>
      <w:r w:rsidR="00CF270E">
        <w:t>ndment)</w:t>
      </w:r>
    </w:p>
  </w:footnote>
  <w:footnote w:id="1132">
    <w:p w14:paraId="308D8742" w14:textId="77777777" w:rsidR="00570759" w:rsidRPr="007A3F6F" w:rsidRDefault="00570759" w:rsidP="00570759">
      <w:pPr>
        <w:pStyle w:val="FootnoteText"/>
      </w:pPr>
      <w:r>
        <w:rPr>
          <w:rStyle w:val="FootnoteReference"/>
        </w:rPr>
        <w:footnoteRef/>
      </w:r>
      <w:r>
        <w:t xml:space="preserve"> 00315.048 Aurora Energy</w:t>
      </w:r>
    </w:p>
  </w:footnote>
  <w:footnote w:id="1133">
    <w:p w14:paraId="12BF0AE1" w14:textId="1D09381E" w:rsidR="00683CEE" w:rsidRPr="00683CEE" w:rsidRDefault="00683CEE">
      <w:pPr>
        <w:pStyle w:val="FootnoteText"/>
        <w:rPr>
          <w:lang w:val="en-AU"/>
        </w:rPr>
      </w:pPr>
      <w:r>
        <w:rPr>
          <w:rStyle w:val="FootnoteReference"/>
        </w:rPr>
        <w:footnoteRef/>
      </w:r>
      <w:r>
        <w:t xml:space="preserve"> </w:t>
      </w:r>
      <w:r w:rsidR="00B95CDA">
        <w:t xml:space="preserve">Clause </w:t>
      </w:r>
      <w:r w:rsidR="00BD52CF">
        <w:t>10(2)(b)(i), Schedule 1, RMA – consequential amendment arising from 00313.020 Queenstown Airport</w:t>
      </w:r>
    </w:p>
  </w:footnote>
  <w:footnote w:id="1134">
    <w:p w14:paraId="0A79E327" w14:textId="2817C2CF" w:rsidR="00CE293C" w:rsidRPr="006D3B50" w:rsidRDefault="00CE293C">
      <w:pPr>
        <w:pStyle w:val="FootnoteText"/>
        <w:rPr>
          <w:lang w:val="en-GB"/>
        </w:rPr>
      </w:pPr>
      <w:r>
        <w:rPr>
          <w:rStyle w:val="FootnoteReference"/>
        </w:rPr>
        <w:footnoteRef/>
      </w:r>
      <w:r>
        <w:t xml:space="preserve"> </w:t>
      </w:r>
      <w:r w:rsidR="006D3B50">
        <w:t>Clause 10(2)(b)(i)</w:t>
      </w:r>
      <w:r w:rsidR="00906D13">
        <w:t>, Schedule 1, RMA</w:t>
      </w:r>
      <w:r w:rsidR="006D3B50">
        <w:t xml:space="preserve"> – consequential amendment arising from</w:t>
      </w:r>
      <w:r>
        <w:t xml:space="preserve"> </w:t>
      </w:r>
      <w:r w:rsidRPr="00495451">
        <w:t xml:space="preserve">00137.107 DOC, 00301.042 </w:t>
      </w:r>
      <w:r w:rsidR="00533BA6">
        <w:t>Port Otago</w:t>
      </w:r>
      <w:r w:rsidRPr="00495451">
        <w:t xml:space="preserve">, 00226.241 </w:t>
      </w:r>
      <w:r w:rsidR="00854F19">
        <w:t>Kāi Tahu ki Otago</w:t>
      </w:r>
      <w:r w:rsidRPr="00495451">
        <w:t xml:space="preserve">, 00223.108 </w:t>
      </w:r>
      <w:r w:rsidR="00533BA6">
        <w:t>Ngāi Tahu ki Murihiku</w:t>
      </w:r>
      <w:r>
        <w:t xml:space="preserve">, </w:t>
      </w:r>
      <w:r w:rsidRPr="00323FB5">
        <w:t>00301.040 Port Otago</w:t>
      </w:r>
    </w:p>
  </w:footnote>
  <w:footnote w:id="1135">
    <w:p w14:paraId="574B9841" w14:textId="527DF81D" w:rsidR="00683CEE" w:rsidRPr="00683CEE" w:rsidRDefault="00683CEE">
      <w:pPr>
        <w:pStyle w:val="FootnoteText"/>
        <w:rPr>
          <w:lang w:val="en-AU"/>
        </w:rPr>
      </w:pPr>
      <w:r>
        <w:rPr>
          <w:rStyle w:val="FootnoteReference"/>
        </w:rPr>
        <w:footnoteRef/>
      </w:r>
      <w:r>
        <w:t xml:space="preserve"> </w:t>
      </w:r>
      <w:r w:rsidR="00BD52CF">
        <w:t xml:space="preserve">Clause 10(2)(b)(i), Schedule 1, RMA – consequential amendment arising from 00313.020 Queenstown Airport </w:t>
      </w:r>
    </w:p>
  </w:footnote>
  <w:footnote w:id="1136">
    <w:p w14:paraId="408ACC43" w14:textId="77777777" w:rsidR="00570759" w:rsidRPr="00A5413F" w:rsidRDefault="00570759" w:rsidP="00570759">
      <w:pPr>
        <w:pStyle w:val="FootnoteText"/>
        <w:rPr>
          <w:lang w:val="en-AU"/>
        </w:rPr>
      </w:pPr>
      <w:r>
        <w:rPr>
          <w:rStyle w:val="FootnoteReference"/>
        </w:rPr>
        <w:footnoteRef/>
      </w:r>
      <w:r>
        <w:t xml:space="preserve"> Clause 16(2), Schedule 1, RMA</w:t>
      </w:r>
    </w:p>
  </w:footnote>
  <w:footnote w:id="1137">
    <w:p w14:paraId="27CB05A7" w14:textId="77777777" w:rsidR="00570759" w:rsidRPr="00A5413F" w:rsidRDefault="00570759" w:rsidP="00570759">
      <w:pPr>
        <w:pStyle w:val="FootnoteText"/>
        <w:rPr>
          <w:lang w:val="en-AU"/>
        </w:rPr>
      </w:pPr>
      <w:r>
        <w:rPr>
          <w:rStyle w:val="FootnoteReference"/>
        </w:rPr>
        <w:footnoteRef/>
      </w:r>
      <w:r>
        <w:t xml:space="preserve"> </w:t>
      </w:r>
      <w:r w:rsidRPr="0013258B">
        <w:t>00226.241</w:t>
      </w:r>
      <w:r>
        <w:t xml:space="preserve"> </w:t>
      </w:r>
      <w:r w:rsidRPr="0013258B">
        <w:t>Kāi Tahu ki Otago</w:t>
      </w:r>
    </w:p>
  </w:footnote>
  <w:footnote w:id="1138">
    <w:p w14:paraId="575DBCE5" w14:textId="7651356E" w:rsidR="000C5F39" w:rsidRDefault="000C5F39">
      <w:pPr>
        <w:pStyle w:val="FootnoteText"/>
      </w:pPr>
      <w:r>
        <w:rPr>
          <w:rStyle w:val="FootnoteReference"/>
        </w:rPr>
        <w:footnoteRef/>
      </w:r>
      <w:r>
        <w:t xml:space="preserve"> Clause 16(2), Schedule 1, RMA</w:t>
      </w:r>
    </w:p>
  </w:footnote>
  <w:footnote w:id="1139">
    <w:p w14:paraId="1E0427E9" w14:textId="37653813" w:rsidR="005C4459" w:rsidRPr="005C4459" w:rsidRDefault="005C4459">
      <w:pPr>
        <w:pStyle w:val="FootnoteText"/>
        <w:rPr>
          <w:lang w:val="en-AU"/>
        </w:rPr>
      </w:pPr>
      <w:r>
        <w:rPr>
          <w:rStyle w:val="FootnoteReference"/>
        </w:rPr>
        <w:footnoteRef/>
      </w:r>
      <w:r>
        <w:t xml:space="preserve"> </w:t>
      </w:r>
      <w:r w:rsidR="00BD52CF">
        <w:t xml:space="preserve">Clause 10(2)(b)(i), Schedule 1, RMA – consequential amendment arising from 00313.020 Queenstown Airport </w:t>
      </w:r>
    </w:p>
  </w:footnote>
  <w:footnote w:id="1140">
    <w:p w14:paraId="00F002DD" w14:textId="244C03BF" w:rsidR="00F63AE4" w:rsidRDefault="00F63AE4">
      <w:pPr>
        <w:pStyle w:val="FootnoteText"/>
      </w:pPr>
      <w:r>
        <w:rPr>
          <w:rStyle w:val="FootnoteReference"/>
        </w:rPr>
        <w:footnoteRef/>
      </w:r>
      <w:r>
        <w:t xml:space="preserve"> </w:t>
      </w:r>
      <w:r w:rsidR="00163E13">
        <w:t>Clause 16(2), Schedule 1, RMA</w:t>
      </w:r>
    </w:p>
  </w:footnote>
  <w:footnote w:id="1141">
    <w:p w14:paraId="32A48CF1" w14:textId="77777777" w:rsidR="00570759" w:rsidRPr="00A5413F" w:rsidRDefault="00570759" w:rsidP="00570759">
      <w:pPr>
        <w:pStyle w:val="FootnoteText"/>
        <w:rPr>
          <w:lang w:val="en-AU"/>
        </w:rPr>
      </w:pPr>
      <w:r>
        <w:rPr>
          <w:rStyle w:val="FootnoteReference"/>
        </w:rPr>
        <w:footnoteRef/>
      </w:r>
      <w:r>
        <w:t xml:space="preserve"> Clause 16(2), Schedule 1, RMA</w:t>
      </w:r>
    </w:p>
  </w:footnote>
  <w:footnote w:id="1142">
    <w:p w14:paraId="6DBFD902" w14:textId="77777777" w:rsidR="00570759" w:rsidRPr="00A5413F" w:rsidRDefault="00570759" w:rsidP="00570759">
      <w:pPr>
        <w:pStyle w:val="FootnoteText"/>
        <w:rPr>
          <w:lang w:val="en-AU"/>
        </w:rPr>
      </w:pPr>
      <w:r>
        <w:rPr>
          <w:rStyle w:val="FootnoteReference"/>
        </w:rPr>
        <w:footnoteRef/>
      </w:r>
      <w:r>
        <w:t xml:space="preserve"> </w:t>
      </w:r>
      <w:r w:rsidRPr="003F3A79">
        <w:t>00226.241 Kāi Tahu ki Otago</w:t>
      </w:r>
    </w:p>
  </w:footnote>
  <w:footnote w:id="1143">
    <w:p w14:paraId="73F50B4C" w14:textId="77777777" w:rsidR="00570759" w:rsidRPr="006F54CB" w:rsidRDefault="00570759" w:rsidP="00570759">
      <w:pPr>
        <w:pStyle w:val="FootnoteText"/>
        <w:rPr>
          <w:lang w:val="en-AU"/>
        </w:rPr>
      </w:pPr>
      <w:r>
        <w:rPr>
          <w:rStyle w:val="FootnoteReference"/>
        </w:rPr>
        <w:footnoteRef/>
      </w:r>
      <w:r>
        <w:t xml:space="preserve"> Clause 16(2), Schedule 1, RMA</w:t>
      </w:r>
    </w:p>
  </w:footnote>
  <w:footnote w:id="1144">
    <w:p w14:paraId="18B68B9F" w14:textId="77777777" w:rsidR="00DC403C" w:rsidRPr="006F54CB" w:rsidRDefault="00DC403C" w:rsidP="00DC403C">
      <w:pPr>
        <w:pStyle w:val="FootnoteText"/>
        <w:rPr>
          <w:lang w:val="en-AU"/>
        </w:rPr>
      </w:pPr>
      <w:r>
        <w:rPr>
          <w:rStyle w:val="FootnoteReference"/>
        </w:rPr>
        <w:footnoteRef/>
      </w:r>
      <w:r>
        <w:t xml:space="preserve"> Clause 16(2), Schedule 1, RMA</w:t>
      </w:r>
    </w:p>
  </w:footnote>
  <w:footnote w:id="1145">
    <w:p w14:paraId="3ADCDBB5" w14:textId="1A462E8F" w:rsidR="00570759" w:rsidRPr="00323FB5" w:rsidRDefault="00570759" w:rsidP="00570759">
      <w:pPr>
        <w:pStyle w:val="FootnoteText"/>
      </w:pPr>
      <w:r w:rsidRPr="00323FB5">
        <w:rPr>
          <w:rStyle w:val="FootnoteReference"/>
        </w:rPr>
        <w:footnoteRef/>
      </w:r>
      <w:r w:rsidRPr="00323FB5">
        <w:t xml:space="preserve"> </w:t>
      </w:r>
      <w:r w:rsidRPr="00495451">
        <w:t xml:space="preserve">00137.107 DOC, 00301.042 </w:t>
      </w:r>
      <w:r w:rsidR="00533BA6">
        <w:t>Port Otago</w:t>
      </w:r>
      <w:r w:rsidRPr="00495451">
        <w:t xml:space="preserve">, 00226.241 </w:t>
      </w:r>
      <w:r w:rsidR="00854F19">
        <w:t>Kāi Tahu ki Otago</w:t>
      </w:r>
      <w:r w:rsidRPr="00495451">
        <w:t xml:space="preserve">, 00223.108 </w:t>
      </w:r>
      <w:r w:rsidR="00533BA6">
        <w:t>Ngāi Tahu ki Murihiku</w:t>
      </w:r>
      <w:r>
        <w:t xml:space="preserve">, </w:t>
      </w:r>
      <w:r w:rsidRPr="00323FB5">
        <w:t>00301.040 Port Otago</w:t>
      </w:r>
    </w:p>
  </w:footnote>
  <w:footnote w:id="1146">
    <w:p w14:paraId="398AD014" w14:textId="1DCF1E57" w:rsidR="00C95FBE" w:rsidRDefault="00C95FBE">
      <w:pPr>
        <w:pStyle w:val="FootnoteText"/>
      </w:pPr>
      <w:r>
        <w:rPr>
          <w:rStyle w:val="FootnoteReference"/>
        </w:rPr>
        <w:footnoteRef/>
      </w:r>
      <w:r>
        <w:t xml:space="preserve"> </w:t>
      </w:r>
      <w:r w:rsidR="00D26F30">
        <w:t>Clause 16(2), Schedule 1, RMA</w:t>
      </w:r>
    </w:p>
  </w:footnote>
  <w:footnote w:id="1147">
    <w:p w14:paraId="3F70BBB6" w14:textId="5E5F6A5E" w:rsidR="009D3EF4" w:rsidRPr="009D3EF4" w:rsidRDefault="009D3EF4">
      <w:pPr>
        <w:pStyle w:val="FootnoteText"/>
        <w:rPr>
          <w:lang w:val="en-GB"/>
        </w:rPr>
      </w:pPr>
      <w:r>
        <w:rPr>
          <w:rStyle w:val="FootnoteReference"/>
        </w:rPr>
        <w:footnoteRef/>
      </w:r>
      <w:r>
        <w:t xml:space="preserve"> </w:t>
      </w:r>
      <w:r w:rsidR="00D868EA">
        <w:rPr>
          <w:lang w:val="en-GB"/>
        </w:rPr>
        <w:t>Clause 16(2), Schedule 1, RMA</w:t>
      </w:r>
    </w:p>
  </w:footnote>
  <w:footnote w:id="1148">
    <w:p w14:paraId="45E581C6" w14:textId="77777777" w:rsidR="00570759" w:rsidRPr="00A5413F" w:rsidRDefault="00570759" w:rsidP="00570759">
      <w:pPr>
        <w:pStyle w:val="FootnoteText"/>
        <w:rPr>
          <w:lang w:val="en-AU"/>
        </w:rPr>
      </w:pPr>
      <w:r>
        <w:rPr>
          <w:rStyle w:val="FootnoteReference"/>
        </w:rPr>
        <w:footnoteRef/>
      </w:r>
      <w:r>
        <w:t xml:space="preserve"> </w:t>
      </w:r>
      <w:bookmarkStart w:id="240" w:name="_Hlk97070139"/>
      <w:r w:rsidRPr="00B16459">
        <w:t>00313.022</w:t>
      </w:r>
      <w:r>
        <w:t xml:space="preserve"> </w:t>
      </w:r>
      <w:bookmarkEnd w:id="240"/>
      <w:r>
        <w:t>Queenstown Airport</w:t>
      </w:r>
    </w:p>
  </w:footnote>
  <w:footnote w:id="1149">
    <w:p w14:paraId="31E6BBB4" w14:textId="19F1062B" w:rsidR="006C0501" w:rsidRDefault="006C0501">
      <w:pPr>
        <w:pStyle w:val="FootnoteText"/>
      </w:pPr>
      <w:r>
        <w:rPr>
          <w:rStyle w:val="FootnoteReference"/>
        </w:rPr>
        <w:footnoteRef/>
      </w:r>
      <w:r>
        <w:t xml:space="preserve"> Clause 16(2), Schedule 1, RMA</w:t>
      </w:r>
    </w:p>
  </w:footnote>
  <w:footnote w:id="1150">
    <w:p w14:paraId="10B06CAA" w14:textId="30FF79E6" w:rsidR="00570759" w:rsidRPr="00A5413F" w:rsidRDefault="00570759" w:rsidP="00570759">
      <w:pPr>
        <w:pStyle w:val="FootnoteText"/>
        <w:rPr>
          <w:lang w:val="en-AU"/>
        </w:rPr>
      </w:pPr>
      <w:r>
        <w:rPr>
          <w:rStyle w:val="FootnoteReference"/>
        </w:rPr>
        <w:footnoteRef/>
      </w:r>
      <w:r>
        <w:t xml:space="preserve"> </w:t>
      </w:r>
      <w:r w:rsidRPr="00547F43">
        <w:rPr>
          <w:lang w:val="en-AU"/>
        </w:rPr>
        <w:t xml:space="preserve">00226.243 </w:t>
      </w:r>
      <w:r>
        <w:rPr>
          <w:lang w:val="en-AU"/>
        </w:rPr>
        <w:t xml:space="preserve"> </w:t>
      </w:r>
      <w:r w:rsidR="00854F19">
        <w:rPr>
          <w:lang w:val="en-AU"/>
        </w:rPr>
        <w:t>Kāi Tahu ki Otago</w:t>
      </w:r>
    </w:p>
  </w:footnote>
  <w:footnote w:id="1151">
    <w:p w14:paraId="34B4EE4D" w14:textId="110DE8CF" w:rsidR="00E55344" w:rsidRDefault="00E55344">
      <w:pPr>
        <w:pStyle w:val="FootnoteText"/>
      </w:pPr>
      <w:r>
        <w:rPr>
          <w:rStyle w:val="FootnoteReference"/>
        </w:rPr>
        <w:footnoteRef/>
      </w:r>
      <w:r>
        <w:t xml:space="preserve"> </w:t>
      </w:r>
      <w:r w:rsidR="003E3EC7">
        <w:t>Clause 16(2), Schedule 1, RMA</w:t>
      </w:r>
    </w:p>
  </w:footnote>
  <w:footnote w:id="1152">
    <w:p w14:paraId="5B45602A" w14:textId="77777777" w:rsidR="00570759" w:rsidRPr="00DE60B8" w:rsidRDefault="00570759" w:rsidP="00570759">
      <w:pPr>
        <w:pStyle w:val="FootnoteText"/>
        <w:rPr>
          <w:lang w:val="en-AU"/>
        </w:rPr>
      </w:pPr>
      <w:r>
        <w:rPr>
          <w:rStyle w:val="FootnoteReference"/>
        </w:rPr>
        <w:footnoteRef/>
      </w:r>
      <w:r>
        <w:t xml:space="preserve"> </w:t>
      </w:r>
      <w:r w:rsidRPr="000F3786">
        <w:t>00314.040 Transpower</w:t>
      </w:r>
    </w:p>
  </w:footnote>
  <w:footnote w:id="1153">
    <w:p w14:paraId="0F87241F" w14:textId="77777777" w:rsidR="00570759" w:rsidRPr="004C5BD7" w:rsidRDefault="00570759" w:rsidP="00570759">
      <w:pPr>
        <w:pStyle w:val="FootnoteText"/>
        <w:rPr>
          <w:lang w:val="en-AU"/>
        </w:rPr>
      </w:pPr>
      <w:r>
        <w:rPr>
          <w:rStyle w:val="FootnoteReference"/>
        </w:rPr>
        <w:footnoteRef/>
      </w:r>
      <w:r>
        <w:t xml:space="preserve"> </w:t>
      </w:r>
      <w:r w:rsidRPr="000F3786">
        <w:t>00314.040 Transpower</w:t>
      </w:r>
    </w:p>
  </w:footnote>
  <w:footnote w:id="1154">
    <w:p w14:paraId="5E2B9BD1" w14:textId="0B86EBC1" w:rsidR="004C518C" w:rsidRDefault="004C518C">
      <w:pPr>
        <w:pStyle w:val="FootnoteText"/>
      </w:pPr>
      <w:r>
        <w:rPr>
          <w:rStyle w:val="FootnoteReference"/>
        </w:rPr>
        <w:footnoteRef/>
      </w:r>
      <w:r>
        <w:t xml:space="preserve"> Clause 16(2), Schedule 1, RMA</w:t>
      </w:r>
    </w:p>
  </w:footnote>
  <w:footnote w:id="1155">
    <w:p w14:paraId="4E816C36" w14:textId="77777777" w:rsidR="00570759" w:rsidRPr="006F54CB" w:rsidRDefault="00570759" w:rsidP="00570759">
      <w:pPr>
        <w:pStyle w:val="FootnoteText"/>
        <w:rPr>
          <w:lang w:val="en-AU"/>
        </w:rPr>
      </w:pPr>
      <w:r>
        <w:rPr>
          <w:rStyle w:val="FootnoteReference"/>
        </w:rPr>
        <w:footnoteRef/>
      </w:r>
      <w:r>
        <w:t xml:space="preserve"> Clause 16(2), Schedule 1, RMA</w:t>
      </w:r>
    </w:p>
  </w:footnote>
  <w:footnote w:id="1156">
    <w:p w14:paraId="098DB1EF" w14:textId="7A62B0A6" w:rsidR="00892462" w:rsidRPr="00892462" w:rsidRDefault="00892462">
      <w:pPr>
        <w:pStyle w:val="FootnoteText"/>
        <w:rPr>
          <w:lang w:val="en-AU"/>
        </w:rPr>
      </w:pPr>
      <w:r>
        <w:rPr>
          <w:rStyle w:val="FootnoteReference"/>
        </w:rPr>
        <w:footnoteRef/>
      </w:r>
      <w:r>
        <w:t xml:space="preserve"> </w:t>
      </w:r>
      <w:r w:rsidR="00863EDE">
        <w:t xml:space="preserve">Clause 10(2)(b)(i), Schedule 1, RMA – consequential amendment arising from </w:t>
      </w:r>
      <w:r w:rsidR="00863EDE" w:rsidRPr="00495451">
        <w:t xml:space="preserve">00137.107 DOC, 00301.042 </w:t>
      </w:r>
      <w:r w:rsidR="00533BA6">
        <w:t>Port Otago</w:t>
      </w:r>
      <w:r w:rsidR="00863EDE" w:rsidRPr="00495451">
        <w:t xml:space="preserve">, 00226.241 </w:t>
      </w:r>
      <w:r w:rsidR="00854F19">
        <w:t>Kāi Tahu ki Otago</w:t>
      </w:r>
      <w:r w:rsidR="00863EDE" w:rsidRPr="00495451">
        <w:t xml:space="preserve">, 00223.108 </w:t>
      </w:r>
      <w:r w:rsidR="00533BA6">
        <w:t>Ngāi Tahu ki Murihiku</w:t>
      </w:r>
      <w:r w:rsidR="00863EDE">
        <w:t xml:space="preserve">, </w:t>
      </w:r>
      <w:r w:rsidR="00863EDE" w:rsidRPr="00323FB5">
        <w:t>00301.040 Port Otago</w:t>
      </w:r>
    </w:p>
  </w:footnote>
  <w:footnote w:id="1157">
    <w:p w14:paraId="05979F89" w14:textId="1C55A24A" w:rsidR="00B56ECF" w:rsidRPr="00B56ECF" w:rsidRDefault="00B56ECF">
      <w:pPr>
        <w:pStyle w:val="FootnoteText"/>
        <w:rPr>
          <w:lang w:val="en-AU"/>
        </w:rPr>
      </w:pPr>
      <w:r>
        <w:rPr>
          <w:rStyle w:val="FootnoteReference"/>
        </w:rPr>
        <w:footnoteRef/>
      </w:r>
      <w:r>
        <w:t xml:space="preserve"> </w:t>
      </w:r>
      <w:r w:rsidR="003E3FEA">
        <w:t xml:space="preserve">Clause 10(2)(b)(i), Schedule 1, RMA – </w:t>
      </w:r>
      <w:r w:rsidR="003E3FEA" w:rsidRPr="00495451">
        <w:t xml:space="preserve">00137.107 DOC, 00301.042 </w:t>
      </w:r>
      <w:r w:rsidR="00533BA6">
        <w:t>Port Otago</w:t>
      </w:r>
      <w:r w:rsidR="003E3FEA" w:rsidRPr="00495451">
        <w:t xml:space="preserve">, 00226.241 </w:t>
      </w:r>
      <w:r w:rsidR="00854F19">
        <w:t>Kāi Tahu ki Otago</w:t>
      </w:r>
      <w:r w:rsidR="003E3FEA" w:rsidRPr="00495451">
        <w:t xml:space="preserve">, 00223.108 </w:t>
      </w:r>
      <w:r w:rsidR="00533BA6">
        <w:t>Ngāi Tahu ki Murihiku</w:t>
      </w:r>
      <w:r w:rsidR="003E3FEA">
        <w:t xml:space="preserve">, </w:t>
      </w:r>
      <w:r w:rsidR="003E3FEA" w:rsidRPr="00323FB5">
        <w:t>00301.040 Port Otago</w:t>
      </w:r>
      <w:r w:rsidR="003E3FEA">
        <w:t xml:space="preserve"> </w:t>
      </w:r>
    </w:p>
  </w:footnote>
  <w:footnote w:id="1158">
    <w:p w14:paraId="5621413C" w14:textId="77777777" w:rsidR="00570759" w:rsidRPr="00A5413F" w:rsidRDefault="00570759" w:rsidP="00570759">
      <w:pPr>
        <w:pStyle w:val="FootnoteText"/>
        <w:rPr>
          <w:lang w:val="en-AU"/>
        </w:rPr>
      </w:pPr>
      <w:r>
        <w:rPr>
          <w:rStyle w:val="FootnoteReference"/>
        </w:rPr>
        <w:footnoteRef/>
      </w:r>
      <w:r>
        <w:t xml:space="preserve"> </w:t>
      </w:r>
      <w:r w:rsidRPr="00482186">
        <w:t xml:space="preserve">00139.171 </w:t>
      </w:r>
      <w:r>
        <w:t>DCC</w:t>
      </w:r>
      <w:r w:rsidRPr="00007D90" w:rsidDel="00552874">
        <w:t xml:space="preserve"> </w:t>
      </w:r>
    </w:p>
  </w:footnote>
  <w:footnote w:id="1159">
    <w:p w14:paraId="54D09108" w14:textId="77777777" w:rsidR="00570759" w:rsidRPr="004233E5" w:rsidRDefault="00570759" w:rsidP="00570759">
      <w:pPr>
        <w:pStyle w:val="FootnoteText"/>
        <w:rPr>
          <w:lang w:val="en-AU"/>
        </w:rPr>
      </w:pPr>
      <w:r>
        <w:rPr>
          <w:rStyle w:val="FootnoteReference"/>
        </w:rPr>
        <w:footnoteRef/>
      </w:r>
      <w:r>
        <w:t xml:space="preserve"> </w:t>
      </w:r>
      <w:r w:rsidRPr="00781EB5">
        <w:t>00139.172</w:t>
      </w:r>
      <w:r>
        <w:t xml:space="preserve"> DCC</w:t>
      </w:r>
    </w:p>
  </w:footnote>
  <w:footnote w:id="1160">
    <w:p w14:paraId="6058D1DF" w14:textId="77777777" w:rsidR="00570759" w:rsidRPr="007418F8" w:rsidRDefault="00570759" w:rsidP="00570759">
      <w:pPr>
        <w:pStyle w:val="FootnoteText"/>
        <w:rPr>
          <w:lang w:val="en-AU"/>
        </w:rPr>
      </w:pPr>
      <w:r>
        <w:rPr>
          <w:rStyle w:val="FootnoteReference"/>
        </w:rPr>
        <w:footnoteRef/>
      </w:r>
      <w:r>
        <w:t xml:space="preserve"> </w:t>
      </w:r>
      <w:r w:rsidRPr="00781EB5">
        <w:t>00311.051</w:t>
      </w:r>
      <w:r>
        <w:t xml:space="preserve"> Trustpower, </w:t>
      </w:r>
      <w:r w:rsidRPr="00781EB5">
        <w:t>00305.054</w:t>
      </w:r>
      <w:r>
        <w:t xml:space="preserve"> Waka Kotahi</w:t>
      </w:r>
    </w:p>
  </w:footnote>
  <w:footnote w:id="1161">
    <w:p w14:paraId="3A87F7C5" w14:textId="0931C181" w:rsidR="00A14052" w:rsidRDefault="00A14052">
      <w:pPr>
        <w:pStyle w:val="FootnoteText"/>
      </w:pPr>
      <w:r>
        <w:rPr>
          <w:rStyle w:val="FootnoteReference"/>
        </w:rPr>
        <w:footnoteRef/>
      </w:r>
      <w:r>
        <w:t xml:space="preserve"> </w:t>
      </w:r>
      <w:r w:rsidR="00DE2B91">
        <w:t>Clause 16(2), Schedule 1, RMA</w:t>
      </w:r>
    </w:p>
  </w:footnote>
  <w:footnote w:id="1162">
    <w:p w14:paraId="0291DD6A" w14:textId="7B53B4E5" w:rsidR="002B7D6A" w:rsidRDefault="002B7D6A">
      <w:pPr>
        <w:pStyle w:val="FootnoteText"/>
      </w:pPr>
      <w:r>
        <w:rPr>
          <w:rStyle w:val="FootnoteReference"/>
        </w:rPr>
        <w:footnoteRef/>
      </w:r>
      <w:r>
        <w:t xml:space="preserve"> </w:t>
      </w:r>
      <w:r w:rsidR="009A1C0E">
        <w:t>Clause 16(2), Schedule 1, RMA</w:t>
      </w:r>
    </w:p>
  </w:footnote>
  <w:footnote w:id="1163">
    <w:p w14:paraId="4A783C6A" w14:textId="77777777" w:rsidR="00570759" w:rsidRPr="00305288" w:rsidRDefault="00570759" w:rsidP="00570759">
      <w:pPr>
        <w:pStyle w:val="FootnoteText"/>
        <w:rPr>
          <w:lang w:val="en-AU"/>
        </w:rPr>
      </w:pPr>
      <w:r>
        <w:rPr>
          <w:rStyle w:val="FootnoteReference"/>
        </w:rPr>
        <w:footnoteRef/>
      </w:r>
      <w:r>
        <w:t xml:space="preserve"> 00314.001 Transpower</w:t>
      </w:r>
    </w:p>
  </w:footnote>
  <w:footnote w:id="1164">
    <w:p w14:paraId="01B297A3" w14:textId="77777777" w:rsidR="00570759" w:rsidRPr="00305288" w:rsidRDefault="00570759" w:rsidP="00570759">
      <w:pPr>
        <w:pStyle w:val="FootnoteText"/>
        <w:rPr>
          <w:lang w:val="en-AU"/>
        </w:rPr>
      </w:pPr>
      <w:r>
        <w:rPr>
          <w:rStyle w:val="FootnoteReference"/>
        </w:rPr>
        <w:footnoteRef/>
      </w:r>
      <w:r>
        <w:t xml:space="preserve"> 00314.001 Transpower</w:t>
      </w:r>
    </w:p>
  </w:footnote>
  <w:footnote w:id="1165">
    <w:p w14:paraId="3B6FF59F" w14:textId="77777777" w:rsidR="00570759" w:rsidRPr="006F54CB" w:rsidRDefault="00570759" w:rsidP="00570759">
      <w:pPr>
        <w:pStyle w:val="FootnoteText"/>
        <w:rPr>
          <w:lang w:val="en-AU"/>
        </w:rPr>
      </w:pPr>
      <w:r>
        <w:rPr>
          <w:rStyle w:val="FootnoteReference"/>
        </w:rPr>
        <w:footnoteRef/>
      </w:r>
      <w:r>
        <w:t xml:space="preserve"> Clause 16(2), Schedule 1, RMA</w:t>
      </w:r>
    </w:p>
  </w:footnote>
  <w:footnote w:id="1166">
    <w:p w14:paraId="512EB173" w14:textId="77777777" w:rsidR="00570759" w:rsidRPr="006F54CB" w:rsidRDefault="00570759" w:rsidP="00570759">
      <w:pPr>
        <w:pStyle w:val="FootnoteText"/>
        <w:rPr>
          <w:lang w:val="en-AU"/>
        </w:rPr>
      </w:pPr>
      <w:r>
        <w:rPr>
          <w:rStyle w:val="FootnoteReference"/>
        </w:rPr>
        <w:footnoteRef/>
      </w:r>
      <w:r>
        <w:t xml:space="preserve"> Clause 16(2), Schedule 1, RMA</w:t>
      </w:r>
    </w:p>
  </w:footnote>
  <w:footnote w:id="1167">
    <w:p w14:paraId="075A6DB6" w14:textId="77777777" w:rsidR="00570759" w:rsidRPr="00305288" w:rsidRDefault="00570759" w:rsidP="00570759">
      <w:pPr>
        <w:pStyle w:val="FootnoteText"/>
        <w:rPr>
          <w:lang w:val="en-AU"/>
        </w:rPr>
      </w:pPr>
      <w:r>
        <w:rPr>
          <w:rStyle w:val="FootnoteReference"/>
        </w:rPr>
        <w:footnoteRef/>
      </w:r>
      <w:r>
        <w:t xml:space="preserve"> 00314.001 Transpower</w:t>
      </w:r>
    </w:p>
  </w:footnote>
  <w:footnote w:id="1168">
    <w:p w14:paraId="332F85EE" w14:textId="5E6AF2FF" w:rsidR="00570759" w:rsidRPr="00DD6F4B" w:rsidRDefault="00570759" w:rsidP="00570759">
      <w:pPr>
        <w:pStyle w:val="FootnoteText"/>
        <w:rPr>
          <w:lang w:val="en-AU"/>
        </w:rPr>
      </w:pPr>
      <w:r>
        <w:rPr>
          <w:rStyle w:val="FootnoteReference"/>
        </w:rPr>
        <w:footnoteRef/>
      </w:r>
      <w:r>
        <w:t xml:space="preserve"> 00</w:t>
      </w:r>
      <w:r w:rsidRPr="002F3EF1">
        <w:rPr>
          <w:rFonts w:cstheme="minorBidi"/>
          <w:noProof/>
        </w:rPr>
        <w:t>223.113</w:t>
      </w:r>
      <w:r>
        <w:t xml:space="preserve"> </w:t>
      </w:r>
      <w:r w:rsidR="00CB779C">
        <w:rPr>
          <w:rFonts w:cstheme="minorBidi"/>
          <w:noProof/>
        </w:rPr>
        <w:t>Ngāi Tahu ki Murihiku</w:t>
      </w:r>
      <w:r>
        <w:t xml:space="preserve">  </w:t>
      </w:r>
    </w:p>
  </w:footnote>
  <w:footnote w:id="1169">
    <w:p w14:paraId="4131D8BF" w14:textId="77777777" w:rsidR="00570759" w:rsidRDefault="00570759" w:rsidP="00570759">
      <w:pPr>
        <w:pStyle w:val="FootnoteText"/>
      </w:pPr>
      <w:r>
        <w:rPr>
          <w:rStyle w:val="FootnoteReference"/>
        </w:rPr>
        <w:footnoteRef/>
      </w:r>
      <w:r>
        <w:t xml:space="preserve"> Clause 16(2), Schedule 1, RMA</w:t>
      </w:r>
    </w:p>
  </w:footnote>
  <w:footnote w:id="1170">
    <w:p w14:paraId="3054F6B2" w14:textId="77777777" w:rsidR="00570759" w:rsidRPr="00277DF9" w:rsidRDefault="00570759" w:rsidP="00570759">
      <w:pPr>
        <w:pStyle w:val="FootnoteText"/>
        <w:rPr>
          <w:lang w:val="en-AU"/>
        </w:rPr>
      </w:pPr>
      <w:r>
        <w:rPr>
          <w:rStyle w:val="FootnoteReference"/>
        </w:rPr>
        <w:footnoteRef/>
      </w:r>
      <w:r>
        <w:t xml:space="preserve"> </w:t>
      </w:r>
      <w:r w:rsidRPr="001A0AB7">
        <w:rPr>
          <w:rFonts w:cstheme="minorHAnsi"/>
        </w:rPr>
        <w:t>00411.065</w:t>
      </w:r>
      <w:r>
        <w:rPr>
          <w:rFonts w:cstheme="minorHAnsi"/>
        </w:rPr>
        <w:t xml:space="preserve"> </w:t>
      </w:r>
      <w:r w:rsidRPr="001A0AB7">
        <w:rPr>
          <w:rFonts w:cstheme="minorHAnsi"/>
        </w:rPr>
        <w:t>Wayfare</w:t>
      </w:r>
    </w:p>
  </w:footnote>
  <w:footnote w:id="1171">
    <w:p w14:paraId="4688E64D" w14:textId="4BE3D2BE" w:rsidR="00570759" w:rsidRDefault="00570759" w:rsidP="00570759">
      <w:pPr>
        <w:pStyle w:val="FootnoteText"/>
      </w:pPr>
      <w:r>
        <w:rPr>
          <w:rStyle w:val="FootnoteReference"/>
        </w:rPr>
        <w:footnoteRef/>
      </w:r>
      <w:r>
        <w:t xml:space="preserve"> </w:t>
      </w:r>
      <w:r>
        <w:rPr>
          <w:lang w:val="en-AU"/>
        </w:rPr>
        <w:t>00307.024</w:t>
      </w:r>
      <w:r w:rsidRPr="00EF1683">
        <w:t xml:space="preserve"> </w:t>
      </w:r>
      <w:r w:rsidR="00CB779C">
        <w:rPr>
          <w:lang w:val="en-AU"/>
        </w:rPr>
        <w:t>CIAL</w:t>
      </w:r>
    </w:p>
  </w:footnote>
  <w:footnote w:id="1172">
    <w:p w14:paraId="1FDC208A" w14:textId="77777777" w:rsidR="00570759" w:rsidRDefault="00570759" w:rsidP="00570759">
      <w:pPr>
        <w:pStyle w:val="FootnoteText"/>
      </w:pPr>
      <w:r>
        <w:rPr>
          <w:rStyle w:val="FootnoteReference"/>
        </w:rPr>
        <w:footnoteRef/>
      </w:r>
      <w:r>
        <w:t xml:space="preserve"> </w:t>
      </w:r>
      <w:r w:rsidRPr="0043306D">
        <w:t>00239.134 Federated Farmers</w:t>
      </w:r>
    </w:p>
  </w:footnote>
  <w:footnote w:id="1173">
    <w:p w14:paraId="5AD8FEFC" w14:textId="77777777" w:rsidR="00570759" w:rsidRDefault="00570759" w:rsidP="00570759">
      <w:pPr>
        <w:pStyle w:val="FootnoteText"/>
      </w:pPr>
      <w:r>
        <w:rPr>
          <w:rStyle w:val="FootnoteReference"/>
        </w:rPr>
        <w:footnoteRef/>
      </w:r>
      <w:r>
        <w:t xml:space="preserve"> </w:t>
      </w:r>
      <w:r w:rsidRPr="001A2507">
        <w:t>00239.134</w:t>
      </w:r>
      <w:r>
        <w:t xml:space="preserve"> </w:t>
      </w:r>
      <w:r w:rsidRPr="001A2507">
        <w:t>Federated Farmers</w:t>
      </w:r>
    </w:p>
  </w:footnote>
  <w:footnote w:id="1174">
    <w:p w14:paraId="51BAF3DF" w14:textId="77777777" w:rsidR="00570759" w:rsidRPr="00C624FC" w:rsidRDefault="00570759" w:rsidP="00570759">
      <w:pPr>
        <w:pStyle w:val="FootnoteText"/>
        <w:rPr>
          <w:lang w:val="en-AU"/>
        </w:rPr>
      </w:pPr>
      <w:r>
        <w:rPr>
          <w:rStyle w:val="FootnoteReference"/>
        </w:rPr>
        <w:footnoteRef/>
      </w:r>
      <w:r>
        <w:t xml:space="preserve"> </w:t>
      </w:r>
      <w:r w:rsidRPr="001A2507">
        <w:t>00305.046</w:t>
      </w:r>
      <w:r>
        <w:t xml:space="preserve"> </w:t>
      </w:r>
      <w:r w:rsidRPr="001A2507">
        <w:t>Waka Kotahi</w:t>
      </w:r>
    </w:p>
  </w:footnote>
  <w:footnote w:id="1175">
    <w:p w14:paraId="0C2A8230" w14:textId="77777777" w:rsidR="00570759" w:rsidRDefault="00570759" w:rsidP="00570759">
      <w:pPr>
        <w:pStyle w:val="FootnoteText"/>
      </w:pPr>
      <w:r>
        <w:rPr>
          <w:rStyle w:val="FootnoteReference"/>
        </w:rPr>
        <w:footnoteRef/>
      </w:r>
      <w:r>
        <w:t xml:space="preserve"> </w:t>
      </w:r>
      <w:r w:rsidRPr="003B0513">
        <w:t>00138.130</w:t>
      </w:r>
      <w:r>
        <w:t xml:space="preserve"> QLDC</w:t>
      </w:r>
    </w:p>
  </w:footnote>
  <w:footnote w:id="1176">
    <w:p w14:paraId="737050B5" w14:textId="77777777" w:rsidR="00385F54" w:rsidRPr="00A508B1" w:rsidRDefault="00385F54" w:rsidP="00385F54">
      <w:pPr>
        <w:pStyle w:val="FootnoteText"/>
        <w:rPr>
          <w:lang w:val="en-AU"/>
        </w:rPr>
      </w:pPr>
      <w:r>
        <w:rPr>
          <w:rStyle w:val="FootnoteReference"/>
        </w:rPr>
        <w:footnoteRef/>
      </w:r>
      <w:r>
        <w:t xml:space="preserve"> </w:t>
      </w:r>
      <w:r w:rsidRPr="008141D5">
        <w:t>00206.052</w:t>
      </w:r>
      <w:r>
        <w:t xml:space="preserve"> </w:t>
      </w:r>
      <w:r w:rsidRPr="008141D5">
        <w:t>Trojan</w:t>
      </w:r>
      <w:r>
        <w:t xml:space="preserve">, </w:t>
      </w:r>
      <w:r w:rsidRPr="008D39CA">
        <w:t>00411.066</w:t>
      </w:r>
      <w:r>
        <w:t xml:space="preserve"> </w:t>
      </w:r>
      <w:r w:rsidRPr="008D39CA">
        <w:t>Wayfare</w:t>
      </w:r>
    </w:p>
  </w:footnote>
  <w:footnote w:id="1177">
    <w:p w14:paraId="54A6F124" w14:textId="0D3308F2" w:rsidR="00570759" w:rsidRPr="00A32231" w:rsidRDefault="00570759" w:rsidP="00570759">
      <w:pPr>
        <w:pStyle w:val="FootnoteText"/>
        <w:rPr>
          <w:lang w:val="en-AU"/>
        </w:rPr>
      </w:pPr>
      <w:r>
        <w:rPr>
          <w:rStyle w:val="FootnoteReference"/>
        </w:rPr>
        <w:footnoteRef/>
      </w:r>
      <w:r>
        <w:t xml:space="preserve"> </w:t>
      </w:r>
      <w:r w:rsidRPr="001A79EB">
        <w:t>00305.048</w:t>
      </w:r>
      <w:r>
        <w:t xml:space="preserve"> </w:t>
      </w:r>
      <w:r w:rsidRPr="001A79EB">
        <w:t>Waka Kotahi</w:t>
      </w:r>
    </w:p>
  </w:footnote>
  <w:footnote w:id="1178">
    <w:p w14:paraId="237DDCB4" w14:textId="77777777" w:rsidR="00570759" w:rsidRPr="00656183" w:rsidRDefault="00570759" w:rsidP="00570759">
      <w:pPr>
        <w:pStyle w:val="FootnoteText"/>
        <w:rPr>
          <w:lang w:val="en-AU"/>
        </w:rPr>
      </w:pPr>
      <w:r>
        <w:rPr>
          <w:rStyle w:val="FootnoteReference"/>
        </w:rPr>
        <w:footnoteRef/>
      </w:r>
      <w:r>
        <w:t xml:space="preserve"> </w:t>
      </w:r>
      <w:bookmarkStart w:id="261" w:name="_Hlk95991214"/>
      <w:r w:rsidRPr="00DD06AF">
        <w:t>00139.183</w:t>
      </w:r>
      <w:r>
        <w:t xml:space="preserve"> DCC</w:t>
      </w:r>
      <w:bookmarkEnd w:id="261"/>
    </w:p>
  </w:footnote>
  <w:footnote w:id="1179">
    <w:p w14:paraId="2E88AB13" w14:textId="77777777" w:rsidR="00570759" w:rsidRPr="00145B47" w:rsidRDefault="00570759" w:rsidP="00570759">
      <w:pPr>
        <w:pStyle w:val="FootnoteText"/>
        <w:rPr>
          <w:lang w:val="en-AU"/>
        </w:rPr>
      </w:pPr>
      <w:r>
        <w:rPr>
          <w:rStyle w:val="FootnoteReference"/>
        </w:rPr>
        <w:footnoteRef/>
      </w:r>
      <w:r>
        <w:t xml:space="preserve"> </w:t>
      </w:r>
      <w:r w:rsidRPr="00DD06AF">
        <w:t>00139.183</w:t>
      </w:r>
      <w:r>
        <w:t xml:space="preserve"> DCC</w:t>
      </w:r>
    </w:p>
  </w:footnote>
  <w:footnote w:id="1180">
    <w:p w14:paraId="48E78FA7" w14:textId="77777777" w:rsidR="00EA6F92" w:rsidRPr="00B047B0" w:rsidRDefault="00EA6F92" w:rsidP="00EA6F92">
      <w:pPr>
        <w:pStyle w:val="FootnoteText"/>
        <w:rPr>
          <w:lang w:val="en-AU"/>
        </w:rPr>
      </w:pPr>
      <w:r>
        <w:rPr>
          <w:rStyle w:val="FootnoteReference"/>
        </w:rPr>
        <w:footnoteRef/>
      </w:r>
      <w:r>
        <w:t xml:space="preserve"> </w:t>
      </w:r>
      <w:r w:rsidRPr="00CA100A">
        <w:t>00139.184</w:t>
      </w:r>
      <w:r>
        <w:t xml:space="preserve"> DCC</w:t>
      </w:r>
    </w:p>
  </w:footnote>
  <w:footnote w:id="1181">
    <w:p w14:paraId="38C6DC9B" w14:textId="77777777" w:rsidR="00570759" w:rsidRPr="00397436" w:rsidRDefault="00570759" w:rsidP="00570759">
      <w:pPr>
        <w:pStyle w:val="FootnoteText"/>
        <w:rPr>
          <w:lang w:val="en-AU"/>
        </w:rPr>
      </w:pPr>
      <w:r>
        <w:rPr>
          <w:rStyle w:val="FootnoteReference"/>
        </w:rPr>
        <w:footnoteRef/>
      </w:r>
      <w:r>
        <w:t xml:space="preserve"> </w:t>
      </w:r>
      <w:r w:rsidRPr="008D020F">
        <w:t>00301.045 Port Otago</w:t>
      </w:r>
    </w:p>
  </w:footnote>
  <w:footnote w:id="1182">
    <w:p w14:paraId="5B6C7B33" w14:textId="77777777" w:rsidR="00570759" w:rsidRPr="00C44F6D" w:rsidRDefault="00570759" w:rsidP="00570759">
      <w:pPr>
        <w:pStyle w:val="FootnoteText"/>
        <w:rPr>
          <w:lang w:val="en-AU"/>
        </w:rPr>
      </w:pPr>
      <w:r>
        <w:rPr>
          <w:rStyle w:val="FootnoteReference"/>
        </w:rPr>
        <w:footnoteRef/>
      </w:r>
      <w:r>
        <w:t xml:space="preserve"> </w:t>
      </w:r>
      <w:r>
        <w:rPr>
          <w:lang w:val="en-AU"/>
        </w:rPr>
        <w:t>Clause 16(2), Schedule 1, RMA</w:t>
      </w:r>
    </w:p>
  </w:footnote>
  <w:footnote w:id="1183">
    <w:p w14:paraId="6BBF31B6" w14:textId="77777777" w:rsidR="00570759" w:rsidRPr="00C44F6D" w:rsidRDefault="00570759" w:rsidP="00570759">
      <w:pPr>
        <w:pStyle w:val="FootnoteText"/>
        <w:rPr>
          <w:lang w:val="en-AU"/>
        </w:rPr>
      </w:pPr>
      <w:r>
        <w:rPr>
          <w:rStyle w:val="FootnoteReference"/>
        </w:rPr>
        <w:footnoteRef/>
      </w:r>
      <w:r>
        <w:t xml:space="preserve"> </w:t>
      </w:r>
      <w:r w:rsidRPr="00615D28">
        <w:rPr>
          <w:lang w:val="en-AU"/>
        </w:rPr>
        <w:t>00137.007</w:t>
      </w:r>
      <w:r>
        <w:rPr>
          <w:lang w:val="en-AU"/>
        </w:rPr>
        <w:t xml:space="preserve"> DCC</w:t>
      </w:r>
    </w:p>
  </w:footnote>
  <w:footnote w:id="1184">
    <w:p w14:paraId="287E3EC3" w14:textId="77777777" w:rsidR="009558B5" w:rsidRPr="00CD3F67" w:rsidRDefault="009558B5" w:rsidP="009558B5">
      <w:pPr>
        <w:pStyle w:val="FootnoteText"/>
        <w:rPr>
          <w:lang w:val="en-AU"/>
        </w:rPr>
      </w:pPr>
      <w:r>
        <w:rPr>
          <w:rStyle w:val="FootnoteReference"/>
        </w:rPr>
        <w:footnoteRef/>
      </w:r>
      <w:r>
        <w:t xml:space="preserve"> </w:t>
      </w:r>
      <w:r w:rsidRPr="006404E4">
        <w:t>00139.187</w:t>
      </w:r>
      <w:r>
        <w:t xml:space="preserve"> DCC</w:t>
      </w:r>
    </w:p>
  </w:footnote>
  <w:footnote w:id="1185">
    <w:p w14:paraId="66FA832C" w14:textId="77777777" w:rsidR="009558B5" w:rsidRPr="00C372B1" w:rsidRDefault="009558B5" w:rsidP="009558B5">
      <w:pPr>
        <w:pStyle w:val="FootnoteText"/>
        <w:rPr>
          <w:lang w:val="en-AU"/>
        </w:rPr>
      </w:pPr>
      <w:r>
        <w:rPr>
          <w:rStyle w:val="FootnoteReference"/>
        </w:rPr>
        <w:footnoteRef/>
      </w:r>
      <w:r>
        <w:t xml:space="preserve"> </w:t>
      </w:r>
      <w:r w:rsidRPr="00311590">
        <w:t xml:space="preserve">00219.008 </w:t>
      </w:r>
      <w:r>
        <w:t>FENZ</w:t>
      </w:r>
    </w:p>
  </w:footnote>
  <w:footnote w:id="1186">
    <w:p w14:paraId="2DD9F5D8" w14:textId="77777777" w:rsidR="00570759" w:rsidRPr="00CF6508" w:rsidRDefault="00570759" w:rsidP="00570759">
      <w:pPr>
        <w:pStyle w:val="FootnoteText"/>
        <w:rPr>
          <w:lang w:val="en-AU"/>
        </w:rPr>
      </w:pPr>
      <w:r>
        <w:rPr>
          <w:rStyle w:val="FootnoteReference"/>
        </w:rPr>
        <w:footnoteRef/>
      </w:r>
      <w:r>
        <w:t xml:space="preserve"> </w:t>
      </w:r>
      <w:r w:rsidRPr="00CB779C">
        <w:rPr>
          <w:rFonts w:asciiTheme="minorHAnsi" w:eastAsia="Calibri" w:hAnsiTheme="minorHAnsi" w:cstheme="minorHAnsi"/>
        </w:rPr>
        <w:t>00510.047 The Oil Companies</w:t>
      </w:r>
    </w:p>
  </w:footnote>
  <w:footnote w:id="1187">
    <w:p w14:paraId="1DB9259B" w14:textId="77777777" w:rsidR="00570759" w:rsidRPr="009466E3" w:rsidRDefault="00570759" w:rsidP="00570759">
      <w:pPr>
        <w:pStyle w:val="FootnoteText"/>
        <w:rPr>
          <w:lang w:val="en-AU"/>
        </w:rPr>
      </w:pPr>
      <w:r>
        <w:rPr>
          <w:rStyle w:val="FootnoteReference"/>
        </w:rPr>
        <w:footnoteRef/>
      </w:r>
      <w:r>
        <w:t xml:space="preserve"> </w:t>
      </w:r>
      <w:r w:rsidRPr="003675EE">
        <w:t>00139.189</w:t>
      </w:r>
      <w:r>
        <w:t xml:space="preserve"> DCC</w:t>
      </w:r>
    </w:p>
  </w:footnote>
  <w:footnote w:id="1188">
    <w:p w14:paraId="62E45F62" w14:textId="77777777" w:rsidR="00570759" w:rsidRPr="00D16CA7" w:rsidRDefault="00570759" w:rsidP="00570759">
      <w:pPr>
        <w:pStyle w:val="FootnoteText"/>
        <w:rPr>
          <w:lang w:val="en-AU"/>
        </w:rPr>
      </w:pPr>
      <w:r>
        <w:rPr>
          <w:rStyle w:val="FootnoteReference"/>
        </w:rPr>
        <w:footnoteRef/>
      </w:r>
      <w:r>
        <w:t xml:space="preserve"> </w:t>
      </w:r>
      <w:r w:rsidRPr="002E334E">
        <w:t>00139.190</w:t>
      </w:r>
      <w:r>
        <w:t xml:space="preserve"> DCC</w:t>
      </w:r>
    </w:p>
  </w:footnote>
  <w:footnote w:id="1189">
    <w:p w14:paraId="7FCA889F" w14:textId="63D4F6B9" w:rsidR="00D038D4" w:rsidRDefault="00D038D4" w:rsidP="00D038D4">
      <w:pPr>
        <w:pStyle w:val="FootnoteText"/>
        <w:rPr>
          <w:sz w:val="20"/>
          <w:lang w:val="en-GB"/>
        </w:rPr>
      </w:pPr>
      <w:r>
        <w:rPr>
          <w:rStyle w:val="FootnoteReference"/>
        </w:rPr>
        <w:footnoteRef/>
      </w:r>
      <w:r>
        <w:t xml:space="preserve"> 00138.145 </w:t>
      </w:r>
      <w:r>
        <w:rPr>
          <w:lang w:val="en-GB"/>
        </w:rPr>
        <w:t>QLDC</w:t>
      </w:r>
      <w:r w:rsidR="00804A60">
        <w:rPr>
          <w:lang w:val="en-GB"/>
        </w:rPr>
        <w:t>, Clause 10(2)(b)</w:t>
      </w:r>
      <w:r w:rsidR="00B7049B">
        <w:rPr>
          <w:lang w:val="en-GB"/>
        </w:rPr>
        <w:t>(i)</w:t>
      </w:r>
      <w:r w:rsidR="00804A60">
        <w:rPr>
          <w:lang w:val="en-GB"/>
        </w:rPr>
        <w:t xml:space="preserve"> of Schedule 1 of the RMA – consequential amendment arising from</w:t>
      </w:r>
      <w:r w:rsidR="001E4F1A">
        <w:rPr>
          <w:lang w:val="en-GB"/>
        </w:rPr>
        <w:t xml:space="preserve"> </w:t>
      </w:r>
      <w:r w:rsidR="001E4F1A" w:rsidRPr="00D162DE">
        <w:t>00230.013</w:t>
      </w:r>
      <w:r w:rsidR="001E4F1A">
        <w:t xml:space="preserve"> </w:t>
      </w:r>
      <w:r w:rsidR="001E4F1A">
        <w:rPr>
          <w:lang w:val="en-GB"/>
        </w:rPr>
        <w:t>Forest and Bird</w:t>
      </w:r>
    </w:p>
  </w:footnote>
  <w:footnote w:id="1190">
    <w:p w14:paraId="17E825B7" w14:textId="77777777" w:rsidR="00D038D4" w:rsidRDefault="00D038D4" w:rsidP="00D038D4">
      <w:pPr>
        <w:pStyle w:val="FootnoteText"/>
        <w:rPr>
          <w:lang w:val="en-GB"/>
        </w:rPr>
      </w:pPr>
      <w:r>
        <w:rPr>
          <w:rStyle w:val="FootnoteReference"/>
        </w:rPr>
        <w:footnoteRef/>
      </w:r>
      <w:r>
        <w:t xml:space="preserve"> 00138.142 </w:t>
      </w:r>
      <w:r>
        <w:rPr>
          <w:lang w:val="en-GB"/>
        </w:rPr>
        <w:t>QLDC</w:t>
      </w:r>
    </w:p>
  </w:footnote>
  <w:footnote w:id="1191">
    <w:p w14:paraId="3FFB8AF6" w14:textId="77777777" w:rsidR="00D038D4" w:rsidRDefault="00D038D4" w:rsidP="00D038D4">
      <w:pPr>
        <w:pStyle w:val="FootnoteText"/>
        <w:rPr>
          <w:lang w:val="en-GB"/>
        </w:rPr>
      </w:pPr>
      <w:r>
        <w:rPr>
          <w:rStyle w:val="FootnoteReference"/>
        </w:rPr>
        <w:footnoteRef/>
      </w:r>
      <w:r>
        <w:t xml:space="preserve"> 00138.143 QLDC</w:t>
      </w:r>
    </w:p>
  </w:footnote>
  <w:footnote w:id="1192">
    <w:p w14:paraId="300EE306" w14:textId="77777777" w:rsidR="00D038D4" w:rsidRDefault="00D038D4" w:rsidP="00D038D4">
      <w:pPr>
        <w:pStyle w:val="FootnoteText"/>
        <w:rPr>
          <w:lang w:val="en-GB"/>
        </w:rPr>
      </w:pPr>
      <w:r>
        <w:rPr>
          <w:rStyle w:val="FootnoteReference"/>
        </w:rPr>
        <w:footnoteRef/>
      </w:r>
      <w:r>
        <w:t xml:space="preserve"> 00139.194 </w:t>
      </w:r>
      <w:r>
        <w:rPr>
          <w:lang w:val="en-GB"/>
        </w:rPr>
        <w:t>DCC</w:t>
      </w:r>
    </w:p>
  </w:footnote>
  <w:footnote w:id="1193">
    <w:p w14:paraId="462826FC" w14:textId="50B4A6B5" w:rsidR="00D038D4" w:rsidRDefault="00D038D4" w:rsidP="00D038D4">
      <w:pPr>
        <w:pStyle w:val="FootnoteText"/>
        <w:rPr>
          <w:lang w:val="en-GB"/>
        </w:rPr>
      </w:pPr>
      <w:r>
        <w:rPr>
          <w:rStyle w:val="FootnoteReference"/>
        </w:rPr>
        <w:footnoteRef/>
      </w:r>
      <w:r>
        <w:t xml:space="preserve"> 00321.073 </w:t>
      </w:r>
      <w:r w:rsidR="00CB779C">
        <w:rPr>
          <w:rFonts w:cstheme="minorHAnsi"/>
          <w:color w:val="000000"/>
          <w:shd w:val="clear" w:color="auto" w:fill="FFFFFF"/>
        </w:rPr>
        <w:t>Te Waihanga</w:t>
      </w:r>
    </w:p>
  </w:footnote>
  <w:footnote w:id="1194">
    <w:p w14:paraId="0D6C682B" w14:textId="77777777" w:rsidR="00D038D4" w:rsidRDefault="00D038D4" w:rsidP="00D038D4">
      <w:pPr>
        <w:pStyle w:val="FootnoteText"/>
        <w:rPr>
          <w:lang w:val="en-GB"/>
        </w:rPr>
      </w:pPr>
      <w:r>
        <w:rPr>
          <w:rStyle w:val="FootnoteReference"/>
        </w:rPr>
        <w:footnoteRef/>
      </w:r>
      <w:r>
        <w:t xml:space="preserve"> 00139.194 </w:t>
      </w:r>
      <w:r>
        <w:rPr>
          <w:lang w:val="en-GB"/>
        </w:rPr>
        <w:t xml:space="preserve">DCC </w:t>
      </w:r>
    </w:p>
  </w:footnote>
  <w:footnote w:id="1195">
    <w:p w14:paraId="12E4EC33" w14:textId="77777777" w:rsidR="00D038D4" w:rsidRDefault="00D038D4" w:rsidP="00D038D4">
      <w:pPr>
        <w:pStyle w:val="FootnoteText"/>
        <w:rPr>
          <w:lang w:val="en-GB"/>
        </w:rPr>
      </w:pPr>
      <w:r>
        <w:rPr>
          <w:rStyle w:val="FootnoteReference"/>
        </w:rPr>
        <w:footnoteRef/>
      </w:r>
      <w:r>
        <w:t xml:space="preserve"> 00139.194 </w:t>
      </w:r>
      <w:r>
        <w:rPr>
          <w:lang w:val="en-GB"/>
        </w:rPr>
        <w:t>DCC</w:t>
      </w:r>
    </w:p>
  </w:footnote>
  <w:footnote w:id="1196">
    <w:p w14:paraId="73462B4E" w14:textId="77777777" w:rsidR="00D038D4" w:rsidRDefault="00D038D4" w:rsidP="00D038D4">
      <w:pPr>
        <w:pStyle w:val="FootnoteText"/>
        <w:rPr>
          <w:lang w:val="en-GB"/>
        </w:rPr>
      </w:pPr>
      <w:r>
        <w:rPr>
          <w:rStyle w:val="FootnoteReference"/>
        </w:rPr>
        <w:footnoteRef/>
      </w:r>
      <w:r>
        <w:t xml:space="preserve"> 00236.085 Horticulture NZ</w:t>
      </w:r>
    </w:p>
  </w:footnote>
  <w:footnote w:id="1197">
    <w:p w14:paraId="65F833D0" w14:textId="77777777" w:rsidR="00D038D4" w:rsidRDefault="00D038D4" w:rsidP="00D038D4">
      <w:pPr>
        <w:pStyle w:val="FootnoteText"/>
        <w:rPr>
          <w:lang w:val="en-GB"/>
        </w:rPr>
      </w:pPr>
      <w:r>
        <w:rPr>
          <w:rStyle w:val="FootnoteReference"/>
        </w:rPr>
        <w:footnoteRef/>
      </w:r>
      <w:r>
        <w:t xml:space="preserve"> 00138.145 </w:t>
      </w:r>
      <w:r>
        <w:rPr>
          <w:lang w:val="en-GB"/>
        </w:rPr>
        <w:t>QLDC</w:t>
      </w:r>
    </w:p>
  </w:footnote>
  <w:footnote w:id="1198">
    <w:p w14:paraId="7DE8A2BA" w14:textId="77777777" w:rsidR="00D038D4" w:rsidRDefault="00D038D4" w:rsidP="00D038D4">
      <w:pPr>
        <w:pStyle w:val="FootnoteText"/>
        <w:rPr>
          <w:lang w:val="en-GB"/>
        </w:rPr>
      </w:pPr>
      <w:r>
        <w:rPr>
          <w:rStyle w:val="FootnoteReference"/>
        </w:rPr>
        <w:footnoteRef/>
      </w:r>
      <w:r>
        <w:t xml:space="preserve"> 00138.148 </w:t>
      </w:r>
      <w:r>
        <w:rPr>
          <w:lang w:val="en-GB"/>
        </w:rPr>
        <w:t>QLDC</w:t>
      </w:r>
    </w:p>
  </w:footnote>
  <w:footnote w:id="1199">
    <w:p w14:paraId="158E0F55" w14:textId="5CD86382" w:rsidR="004E4B6B" w:rsidRPr="00D162DE" w:rsidRDefault="004E4B6B" w:rsidP="004E4B6B">
      <w:pPr>
        <w:pStyle w:val="FootnoteText"/>
        <w:rPr>
          <w:lang w:val="en-GB"/>
        </w:rPr>
      </w:pPr>
      <w:r>
        <w:rPr>
          <w:rStyle w:val="FootnoteReference"/>
        </w:rPr>
        <w:footnoteRef/>
      </w:r>
      <w:r>
        <w:t xml:space="preserve"> </w:t>
      </w:r>
      <w:bookmarkStart w:id="274" w:name="_Hlk102398437"/>
      <w:r>
        <w:t xml:space="preserve">Clause 10(2)(b)(i) of Schedule 1 of the RMA – consequential amendment arising from </w:t>
      </w:r>
      <w:r w:rsidRPr="00D162DE">
        <w:t>00230.013</w:t>
      </w:r>
      <w:r>
        <w:t xml:space="preserve"> </w:t>
      </w:r>
      <w:r>
        <w:rPr>
          <w:lang w:val="en-GB"/>
        </w:rPr>
        <w:t>Forest and Bird</w:t>
      </w:r>
      <w:bookmarkEnd w:id="274"/>
    </w:p>
  </w:footnote>
  <w:footnote w:id="1200">
    <w:p w14:paraId="60B7B68D" w14:textId="77777777" w:rsidR="00D038D4" w:rsidRDefault="00D038D4" w:rsidP="00D038D4">
      <w:pPr>
        <w:pStyle w:val="FootnoteText"/>
        <w:rPr>
          <w:lang w:val="en-GB"/>
        </w:rPr>
      </w:pPr>
      <w:r>
        <w:rPr>
          <w:rStyle w:val="FootnoteReference"/>
        </w:rPr>
        <w:footnoteRef/>
      </w:r>
      <w:r>
        <w:t xml:space="preserve"> 00138.149 </w:t>
      </w:r>
      <w:r>
        <w:rPr>
          <w:lang w:val="en-GB"/>
        </w:rPr>
        <w:t>QLDC</w:t>
      </w:r>
    </w:p>
  </w:footnote>
  <w:footnote w:id="1201">
    <w:p w14:paraId="2B694992"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02">
    <w:p w14:paraId="02E3182B" w14:textId="0313028C" w:rsidR="00D038D4" w:rsidRDefault="00D038D4" w:rsidP="00D038D4">
      <w:pPr>
        <w:pStyle w:val="FootnoteText"/>
        <w:rPr>
          <w:lang w:val="en-GB"/>
        </w:rPr>
      </w:pPr>
      <w:r>
        <w:rPr>
          <w:rStyle w:val="FootnoteReference"/>
        </w:rPr>
        <w:footnoteRef/>
      </w:r>
      <w:r>
        <w:t xml:space="preserve"> 00321.077 </w:t>
      </w:r>
      <w:r w:rsidR="00CB779C">
        <w:t>Te Waihanga</w:t>
      </w:r>
    </w:p>
  </w:footnote>
  <w:footnote w:id="1203">
    <w:p w14:paraId="5D22CE09" w14:textId="77777777" w:rsidR="00D038D4" w:rsidRDefault="00D038D4" w:rsidP="00D038D4">
      <w:pPr>
        <w:pStyle w:val="FootnoteText"/>
        <w:rPr>
          <w:lang w:val="en-GB"/>
        </w:rPr>
      </w:pPr>
      <w:r>
        <w:rPr>
          <w:rStyle w:val="FootnoteReference"/>
        </w:rPr>
        <w:footnoteRef/>
      </w:r>
      <w:r>
        <w:t xml:space="preserve"> 00022.022 Graymont NZ</w:t>
      </w:r>
    </w:p>
  </w:footnote>
  <w:footnote w:id="1204">
    <w:p w14:paraId="4EFBB335"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05">
    <w:p w14:paraId="1B4713C1" w14:textId="77777777" w:rsidR="00D038D4" w:rsidRDefault="00D038D4" w:rsidP="00D038D4">
      <w:pPr>
        <w:pStyle w:val="FootnoteText"/>
        <w:rPr>
          <w:lang w:val="en-GB"/>
        </w:rPr>
      </w:pPr>
      <w:r>
        <w:rPr>
          <w:rStyle w:val="FootnoteReference"/>
        </w:rPr>
        <w:footnoteRef/>
      </w:r>
      <w:r>
        <w:t xml:space="preserve"> 00138.149 </w:t>
      </w:r>
      <w:r>
        <w:rPr>
          <w:lang w:val="en-GB"/>
        </w:rPr>
        <w:t>QLDC</w:t>
      </w:r>
    </w:p>
  </w:footnote>
  <w:footnote w:id="1206">
    <w:p w14:paraId="3B6D4D3E" w14:textId="2E233589" w:rsidR="00E13D69" w:rsidRPr="00E13D69" w:rsidRDefault="00E13D69">
      <w:pPr>
        <w:pStyle w:val="FootnoteText"/>
        <w:rPr>
          <w:lang w:val="en-GB"/>
        </w:rPr>
      </w:pPr>
      <w:r>
        <w:rPr>
          <w:rStyle w:val="FootnoteReference"/>
        </w:rPr>
        <w:footnoteRef/>
      </w:r>
      <w:r>
        <w:t xml:space="preserve"> </w:t>
      </w:r>
      <w:r w:rsidRPr="00E13D69">
        <w:t>00138.149 QLDC</w:t>
      </w:r>
    </w:p>
  </w:footnote>
  <w:footnote w:id="1207">
    <w:p w14:paraId="6D0C8E0E"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08">
    <w:p w14:paraId="2761A642"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09">
    <w:p w14:paraId="218AC180"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10">
    <w:p w14:paraId="191845FB"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11">
    <w:p w14:paraId="10CD8D7C" w14:textId="77777777" w:rsidR="00D038D4" w:rsidRDefault="00D038D4" w:rsidP="00D038D4">
      <w:pPr>
        <w:pStyle w:val="FootnoteText"/>
        <w:rPr>
          <w:lang w:val="en-GB"/>
        </w:rPr>
      </w:pPr>
      <w:r>
        <w:rPr>
          <w:rStyle w:val="FootnoteReference"/>
        </w:rPr>
        <w:footnoteRef/>
      </w:r>
      <w:r>
        <w:t xml:space="preserve"> 00138.150 </w:t>
      </w:r>
      <w:r>
        <w:rPr>
          <w:lang w:val="en-GB"/>
        </w:rPr>
        <w:t>QLDC</w:t>
      </w:r>
    </w:p>
  </w:footnote>
  <w:footnote w:id="1212">
    <w:p w14:paraId="5E492EAF"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13">
    <w:p w14:paraId="38B994A1" w14:textId="77777777" w:rsidR="00D038D4" w:rsidRDefault="00D038D4" w:rsidP="00D038D4">
      <w:pPr>
        <w:pStyle w:val="FootnoteText"/>
        <w:rPr>
          <w:lang w:val="en-GB"/>
        </w:rPr>
      </w:pPr>
      <w:r>
        <w:rPr>
          <w:rStyle w:val="FootnoteReference"/>
        </w:rPr>
        <w:footnoteRef/>
      </w:r>
      <w:r>
        <w:t xml:space="preserve"> 00301.050 Port Otago </w:t>
      </w:r>
    </w:p>
  </w:footnote>
  <w:footnote w:id="1214">
    <w:p w14:paraId="63A10265"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15">
    <w:p w14:paraId="163209B0"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16">
    <w:p w14:paraId="5888D4DB" w14:textId="77777777" w:rsidR="00F26E4F" w:rsidRPr="00D162DE" w:rsidRDefault="00F26E4F" w:rsidP="00F26E4F">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17">
    <w:p w14:paraId="4287C260" w14:textId="77777777" w:rsidR="00D038D4" w:rsidRDefault="00D038D4" w:rsidP="00D038D4">
      <w:pPr>
        <w:pStyle w:val="FootnoteText"/>
        <w:rPr>
          <w:lang w:val="en-GB"/>
        </w:rPr>
      </w:pPr>
      <w:r>
        <w:rPr>
          <w:rStyle w:val="FootnoteReference"/>
        </w:rPr>
        <w:footnoteRef/>
      </w:r>
      <w:r>
        <w:t xml:space="preserve"> </w:t>
      </w:r>
      <w:r>
        <w:rPr>
          <w:rFonts w:cstheme="minorHAnsi"/>
        </w:rPr>
        <w:t>00138.149</w:t>
      </w:r>
      <w:r>
        <w:t xml:space="preserve"> </w:t>
      </w:r>
      <w:r>
        <w:rPr>
          <w:lang w:val="en-GB"/>
        </w:rPr>
        <w:t>QLDC</w:t>
      </w:r>
    </w:p>
  </w:footnote>
  <w:footnote w:id="1218">
    <w:p w14:paraId="6D38A734" w14:textId="77777777" w:rsidR="00D038D4" w:rsidRDefault="00D038D4" w:rsidP="00D038D4">
      <w:pPr>
        <w:pStyle w:val="FootnoteText"/>
        <w:rPr>
          <w:lang w:val="en-GB"/>
        </w:rPr>
      </w:pPr>
      <w:r>
        <w:rPr>
          <w:rStyle w:val="FootnoteReference"/>
        </w:rPr>
        <w:footnoteRef/>
      </w:r>
      <w:r>
        <w:t xml:space="preserve"> 00139.202 DCC</w:t>
      </w:r>
    </w:p>
  </w:footnote>
  <w:footnote w:id="1219">
    <w:p w14:paraId="317356ED" w14:textId="77777777" w:rsidR="00D038D4" w:rsidRDefault="00D038D4" w:rsidP="00D038D4">
      <w:pPr>
        <w:pStyle w:val="FootnoteText"/>
        <w:rPr>
          <w:lang w:val="en-GB"/>
        </w:rPr>
      </w:pPr>
      <w:r>
        <w:rPr>
          <w:rStyle w:val="FootnoteReference"/>
        </w:rPr>
        <w:footnoteRef/>
      </w:r>
      <w:r>
        <w:t xml:space="preserve"> 00313.026 Queenstown Airport </w:t>
      </w:r>
    </w:p>
  </w:footnote>
  <w:footnote w:id="1220">
    <w:p w14:paraId="30DA7E44" w14:textId="77777777" w:rsidR="00D038D4" w:rsidRDefault="00D038D4" w:rsidP="00D038D4">
      <w:pPr>
        <w:pStyle w:val="FootnoteText"/>
        <w:rPr>
          <w:lang w:val="en-GB"/>
        </w:rPr>
      </w:pPr>
      <w:r>
        <w:rPr>
          <w:rStyle w:val="FootnoteReference"/>
        </w:rPr>
        <w:footnoteRef/>
      </w:r>
      <w:r>
        <w:t xml:space="preserve"> 00301.051 </w:t>
      </w:r>
      <w:r>
        <w:rPr>
          <w:szCs w:val="22"/>
        </w:rPr>
        <w:t>Port Otago</w:t>
      </w:r>
    </w:p>
  </w:footnote>
  <w:footnote w:id="1221">
    <w:p w14:paraId="36A1054D" w14:textId="77777777" w:rsidR="005274F2" w:rsidRPr="00D162DE" w:rsidRDefault="005274F2" w:rsidP="005274F2">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22">
    <w:p w14:paraId="4966B945" w14:textId="77777777" w:rsidR="005274F2" w:rsidRPr="00D162DE" w:rsidRDefault="005274F2" w:rsidP="005274F2">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23">
    <w:p w14:paraId="5D325B68" w14:textId="77777777" w:rsidR="005274F2" w:rsidRPr="00D162DE" w:rsidRDefault="005274F2" w:rsidP="005274F2">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24">
    <w:p w14:paraId="492ACB12" w14:textId="77777777" w:rsidR="00D038D4" w:rsidRDefault="00D038D4" w:rsidP="00D038D4">
      <w:pPr>
        <w:pStyle w:val="FootnoteText"/>
        <w:rPr>
          <w:lang w:val="en-GB"/>
        </w:rPr>
      </w:pPr>
      <w:r>
        <w:rPr>
          <w:rStyle w:val="FootnoteReference"/>
        </w:rPr>
        <w:footnoteRef/>
      </w:r>
      <w:r>
        <w:t xml:space="preserve"> 00310.011 The Telecommunications Companies</w:t>
      </w:r>
    </w:p>
  </w:footnote>
  <w:footnote w:id="1225">
    <w:p w14:paraId="56166B3F" w14:textId="2BCB7ED6" w:rsidR="009A4846" w:rsidRDefault="009A4846">
      <w:pPr>
        <w:pStyle w:val="FootnoteText"/>
      </w:pPr>
      <w:r>
        <w:rPr>
          <w:rStyle w:val="FootnoteReference"/>
        </w:rPr>
        <w:footnoteRef/>
      </w:r>
      <w:r>
        <w:t xml:space="preserve"> </w:t>
      </w:r>
      <w:r w:rsidRPr="009A4846">
        <w:t>Clause 16(2), Schedule 1, RMA</w:t>
      </w:r>
    </w:p>
  </w:footnote>
  <w:footnote w:id="1226">
    <w:p w14:paraId="2F2037BC" w14:textId="14364620" w:rsidR="00CA3457" w:rsidRDefault="00CA3457">
      <w:pPr>
        <w:pStyle w:val="FootnoteText"/>
      </w:pPr>
      <w:r>
        <w:rPr>
          <w:rStyle w:val="FootnoteReference"/>
        </w:rPr>
        <w:footnoteRef/>
      </w:r>
      <w:r>
        <w:t xml:space="preserve"> Clause 16(2), Schedule 1, RMA</w:t>
      </w:r>
    </w:p>
  </w:footnote>
  <w:footnote w:id="1227">
    <w:p w14:paraId="73632BED" w14:textId="77777777" w:rsidR="00403D92" w:rsidRPr="00D162DE" w:rsidRDefault="00403D92" w:rsidP="00403D92">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28">
    <w:p w14:paraId="09BD5F9D" w14:textId="77777777" w:rsidR="00D038D4" w:rsidRDefault="00D038D4" w:rsidP="00D038D4">
      <w:pPr>
        <w:pStyle w:val="FootnoteText"/>
        <w:rPr>
          <w:lang w:val="en-GB"/>
        </w:rPr>
      </w:pPr>
      <w:r>
        <w:rPr>
          <w:rStyle w:val="FootnoteReference"/>
        </w:rPr>
        <w:footnoteRef/>
      </w:r>
      <w:r>
        <w:t xml:space="preserve">  00138.155 QLDC</w:t>
      </w:r>
    </w:p>
  </w:footnote>
  <w:footnote w:id="1229">
    <w:p w14:paraId="4109B6FE" w14:textId="77777777" w:rsidR="00D038D4" w:rsidRDefault="00D038D4" w:rsidP="00D038D4">
      <w:pPr>
        <w:pStyle w:val="FootnoteText"/>
        <w:rPr>
          <w:lang w:val="en-GB"/>
        </w:rPr>
      </w:pPr>
      <w:r>
        <w:rPr>
          <w:rStyle w:val="FootnoteReference"/>
        </w:rPr>
        <w:footnoteRef/>
      </w:r>
      <w:r>
        <w:t xml:space="preserve"> </w:t>
      </w:r>
      <w:r>
        <w:rPr>
          <w:rFonts w:cstheme="minorHAnsi"/>
        </w:rPr>
        <w:t>00137.135</w:t>
      </w:r>
      <w:r>
        <w:rPr>
          <w:lang w:val="en-GB"/>
        </w:rPr>
        <w:t xml:space="preserve"> DOC</w:t>
      </w:r>
    </w:p>
  </w:footnote>
  <w:footnote w:id="1230">
    <w:p w14:paraId="511875BB" w14:textId="2D2F8227" w:rsidR="00FF70D2" w:rsidRPr="00FF70D2" w:rsidRDefault="00FF70D2">
      <w:pPr>
        <w:pStyle w:val="FootnoteText"/>
        <w:rPr>
          <w:lang w:val="en-GB"/>
        </w:rPr>
      </w:pPr>
      <w:r>
        <w:rPr>
          <w:rStyle w:val="FootnoteReference"/>
        </w:rPr>
        <w:footnoteRef/>
      </w:r>
      <w:r>
        <w:t xml:space="preserve"> </w:t>
      </w:r>
      <w:r w:rsidR="00A70C83">
        <w:t>Clause 16(2), Schedule 1, RMA</w:t>
      </w:r>
    </w:p>
  </w:footnote>
  <w:footnote w:id="1231">
    <w:p w14:paraId="2CBE0784" w14:textId="77777777" w:rsidR="00D038D4" w:rsidRDefault="00D038D4" w:rsidP="00D038D4">
      <w:pPr>
        <w:pStyle w:val="FootnoteText"/>
      </w:pPr>
      <w:r>
        <w:rPr>
          <w:rStyle w:val="FootnoteReference"/>
        </w:rPr>
        <w:footnoteRef/>
      </w:r>
      <w:r>
        <w:t xml:space="preserve"> 00138.156 QLDC</w:t>
      </w:r>
    </w:p>
  </w:footnote>
  <w:footnote w:id="1232">
    <w:p w14:paraId="31D92458" w14:textId="1093272F" w:rsidR="0036541B" w:rsidRPr="0036541B" w:rsidRDefault="0036541B">
      <w:pPr>
        <w:pStyle w:val="FootnoteText"/>
        <w:rPr>
          <w:lang w:val="en-GB"/>
        </w:rPr>
      </w:pPr>
      <w:r>
        <w:rPr>
          <w:rStyle w:val="FootnoteReference"/>
        </w:rPr>
        <w:footnoteRef/>
      </w:r>
      <w:r>
        <w:t xml:space="preserve"> </w:t>
      </w:r>
      <w:r w:rsidR="009547D2" w:rsidRPr="009547D2">
        <w:t>00226.258 Kāi Tahu ki Otago</w:t>
      </w:r>
    </w:p>
  </w:footnote>
  <w:footnote w:id="1233">
    <w:p w14:paraId="1133133F" w14:textId="77777777" w:rsidR="00D038D4" w:rsidRDefault="00D038D4" w:rsidP="00D038D4">
      <w:pPr>
        <w:pStyle w:val="FootnoteText"/>
        <w:rPr>
          <w:lang w:val="en-GB"/>
        </w:rPr>
      </w:pPr>
      <w:r>
        <w:rPr>
          <w:rStyle w:val="FootnoteReference"/>
        </w:rPr>
        <w:footnoteRef/>
      </w:r>
      <w:r>
        <w:t xml:space="preserve"> 00013.015</w:t>
      </w:r>
      <w:r>
        <w:rPr>
          <w:szCs w:val="22"/>
        </w:rPr>
        <w:t xml:space="preserve"> ECan</w:t>
      </w:r>
    </w:p>
  </w:footnote>
  <w:footnote w:id="1234">
    <w:p w14:paraId="69D803DF" w14:textId="46D9A5C6" w:rsidR="00CA3457" w:rsidRDefault="00CA3457">
      <w:pPr>
        <w:pStyle w:val="FootnoteText"/>
      </w:pPr>
      <w:r>
        <w:rPr>
          <w:rStyle w:val="FootnoteReference"/>
        </w:rPr>
        <w:footnoteRef/>
      </w:r>
      <w:r>
        <w:t xml:space="preserve"> </w:t>
      </w:r>
      <w:r w:rsidR="00D45515">
        <w:t>Clause 16(2), Schedule 1, RMA</w:t>
      </w:r>
    </w:p>
  </w:footnote>
  <w:footnote w:id="1235">
    <w:p w14:paraId="12E91899" w14:textId="661BFC57" w:rsidR="00D45515" w:rsidRDefault="00D45515">
      <w:pPr>
        <w:pStyle w:val="FootnoteText"/>
      </w:pPr>
      <w:r>
        <w:rPr>
          <w:rStyle w:val="FootnoteReference"/>
        </w:rPr>
        <w:footnoteRef/>
      </w:r>
      <w:r>
        <w:t xml:space="preserve"> Clause 16(2), Schedule 1, RMA</w:t>
      </w:r>
    </w:p>
  </w:footnote>
  <w:footnote w:id="1236">
    <w:p w14:paraId="6F760584" w14:textId="77777777" w:rsidR="00D038D4" w:rsidRDefault="00D038D4" w:rsidP="00D038D4">
      <w:pPr>
        <w:pStyle w:val="FootnoteText"/>
        <w:rPr>
          <w:lang w:val="en-GB"/>
        </w:rPr>
      </w:pPr>
      <w:r>
        <w:rPr>
          <w:rStyle w:val="FootnoteReference"/>
        </w:rPr>
        <w:footnoteRef/>
      </w:r>
      <w:r>
        <w:t xml:space="preserve"> 00138.158 </w:t>
      </w:r>
      <w:r>
        <w:rPr>
          <w:lang w:val="en-GB"/>
        </w:rPr>
        <w:t>QLDC</w:t>
      </w:r>
    </w:p>
  </w:footnote>
  <w:footnote w:id="1237">
    <w:p w14:paraId="1DBE8A8C" w14:textId="77777777" w:rsidR="00D038D4" w:rsidRDefault="00D038D4" w:rsidP="00D038D4">
      <w:pPr>
        <w:pStyle w:val="FootnoteText"/>
        <w:rPr>
          <w:lang w:val="en-GB"/>
        </w:rPr>
      </w:pPr>
      <w:r>
        <w:rPr>
          <w:rStyle w:val="FootnoteReference"/>
        </w:rPr>
        <w:footnoteRef/>
      </w:r>
      <w:r>
        <w:t xml:space="preserve"> </w:t>
      </w:r>
      <w:bookmarkStart w:id="282" w:name="_Hlk97621953"/>
      <w:r>
        <w:t>00119.021 Blackthorn Lodge</w:t>
      </w:r>
      <w:bookmarkEnd w:id="282"/>
    </w:p>
  </w:footnote>
  <w:footnote w:id="1238">
    <w:p w14:paraId="31D5DE6C" w14:textId="77777777" w:rsidR="00D038D4" w:rsidRDefault="00D038D4" w:rsidP="00D038D4">
      <w:pPr>
        <w:pStyle w:val="FootnoteText"/>
        <w:rPr>
          <w:lang w:val="en-GB"/>
        </w:rPr>
      </w:pPr>
      <w:r>
        <w:rPr>
          <w:rStyle w:val="FootnoteReference"/>
        </w:rPr>
        <w:footnoteRef/>
      </w:r>
      <w:r>
        <w:t xml:space="preserve"> 00138.157 </w:t>
      </w:r>
      <w:r>
        <w:rPr>
          <w:lang w:val="en-GB"/>
        </w:rPr>
        <w:t>QLDC</w:t>
      </w:r>
    </w:p>
  </w:footnote>
  <w:footnote w:id="1239">
    <w:p w14:paraId="5610421C" w14:textId="77777777" w:rsidR="00424254" w:rsidRPr="00D162DE" w:rsidRDefault="00424254" w:rsidP="00424254">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40">
    <w:p w14:paraId="187D4906" w14:textId="77777777" w:rsidR="00F6281E" w:rsidRPr="00D162DE" w:rsidRDefault="00F6281E" w:rsidP="00F6281E">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41">
    <w:p w14:paraId="3938247B" w14:textId="77777777" w:rsidR="00F6281E" w:rsidRPr="00D162DE" w:rsidRDefault="00F6281E" w:rsidP="00F6281E">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42">
    <w:p w14:paraId="74C2AC99" w14:textId="77777777" w:rsidR="00D038D4" w:rsidRDefault="00D038D4" w:rsidP="00D038D4">
      <w:pPr>
        <w:pStyle w:val="FootnoteText"/>
        <w:rPr>
          <w:lang w:val="en-GB"/>
        </w:rPr>
      </w:pPr>
      <w:r>
        <w:rPr>
          <w:rStyle w:val="FootnoteReference"/>
        </w:rPr>
        <w:footnoteRef/>
      </w:r>
      <w:r>
        <w:t xml:space="preserve"> 00236.089 </w:t>
      </w:r>
      <w:r>
        <w:rPr>
          <w:lang w:val="en-GB"/>
        </w:rPr>
        <w:t>Horticulture NZ</w:t>
      </w:r>
    </w:p>
  </w:footnote>
  <w:footnote w:id="1243">
    <w:p w14:paraId="6B6461D7" w14:textId="77777777" w:rsidR="00D038D4" w:rsidRDefault="00D038D4" w:rsidP="00D038D4">
      <w:pPr>
        <w:pStyle w:val="FootnoteText"/>
        <w:rPr>
          <w:lang w:val="en-GB"/>
        </w:rPr>
      </w:pPr>
      <w:r>
        <w:rPr>
          <w:rStyle w:val="FootnoteReference"/>
        </w:rPr>
        <w:footnoteRef/>
      </w:r>
      <w:r>
        <w:t xml:space="preserve"> 00138.158 QLDC</w:t>
      </w:r>
    </w:p>
  </w:footnote>
  <w:footnote w:id="1244">
    <w:p w14:paraId="050A637B" w14:textId="77777777" w:rsidR="00D038D4" w:rsidRDefault="00D038D4" w:rsidP="00D038D4">
      <w:pPr>
        <w:pStyle w:val="FootnoteText"/>
        <w:rPr>
          <w:lang w:val="en-GB"/>
        </w:rPr>
      </w:pPr>
      <w:r>
        <w:rPr>
          <w:rStyle w:val="FootnoteReference"/>
        </w:rPr>
        <w:footnoteRef/>
      </w:r>
      <w:r>
        <w:t xml:space="preserve"> 00301.052 Port </w:t>
      </w:r>
      <w:r>
        <w:rPr>
          <w:lang w:val="en-GB"/>
        </w:rPr>
        <w:t xml:space="preserve">Otago </w:t>
      </w:r>
    </w:p>
  </w:footnote>
  <w:footnote w:id="1245">
    <w:p w14:paraId="7A970839" w14:textId="77777777" w:rsidR="00D038D4" w:rsidRDefault="00D038D4" w:rsidP="00D038D4">
      <w:pPr>
        <w:pStyle w:val="FootnoteText"/>
        <w:rPr>
          <w:lang w:val="en-GB"/>
        </w:rPr>
      </w:pPr>
      <w:r>
        <w:rPr>
          <w:rStyle w:val="FootnoteReference"/>
        </w:rPr>
        <w:footnoteRef/>
      </w:r>
      <w:r>
        <w:t xml:space="preserve"> 00301.052 Port Otago</w:t>
      </w:r>
    </w:p>
  </w:footnote>
  <w:footnote w:id="1246">
    <w:p w14:paraId="0F2368CC" w14:textId="77777777" w:rsidR="00D038D4" w:rsidRDefault="00D038D4" w:rsidP="00D038D4">
      <w:pPr>
        <w:pStyle w:val="FootnoteText"/>
        <w:rPr>
          <w:lang w:val="en-GB"/>
        </w:rPr>
      </w:pPr>
      <w:r>
        <w:rPr>
          <w:rStyle w:val="FootnoteReference"/>
        </w:rPr>
        <w:footnoteRef/>
      </w:r>
      <w:r>
        <w:t xml:space="preserve"> 00119.021 Blackthorn Lodge</w:t>
      </w:r>
    </w:p>
  </w:footnote>
  <w:footnote w:id="1247">
    <w:p w14:paraId="5C7817C6" w14:textId="77777777" w:rsidR="00D038D4" w:rsidRDefault="00D038D4" w:rsidP="00D038D4">
      <w:pPr>
        <w:pStyle w:val="FootnoteText"/>
        <w:rPr>
          <w:lang w:val="en-GB"/>
        </w:rPr>
      </w:pPr>
      <w:r>
        <w:rPr>
          <w:rStyle w:val="FootnoteReference"/>
        </w:rPr>
        <w:footnoteRef/>
      </w:r>
      <w:r>
        <w:t xml:space="preserve"> 00138.158 </w:t>
      </w:r>
      <w:r>
        <w:rPr>
          <w:lang w:val="en-GB"/>
        </w:rPr>
        <w:t>QLDC</w:t>
      </w:r>
    </w:p>
  </w:footnote>
  <w:footnote w:id="1248">
    <w:p w14:paraId="0634F394" w14:textId="77777777" w:rsidR="00D038D4" w:rsidRDefault="00D038D4" w:rsidP="00D038D4">
      <w:pPr>
        <w:pStyle w:val="FootnoteText"/>
        <w:rPr>
          <w:lang w:val="en-GB"/>
        </w:rPr>
      </w:pPr>
      <w:r>
        <w:rPr>
          <w:rStyle w:val="FootnoteReference"/>
        </w:rPr>
        <w:footnoteRef/>
      </w:r>
      <w:r>
        <w:t xml:space="preserve"> 00206.059 </w:t>
      </w:r>
      <w:r>
        <w:rPr>
          <w:lang w:val="en-GB"/>
        </w:rPr>
        <w:t>Trojan</w:t>
      </w:r>
    </w:p>
  </w:footnote>
  <w:footnote w:id="1249">
    <w:p w14:paraId="387136C7" w14:textId="77777777" w:rsidR="00D038D4" w:rsidRDefault="00D038D4" w:rsidP="00D038D4">
      <w:pPr>
        <w:pStyle w:val="FootnoteText"/>
        <w:rPr>
          <w:lang w:val="en-GB"/>
        </w:rPr>
      </w:pPr>
      <w:r>
        <w:rPr>
          <w:rStyle w:val="FootnoteReference"/>
        </w:rPr>
        <w:footnoteRef/>
      </w:r>
      <w:r>
        <w:t xml:space="preserve"> 00138.158 QLDC</w:t>
      </w:r>
    </w:p>
  </w:footnote>
  <w:footnote w:id="1250">
    <w:p w14:paraId="1A35AEC3" w14:textId="77777777" w:rsidR="00F40515" w:rsidRPr="00D162DE" w:rsidRDefault="00F40515" w:rsidP="00F40515">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51">
    <w:p w14:paraId="6A4F4B1B" w14:textId="77777777" w:rsidR="00D038D4" w:rsidRDefault="00D038D4" w:rsidP="00D038D4">
      <w:pPr>
        <w:pStyle w:val="FootnoteText"/>
        <w:rPr>
          <w:lang w:val="en-GB"/>
        </w:rPr>
      </w:pPr>
      <w:r>
        <w:rPr>
          <w:rStyle w:val="FootnoteReference"/>
        </w:rPr>
        <w:footnoteRef/>
      </w:r>
      <w:r>
        <w:t xml:space="preserve"> 00236.090 </w:t>
      </w:r>
      <w:r>
        <w:rPr>
          <w:lang w:val="en-GB"/>
        </w:rPr>
        <w:t>Horticulture NZ</w:t>
      </w:r>
    </w:p>
  </w:footnote>
  <w:footnote w:id="1252">
    <w:p w14:paraId="7F012A57" w14:textId="77777777" w:rsidR="00D038D4" w:rsidRDefault="00D038D4" w:rsidP="00D038D4">
      <w:pPr>
        <w:pStyle w:val="FootnoteText"/>
        <w:rPr>
          <w:lang w:val="en-GB"/>
        </w:rPr>
      </w:pPr>
      <w:r>
        <w:rPr>
          <w:rStyle w:val="FootnoteReference"/>
        </w:rPr>
        <w:footnoteRef/>
      </w:r>
      <w:r>
        <w:t xml:space="preserve"> 00138.158 QLDC</w:t>
      </w:r>
    </w:p>
  </w:footnote>
  <w:footnote w:id="1253">
    <w:p w14:paraId="6AC23C25" w14:textId="77777777" w:rsidR="00D038D4" w:rsidRDefault="00D038D4" w:rsidP="00D038D4">
      <w:pPr>
        <w:pStyle w:val="FootnoteText"/>
        <w:rPr>
          <w:lang w:val="en-GB"/>
        </w:rPr>
      </w:pPr>
      <w:r>
        <w:rPr>
          <w:rStyle w:val="FootnoteReference"/>
        </w:rPr>
        <w:footnoteRef/>
      </w:r>
      <w:r>
        <w:t xml:space="preserve"> 00301.047</w:t>
      </w:r>
      <w:r>
        <w:rPr>
          <w:lang w:val="en-GB"/>
        </w:rPr>
        <w:t xml:space="preserve"> Port Otago </w:t>
      </w:r>
    </w:p>
  </w:footnote>
  <w:footnote w:id="1254">
    <w:p w14:paraId="388A510D" w14:textId="77777777" w:rsidR="00D038D4" w:rsidRDefault="00D038D4" w:rsidP="00D038D4">
      <w:pPr>
        <w:pStyle w:val="FootnoteText"/>
        <w:rPr>
          <w:lang w:val="en-GB"/>
        </w:rPr>
      </w:pPr>
      <w:r>
        <w:rPr>
          <w:rStyle w:val="FootnoteReference"/>
        </w:rPr>
        <w:footnoteRef/>
      </w:r>
      <w:r>
        <w:t xml:space="preserve"> 00301.047 Port Otago</w:t>
      </w:r>
    </w:p>
  </w:footnote>
  <w:footnote w:id="1255">
    <w:p w14:paraId="6B412C8C" w14:textId="77777777" w:rsidR="00D038D4" w:rsidRDefault="00D038D4" w:rsidP="00D038D4">
      <w:pPr>
        <w:pStyle w:val="FootnoteText"/>
      </w:pPr>
      <w:r>
        <w:rPr>
          <w:rStyle w:val="FootnoteReference"/>
        </w:rPr>
        <w:footnoteRef/>
      </w:r>
      <w:r>
        <w:rPr>
          <w:color w:val="FF0000"/>
        </w:rPr>
        <w:t xml:space="preserve"> </w:t>
      </w:r>
      <w:r>
        <w:t>00219.005 FENZ</w:t>
      </w:r>
    </w:p>
  </w:footnote>
  <w:footnote w:id="1256">
    <w:p w14:paraId="69A3BCB5" w14:textId="77777777" w:rsidR="00D868B3" w:rsidRPr="00D162DE" w:rsidRDefault="00D868B3" w:rsidP="00D868B3">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57">
    <w:p w14:paraId="5B1C4BEA" w14:textId="77777777" w:rsidR="00D868B3" w:rsidRPr="00D162DE" w:rsidRDefault="00D868B3" w:rsidP="00D868B3">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58">
    <w:p w14:paraId="120EC80D" w14:textId="77777777" w:rsidR="00D038D4" w:rsidRDefault="00D038D4" w:rsidP="00D038D4">
      <w:pPr>
        <w:pStyle w:val="FootnoteText"/>
        <w:rPr>
          <w:lang w:val="en-GB"/>
        </w:rPr>
      </w:pPr>
      <w:r>
        <w:rPr>
          <w:rStyle w:val="FootnoteReference"/>
        </w:rPr>
        <w:footnoteRef/>
      </w:r>
      <w:r>
        <w:t xml:space="preserve"> 00119.023 Blackthorn Lodge</w:t>
      </w:r>
    </w:p>
  </w:footnote>
  <w:footnote w:id="1259">
    <w:p w14:paraId="030134D0" w14:textId="3DC978F9" w:rsidR="003117AC" w:rsidRDefault="003117AC">
      <w:pPr>
        <w:pStyle w:val="FootnoteText"/>
      </w:pPr>
      <w:r>
        <w:rPr>
          <w:rStyle w:val="FootnoteReference"/>
        </w:rPr>
        <w:footnoteRef/>
      </w:r>
      <w:r>
        <w:t xml:space="preserve"> Clause 16(2), Schedule 1, RMA</w:t>
      </w:r>
    </w:p>
  </w:footnote>
  <w:footnote w:id="1260">
    <w:p w14:paraId="482473D5" w14:textId="77777777" w:rsidR="006F19BA" w:rsidRPr="00D162DE" w:rsidRDefault="006F19BA" w:rsidP="006F19BA">
      <w:pPr>
        <w:pStyle w:val="FootnoteText"/>
        <w:rPr>
          <w:lang w:val="en-GB"/>
        </w:rPr>
      </w:pPr>
      <w:r>
        <w:rPr>
          <w:rStyle w:val="FootnoteReference"/>
        </w:rPr>
        <w:footnoteRef/>
      </w:r>
      <w:r>
        <w:t xml:space="preserve"> Clause 10(2)(b)(i) of Schedule 1 of the RMA – consequential amendment arising from </w:t>
      </w:r>
      <w:r w:rsidRPr="00D162DE">
        <w:t>00230.013</w:t>
      </w:r>
      <w:r>
        <w:t xml:space="preserve"> </w:t>
      </w:r>
      <w:r>
        <w:rPr>
          <w:lang w:val="en-GB"/>
        </w:rPr>
        <w:t>Forest and Bird</w:t>
      </w:r>
    </w:p>
  </w:footnote>
  <w:footnote w:id="1261">
    <w:p w14:paraId="5C1D47FA" w14:textId="10D2CFB3" w:rsidR="00D038D4" w:rsidRDefault="00D038D4" w:rsidP="00D038D4">
      <w:pPr>
        <w:pStyle w:val="FootnoteText"/>
        <w:rPr>
          <w:lang w:val="en-GB"/>
        </w:rPr>
      </w:pPr>
      <w:r>
        <w:rPr>
          <w:rStyle w:val="FootnoteReference"/>
        </w:rPr>
        <w:footnoteRef/>
      </w:r>
      <w:r>
        <w:t xml:space="preserve"> </w:t>
      </w:r>
      <w:r w:rsidR="00C6690D">
        <w:t>Clause 16(2), Schedule 1, RMA</w:t>
      </w:r>
    </w:p>
  </w:footnote>
  <w:footnote w:id="1262">
    <w:p w14:paraId="6A5F36EE" w14:textId="77777777" w:rsidR="00D038D4" w:rsidRDefault="00D038D4" w:rsidP="00D038D4">
      <w:pPr>
        <w:pStyle w:val="FootnoteText"/>
        <w:rPr>
          <w:lang w:val="en-GB"/>
        </w:rPr>
      </w:pPr>
      <w:r>
        <w:rPr>
          <w:rStyle w:val="FootnoteReference"/>
        </w:rPr>
        <w:footnoteRef/>
      </w:r>
      <w:r>
        <w:t xml:space="preserve"> 00119.024 Blackthorn Lodge </w:t>
      </w:r>
    </w:p>
  </w:footnote>
  <w:footnote w:id="1263">
    <w:p w14:paraId="61CB44FD" w14:textId="77777777" w:rsidR="00D038D4" w:rsidRDefault="00D038D4" w:rsidP="00D038D4">
      <w:pPr>
        <w:pStyle w:val="FootnoteText"/>
      </w:pPr>
      <w:r>
        <w:rPr>
          <w:rStyle w:val="FootnoteReference"/>
        </w:rPr>
        <w:footnoteRef/>
      </w:r>
      <w:r>
        <w:t xml:space="preserve"> 00119.024 Blackthorn Lodge</w:t>
      </w:r>
    </w:p>
  </w:footnote>
  <w:footnote w:id="1264">
    <w:p w14:paraId="4E2299C4" w14:textId="77777777" w:rsidR="00D038D4" w:rsidRDefault="00D038D4" w:rsidP="00D038D4">
      <w:pPr>
        <w:pStyle w:val="FootnoteText"/>
        <w:rPr>
          <w:lang w:val="en-GB"/>
        </w:rPr>
      </w:pPr>
      <w:r>
        <w:rPr>
          <w:rStyle w:val="FootnoteReference"/>
        </w:rPr>
        <w:footnoteRef/>
      </w:r>
      <w:r>
        <w:t xml:space="preserve"> 00119.024 Blackthorn Lodge </w:t>
      </w:r>
    </w:p>
  </w:footnote>
  <w:footnote w:id="1265">
    <w:p w14:paraId="2071D7B6" w14:textId="77777777" w:rsidR="00D038D4" w:rsidRDefault="00D038D4" w:rsidP="00D038D4">
      <w:pPr>
        <w:pStyle w:val="FootnoteText"/>
        <w:rPr>
          <w:lang w:val="en-GB"/>
        </w:rPr>
      </w:pPr>
      <w:r>
        <w:rPr>
          <w:rStyle w:val="FootnoteReference"/>
        </w:rPr>
        <w:footnoteRef/>
      </w:r>
      <w:r>
        <w:t xml:space="preserve"> </w:t>
      </w:r>
      <w:r>
        <w:rPr>
          <w:rFonts w:cstheme="minorHAnsi"/>
        </w:rPr>
        <w:t>00239.144</w:t>
      </w:r>
      <w:r>
        <w:t xml:space="preserve"> Federated Farmers</w:t>
      </w:r>
    </w:p>
  </w:footnote>
  <w:footnote w:id="1266">
    <w:p w14:paraId="4A6D1CFC" w14:textId="77777777" w:rsidR="00D038D4" w:rsidRDefault="00D038D4" w:rsidP="00D038D4">
      <w:pPr>
        <w:pStyle w:val="FootnoteText"/>
        <w:rPr>
          <w:lang w:val="en-GB"/>
        </w:rPr>
      </w:pPr>
      <w:r>
        <w:rPr>
          <w:rStyle w:val="FootnoteReference"/>
        </w:rPr>
        <w:footnoteRef/>
      </w:r>
      <w:r>
        <w:t xml:space="preserve"> 00138.163 QLDC</w:t>
      </w:r>
    </w:p>
  </w:footnote>
  <w:footnote w:id="1267">
    <w:p w14:paraId="56FDCE68" w14:textId="77777777" w:rsidR="00D038D4" w:rsidRDefault="00D038D4" w:rsidP="00D038D4">
      <w:pPr>
        <w:pStyle w:val="FootnoteText"/>
        <w:rPr>
          <w:lang w:val="en-GB"/>
        </w:rPr>
      </w:pPr>
      <w:r>
        <w:rPr>
          <w:rStyle w:val="FootnoteReference"/>
        </w:rPr>
        <w:footnoteRef/>
      </w:r>
      <w:r>
        <w:t xml:space="preserve"> 00226.264 Kāi Tahu ki Otago</w:t>
      </w:r>
    </w:p>
  </w:footnote>
  <w:footnote w:id="1268">
    <w:p w14:paraId="61E443F8" w14:textId="77777777" w:rsidR="00D038D4" w:rsidRDefault="00D038D4" w:rsidP="00D038D4">
      <w:pPr>
        <w:pStyle w:val="FootnoteText"/>
        <w:rPr>
          <w:lang w:val="en-GB"/>
        </w:rPr>
      </w:pPr>
      <w:r>
        <w:rPr>
          <w:rStyle w:val="FootnoteReference"/>
        </w:rPr>
        <w:footnoteRef/>
      </w:r>
      <w:r>
        <w:t xml:space="preserve"> </w:t>
      </w:r>
      <w:r>
        <w:rPr>
          <w:lang w:val="en-GB"/>
        </w:rPr>
        <w:t>00510.060 The Fuel Companies</w:t>
      </w:r>
    </w:p>
  </w:footnote>
  <w:footnote w:id="1269">
    <w:p w14:paraId="0D107948" w14:textId="77777777" w:rsidR="00D038D4" w:rsidRDefault="00D038D4" w:rsidP="00D038D4">
      <w:pPr>
        <w:pStyle w:val="FootnoteText"/>
        <w:rPr>
          <w:lang w:val="en-GB"/>
        </w:rPr>
      </w:pPr>
      <w:r>
        <w:rPr>
          <w:rStyle w:val="FootnoteReference"/>
        </w:rPr>
        <w:footnoteRef/>
      </w:r>
      <w:r>
        <w:t xml:space="preserve"> </w:t>
      </w:r>
      <w:bookmarkStart w:id="296" w:name="_Hlk89162752"/>
      <w:r>
        <w:rPr>
          <w:rFonts w:cstheme="minorHAnsi"/>
          <w:color w:val="000000"/>
        </w:rPr>
        <w:t>00510.061</w:t>
      </w:r>
      <w:bookmarkEnd w:id="296"/>
      <w:r>
        <w:rPr>
          <w:lang w:val="en-GB"/>
        </w:rPr>
        <w:t xml:space="preserve"> The Fuel Companies</w:t>
      </w:r>
    </w:p>
  </w:footnote>
  <w:footnote w:id="1270">
    <w:p w14:paraId="4C09801E" w14:textId="77777777" w:rsidR="00D038D4" w:rsidRDefault="00D038D4" w:rsidP="00D038D4">
      <w:pPr>
        <w:pStyle w:val="FootnoteText"/>
        <w:rPr>
          <w:lang w:val="en-GB"/>
        </w:rPr>
      </w:pPr>
      <w:r>
        <w:rPr>
          <w:rStyle w:val="FootnoteReference"/>
        </w:rPr>
        <w:footnoteRef/>
      </w:r>
      <w:r>
        <w:t xml:space="preserve"> </w:t>
      </w:r>
      <w:r>
        <w:rPr>
          <w:rFonts w:cstheme="minorHAnsi"/>
          <w:color w:val="000000"/>
        </w:rPr>
        <w:t xml:space="preserve">00510.061 </w:t>
      </w:r>
      <w:r>
        <w:rPr>
          <w:lang w:val="en-GB"/>
        </w:rPr>
        <w:t>The Fuel Companies</w:t>
      </w:r>
    </w:p>
  </w:footnote>
  <w:footnote w:id="1271">
    <w:p w14:paraId="2384EB3F" w14:textId="77777777" w:rsidR="00D038D4" w:rsidRDefault="00D038D4" w:rsidP="00D038D4">
      <w:pPr>
        <w:pStyle w:val="FootnoteText"/>
        <w:rPr>
          <w:lang w:val="en-GB"/>
        </w:rPr>
      </w:pPr>
      <w:r>
        <w:rPr>
          <w:rStyle w:val="FootnoteReference"/>
        </w:rPr>
        <w:footnoteRef/>
      </w:r>
      <w:r>
        <w:t xml:space="preserve"> 00313.027 Queenstown Airport</w:t>
      </w:r>
    </w:p>
  </w:footnote>
  <w:footnote w:id="1272">
    <w:p w14:paraId="3D419C64" w14:textId="77777777" w:rsidR="00D038D4" w:rsidRDefault="00D038D4" w:rsidP="00D038D4">
      <w:pPr>
        <w:pStyle w:val="FootnoteText"/>
        <w:rPr>
          <w:lang w:val="en-GB"/>
        </w:rPr>
      </w:pPr>
      <w:r>
        <w:rPr>
          <w:rStyle w:val="FootnoteReference"/>
        </w:rPr>
        <w:footnoteRef/>
      </w:r>
      <w:r>
        <w:t xml:space="preserve"> 00226.270 Kāi Tahu ki Otago, 00230.140 Forest and Bird</w:t>
      </w:r>
    </w:p>
  </w:footnote>
  <w:footnote w:id="1273">
    <w:p w14:paraId="19196D44" w14:textId="77777777" w:rsidR="00D038D4" w:rsidRDefault="00D038D4" w:rsidP="00D038D4">
      <w:pPr>
        <w:pStyle w:val="FootnoteText"/>
        <w:rPr>
          <w:lang w:val="en-GB"/>
        </w:rPr>
      </w:pPr>
      <w:r>
        <w:rPr>
          <w:rStyle w:val="FootnoteReference"/>
        </w:rPr>
        <w:footnoteRef/>
      </w:r>
      <w:r>
        <w:t xml:space="preserve"> 00236.093 Horticulture NZ</w:t>
      </w:r>
    </w:p>
  </w:footnote>
  <w:footnote w:id="1274">
    <w:p w14:paraId="3C198556" w14:textId="425065FA" w:rsidR="00917DFB" w:rsidRDefault="00917DFB">
      <w:pPr>
        <w:pStyle w:val="FootnoteText"/>
      </w:pPr>
      <w:r>
        <w:rPr>
          <w:rStyle w:val="FootnoteReference"/>
        </w:rPr>
        <w:footnoteRef/>
      </w:r>
      <w:r>
        <w:t xml:space="preserve"> </w:t>
      </w:r>
      <w:r w:rsidRPr="00917DFB">
        <w:t>Clause 16(2), Schedule 1, RMA</w:t>
      </w:r>
    </w:p>
  </w:footnote>
  <w:footnote w:id="1275">
    <w:p w14:paraId="6AF569F1" w14:textId="2796CCF4" w:rsidR="001D2CEA" w:rsidRDefault="001D2CEA">
      <w:pPr>
        <w:pStyle w:val="FootnoteText"/>
      </w:pPr>
      <w:r>
        <w:rPr>
          <w:rStyle w:val="FootnoteReference"/>
        </w:rPr>
        <w:footnoteRef/>
      </w:r>
      <w:r>
        <w:t xml:space="preserve"> </w:t>
      </w:r>
      <w:r w:rsidRPr="001D2CEA">
        <w:t>Clause 16(2), Schedule 1, RMA</w:t>
      </w:r>
    </w:p>
  </w:footnote>
  <w:footnote w:id="1276">
    <w:p w14:paraId="7C872607" w14:textId="77777777" w:rsidR="00DC6C9B" w:rsidRDefault="00DC6C9B" w:rsidP="00DC6C9B">
      <w:pPr>
        <w:pStyle w:val="FootnoteText"/>
      </w:pPr>
      <w:r>
        <w:rPr>
          <w:rStyle w:val="FootnoteReference"/>
        </w:rPr>
        <w:footnoteRef/>
      </w:r>
      <w:r>
        <w:t xml:space="preserve"> </w:t>
      </w:r>
      <w:r>
        <w:rPr>
          <w:rFonts w:cstheme="minorHAnsi"/>
        </w:rPr>
        <w:t xml:space="preserve">00226.275 </w:t>
      </w:r>
      <w:r>
        <w:rPr>
          <w:rFonts w:eastAsia="Calibri" w:cstheme="minorHAnsi"/>
          <w:bCs/>
        </w:rPr>
        <w:t xml:space="preserve">Kāi Tahu ki Otago; </w:t>
      </w:r>
      <w:r>
        <w:rPr>
          <w:rFonts w:cstheme="minorHAnsi"/>
        </w:rPr>
        <w:t xml:space="preserve">00234.034 </w:t>
      </w:r>
      <w:r>
        <w:rPr>
          <w:rFonts w:cstheme="minorHAnsi"/>
          <w:lang w:val="en-US"/>
        </w:rPr>
        <w:t>Te Rūnanga o Ngāi Tahu</w:t>
      </w:r>
    </w:p>
  </w:footnote>
  <w:footnote w:id="1277">
    <w:p w14:paraId="67CACB3C" w14:textId="77777777" w:rsidR="00DC6C9B" w:rsidRDefault="00DC6C9B" w:rsidP="00DC6C9B">
      <w:pPr>
        <w:pStyle w:val="FootnoteText"/>
      </w:pPr>
      <w:r>
        <w:rPr>
          <w:rStyle w:val="FootnoteReference"/>
        </w:rPr>
        <w:footnoteRef/>
      </w:r>
      <w:r>
        <w:t xml:space="preserve"> </w:t>
      </w:r>
      <w:r>
        <w:rPr>
          <w:rFonts w:cstheme="minorHAnsi"/>
        </w:rPr>
        <w:t xml:space="preserve">00226.276 </w:t>
      </w:r>
      <w:r>
        <w:rPr>
          <w:rFonts w:eastAsia="Calibri" w:cstheme="minorHAnsi"/>
          <w:bCs/>
        </w:rPr>
        <w:t xml:space="preserve">Kāi Tahu ki Otago; </w:t>
      </w:r>
      <w:r>
        <w:rPr>
          <w:rFonts w:cstheme="minorHAnsi"/>
        </w:rPr>
        <w:t xml:space="preserve">00234.035 </w:t>
      </w:r>
      <w:r>
        <w:rPr>
          <w:rFonts w:cstheme="minorHAnsi"/>
          <w:lang w:val="en-US"/>
        </w:rPr>
        <w:t>Te Rūnanga o Ngāi Tahu</w:t>
      </w:r>
    </w:p>
  </w:footnote>
  <w:footnote w:id="1278">
    <w:p w14:paraId="1C365C64" w14:textId="77777777" w:rsidR="00E402A8" w:rsidRDefault="00E402A8" w:rsidP="00E402A8">
      <w:pPr>
        <w:pStyle w:val="FootnoteText"/>
        <w:rPr>
          <w:rFonts w:asciiTheme="minorHAnsi" w:hAnsiTheme="minorHAnsi" w:cstheme="minorBidi"/>
          <w:sz w:val="20"/>
        </w:rPr>
      </w:pPr>
      <w:r>
        <w:rPr>
          <w:rStyle w:val="FootnoteReference"/>
        </w:rPr>
        <w:footnoteRef/>
      </w:r>
      <w:r>
        <w:t xml:space="preserve"> </w:t>
      </w:r>
      <w:r>
        <w:rPr>
          <w:rFonts w:cstheme="minorHAnsi"/>
        </w:rPr>
        <w:t xml:space="preserve">00226.277 </w:t>
      </w:r>
      <w:r>
        <w:rPr>
          <w:rFonts w:eastAsia="Calibri" w:cstheme="minorHAnsi"/>
          <w:bCs/>
        </w:rPr>
        <w:t>Kāi Tahu ki Otago</w:t>
      </w:r>
    </w:p>
  </w:footnote>
  <w:footnote w:id="1279">
    <w:p w14:paraId="5C2AB078" w14:textId="77777777" w:rsidR="00DC6C9B" w:rsidRDefault="00DC6C9B" w:rsidP="00DC6C9B">
      <w:pPr>
        <w:pStyle w:val="FootnoteText"/>
        <w:rPr>
          <w:rFonts w:asciiTheme="minorHAnsi" w:hAnsiTheme="minorHAnsi" w:cstheme="minorBidi"/>
          <w:sz w:val="20"/>
        </w:rPr>
      </w:pPr>
      <w:r>
        <w:rPr>
          <w:rStyle w:val="FootnoteReference"/>
        </w:rPr>
        <w:footnoteRef/>
      </w:r>
      <w:r>
        <w:t xml:space="preserve"> </w:t>
      </w:r>
      <w:r>
        <w:rPr>
          <w:rFonts w:cstheme="minorHAnsi"/>
        </w:rPr>
        <w:t xml:space="preserve">00226.277 </w:t>
      </w:r>
      <w:r>
        <w:rPr>
          <w:rFonts w:eastAsia="Calibri" w:cstheme="minorHAnsi"/>
          <w:bCs/>
        </w:rPr>
        <w:t>Kāi Tahu ki Otago</w:t>
      </w:r>
    </w:p>
  </w:footnote>
  <w:footnote w:id="1280">
    <w:p w14:paraId="6CC0DF5B" w14:textId="77777777" w:rsidR="00DC6C9B" w:rsidRDefault="00DC6C9B" w:rsidP="00DC6C9B">
      <w:pPr>
        <w:pStyle w:val="FootnoteText"/>
        <w:rPr>
          <w:rFonts w:asciiTheme="minorHAnsi" w:hAnsiTheme="minorHAnsi" w:cstheme="minorBidi"/>
          <w:sz w:val="20"/>
        </w:rPr>
      </w:pPr>
      <w:r>
        <w:rPr>
          <w:rStyle w:val="FootnoteReference"/>
        </w:rPr>
        <w:footnoteRef/>
      </w:r>
      <w:r>
        <w:t xml:space="preserve"> </w:t>
      </w:r>
      <w:r>
        <w:rPr>
          <w:rFonts w:cstheme="minorHAnsi"/>
        </w:rPr>
        <w:t xml:space="preserve">00226.277 </w:t>
      </w:r>
      <w:r>
        <w:rPr>
          <w:rFonts w:eastAsia="Calibri" w:cstheme="minorHAnsi"/>
          <w:bCs/>
        </w:rPr>
        <w:t>Kāi Tahu ki Otago</w:t>
      </w:r>
    </w:p>
  </w:footnote>
  <w:footnote w:id="1281">
    <w:p w14:paraId="3E459840" w14:textId="77777777" w:rsidR="00DC6C9B" w:rsidRDefault="00DC6C9B" w:rsidP="00DC6C9B">
      <w:pPr>
        <w:pStyle w:val="FootnoteText"/>
      </w:pPr>
      <w:r>
        <w:rPr>
          <w:rStyle w:val="FootnoteReference"/>
        </w:rPr>
        <w:footnoteRef/>
      </w:r>
      <w:r>
        <w:t xml:space="preserve"> </w:t>
      </w:r>
      <w:r w:rsidRPr="00A765FC">
        <w:t>00226.278</w:t>
      </w:r>
      <w:r>
        <w:t xml:space="preserve"> </w:t>
      </w:r>
      <w:r w:rsidRPr="00A765FC">
        <w:t>Kāi Tahu ki Otago</w:t>
      </w:r>
    </w:p>
  </w:footnote>
  <w:footnote w:id="1282">
    <w:p w14:paraId="0EEEA233" w14:textId="77777777" w:rsidR="00DC6C9B" w:rsidRDefault="00DC6C9B" w:rsidP="00DC6C9B">
      <w:pPr>
        <w:pStyle w:val="FootnoteText"/>
      </w:pPr>
      <w:r>
        <w:rPr>
          <w:rStyle w:val="FootnoteReference"/>
        </w:rPr>
        <w:footnoteRef/>
      </w:r>
      <w:r>
        <w:t xml:space="preserve"> </w:t>
      </w:r>
      <w:r>
        <w:rPr>
          <w:rFonts w:cstheme="minorHAnsi"/>
        </w:rPr>
        <w:t>00137.142 DOC</w:t>
      </w:r>
    </w:p>
  </w:footnote>
  <w:footnote w:id="1283">
    <w:p w14:paraId="73D134EC" w14:textId="77777777" w:rsidR="00DC6C9B" w:rsidRDefault="00DC6C9B" w:rsidP="00DC6C9B">
      <w:pPr>
        <w:pStyle w:val="FootnoteText"/>
      </w:pPr>
      <w:r>
        <w:rPr>
          <w:rStyle w:val="FootnoteReference"/>
        </w:rPr>
        <w:footnoteRef/>
      </w:r>
      <w:r>
        <w:t xml:space="preserve"> </w:t>
      </w:r>
      <w:r w:rsidRPr="00A765FC">
        <w:t>00226.278</w:t>
      </w:r>
      <w:r>
        <w:t xml:space="preserve"> </w:t>
      </w:r>
      <w:r w:rsidRPr="00A765FC">
        <w:t>Kāi Tahu ki Otago</w:t>
      </w:r>
    </w:p>
  </w:footnote>
  <w:footnote w:id="1284">
    <w:p w14:paraId="3BE83CFE" w14:textId="77777777" w:rsidR="00DC6C9B" w:rsidRDefault="00DC6C9B" w:rsidP="00DC6C9B">
      <w:pPr>
        <w:pStyle w:val="FootnoteText"/>
      </w:pPr>
      <w:r>
        <w:rPr>
          <w:rStyle w:val="FootnoteReference"/>
        </w:rPr>
        <w:footnoteRef/>
      </w:r>
      <w:r>
        <w:t xml:space="preserve"> </w:t>
      </w:r>
      <w:r w:rsidRPr="00A765FC">
        <w:t>00226.278</w:t>
      </w:r>
      <w:r>
        <w:t xml:space="preserve"> </w:t>
      </w:r>
      <w:r w:rsidRPr="00A765FC">
        <w:t>Kāi Tahu ki Otago</w:t>
      </w:r>
    </w:p>
  </w:footnote>
  <w:footnote w:id="1285">
    <w:p w14:paraId="5778AE78" w14:textId="1A83C273" w:rsidR="00DC6C9B" w:rsidRPr="006D3B50" w:rsidRDefault="00DC6C9B" w:rsidP="00DC6C9B">
      <w:pPr>
        <w:pStyle w:val="FootnoteText"/>
        <w:rPr>
          <w:lang w:val="en-GB"/>
        </w:rPr>
      </w:pPr>
      <w:r>
        <w:rPr>
          <w:rStyle w:val="FootnoteReference"/>
        </w:rPr>
        <w:footnoteRef/>
      </w:r>
      <w:r>
        <w:t xml:space="preserve"> </w:t>
      </w:r>
      <w:r w:rsidR="006D3B50">
        <w:t>Clause 10(2)(b)(i)</w:t>
      </w:r>
      <w:r w:rsidR="00906D13">
        <w:t>, Schedule 1, RMA</w:t>
      </w:r>
      <w:r w:rsidR="006D3B50">
        <w:t xml:space="preserve"> – consequential amendment arising from </w:t>
      </w:r>
      <w:r w:rsidRPr="00B75B24">
        <w:t>00315.069</w:t>
      </w:r>
      <w:r>
        <w:t xml:space="preserve"> </w:t>
      </w:r>
      <w:r w:rsidRPr="00B75B24">
        <w:t>Aurora Energy Limited</w:t>
      </w:r>
    </w:p>
  </w:footnote>
  <w:footnote w:id="1286">
    <w:p w14:paraId="4BCA1566" w14:textId="77777777" w:rsidR="00DC6C9B" w:rsidRDefault="00DC6C9B" w:rsidP="00DC6C9B">
      <w:pPr>
        <w:pStyle w:val="FootnoteText"/>
      </w:pPr>
      <w:r>
        <w:rPr>
          <w:rStyle w:val="FootnoteReference"/>
        </w:rPr>
        <w:footnoteRef/>
      </w:r>
      <w:r>
        <w:t xml:space="preserve"> </w:t>
      </w:r>
      <w:r w:rsidRPr="00B75B24">
        <w:t>00315.069</w:t>
      </w:r>
      <w:r>
        <w:t xml:space="preserve"> </w:t>
      </w:r>
      <w:r w:rsidRPr="00B75B24">
        <w:t>Aurora Energy Limited</w:t>
      </w:r>
    </w:p>
  </w:footnote>
  <w:footnote w:id="1287">
    <w:p w14:paraId="22A3C1CC" w14:textId="77777777" w:rsidR="00DC6C9B" w:rsidRDefault="00DC6C9B" w:rsidP="00DC6C9B">
      <w:pPr>
        <w:pStyle w:val="FootnoteText"/>
      </w:pPr>
      <w:r>
        <w:rPr>
          <w:rStyle w:val="FootnoteReference"/>
        </w:rPr>
        <w:footnoteRef/>
      </w:r>
      <w:r>
        <w:t xml:space="preserve"> </w:t>
      </w:r>
      <w:r w:rsidRPr="001D0628">
        <w:rPr>
          <w:rFonts w:cstheme="minorHAnsi"/>
        </w:rPr>
        <w:t>00226.281</w:t>
      </w:r>
      <w:r>
        <w:rPr>
          <w:rFonts w:cstheme="minorHAnsi"/>
        </w:rPr>
        <w:t xml:space="preserve"> </w:t>
      </w:r>
      <w:r w:rsidRPr="001D0628">
        <w:rPr>
          <w:rFonts w:eastAsia="Calibri" w:cstheme="minorHAnsi"/>
          <w:bCs/>
        </w:rPr>
        <w:t>Kāi Tahu ki Otago</w:t>
      </w:r>
    </w:p>
  </w:footnote>
  <w:footnote w:id="1288">
    <w:p w14:paraId="7F4E7D7B" w14:textId="77777777" w:rsidR="00DC6C9B" w:rsidRDefault="00DC6C9B" w:rsidP="00DC6C9B">
      <w:pPr>
        <w:pStyle w:val="FootnoteText"/>
      </w:pPr>
      <w:r>
        <w:rPr>
          <w:rStyle w:val="FootnoteReference"/>
        </w:rPr>
        <w:footnoteRef/>
      </w:r>
      <w:r>
        <w:t xml:space="preserve"> </w:t>
      </w:r>
      <w:r w:rsidRPr="001D0628">
        <w:rPr>
          <w:rFonts w:cstheme="minorHAnsi"/>
        </w:rPr>
        <w:t>00226.281</w:t>
      </w:r>
      <w:r>
        <w:rPr>
          <w:rFonts w:cstheme="minorHAnsi"/>
        </w:rPr>
        <w:t xml:space="preserve"> </w:t>
      </w:r>
      <w:r w:rsidRPr="001D0628">
        <w:rPr>
          <w:rFonts w:eastAsia="Calibri" w:cstheme="minorHAnsi"/>
          <w:bCs/>
        </w:rPr>
        <w:t>Kāi Tahu ki Otago</w:t>
      </w:r>
    </w:p>
  </w:footnote>
  <w:footnote w:id="1289">
    <w:p w14:paraId="0130D7BD" w14:textId="0A7BDAA9" w:rsidR="00DC6C9B" w:rsidRPr="006D3B50" w:rsidRDefault="00DC6C9B" w:rsidP="00DC6C9B">
      <w:pPr>
        <w:pStyle w:val="FootnoteText"/>
        <w:rPr>
          <w:lang w:val="en-GB"/>
        </w:rPr>
      </w:pPr>
      <w:r>
        <w:rPr>
          <w:rStyle w:val="FootnoteReference"/>
        </w:rPr>
        <w:footnoteRef/>
      </w:r>
      <w:r>
        <w:t xml:space="preserve"> </w:t>
      </w:r>
      <w:r w:rsidR="006D3B50">
        <w:t>Clause 10(2)(b)(i)</w:t>
      </w:r>
      <w:r w:rsidR="00906D13">
        <w:t>, Schedule 1, RMA</w:t>
      </w:r>
      <w:r w:rsidR="006D3B50">
        <w:t xml:space="preserve"> – consequential amendment arising from </w:t>
      </w:r>
      <w:r w:rsidRPr="001D0628">
        <w:rPr>
          <w:rFonts w:cstheme="minorHAnsi"/>
        </w:rPr>
        <w:t>00226.281</w:t>
      </w:r>
      <w:r>
        <w:rPr>
          <w:rFonts w:cstheme="minorHAnsi"/>
        </w:rPr>
        <w:t xml:space="preserve"> </w:t>
      </w:r>
      <w:r w:rsidRPr="001D0628">
        <w:rPr>
          <w:rFonts w:eastAsia="Calibri" w:cstheme="minorHAnsi"/>
          <w:bCs/>
        </w:rPr>
        <w:t>Kāi Tahu ki Otago</w:t>
      </w:r>
    </w:p>
  </w:footnote>
  <w:footnote w:id="1290">
    <w:p w14:paraId="49D13178" w14:textId="77777777" w:rsidR="00DC6C9B" w:rsidRDefault="00DC6C9B" w:rsidP="00DC6C9B">
      <w:pPr>
        <w:pStyle w:val="FootnoteText"/>
      </w:pPr>
      <w:r>
        <w:rPr>
          <w:rStyle w:val="FootnoteReference"/>
        </w:rPr>
        <w:footnoteRef/>
      </w:r>
      <w:r>
        <w:t xml:space="preserve"> </w:t>
      </w:r>
      <w:r>
        <w:rPr>
          <w:rFonts w:cstheme="minorHAnsi"/>
        </w:rPr>
        <w:t xml:space="preserve">00226.279 </w:t>
      </w:r>
      <w:r>
        <w:rPr>
          <w:rFonts w:eastAsia="Calibri" w:cstheme="minorHAnsi"/>
          <w:bCs/>
        </w:rPr>
        <w:t>Kāi Tahu ki Otago</w:t>
      </w:r>
    </w:p>
  </w:footnote>
  <w:footnote w:id="1291">
    <w:p w14:paraId="4DC8CF00" w14:textId="0656C26D" w:rsidR="003117AC" w:rsidRDefault="003117AC">
      <w:pPr>
        <w:pStyle w:val="FootnoteText"/>
      </w:pPr>
      <w:r>
        <w:rPr>
          <w:rStyle w:val="FootnoteReference"/>
        </w:rPr>
        <w:footnoteRef/>
      </w:r>
      <w:r>
        <w:t xml:space="preserve"> </w:t>
      </w:r>
      <w:r w:rsidR="00D76943">
        <w:t>Clause 16(2), Schedule 1, RMA</w:t>
      </w:r>
    </w:p>
  </w:footnote>
  <w:footnote w:id="1292">
    <w:p w14:paraId="7963B131" w14:textId="77777777" w:rsidR="00DC6C9B" w:rsidRDefault="00DC6C9B" w:rsidP="00DC6C9B">
      <w:pPr>
        <w:pStyle w:val="FootnoteText"/>
        <w:rPr>
          <w:rFonts w:asciiTheme="minorHAnsi" w:hAnsiTheme="minorHAnsi" w:cstheme="minorBidi"/>
          <w:sz w:val="20"/>
        </w:rPr>
      </w:pPr>
      <w:r>
        <w:rPr>
          <w:rStyle w:val="FootnoteReference"/>
        </w:rPr>
        <w:footnoteRef/>
      </w:r>
      <w:r>
        <w:t xml:space="preserve"> </w:t>
      </w:r>
      <w:r>
        <w:rPr>
          <w:rFonts w:cstheme="minorHAnsi"/>
        </w:rPr>
        <w:t xml:space="preserve">00223.121 </w:t>
      </w:r>
      <w:r>
        <w:t>Ngāi Tahu ki Murihiku</w:t>
      </w:r>
    </w:p>
  </w:footnote>
  <w:footnote w:id="1293">
    <w:p w14:paraId="01BAF51A" w14:textId="473199AF" w:rsidR="002354B0" w:rsidRDefault="002354B0">
      <w:pPr>
        <w:pStyle w:val="FootnoteText"/>
      </w:pPr>
      <w:r>
        <w:rPr>
          <w:rStyle w:val="FootnoteReference"/>
        </w:rPr>
        <w:footnoteRef/>
      </w:r>
      <w:r>
        <w:t xml:space="preserve"> Clause 16(2), Schedule 1, RMA</w:t>
      </w:r>
    </w:p>
  </w:footnote>
  <w:footnote w:id="1294">
    <w:p w14:paraId="4341E7F2" w14:textId="2E52F3F3" w:rsidR="008D26F1" w:rsidRDefault="008D26F1">
      <w:pPr>
        <w:pStyle w:val="FootnoteText"/>
      </w:pPr>
      <w:r>
        <w:rPr>
          <w:rStyle w:val="FootnoteReference"/>
        </w:rPr>
        <w:footnoteRef/>
      </w:r>
      <w:r>
        <w:t xml:space="preserve"> Clause 16(2), Schedule 1, RMA</w:t>
      </w:r>
    </w:p>
  </w:footnote>
  <w:footnote w:id="1295">
    <w:p w14:paraId="00919FFD" w14:textId="77777777" w:rsidR="00DC6C9B" w:rsidRDefault="00DC6C9B" w:rsidP="00DC6C9B">
      <w:pPr>
        <w:pStyle w:val="FootnoteText"/>
      </w:pPr>
      <w:r>
        <w:rPr>
          <w:rStyle w:val="FootnoteReference"/>
        </w:rPr>
        <w:footnoteRef/>
      </w:r>
      <w:r>
        <w:t xml:space="preserve"> 00239.152 Federated Farmers</w:t>
      </w:r>
    </w:p>
  </w:footnote>
  <w:footnote w:id="1296">
    <w:p w14:paraId="6DB351B3" w14:textId="77777777" w:rsidR="00DC6C9B" w:rsidRDefault="00DC6C9B" w:rsidP="00DC6C9B">
      <w:pPr>
        <w:pStyle w:val="FootnoteText"/>
      </w:pPr>
      <w:r>
        <w:rPr>
          <w:rStyle w:val="FootnoteReference"/>
        </w:rPr>
        <w:footnoteRef/>
      </w:r>
      <w:r>
        <w:t xml:space="preserve"> 00239.152 Federated Farmers</w:t>
      </w:r>
    </w:p>
  </w:footnote>
  <w:footnote w:id="1297">
    <w:p w14:paraId="135220FD" w14:textId="77777777" w:rsidR="00DC6C9B" w:rsidRDefault="00DC6C9B" w:rsidP="00DC6C9B">
      <w:pPr>
        <w:pStyle w:val="FootnoteText"/>
        <w:rPr>
          <w:rFonts w:asciiTheme="minorHAnsi" w:hAnsiTheme="minorHAnsi" w:cstheme="minorBidi"/>
          <w:sz w:val="20"/>
        </w:rPr>
      </w:pPr>
      <w:r>
        <w:rPr>
          <w:rStyle w:val="FootnoteReference"/>
        </w:rPr>
        <w:footnoteRef/>
      </w:r>
      <w:r>
        <w:t xml:space="preserve"> </w:t>
      </w:r>
      <w:r>
        <w:rPr>
          <w:rFonts w:cstheme="minorHAnsi"/>
        </w:rPr>
        <w:t>00223.122 Ngāi Tahu ki Murihiku</w:t>
      </w:r>
    </w:p>
  </w:footnote>
  <w:footnote w:id="1298">
    <w:p w14:paraId="50C84A93" w14:textId="77777777" w:rsidR="00DC6C9B" w:rsidRDefault="00DC6C9B" w:rsidP="00DC6C9B">
      <w:pPr>
        <w:pStyle w:val="FootnoteText"/>
        <w:rPr>
          <w:rFonts w:asciiTheme="minorHAnsi" w:hAnsiTheme="minorHAnsi" w:cstheme="minorBidi"/>
          <w:sz w:val="20"/>
        </w:rPr>
      </w:pPr>
      <w:r>
        <w:rPr>
          <w:rStyle w:val="FootnoteReference"/>
        </w:rPr>
        <w:footnoteRef/>
      </w:r>
      <w:r>
        <w:t xml:space="preserve"> 00226.280 Kāi Tahu ki Otago</w:t>
      </w:r>
    </w:p>
  </w:footnote>
  <w:footnote w:id="1299">
    <w:p w14:paraId="2EE1B9E0" w14:textId="77777777" w:rsidR="00DC6C9B" w:rsidRDefault="00DC6C9B" w:rsidP="00DC6C9B">
      <w:pPr>
        <w:pStyle w:val="FootnoteText"/>
        <w:rPr>
          <w:rFonts w:asciiTheme="minorHAnsi" w:hAnsiTheme="minorHAnsi" w:cstheme="minorBidi"/>
          <w:sz w:val="20"/>
        </w:rPr>
      </w:pPr>
      <w:r>
        <w:rPr>
          <w:rStyle w:val="FootnoteReference"/>
        </w:rPr>
        <w:footnoteRef/>
      </w:r>
      <w:r>
        <w:t xml:space="preserve"> </w:t>
      </w:r>
      <w:r>
        <w:rPr>
          <w:rFonts w:cstheme="minorHAnsi"/>
        </w:rPr>
        <w:t>00223.122 Ngāi Tahu ki Murihiku</w:t>
      </w:r>
    </w:p>
  </w:footnote>
  <w:footnote w:id="1300">
    <w:p w14:paraId="24A4A35D" w14:textId="77777777" w:rsidR="00DC6C9B" w:rsidRDefault="00DC6C9B" w:rsidP="00DC6C9B">
      <w:pPr>
        <w:pStyle w:val="FootnoteText"/>
        <w:rPr>
          <w:rFonts w:asciiTheme="minorHAnsi" w:hAnsiTheme="minorHAnsi" w:cstheme="minorBidi"/>
          <w:sz w:val="20"/>
        </w:rPr>
      </w:pPr>
      <w:r>
        <w:rPr>
          <w:rStyle w:val="FootnoteReference"/>
        </w:rPr>
        <w:footnoteRef/>
      </w:r>
      <w:r>
        <w:t xml:space="preserve"> 00226.280 Kāi Tahu ki Otago</w:t>
      </w:r>
    </w:p>
  </w:footnote>
  <w:footnote w:id="1301">
    <w:p w14:paraId="5B1BEA38" w14:textId="77777777" w:rsidR="00DC6C9B" w:rsidRDefault="00DC6C9B" w:rsidP="00DC6C9B">
      <w:pPr>
        <w:pStyle w:val="FootnoteText"/>
      </w:pPr>
      <w:r>
        <w:rPr>
          <w:rStyle w:val="FootnoteReference"/>
        </w:rPr>
        <w:footnoteRef/>
      </w:r>
      <w:r>
        <w:t xml:space="preserve"> 00239.152 Federated Farmers</w:t>
      </w:r>
    </w:p>
  </w:footnote>
  <w:footnote w:id="1302">
    <w:p w14:paraId="58F55277" w14:textId="77777777" w:rsidR="00DC6C9B" w:rsidRDefault="00DC6C9B" w:rsidP="00DC6C9B">
      <w:pPr>
        <w:pStyle w:val="FootnoteText"/>
      </w:pPr>
      <w:r>
        <w:rPr>
          <w:rStyle w:val="FootnoteReference"/>
        </w:rPr>
        <w:footnoteRef/>
      </w:r>
      <w:r>
        <w:t xml:space="preserve"> 00239.152 Federated Farmers</w:t>
      </w:r>
    </w:p>
  </w:footnote>
  <w:footnote w:id="1303">
    <w:p w14:paraId="56697D31" w14:textId="77777777" w:rsidR="00DC6C9B" w:rsidRDefault="00DC6C9B" w:rsidP="00DC6C9B">
      <w:pPr>
        <w:pStyle w:val="FootnoteText"/>
      </w:pPr>
      <w:r>
        <w:rPr>
          <w:rStyle w:val="FootnoteReference"/>
        </w:rPr>
        <w:footnoteRef/>
      </w:r>
      <w:r>
        <w:t xml:space="preserve"> 00239.152 Federated Farmers</w:t>
      </w:r>
    </w:p>
  </w:footnote>
  <w:footnote w:id="1304">
    <w:p w14:paraId="27F4921A" w14:textId="77777777" w:rsidR="00DC6C9B" w:rsidRDefault="00DC6C9B" w:rsidP="00DC6C9B">
      <w:pPr>
        <w:pStyle w:val="FootnoteText"/>
        <w:rPr>
          <w:rFonts w:asciiTheme="minorHAnsi" w:hAnsiTheme="minorHAnsi" w:cstheme="minorBidi"/>
          <w:sz w:val="20"/>
        </w:rPr>
      </w:pPr>
      <w:r>
        <w:rPr>
          <w:rStyle w:val="FootnoteReference"/>
        </w:rPr>
        <w:footnoteRef/>
      </w:r>
      <w:r>
        <w:t xml:space="preserve"> 00123.007 Heritage NZ</w:t>
      </w:r>
    </w:p>
  </w:footnote>
  <w:footnote w:id="1305">
    <w:p w14:paraId="49496780" w14:textId="0EA060D4" w:rsidR="00A15E10" w:rsidRPr="006D3B50" w:rsidRDefault="00A15E10">
      <w:pPr>
        <w:pStyle w:val="FootnoteText"/>
        <w:rPr>
          <w:lang w:val="en-GB"/>
        </w:rPr>
      </w:pPr>
      <w:r>
        <w:rPr>
          <w:rStyle w:val="FootnoteReference"/>
        </w:rPr>
        <w:footnoteRef/>
      </w:r>
      <w:r>
        <w:t xml:space="preserve"> </w:t>
      </w:r>
      <w:r w:rsidR="006D3B50">
        <w:t>Clause 10(2)(b)(i)</w:t>
      </w:r>
      <w:r w:rsidR="00906D13">
        <w:t>, Schedule 1, RMA</w:t>
      </w:r>
      <w:r w:rsidR="006D3B50">
        <w:t xml:space="preserve"> – consequential amendment arising from 00226</w:t>
      </w:r>
      <w:r w:rsidRPr="00A765FC">
        <w:t>.278</w:t>
      </w:r>
      <w:r>
        <w:t xml:space="preserve"> </w:t>
      </w:r>
      <w:r w:rsidRPr="00A765FC">
        <w:t>Kāi Tahu ki Otago</w:t>
      </w:r>
    </w:p>
  </w:footnote>
  <w:footnote w:id="1306">
    <w:p w14:paraId="6C95A5FE" w14:textId="77777777" w:rsidR="00DC6C9B" w:rsidRDefault="00DC6C9B" w:rsidP="00DC6C9B">
      <w:pPr>
        <w:pStyle w:val="FootnoteText"/>
      </w:pPr>
      <w:r>
        <w:rPr>
          <w:rStyle w:val="FootnoteReference"/>
        </w:rPr>
        <w:footnoteRef/>
      </w:r>
      <w:r>
        <w:t xml:space="preserve"> </w:t>
      </w:r>
      <w:r w:rsidRPr="002B638C">
        <w:t>00226.282</w:t>
      </w:r>
      <w:r>
        <w:t xml:space="preserve"> </w:t>
      </w:r>
      <w:r w:rsidRPr="002B638C">
        <w:t>Kāi Tahu ki Otago</w:t>
      </w:r>
      <w:r>
        <w:t xml:space="preserve">; </w:t>
      </w:r>
      <w:r w:rsidRPr="00700C39">
        <w:t>00223.123</w:t>
      </w:r>
      <w:r>
        <w:t xml:space="preserve"> </w:t>
      </w:r>
      <w:r>
        <w:rPr>
          <w:rFonts w:cstheme="minorHAnsi"/>
        </w:rPr>
        <w:t>Ngāi Tahu ki Murihiku</w:t>
      </w:r>
    </w:p>
  </w:footnote>
  <w:footnote w:id="1307">
    <w:p w14:paraId="440DE41B" w14:textId="77777777" w:rsidR="00DC6C9B" w:rsidRDefault="00DC6C9B" w:rsidP="00DC6C9B">
      <w:pPr>
        <w:pStyle w:val="FootnoteText"/>
      </w:pPr>
      <w:r>
        <w:rPr>
          <w:rStyle w:val="FootnoteReference"/>
        </w:rPr>
        <w:footnoteRef/>
      </w:r>
      <w:r>
        <w:t xml:space="preserve"> Clause 10(2)(b)(i), Schedule 1, RMA – Consequential amendment arising from</w:t>
      </w:r>
      <w:r w:rsidRPr="00B208D6">
        <w:t xml:space="preserve"> </w:t>
      </w:r>
      <w:r w:rsidRPr="002B638C">
        <w:t>00226.282</w:t>
      </w:r>
      <w:r>
        <w:t xml:space="preserve"> </w:t>
      </w:r>
      <w:r w:rsidRPr="002B638C">
        <w:t>Kāi Tahu ki Otago</w:t>
      </w:r>
      <w:r>
        <w:t xml:space="preserve">; </w:t>
      </w:r>
      <w:r w:rsidRPr="00700C39">
        <w:t>00223.123</w:t>
      </w:r>
      <w:r>
        <w:t xml:space="preserve"> </w:t>
      </w:r>
      <w:r>
        <w:rPr>
          <w:rFonts w:cstheme="minorHAnsi"/>
        </w:rPr>
        <w:t>Ngāi Tahu ki Murihiku</w:t>
      </w:r>
    </w:p>
  </w:footnote>
  <w:footnote w:id="1308">
    <w:p w14:paraId="63F4A9C3" w14:textId="77777777" w:rsidR="00DC6C9B" w:rsidRDefault="00DC6C9B" w:rsidP="00DC6C9B">
      <w:pPr>
        <w:pStyle w:val="FootnoteText"/>
      </w:pPr>
      <w:r>
        <w:rPr>
          <w:rStyle w:val="FootnoteReference"/>
        </w:rPr>
        <w:footnoteRef/>
      </w:r>
      <w:r>
        <w:t xml:space="preserve"> Clause 10(2)(b)(i), Schedule 1, RMA – Consequential amendment arising from</w:t>
      </w:r>
      <w:r w:rsidRPr="00B208D6">
        <w:t xml:space="preserve"> </w:t>
      </w:r>
      <w:r w:rsidRPr="002B638C">
        <w:t>00226.282</w:t>
      </w:r>
      <w:r>
        <w:t xml:space="preserve"> </w:t>
      </w:r>
      <w:r w:rsidRPr="002B638C">
        <w:t>Kāi Tahu ki Otago</w:t>
      </w:r>
      <w:r>
        <w:t xml:space="preserve">; </w:t>
      </w:r>
      <w:r w:rsidRPr="00700C39">
        <w:t>00223.123</w:t>
      </w:r>
      <w:r>
        <w:t xml:space="preserve"> </w:t>
      </w:r>
      <w:r>
        <w:rPr>
          <w:rFonts w:cstheme="minorHAnsi"/>
        </w:rPr>
        <w:t>Ngāi Tahu ki Murihiku</w:t>
      </w:r>
    </w:p>
  </w:footnote>
  <w:footnote w:id="1309">
    <w:p w14:paraId="396243FD" w14:textId="352CDB1B" w:rsidR="00F36BFC" w:rsidRDefault="00F36BFC">
      <w:pPr>
        <w:pStyle w:val="FootnoteText"/>
      </w:pPr>
      <w:r>
        <w:rPr>
          <w:rStyle w:val="FootnoteReference"/>
        </w:rPr>
        <w:footnoteRef/>
      </w:r>
      <w:r>
        <w:t xml:space="preserve"> </w:t>
      </w:r>
      <w:r w:rsidRPr="00F36BFC">
        <w:t>Clause 16(2), Schedule 1, RMA</w:t>
      </w:r>
    </w:p>
  </w:footnote>
  <w:footnote w:id="1310">
    <w:p w14:paraId="3C218265" w14:textId="77777777" w:rsidR="00DC6C9B" w:rsidRDefault="00DC6C9B" w:rsidP="00DC6C9B">
      <w:pPr>
        <w:pStyle w:val="FootnoteText"/>
      </w:pPr>
      <w:r>
        <w:rPr>
          <w:rStyle w:val="FootnoteReference"/>
        </w:rPr>
        <w:footnoteRef/>
      </w:r>
      <w:r>
        <w:t xml:space="preserve"> </w:t>
      </w:r>
      <w:r w:rsidRPr="001D0628">
        <w:t>00101.052</w:t>
      </w:r>
      <w:r>
        <w:t xml:space="preserve"> </w:t>
      </w:r>
      <w:r w:rsidRPr="001D0628">
        <w:t>Toitū Te Whenua</w:t>
      </w:r>
    </w:p>
  </w:footnote>
  <w:footnote w:id="1311">
    <w:p w14:paraId="6C942D63" w14:textId="77777777" w:rsidR="00DC6C9B" w:rsidRDefault="00DC6C9B" w:rsidP="00DC6C9B">
      <w:pPr>
        <w:pStyle w:val="FootnoteText"/>
      </w:pPr>
      <w:r>
        <w:rPr>
          <w:rStyle w:val="FootnoteReference"/>
        </w:rPr>
        <w:footnoteRef/>
      </w:r>
      <w:r>
        <w:t xml:space="preserve"> </w:t>
      </w:r>
      <w:r w:rsidRPr="00CA2E72">
        <w:t>00226.283</w:t>
      </w:r>
      <w:r>
        <w:t xml:space="preserve"> </w:t>
      </w:r>
      <w:r w:rsidRPr="00CA2E72">
        <w:t>Kāi Tahu ki Otago</w:t>
      </w:r>
    </w:p>
  </w:footnote>
  <w:footnote w:id="1312">
    <w:p w14:paraId="69805677" w14:textId="7A45F78E" w:rsidR="008D26F1" w:rsidRDefault="008D26F1">
      <w:pPr>
        <w:pStyle w:val="FootnoteText"/>
      </w:pPr>
      <w:r>
        <w:rPr>
          <w:rStyle w:val="FootnoteReference"/>
        </w:rPr>
        <w:footnoteRef/>
      </w:r>
      <w:r>
        <w:t xml:space="preserve"> Clause 16(2), Schedule 1, RMA</w:t>
      </w:r>
    </w:p>
  </w:footnote>
  <w:footnote w:id="1313">
    <w:p w14:paraId="0B9E20DC" w14:textId="77777777" w:rsidR="00DC6C9B" w:rsidRDefault="00DC6C9B" w:rsidP="00DC6C9B">
      <w:pPr>
        <w:pStyle w:val="FootnoteText"/>
      </w:pPr>
      <w:r>
        <w:rPr>
          <w:rStyle w:val="FootnoteReference"/>
        </w:rPr>
        <w:footnoteRef/>
      </w:r>
      <w:r>
        <w:t xml:space="preserve"> </w:t>
      </w:r>
      <w:r w:rsidRPr="001D0628">
        <w:rPr>
          <w:rFonts w:cstheme="minorHAnsi"/>
        </w:rPr>
        <w:t>00239.156</w:t>
      </w:r>
      <w:r>
        <w:rPr>
          <w:rFonts w:cstheme="minorHAnsi"/>
        </w:rPr>
        <w:t xml:space="preserve"> </w:t>
      </w:r>
      <w:r w:rsidRPr="001D0628">
        <w:rPr>
          <w:rFonts w:eastAsia="Calibri" w:cstheme="minorHAnsi"/>
          <w:bCs/>
        </w:rPr>
        <w:t>Federated Farmers</w:t>
      </w:r>
      <w:r>
        <w:rPr>
          <w:rFonts w:eastAsia="Calibri" w:cstheme="minorHAnsi"/>
          <w:bCs/>
        </w:rPr>
        <w:t xml:space="preserve">; </w:t>
      </w:r>
      <w:r w:rsidRPr="001D0628">
        <w:rPr>
          <w:rFonts w:cstheme="minorHAnsi"/>
        </w:rPr>
        <w:t>00226.284</w:t>
      </w:r>
      <w:r>
        <w:rPr>
          <w:rFonts w:cstheme="minorHAnsi"/>
        </w:rPr>
        <w:t xml:space="preserve"> </w:t>
      </w:r>
      <w:r w:rsidRPr="001D0628">
        <w:rPr>
          <w:rFonts w:eastAsia="Calibri" w:cstheme="minorHAnsi"/>
          <w:bCs/>
        </w:rPr>
        <w:t>Kāi Tahu ki Otago</w:t>
      </w:r>
    </w:p>
  </w:footnote>
  <w:footnote w:id="1314">
    <w:p w14:paraId="3EF3F153" w14:textId="21C54FFF" w:rsidR="008D26F1" w:rsidRDefault="008D26F1">
      <w:pPr>
        <w:pStyle w:val="FootnoteText"/>
      </w:pPr>
      <w:r>
        <w:rPr>
          <w:rStyle w:val="FootnoteReference"/>
        </w:rPr>
        <w:footnoteRef/>
      </w:r>
      <w:r>
        <w:t xml:space="preserve"> Clause 16(2), Schedule 1, RMA</w:t>
      </w:r>
    </w:p>
  </w:footnote>
  <w:footnote w:id="1315">
    <w:p w14:paraId="4C5F4EFE" w14:textId="77777777" w:rsidR="00DC6C9B" w:rsidRDefault="00DC6C9B" w:rsidP="00DC6C9B">
      <w:pPr>
        <w:pStyle w:val="FootnoteText"/>
      </w:pPr>
      <w:r>
        <w:rPr>
          <w:rStyle w:val="FootnoteReference"/>
        </w:rPr>
        <w:footnoteRef/>
      </w:r>
      <w:r>
        <w:t xml:space="preserve"> </w:t>
      </w:r>
      <w:r w:rsidRPr="001D0628">
        <w:t>00101.053</w:t>
      </w:r>
      <w:r>
        <w:t xml:space="preserve"> </w:t>
      </w:r>
      <w:r w:rsidRPr="001D0628">
        <w:t>Toitū Te Whenua</w:t>
      </w:r>
    </w:p>
  </w:footnote>
  <w:footnote w:id="1316">
    <w:p w14:paraId="7F665384" w14:textId="77777777" w:rsidR="00DC6C9B" w:rsidRDefault="00DC6C9B" w:rsidP="00DC6C9B">
      <w:pPr>
        <w:pStyle w:val="FootnoteText"/>
      </w:pPr>
      <w:r>
        <w:rPr>
          <w:rStyle w:val="FootnoteReference"/>
        </w:rPr>
        <w:footnoteRef/>
      </w:r>
      <w:r>
        <w:t xml:space="preserve"> </w:t>
      </w:r>
      <w:r w:rsidRPr="001D0628">
        <w:rPr>
          <w:rFonts w:cstheme="minorHAnsi"/>
        </w:rPr>
        <w:t>00226.285</w:t>
      </w:r>
      <w:r>
        <w:rPr>
          <w:rFonts w:cstheme="minorHAnsi"/>
        </w:rPr>
        <w:t xml:space="preserve"> </w:t>
      </w:r>
      <w:r>
        <w:t>Kāi Tahu ki Otago</w:t>
      </w:r>
    </w:p>
  </w:footnote>
  <w:footnote w:id="1317">
    <w:p w14:paraId="139EE8B7" w14:textId="38F0B100" w:rsidR="00DC6C9B" w:rsidRDefault="00DC6C9B" w:rsidP="00DC6C9B">
      <w:pPr>
        <w:pStyle w:val="FootnoteText"/>
      </w:pPr>
      <w:r>
        <w:rPr>
          <w:rStyle w:val="FootnoteReference"/>
        </w:rPr>
        <w:footnoteRef/>
      </w:r>
      <w:r>
        <w:t xml:space="preserve"> </w:t>
      </w:r>
      <w:r w:rsidRPr="001048E6">
        <w:t>00223.124</w:t>
      </w:r>
      <w:r>
        <w:t xml:space="preserve"> </w:t>
      </w:r>
      <w:r w:rsidR="00E55F25">
        <w:t>Ngāi Tahu ki Murihiku</w:t>
      </w:r>
    </w:p>
  </w:footnote>
  <w:footnote w:id="1318">
    <w:p w14:paraId="1257F17F" w14:textId="77777777" w:rsidR="00E37317" w:rsidRPr="008B2C33" w:rsidRDefault="00E37317" w:rsidP="00E37317">
      <w:pPr>
        <w:pStyle w:val="FootnoteText"/>
        <w:rPr>
          <w:lang w:val="mi-NZ"/>
        </w:rPr>
      </w:pPr>
      <w:r>
        <w:rPr>
          <w:rStyle w:val="FootnoteReference"/>
        </w:rPr>
        <w:footnoteRef/>
      </w:r>
      <w:r>
        <w:t xml:space="preserve"> 00239.158 Federated Farmers; 00226.287 Kāi Tahi ki Otago, 00140.029 Waitaki DC</w:t>
      </w:r>
    </w:p>
  </w:footnote>
  <w:footnote w:id="1319">
    <w:p w14:paraId="2FBB3F12" w14:textId="77777777" w:rsidR="00660B8E" w:rsidRPr="008B2C33" w:rsidRDefault="00660B8E" w:rsidP="00660B8E">
      <w:pPr>
        <w:pStyle w:val="FootnoteText"/>
        <w:rPr>
          <w:lang w:val="mi-NZ"/>
        </w:rPr>
      </w:pPr>
      <w:r>
        <w:rPr>
          <w:rStyle w:val="FootnoteReference"/>
        </w:rPr>
        <w:footnoteRef/>
      </w:r>
      <w:r>
        <w:t xml:space="preserve"> 00140.029 Waitaki DC</w:t>
      </w:r>
    </w:p>
  </w:footnote>
  <w:footnote w:id="1320">
    <w:p w14:paraId="29114304" w14:textId="77777777" w:rsidR="00534075" w:rsidRPr="008B2C33" w:rsidRDefault="00534075" w:rsidP="00534075">
      <w:pPr>
        <w:pStyle w:val="FootnoteText"/>
        <w:rPr>
          <w:lang w:val="mi-NZ"/>
        </w:rPr>
      </w:pPr>
      <w:r>
        <w:rPr>
          <w:rStyle w:val="FootnoteReference"/>
        </w:rPr>
        <w:footnoteRef/>
      </w:r>
      <w:r>
        <w:t xml:space="preserve">  00140.029 Waitaki DC</w:t>
      </w:r>
    </w:p>
  </w:footnote>
  <w:footnote w:id="1321">
    <w:p w14:paraId="0010CD5E" w14:textId="77777777" w:rsidR="00E37317" w:rsidRPr="008B2C33" w:rsidRDefault="00E37317" w:rsidP="00E37317">
      <w:pPr>
        <w:pStyle w:val="FootnoteText"/>
        <w:rPr>
          <w:lang w:val="mi-NZ"/>
        </w:rPr>
      </w:pPr>
      <w:r>
        <w:rPr>
          <w:rStyle w:val="FootnoteReference"/>
        </w:rPr>
        <w:footnoteRef/>
      </w:r>
      <w:r>
        <w:t xml:space="preserve"> 00140.029 Waitaki DC</w:t>
      </w:r>
    </w:p>
  </w:footnote>
  <w:footnote w:id="1322">
    <w:p w14:paraId="1FA33EF4" w14:textId="77777777" w:rsidR="00E37317" w:rsidRPr="008B2C33" w:rsidRDefault="00E37317" w:rsidP="00E37317">
      <w:pPr>
        <w:pStyle w:val="FootnoteText"/>
        <w:rPr>
          <w:lang w:val="mi-NZ"/>
        </w:rPr>
      </w:pPr>
      <w:r>
        <w:rPr>
          <w:rStyle w:val="FootnoteReference"/>
        </w:rPr>
        <w:footnoteRef/>
      </w:r>
      <w:r>
        <w:t xml:space="preserve"> 00140.029 Waitaki DC</w:t>
      </w:r>
    </w:p>
  </w:footnote>
  <w:footnote w:id="1323">
    <w:p w14:paraId="54B2EC22" w14:textId="77777777" w:rsidR="00E37317" w:rsidRPr="008B2C33" w:rsidRDefault="00E37317" w:rsidP="00E37317">
      <w:pPr>
        <w:pStyle w:val="FootnoteText"/>
        <w:rPr>
          <w:lang w:val="mi-NZ"/>
        </w:rPr>
      </w:pPr>
      <w:r>
        <w:rPr>
          <w:rStyle w:val="FootnoteReference"/>
        </w:rPr>
        <w:footnoteRef/>
      </w:r>
      <w:r>
        <w:t xml:space="preserve"> 00140.029 Waitaki DC</w:t>
      </w:r>
    </w:p>
  </w:footnote>
  <w:footnote w:id="1324">
    <w:p w14:paraId="6F19C57E" w14:textId="77777777" w:rsidR="00E37317" w:rsidRPr="008B2C33" w:rsidRDefault="00E37317" w:rsidP="00E37317">
      <w:pPr>
        <w:pStyle w:val="FootnoteText"/>
        <w:rPr>
          <w:lang w:val="mi-NZ"/>
        </w:rPr>
      </w:pPr>
      <w:r>
        <w:rPr>
          <w:rStyle w:val="FootnoteReference"/>
        </w:rPr>
        <w:footnoteRef/>
      </w:r>
      <w:r>
        <w:t xml:space="preserve"> 00239.158 Federated Farmers</w:t>
      </w:r>
    </w:p>
  </w:footnote>
  <w:footnote w:id="1325">
    <w:p w14:paraId="4ABA5741" w14:textId="77777777" w:rsidR="00E37317" w:rsidRPr="008B2C33" w:rsidRDefault="00E37317" w:rsidP="00E37317">
      <w:pPr>
        <w:pStyle w:val="FootnoteText"/>
        <w:rPr>
          <w:lang w:val="mi-NZ"/>
        </w:rPr>
      </w:pPr>
      <w:r>
        <w:rPr>
          <w:rStyle w:val="FootnoteReference"/>
        </w:rPr>
        <w:footnoteRef/>
      </w:r>
      <w:r>
        <w:t xml:space="preserve"> 00140.029 Waitaki DC</w:t>
      </w:r>
    </w:p>
  </w:footnote>
  <w:footnote w:id="1326">
    <w:p w14:paraId="69B2226A" w14:textId="52AC56CD" w:rsidR="00E37317" w:rsidRPr="00E0358B" w:rsidRDefault="00E37317" w:rsidP="00E37317">
      <w:pPr>
        <w:pStyle w:val="FootnoteText"/>
        <w:rPr>
          <w:lang w:val="mi-NZ"/>
        </w:rPr>
      </w:pPr>
      <w:r>
        <w:rPr>
          <w:rStyle w:val="FootnoteReference"/>
        </w:rPr>
        <w:footnoteRef/>
      </w:r>
      <w:r>
        <w:t xml:space="preserve"> 00137.145 </w:t>
      </w:r>
      <w:r w:rsidR="00584515">
        <w:t>DOC</w:t>
      </w:r>
    </w:p>
  </w:footnote>
  <w:footnote w:id="1327">
    <w:p w14:paraId="71DF397C" w14:textId="77777777" w:rsidR="00E37317" w:rsidRPr="007F3F69" w:rsidRDefault="00E37317" w:rsidP="00E37317">
      <w:pPr>
        <w:pStyle w:val="FootnoteText"/>
        <w:rPr>
          <w:lang w:val="mi-NZ"/>
        </w:rPr>
      </w:pPr>
      <w:r>
        <w:rPr>
          <w:rStyle w:val="FootnoteReference"/>
        </w:rPr>
        <w:footnoteRef/>
      </w:r>
      <w:r>
        <w:t xml:space="preserve"> 00226.289 Kāi Tahu ki Otago; 00139.234 DCC</w:t>
      </w:r>
    </w:p>
  </w:footnote>
  <w:footnote w:id="1328">
    <w:p w14:paraId="1BAD495A" w14:textId="77777777" w:rsidR="00E37317" w:rsidRPr="00281E17" w:rsidRDefault="00E37317" w:rsidP="00E37317">
      <w:pPr>
        <w:pStyle w:val="FootnoteText"/>
        <w:rPr>
          <w:lang w:val="mi-NZ"/>
        </w:rPr>
      </w:pPr>
      <w:r>
        <w:rPr>
          <w:rStyle w:val="FootnoteReference"/>
        </w:rPr>
        <w:footnoteRef/>
      </w:r>
      <w:r>
        <w:t xml:space="preserve"> 00226.292 Kāi Tahu ki Otago</w:t>
      </w:r>
    </w:p>
  </w:footnote>
  <w:footnote w:id="1329">
    <w:p w14:paraId="61E3CC8C" w14:textId="77777777" w:rsidR="00E37317" w:rsidRPr="00281E17" w:rsidRDefault="00E37317" w:rsidP="00E37317">
      <w:pPr>
        <w:pStyle w:val="FootnoteText"/>
        <w:rPr>
          <w:lang w:val="mi-NZ"/>
        </w:rPr>
      </w:pPr>
      <w:r>
        <w:rPr>
          <w:rStyle w:val="FootnoteReference"/>
        </w:rPr>
        <w:footnoteRef/>
      </w:r>
      <w:r>
        <w:t xml:space="preserve"> 00226.293 Kāi Tahu ki Otago</w:t>
      </w:r>
    </w:p>
  </w:footnote>
  <w:footnote w:id="1330">
    <w:p w14:paraId="7B2B024E" w14:textId="77777777" w:rsidR="00E37317" w:rsidRPr="00B60770" w:rsidRDefault="00E37317" w:rsidP="00E37317">
      <w:pPr>
        <w:pStyle w:val="FootnoteText"/>
        <w:rPr>
          <w:lang w:val="mi-NZ"/>
        </w:rPr>
      </w:pPr>
      <w:r>
        <w:rPr>
          <w:rStyle w:val="FootnoteReference"/>
        </w:rPr>
        <w:footnoteRef/>
      </w:r>
      <w:r>
        <w:t xml:space="preserve"> 00226.294 Kāi Tahu ki Otago</w:t>
      </w:r>
    </w:p>
  </w:footnote>
  <w:footnote w:id="1331">
    <w:p w14:paraId="3C04564F" w14:textId="77777777" w:rsidR="00E37317" w:rsidRPr="00B60770" w:rsidRDefault="00E37317" w:rsidP="00E37317">
      <w:pPr>
        <w:pStyle w:val="FootnoteText"/>
        <w:rPr>
          <w:lang w:val="mi-NZ"/>
        </w:rPr>
      </w:pPr>
      <w:r>
        <w:rPr>
          <w:rStyle w:val="FootnoteReference"/>
        </w:rPr>
        <w:footnoteRef/>
      </w:r>
      <w:r>
        <w:t xml:space="preserve"> 00226.295 Kāi Tahu ki Otago</w:t>
      </w:r>
    </w:p>
  </w:footnote>
  <w:footnote w:id="1332">
    <w:p w14:paraId="0D6FE4CD" w14:textId="77777777" w:rsidR="00E37317" w:rsidRPr="00B60770" w:rsidRDefault="00E37317" w:rsidP="00E37317">
      <w:pPr>
        <w:pStyle w:val="FootnoteText"/>
        <w:rPr>
          <w:lang w:val="mi-NZ"/>
        </w:rPr>
      </w:pPr>
      <w:r>
        <w:rPr>
          <w:rStyle w:val="FootnoteReference"/>
        </w:rPr>
        <w:footnoteRef/>
      </w:r>
      <w:r>
        <w:t xml:space="preserve"> 00226.296 Kāi Tahu ki Otago</w:t>
      </w:r>
    </w:p>
  </w:footnote>
  <w:footnote w:id="1333">
    <w:p w14:paraId="3AB653A9" w14:textId="312923F7" w:rsidR="00A96E6F" w:rsidRDefault="00A96E6F">
      <w:pPr>
        <w:pStyle w:val="FootnoteText"/>
      </w:pPr>
      <w:r>
        <w:rPr>
          <w:rStyle w:val="FootnoteReference"/>
        </w:rPr>
        <w:footnoteRef/>
      </w:r>
      <w:r>
        <w:t xml:space="preserve"> </w:t>
      </w:r>
      <w:r w:rsidR="00F13ECE" w:rsidRPr="00F13ECE">
        <w:t>Clause 16(2), Schedule 1, RMA</w:t>
      </w:r>
    </w:p>
  </w:footnote>
  <w:footnote w:id="1334">
    <w:p w14:paraId="46470B28" w14:textId="7D8B92D0" w:rsidR="00D87A3B" w:rsidRDefault="00D87A3B">
      <w:pPr>
        <w:pStyle w:val="FootnoteText"/>
      </w:pPr>
      <w:r>
        <w:rPr>
          <w:rStyle w:val="FootnoteReference"/>
        </w:rPr>
        <w:footnoteRef/>
      </w:r>
      <w:r>
        <w:t xml:space="preserve"> Clause 16(2), Schedule 1, RMA</w:t>
      </w:r>
    </w:p>
  </w:footnote>
  <w:footnote w:id="1335">
    <w:p w14:paraId="5D8E2FED" w14:textId="6D7B1E18" w:rsidR="00E37317" w:rsidRPr="00D656FB" w:rsidRDefault="00E37317" w:rsidP="00E37317">
      <w:pPr>
        <w:pStyle w:val="FootnoteText"/>
        <w:rPr>
          <w:lang w:val="en-GB"/>
        </w:rPr>
      </w:pPr>
      <w:r>
        <w:rPr>
          <w:rStyle w:val="FootnoteReference"/>
        </w:rPr>
        <w:footnoteRef/>
      </w:r>
      <w:r>
        <w:t xml:space="preserve"> </w:t>
      </w:r>
      <w:r w:rsidR="00584515">
        <w:t>00</w:t>
      </w:r>
      <w:r w:rsidRPr="00E64ECB">
        <w:t>239.163</w:t>
      </w:r>
      <w:r>
        <w:t xml:space="preserve"> Federated </w:t>
      </w:r>
      <w:r w:rsidR="00584515">
        <w:t>F</w:t>
      </w:r>
      <w:r>
        <w:t>armers</w:t>
      </w:r>
    </w:p>
  </w:footnote>
  <w:footnote w:id="1336">
    <w:p w14:paraId="32D176B5" w14:textId="1EACB184" w:rsidR="00E37317" w:rsidRDefault="00E37317" w:rsidP="00E37317">
      <w:pPr>
        <w:pStyle w:val="FootnoteText"/>
      </w:pPr>
      <w:r>
        <w:rPr>
          <w:rStyle w:val="FootnoteReference"/>
        </w:rPr>
        <w:footnoteRef/>
      </w:r>
      <w:r>
        <w:t xml:space="preserve"> 00318.034 Contact Energy </w:t>
      </w:r>
    </w:p>
  </w:footnote>
  <w:footnote w:id="1337">
    <w:p w14:paraId="28C3CEE7" w14:textId="2390B742" w:rsidR="00E37317" w:rsidRPr="008B2AA4" w:rsidRDefault="00E37317" w:rsidP="00E37317">
      <w:pPr>
        <w:pStyle w:val="FootnoteText"/>
        <w:rPr>
          <w:lang w:val="en-GB"/>
        </w:rPr>
      </w:pPr>
      <w:r>
        <w:rPr>
          <w:rStyle w:val="FootnoteReference"/>
        </w:rPr>
        <w:footnoteRef/>
      </w:r>
      <w:r>
        <w:t xml:space="preserve"> </w:t>
      </w:r>
      <w:r w:rsidRPr="00D036E0">
        <w:rPr>
          <w:lang w:val="en-GB"/>
        </w:rPr>
        <w:t xml:space="preserve">00140.031 </w:t>
      </w:r>
      <w:r w:rsidR="00E55F25">
        <w:rPr>
          <w:lang w:val="en-GB"/>
        </w:rPr>
        <w:t>Waitaki DC</w:t>
      </w:r>
    </w:p>
  </w:footnote>
  <w:footnote w:id="1338">
    <w:p w14:paraId="7AE542E4" w14:textId="5D0AACF6" w:rsidR="00E37317" w:rsidRDefault="00E37317" w:rsidP="00E37317">
      <w:pPr>
        <w:pStyle w:val="FootnoteText"/>
      </w:pPr>
      <w:r>
        <w:rPr>
          <w:rStyle w:val="FootnoteReference"/>
        </w:rPr>
        <w:footnoteRef/>
      </w:r>
      <w:r>
        <w:t xml:space="preserve"> 000306.074 Meridian; 00321.036, 00321.037 </w:t>
      </w:r>
      <w:r w:rsidR="00584515">
        <w:t>Te Waihanga</w:t>
      </w:r>
      <w:r>
        <w:t>; 00310.014 Telecommunication Companies</w:t>
      </w:r>
    </w:p>
  </w:footnote>
  <w:footnote w:id="1339">
    <w:p w14:paraId="48440FE7" w14:textId="4D5E8102" w:rsidR="00E37317" w:rsidRPr="00647640" w:rsidRDefault="00E37317" w:rsidP="00E37317">
      <w:pPr>
        <w:pStyle w:val="FootnoteText"/>
        <w:rPr>
          <w:lang w:val="en-GB"/>
        </w:rPr>
      </w:pPr>
      <w:r>
        <w:rPr>
          <w:rStyle w:val="FootnoteReference"/>
        </w:rPr>
        <w:footnoteRef/>
      </w:r>
      <w:r>
        <w:t xml:space="preserve"> </w:t>
      </w:r>
      <w:r w:rsidRPr="00647640">
        <w:t>00223.128</w:t>
      </w:r>
      <w:r w:rsidR="00584515" w:rsidRPr="00584515">
        <w:t xml:space="preserve"> </w:t>
      </w:r>
      <w:r w:rsidR="00584515">
        <w:t>Ngāi Tahu ki Murihiku</w:t>
      </w:r>
    </w:p>
  </w:footnote>
  <w:footnote w:id="1340">
    <w:p w14:paraId="7622DA1F" w14:textId="359BCD22" w:rsidR="00E37317" w:rsidRDefault="00E37317" w:rsidP="00E37317">
      <w:pPr>
        <w:pStyle w:val="FootnoteText"/>
      </w:pPr>
      <w:r>
        <w:rPr>
          <w:rStyle w:val="FootnoteReference"/>
        </w:rPr>
        <w:footnoteRef/>
      </w:r>
      <w:r>
        <w:t xml:space="preserve"> 00013.016 </w:t>
      </w:r>
      <w:r w:rsidR="00584515">
        <w:t>ECan</w:t>
      </w:r>
    </w:p>
  </w:footnote>
  <w:footnote w:id="1341">
    <w:p w14:paraId="3216C2DC" w14:textId="18C0688C" w:rsidR="00E37317" w:rsidRDefault="00E37317" w:rsidP="00E37317">
      <w:pPr>
        <w:pStyle w:val="FootnoteText"/>
      </w:pPr>
      <w:r>
        <w:rPr>
          <w:rStyle w:val="FootnoteReference"/>
        </w:rPr>
        <w:footnoteRef/>
      </w:r>
      <w:r>
        <w:t xml:space="preserve"> 00013.016 </w:t>
      </w:r>
      <w:r w:rsidR="00584515">
        <w:t>ECan</w:t>
      </w:r>
    </w:p>
  </w:footnote>
  <w:footnote w:id="1342">
    <w:p w14:paraId="3533C3C3" w14:textId="3BD5747D" w:rsidR="00AD06FD" w:rsidRDefault="00AD06FD">
      <w:pPr>
        <w:pStyle w:val="FootnoteText"/>
      </w:pPr>
      <w:r>
        <w:rPr>
          <w:rStyle w:val="FootnoteReference"/>
        </w:rPr>
        <w:footnoteRef/>
      </w:r>
      <w:r>
        <w:t xml:space="preserve"> </w:t>
      </w:r>
      <w:r w:rsidRPr="00AD06FD">
        <w:t>Clause 16(2), Schedule 1, RMA</w:t>
      </w:r>
    </w:p>
  </w:footnote>
  <w:footnote w:id="1343">
    <w:p w14:paraId="68DC1EDC" w14:textId="0EC8DCBC" w:rsidR="00F54768" w:rsidRDefault="00F54768">
      <w:pPr>
        <w:pStyle w:val="FootnoteText"/>
      </w:pPr>
      <w:r>
        <w:rPr>
          <w:rStyle w:val="FootnoteReference"/>
        </w:rPr>
        <w:footnoteRef/>
      </w:r>
      <w:r>
        <w:t xml:space="preserve"> </w:t>
      </w:r>
      <w:r w:rsidR="00FE3305" w:rsidRPr="00FE3305">
        <w:t>Clause 16(2), Schedule 1, RMA</w:t>
      </w:r>
    </w:p>
  </w:footnote>
  <w:footnote w:id="1344">
    <w:p w14:paraId="1FC2A031" w14:textId="42E32A62" w:rsidR="00D87A3B" w:rsidRDefault="00D87A3B">
      <w:pPr>
        <w:pStyle w:val="FootnoteText"/>
      </w:pPr>
      <w:r>
        <w:rPr>
          <w:rStyle w:val="FootnoteReference"/>
        </w:rPr>
        <w:footnoteRef/>
      </w:r>
      <w:r>
        <w:t xml:space="preserve"> Clause 16(2), Schedule 1, RMA</w:t>
      </w:r>
    </w:p>
  </w:footnote>
  <w:footnote w:id="1345">
    <w:p w14:paraId="600537CD" w14:textId="1D3C7D77" w:rsidR="00F820BA" w:rsidRDefault="00F820BA" w:rsidP="00F820BA">
      <w:pPr>
        <w:pStyle w:val="FootnoteText"/>
      </w:pPr>
      <w:r>
        <w:rPr>
          <w:rStyle w:val="FootnoteReference"/>
        </w:rPr>
        <w:footnoteRef/>
      </w:r>
      <w:r>
        <w:t xml:space="preserve"> 00313.030 </w:t>
      </w:r>
      <w:r w:rsidR="000E4C5F">
        <w:t>Queenstown Airport</w:t>
      </w:r>
      <w:r>
        <w:t xml:space="preserve"> and </w:t>
      </w:r>
      <w:r w:rsidR="00D24DD6">
        <w:t xml:space="preserve">00314.050 </w:t>
      </w:r>
      <w:r>
        <w:t>Transpower (in part)</w:t>
      </w:r>
    </w:p>
  </w:footnote>
  <w:footnote w:id="1346">
    <w:p w14:paraId="6FEEBE07" w14:textId="77777777" w:rsidR="008B2F70" w:rsidRDefault="008B2F70" w:rsidP="008B2F70">
      <w:pPr>
        <w:pStyle w:val="FootnoteText"/>
        <w:rPr>
          <w:rFonts w:eastAsia="Calibri"/>
          <w:i/>
          <w:iCs/>
        </w:rPr>
      </w:pPr>
      <w:r w:rsidRPr="1343367E">
        <w:rPr>
          <w:rStyle w:val="FootnoteReference"/>
        </w:rPr>
        <w:footnoteRef/>
      </w:r>
      <w:r w:rsidRPr="1343367E">
        <w:t xml:space="preserve"> </w:t>
      </w:r>
      <w:r w:rsidRPr="00D10F86">
        <w:t>Clause 16(2), Schedule 1, RMA</w:t>
      </w:r>
    </w:p>
  </w:footnote>
  <w:footnote w:id="1347">
    <w:p w14:paraId="3CAA356D" w14:textId="7AE7F62F" w:rsidR="00F820BA" w:rsidRDefault="00F820BA" w:rsidP="00F820BA">
      <w:pPr>
        <w:pStyle w:val="FootnoteText"/>
      </w:pPr>
      <w:r>
        <w:rPr>
          <w:rStyle w:val="FootnoteReference"/>
        </w:rPr>
        <w:footnoteRef/>
      </w:r>
      <w:r>
        <w:t xml:space="preserve"> </w:t>
      </w:r>
      <w:r w:rsidR="00D24DD6">
        <w:t>00139.251</w:t>
      </w:r>
      <w:r>
        <w:t xml:space="preserve"> </w:t>
      </w:r>
      <w:r w:rsidR="003C2C27">
        <w:t>DCC</w:t>
      </w:r>
      <w:r>
        <w:t xml:space="preserve"> </w:t>
      </w:r>
    </w:p>
  </w:footnote>
  <w:footnote w:id="1348">
    <w:p w14:paraId="5ADB851E" w14:textId="24A0D577" w:rsidR="00D146AB" w:rsidRDefault="00D146AB">
      <w:pPr>
        <w:pStyle w:val="FootnoteText"/>
      </w:pPr>
      <w:r>
        <w:rPr>
          <w:rStyle w:val="FootnoteReference"/>
        </w:rPr>
        <w:footnoteRef/>
      </w:r>
      <w:r>
        <w:t xml:space="preserve"> Clause 16(2), Schedule 1, RMA</w:t>
      </w:r>
    </w:p>
  </w:footnote>
  <w:footnote w:id="1349">
    <w:p w14:paraId="161FDB59" w14:textId="7EF67DF2" w:rsidR="00417301" w:rsidRDefault="00417301" w:rsidP="00417301">
      <w:pPr>
        <w:pStyle w:val="FootnoteText"/>
      </w:pPr>
      <w:r>
        <w:rPr>
          <w:rStyle w:val="FootnoteReference"/>
        </w:rPr>
        <w:footnoteRef/>
      </w:r>
      <w:r>
        <w:t xml:space="preserve"> </w:t>
      </w:r>
      <w:r w:rsidR="006E6B6B">
        <w:t>00204.003</w:t>
      </w:r>
      <w:r>
        <w:t xml:space="preserve"> </w:t>
      </w:r>
      <w:r w:rsidRPr="00E63209">
        <w:rPr>
          <w:u w:color="000000" w:themeColor="text1"/>
        </w:rPr>
        <w:t>Daisy Link Garden Centres Limited</w:t>
      </w:r>
      <w:r>
        <w:t xml:space="preserve">, </w:t>
      </w:r>
      <w:r w:rsidR="006E6B6B">
        <w:t>00405.009</w:t>
      </w:r>
      <w:r>
        <w:t xml:space="preserve"> Glenpanel, </w:t>
      </w:r>
      <w:r w:rsidR="006E6B6B">
        <w:t>00402.012</w:t>
      </w:r>
      <w:r>
        <w:t xml:space="preserve"> Sipka Holdings, </w:t>
      </w:r>
      <w:r w:rsidR="006E6B6B">
        <w:t>00401.006</w:t>
      </w:r>
      <w:r>
        <w:t xml:space="preserve"> Tussock Rise </w:t>
      </w:r>
    </w:p>
  </w:footnote>
  <w:footnote w:id="1350">
    <w:p w14:paraId="5F2EB0B5" w14:textId="458184E4" w:rsidR="00417301" w:rsidRDefault="00417301" w:rsidP="00417301">
      <w:pPr>
        <w:pStyle w:val="FootnoteText"/>
      </w:pPr>
      <w:r>
        <w:rPr>
          <w:rStyle w:val="FootnoteReference"/>
        </w:rPr>
        <w:footnoteRef/>
      </w:r>
      <w:r>
        <w:t xml:space="preserve"> </w:t>
      </w:r>
      <w:r w:rsidR="006E6B6B" w:rsidRPr="00174D8B">
        <w:t>00137.153</w:t>
      </w:r>
      <w:r>
        <w:t xml:space="preserve"> </w:t>
      </w:r>
      <w:r w:rsidR="00033081">
        <w:rPr>
          <w:rFonts w:eastAsia="Calibri" w:cstheme="minorHAnsi"/>
          <w:bCs/>
          <w:u w:color="000000" w:themeColor="text1"/>
        </w:rPr>
        <w:t>DOC</w:t>
      </w:r>
      <w:r w:rsidRPr="00174D8B">
        <w:t xml:space="preserve"> </w:t>
      </w:r>
    </w:p>
  </w:footnote>
  <w:footnote w:id="1351">
    <w:p w14:paraId="7A0EA56B" w14:textId="0DAAC98F" w:rsidR="00417301" w:rsidRDefault="00417301" w:rsidP="00417301">
      <w:pPr>
        <w:pStyle w:val="FootnoteText"/>
      </w:pPr>
      <w:r>
        <w:rPr>
          <w:rStyle w:val="FootnoteReference"/>
        </w:rPr>
        <w:footnoteRef/>
      </w:r>
      <w:r>
        <w:t xml:space="preserve"> </w:t>
      </w:r>
      <w:r w:rsidR="006E6B6B" w:rsidRPr="00DD0450">
        <w:t>00322.0038</w:t>
      </w:r>
      <w:r>
        <w:t xml:space="preserve"> </w:t>
      </w:r>
      <w:r w:rsidRPr="00DD0450">
        <w:t>Fulton Hogan, 00236.099</w:t>
      </w:r>
      <w:r w:rsidR="006E6B6B">
        <w:t xml:space="preserve"> </w:t>
      </w:r>
      <w:r w:rsidRPr="00DD0450">
        <w:t>Hort</w:t>
      </w:r>
      <w:r w:rsidR="00A73E66">
        <w:t>iculture</w:t>
      </w:r>
      <w:r w:rsidRPr="00DD0450">
        <w:t xml:space="preserve"> NZ </w:t>
      </w:r>
    </w:p>
  </w:footnote>
  <w:footnote w:id="1352">
    <w:p w14:paraId="1EECFF78" w14:textId="6C032812" w:rsidR="00417301" w:rsidRDefault="00417301" w:rsidP="00417301">
      <w:pPr>
        <w:pStyle w:val="FootnoteText"/>
      </w:pPr>
      <w:r>
        <w:rPr>
          <w:rStyle w:val="FootnoteReference"/>
        </w:rPr>
        <w:footnoteRef/>
      </w:r>
      <w:r>
        <w:t xml:space="preserve"> </w:t>
      </w:r>
      <w:r w:rsidR="006E6B6B">
        <w:t>00414.003</w:t>
      </w:r>
      <w:r>
        <w:t xml:space="preserve"> Infinity, </w:t>
      </w:r>
      <w:r w:rsidR="006E6B6B">
        <w:t>00413.005</w:t>
      </w:r>
      <w:r>
        <w:t xml:space="preserve"> NZ Cherry Corp </w:t>
      </w:r>
    </w:p>
  </w:footnote>
  <w:footnote w:id="1353">
    <w:p w14:paraId="098294CB" w14:textId="04ADDFCE" w:rsidR="00A063F9" w:rsidRDefault="00A063F9" w:rsidP="00A063F9">
      <w:pPr>
        <w:pStyle w:val="FootnoteText"/>
      </w:pPr>
      <w:r>
        <w:rPr>
          <w:rStyle w:val="FootnoteReference"/>
        </w:rPr>
        <w:footnoteRef/>
      </w:r>
      <w:r>
        <w:t xml:space="preserve"> </w:t>
      </w:r>
      <w:r w:rsidR="006E6B6B" w:rsidRPr="00E63209">
        <w:rPr>
          <w:rFonts w:cstheme="minorHAnsi"/>
          <w:u w:color="000000" w:themeColor="text1"/>
        </w:rPr>
        <w:t>00322.038</w:t>
      </w:r>
      <w:r>
        <w:rPr>
          <w:rFonts w:cstheme="minorHAnsi"/>
          <w:u w:color="000000" w:themeColor="text1"/>
        </w:rPr>
        <w:t xml:space="preserve"> </w:t>
      </w:r>
      <w:r w:rsidRPr="00E63209">
        <w:rPr>
          <w:rFonts w:cstheme="minorHAnsi"/>
          <w:u w:color="000000" w:themeColor="text1"/>
        </w:rPr>
        <w:t>Fulton</w:t>
      </w:r>
      <w:r w:rsidRPr="00E63209">
        <w:rPr>
          <w:rFonts w:cstheme="minorHAnsi"/>
          <w:spacing w:val="-3"/>
          <w:u w:color="000000" w:themeColor="text1"/>
        </w:rPr>
        <w:t xml:space="preserve"> </w:t>
      </w:r>
      <w:r w:rsidRPr="00E63209">
        <w:rPr>
          <w:rFonts w:cstheme="minorHAnsi"/>
          <w:u w:color="000000" w:themeColor="text1"/>
        </w:rPr>
        <w:t>Hogan</w:t>
      </w:r>
      <w:r>
        <w:rPr>
          <w:rFonts w:cstheme="minorHAnsi"/>
          <w:u w:color="000000" w:themeColor="text1"/>
        </w:rPr>
        <w:t xml:space="preserve">, </w:t>
      </w:r>
      <w:r w:rsidR="006E6B6B">
        <w:rPr>
          <w:rFonts w:cstheme="minorHAnsi"/>
          <w:u w:color="000000" w:themeColor="text1"/>
        </w:rPr>
        <w:t xml:space="preserve">00410.007 </w:t>
      </w:r>
      <w:r>
        <w:rPr>
          <w:rFonts w:cstheme="minorHAnsi"/>
          <w:u w:color="000000" w:themeColor="text1"/>
        </w:rPr>
        <w:t>Rural Contractors NZ (in part)</w:t>
      </w:r>
    </w:p>
  </w:footnote>
  <w:footnote w:id="1354">
    <w:p w14:paraId="7192EE75" w14:textId="00BAFB11" w:rsidR="00A063F9" w:rsidRDefault="00A063F9" w:rsidP="00A063F9">
      <w:pPr>
        <w:pStyle w:val="FootnoteText"/>
      </w:pPr>
      <w:r>
        <w:rPr>
          <w:rStyle w:val="FootnoteReference"/>
        </w:rPr>
        <w:footnoteRef/>
      </w:r>
      <w:r>
        <w:t xml:space="preserve"> </w:t>
      </w:r>
      <w:r w:rsidR="006E6B6B">
        <w:t>00236.099</w:t>
      </w:r>
      <w:r>
        <w:t xml:space="preserve"> Horticulture NZ </w:t>
      </w:r>
    </w:p>
  </w:footnote>
  <w:footnote w:id="1355">
    <w:p w14:paraId="35B3153A" w14:textId="17A5337A" w:rsidR="00A063F9" w:rsidRDefault="00A063F9" w:rsidP="00A063F9">
      <w:pPr>
        <w:pStyle w:val="FootnoteText"/>
      </w:pPr>
      <w:r>
        <w:rPr>
          <w:rStyle w:val="FootnoteReference"/>
        </w:rPr>
        <w:footnoteRef/>
      </w:r>
      <w:r>
        <w:t xml:space="preserve"> </w:t>
      </w:r>
      <w:r w:rsidR="006E6B6B" w:rsidRPr="00E63209">
        <w:rPr>
          <w:rFonts w:cstheme="minorHAnsi"/>
          <w:u w:color="000000" w:themeColor="text1"/>
        </w:rPr>
        <w:t>00226.310</w:t>
      </w:r>
      <w:r>
        <w:rPr>
          <w:rFonts w:cstheme="minorHAnsi"/>
          <w:u w:color="000000" w:themeColor="text1"/>
        </w:rPr>
        <w:t xml:space="preserve"> </w:t>
      </w:r>
      <w:r w:rsidRPr="00E63209">
        <w:rPr>
          <w:rFonts w:eastAsia="Calibri" w:cstheme="minorHAnsi"/>
          <w:bCs/>
          <w:u w:color="000000" w:themeColor="text1"/>
        </w:rPr>
        <w:t>Kāi Tahu ki Otago</w:t>
      </w:r>
      <w:r w:rsidRPr="00E63209">
        <w:rPr>
          <w:rFonts w:cstheme="minorHAnsi"/>
          <w:u w:color="000000" w:themeColor="text1"/>
        </w:rPr>
        <w:t xml:space="preserve"> </w:t>
      </w:r>
    </w:p>
  </w:footnote>
  <w:footnote w:id="1356">
    <w:p w14:paraId="5DC1CEF7" w14:textId="71F6805D" w:rsidR="0005588A" w:rsidRDefault="0005588A" w:rsidP="0005588A">
      <w:pPr>
        <w:pStyle w:val="FootnoteText"/>
      </w:pPr>
      <w:r w:rsidRPr="00257AA7">
        <w:rPr>
          <w:rStyle w:val="FootnoteReference"/>
        </w:rPr>
        <w:footnoteRef/>
      </w:r>
      <w:r w:rsidRPr="00257AA7">
        <w:t xml:space="preserve"> 00306.077</w:t>
      </w:r>
      <w:r w:rsidR="00D24DD6">
        <w:t xml:space="preserve"> </w:t>
      </w:r>
      <w:r w:rsidRPr="006E6B6B">
        <w:t xml:space="preserve">Meridian, </w:t>
      </w:r>
      <w:r w:rsidR="00D24DD6" w:rsidRPr="006E6B6B">
        <w:t>00322.039</w:t>
      </w:r>
      <w:r w:rsidRPr="00257AA7">
        <w:t xml:space="preserve"> Fulton Hogan</w:t>
      </w:r>
      <w:r w:rsidRPr="006E6B6B">
        <w:t>,</w:t>
      </w:r>
      <w:r w:rsidRPr="00257AA7">
        <w:t xml:space="preserve"> 00313.031</w:t>
      </w:r>
      <w:r w:rsidR="00D24DD6">
        <w:t xml:space="preserve"> </w:t>
      </w:r>
      <w:r w:rsidR="00B30C64">
        <w:t>Queenstown Airport</w:t>
      </w:r>
      <w:r w:rsidRPr="006E6B6B">
        <w:t>,</w:t>
      </w:r>
      <w:r w:rsidRPr="00257AA7">
        <w:t xml:space="preserve"> 00235.150</w:t>
      </w:r>
      <w:r w:rsidR="00D24DD6">
        <w:t xml:space="preserve"> </w:t>
      </w:r>
      <w:r w:rsidRPr="006E6B6B">
        <w:t xml:space="preserve">OWRUG, </w:t>
      </w:r>
      <w:r w:rsidR="00D24DD6" w:rsidRPr="006E6B6B">
        <w:t>00236.100</w:t>
      </w:r>
      <w:r w:rsidRPr="00257AA7">
        <w:t xml:space="preserve"> Horticulture NZ</w:t>
      </w:r>
      <w:r w:rsidRPr="006E6B6B">
        <w:t xml:space="preserve">, </w:t>
      </w:r>
      <w:r w:rsidR="00D24DD6" w:rsidRPr="006E6B6B">
        <w:t>00239.176</w:t>
      </w:r>
      <w:r w:rsidRPr="00257AA7">
        <w:t xml:space="preserve"> Federated Farmers</w:t>
      </w:r>
      <w:r w:rsidRPr="006E6B6B">
        <w:t xml:space="preserve">, </w:t>
      </w:r>
      <w:r w:rsidR="00D24DD6" w:rsidRPr="006E6B6B">
        <w:t>00204.005</w:t>
      </w:r>
      <w:r w:rsidRPr="00257AA7">
        <w:t xml:space="preserve"> Daisy Link.</w:t>
      </w:r>
    </w:p>
  </w:footnote>
  <w:footnote w:id="1357">
    <w:p w14:paraId="06959FBB" w14:textId="18A77622" w:rsidR="00AB25C8" w:rsidRPr="00603400" w:rsidRDefault="00AB25C8" w:rsidP="00AB25C8">
      <w:pPr>
        <w:pStyle w:val="FootnoteText"/>
        <w:rPr>
          <w:highlight w:val="yellow"/>
        </w:rPr>
      </w:pPr>
      <w:r w:rsidRPr="006E6B6B">
        <w:rPr>
          <w:rStyle w:val="FootnoteReference"/>
        </w:rPr>
        <w:footnoteRef/>
      </w:r>
      <w:r w:rsidRPr="006E6B6B">
        <w:t xml:space="preserve"> “At Least” See General Submissions of </w:t>
      </w:r>
      <w:r w:rsidR="006E6B6B" w:rsidRPr="006E6B6B">
        <w:t xml:space="preserve">00211.047 </w:t>
      </w:r>
      <w:r w:rsidRPr="006E6B6B">
        <w:t xml:space="preserve">LAC Properties Trustees, </w:t>
      </w:r>
      <w:r w:rsidR="006E6B6B" w:rsidRPr="006E6B6B">
        <w:t>00210.046</w:t>
      </w:r>
      <w:r w:rsidRPr="006E6B6B">
        <w:t xml:space="preserve"> Lane Hocking, </w:t>
      </w:r>
      <w:r w:rsidR="006E6B6B" w:rsidRPr="006E6B6B">
        <w:t>00118.066</w:t>
      </w:r>
      <w:r w:rsidRPr="006E6B6B">
        <w:t xml:space="preserve"> Maryhill </w:t>
      </w:r>
      <w:r w:rsidR="002F2C9D" w:rsidRPr="006E6B6B">
        <w:t>L</w:t>
      </w:r>
      <w:r w:rsidRPr="006E6B6B">
        <w:t xml:space="preserve">td, </w:t>
      </w:r>
      <w:r w:rsidR="006E6B6B" w:rsidRPr="006E6B6B">
        <w:t>00014</w:t>
      </w:r>
      <w:r w:rsidRPr="006E6B6B">
        <w:t xml:space="preserve">.066 Mt Cardrona Station, </w:t>
      </w:r>
      <w:r w:rsidR="006E6B6B" w:rsidRPr="006E6B6B">
        <w:t>00209.046</w:t>
      </w:r>
      <w:r w:rsidRPr="006E6B6B">
        <w:t xml:space="preserve"> Universal Developments </w:t>
      </w:r>
    </w:p>
  </w:footnote>
  <w:footnote w:id="1358">
    <w:p w14:paraId="3F3387B9" w14:textId="6B6BC40D" w:rsidR="00417301" w:rsidRPr="00603400" w:rsidRDefault="00417301" w:rsidP="00417301">
      <w:pPr>
        <w:pStyle w:val="FootnoteText"/>
        <w:rPr>
          <w:highlight w:val="yellow"/>
        </w:rPr>
      </w:pPr>
      <w:r w:rsidRPr="005151E9">
        <w:rPr>
          <w:rStyle w:val="FootnoteReference"/>
        </w:rPr>
        <w:footnoteRef/>
      </w:r>
      <w:r w:rsidR="008522D1" w:rsidRPr="005151E9">
        <w:t xml:space="preserve"> </w:t>
      </w:r>
      <w:r w:rsidR="00F86910" w:rsidRPr="005151E9">
        <w:rPr>
          <w:u w:color="000000" w:themeColor="text1"/>
        </w:rPr>
        <w:t xml:space="preserve">00204.005 </w:t>
      </w:r>
      <w:r w:rsidR="008522D1" w:rsidRPr="005151E9">
        <w:rPr>
          <w:u w:color="000000" w:themeColor="text1"/>
        </w:rPr>
        <w:t xml:space="preserve">Daisy Link </w:t>
      </w:r>
    </w:p>
  </w:footnote>
  <w:footnote w:id="1359">
    <w:p w14:paraId="09482039" w14:textId="545CB54E" w:rsidR="005901AA" w:rsidRPr="00804F21" w:rsidRDefault="005901AA" w:rsidP="00804F21">
      <w:pPr>
        <w:pStyle w:val="FootnoteText"/>
        <w:rPr>
          <w:rStyle w:val="FootnoteReference"/>
        </w:rPr>
      </w:pPr>
      <w:r w:rsidRPr="00C669FE">
        <w:rPr>
          <w:rStyle w:val="FootnoteReference"/>
        </w:rPr>
        <w:footnoteRef/>
      </w:r>
      <w:r w:rsidRPr="00C669FE">
        <w:rPr>
          <w:rStyle w:val="FootnoteReference"/>
        </w:rPr>
        <w:t xml:space="preserve"> </w:t>
      </w:r>
      <w:r w:rsidR="00F86910" w:rsidRPr="00C669FE">
        <w:rPr>
          <w:rStyle w:val="FootnoteReference"/>
          <w:vertAlign w:val="baseline"/>
        </w:rPr>
        <w:t xml:space="preserve">00315.079 </w:t>
      </w:r>
      <w:r w:rsidRPr="00C669FE">
        <w:rPr>
          <w:rStyle w:val="FootnoteReference"/>
          <w:vertAlign w:val="baseline"/>
        </w:rPr>
        <w:t>Aurora Energy</w:t>
      </w:r>
      <w:r w:rsidR="00F86910">
        <w:t xml:space="preserve">, </w:t>
      </w:r>
      <w:r w:rsidR="00F86910" w:rsidRPr="00C669FE">
        <w:rPr>
          <w:rStyle w:val="FootnoteReference"/>
          <w:vertAlign w:val="baseline"/>
        </w:rPr>
        <w:t>00310.017</w:t>
      </w:r>
      <w:r w:rsidR="00F86910">
        <w:t xml:space="preserve"> </w:t>
      </w:r>
      <w:r w:rsidR="003C2C27">
        <w:rPr>
          <w:rStyle w:val="FootnoteReference"/>
          <w:vertAlign w:val="baseline"/>
        </w:rPr>
        <w:t>T</w:t>
      </w:r>
      <w:r w:rsidR="003C2C27">
        <w:t>he Telecommunications Companies</w:t>
      </w:r>
      <w:r w:rsidRPr="00C669FE">
        <w:rPr>
          <w:rStyle w:val="FootnoteReference"/>
          <w:vertAlign w:val="baseline"/>
        </w:rPr>
        <w:t xml:space="preserve">, 00313.032 </w:t>
      </w:r>
      <w:r w:rsidR="003C2C27">
        <w:rPr>
          <w:rStyle w:val="FootnoteReference"/>
          <w:vertAlign w:val="baseline"/>
        </w:rPr>
        <w:t>Q</w:t>
      </w:r>
      <w:r w:rsidR="003C2C27">
        <w:t>ueenstown Airport</w:t>
      </w:r>
      <w:r w:rsidRPr="00C669FE">
        <w:rPr>
          <w:rStyle w:val="FootnoteReference"/>
          <w:vertAlign w:val="baseline"/>
        </w:rPr>
        <w:t xml:space="preserve"> (in part)</w:t>
      </w:r>
    </w:p>
  </w:footnote>
  <w:footnote w:id="1360">
    <w:p w14:paraId="0A0ECB88" w14:textId="393FC231" w:rsidR="002D0688" w:rsidRDefault="002D0688" w:rsidP="002D0688">
      <w:pPr>
        <w:pStyle w:val="FootnoteText"/>
      </w:pPr>
      <w:r w:rsidRPr="00804F21">
        <w:rPr>
          <w:u w:color="000000" w:themeColor="text1"/>
          <w:vertAlign w:val="superscript"/>
        </w:rPr>
        <w:footnoteRef/>
      </w:r>
      <w:r w:rsidRPr="00804F21">
        <w:rPr>
          <w:u w:color="000000" w:themeColor="text1"/>
          <w:vertAlign w:val="superscript"/>
        </w:rPr>
        <w:t xml:space="preserve"> </w:t>
      </w:r>
      <w:r w:rsidR="00F86910" w:rsidRPr="005151E9">
        <w:rPr>
          <w:u w:color="000000" w:themeColor="text1"/>
        </w:rPr>
        <w:t>00136.011</w:t>
      </w:r>
      <w:r>
        <w:rPr>
          <w:u w:color="000000" w:themeColor="text1"/>
        </w:rPr>
        <w:t xml:space="preserve"> </w:t>
      </w:r>
      <w:r w:rsidRPr="005151E9">
        <w:rPr>
          <w:u w:color="000000" w:themeColor="text1"/>
        </w:rPr>
        <w:t xml:space="preserve">Minister for the Environment, </w:t>
      </w:r>
      <w:r w:rsidR="00F86910" w:rsidRPr="005151E9">
        <w:rPr>
          <w:u w:color="000000" w:themeColor="text1"/>
        </w:rPr>
        <w:t>00413.006</w:t>
      </w:r>
      <w:r w:rsidRPr="005151E9">
        <w:rPr>
          <w:u w:color="000000" w:themeColor="text1"/>
        </w:rPr>
        <w:t xml:space="preserve"> NZ Cherry Corp, </w:t>
      </w:r>
      <w:r w:rsidR="00F86910" w:rsidRPr="005151E9">
        <w:rPr>
          <w:u w:color="000000" w:themeColor="text1"/>
        </w:rPr>
        <w:t>00204.008</w:t>
      </w:r>
      <w:r w:rsidRPr="005151E9">
        <w:rPr>
          <w:u w:color="000000" w:themeColor="text1"/>
        </w:rPr>
        <w:t xml:space="preserve"> Daisy Link </w:t>
      </w:r>
    </w:p>
  </w:footnote>
  <w:footnote w:id="1361">
    <w:p w14:paraId="74A2E39D" w14:textId="0F27485A" w:rsidR="00417301" w:rsidRDefault="00417301" w:rsidP="00417301">
      <w:pPr>
        <w:pStyle w:val="FootnoteText"/>
      </w:pPr>
      <w:r>
        <w:rPr>
          <w:rStyle w:val="FootnoteReference"/>
        </w:rPr>
        <w:footnoteRef/>
      </w:r>
      <w:r>
        <w:t xml:space="preserve"> 00139.258</w:t>
      </w:r>
      <w:r w:rsidR="00F86910">
        <w:t xml:space="preserve"> </w:t>
      </w:r>
      <w:r w:rsidR="00B71675">
        <w:t>D</w:t>
      </w:r>
      <w:r w:rsidR="00D508E2">
        <w:t>C</w:t>
      </w:r>
      <w:r w:rsidR="00B71675">
        <w:t>C</w:t>
      </w:r>
      <w:r>
        <w:t xml:space="preserve"> </w:t>
      </w:r>
    </w:p>
  </w:footnote>
  <w:footnote w:id="1362">
    <w:p w14:paraId="2802FB9E" w14:textId="554CC359" w:rsidR="002D0688" w:rsidRDefault="002D0688" w:rsidP="002D0688">
      <w:pPr>
        <w:pStyle w:val="FootnoteText"/>
      </w:pPr>
      <w:r>
        <w:rPr>
          <w:rStyle w:val="FootnoteReference"/>
        </w:rPr>
        <w:footnoteRef/>
      </w:r>
      <w:r>
        <w:t xml:space="preserve"> </w:t>
      </w:r>
      <w:r w:rsidR="00A5017C" w:rsidRPr="00E63209">
        <w:rPr>
          <w:rFonts w:cstheme="minorHAnsi"/>
          <w:u w:color="000000" w:themeColor="text1"/>
        </w:rPr>
        <w:t>00315.080</w:t>
      </w:r>
      <w:r>
        <w:rPr>
          <w:rFonts w:cstheme="minorHAnsi"/>
          <w:u w:color="000000" w:themeColor="text1"/>
        </w:rPr>
        <w:t xml:space="preserve"> </w:t>
      </w:r>
      <w:r>
        <w:t xml:space="preserve">Aurora Energy, </w:t>
      </w:r>
      <w:r w:rsidR="00A5017C" w:rsidRPr="00E63209">
        <w:rPr>
          <w:rFonts w:cstheme="minorHAnsi"/>
          <w:u w:color="000000" w:themeColor="text1"/>
        </w:rPr>
        <w:t>00306.078</w:t>
      </w:r>
      <w:r>
        <w:rPr>
          <w:rFonts w:cstheme="minorHAnsi"/>
          <w:u w:color="000000" w:themeColor="text1"/>
        </w:rPr>
        <w:t xml:space="preserve"> </w:t>
      </w:r>
      <w:r w:rsidR="00854F19">
        <w:rPr>
          <w:rFonts w:cstheme="minorHAnsi"/>
          <w:u w:color="000000" w:themeColor="text1"/>
        </w:rPr>
        <w:t>Meridian</w:t>
      </w:r>
      <w:r w:rsidRPr="00E63209">
        <w:rPr>
          <w:rFonts w:cstheme="minorHAnsi"/>
          <w:u w:color="000000" w:themeColor="text1"/>
        </w:rPr>
        <w:t xml:space="preserve"> </w:t>
      </w:r>
    </w:p>
  </w:footnote>
  <w:footnote w:id="1363">
    <w:p w14:paraId="3DDF2146" w14:textId="4A2D5A9E" w:rsidR="00417301" w:rsidRDefault="00417301" w:rsidP="00417301">
      <w:pPr>
        <w:pStyle w:val="FootnoteText"/>
      </w:pPr>
      <w:r>
        <w:rPr>
          <w:rStyle w:val="FootnoteReference"/>
        </w:rPr>
        <w:footnoteRef/>
      </w:r>
      <w:r>
        <w:t xml:space="preserve"> </w:t>
      </w:r>
      <w:r w:rsidR="00A5017C">
        <w:t>00208.010</w:t>
      </w:r>
      <w:r>
        <w:t xml:space="preserve"> AgResearch, 00213.040</w:t>
      </w:r>
      <w:r w:rsidR="00A5017C">
        <w:t xml:space="preserve"> </w:t>
      </w:r>
      <w:r>
        <w:t xml:space="preserve">Fonterra, </w:t>
      </w:r>
      <w:r w:rsidR="00A5017C">
        <w:t>00322.040</w:t>
      </w:r>
      <w:r>
        <w:t xml:space="preserve"> Fulton Hogan,</w:t>
      </w:r>
    </w:p>
  </w:footnote>
  <w:footnote w:id="1364">
    <w:p w14:paraId="340C582B" w14:textId="3FBC6CA8" w:rsidR="00417301" w:rsidRDefault="00417301" w:rsidP="00417301">
      <w:pPr>
        <w:pStyle w:val="FootnoteText"/>
      </w:pPr>
      <w:r>
        <w:rPr>
          <w:rStyle w:val="FootnoteReference"/>
        </w:rPr>
        <w:footnoteRef/>
      </w:r>
      <w:r>
        <w:t xml:space="preserve"> </w:t>
      </w:r>
      <w:r w:rsidR="006B546C">
        <w:t>00410.008</w:t>
      </w:r>
      <w:r>
        <w:t xml:space="preserve"> Rural Contractors NZ </w:t>
      </w:r>
    </w:p>
  </w:footnote>
  <w:footnote w:id="1365">
    <w:p w14:paraId="589F2603" w14:textId="2D0F2768" w:rsidR="00417301" w:rsidRPr="00CA7825" w:rsidRDefault="00417301" w:rsidP="00417301">
      <w:pPr>
        <w:pStyle w:val="FootnoteText"/>
      </w:pPr>
      <w:r w:rsidRPr="00CA7825">
        <w:rPr>
          <w:rStyle w:val="FootnoteReference"/>
        </w:rPr>
        <w:footnoteRef/>
      </w:r>
      <w:r w:rsidRPr="00CA7825">
        <w:t xml:space="preserve"> </w:t>
      </w:r>
      <w:r w:rsidR="006B546C" w:rsidRPr="00CA7825">
        <w:t>00405.011</w:t>
      </w:r>
      <w:r w:rsidRPr="00CA7825">
        <w:t xml:space="preserve"> Glenpanel, </w:t>
      </w:r>
      <w:r w:rsidR="001E235B" w:rsidRPr="00CA7825">
        <w:t>00402.014</w:t>
      </w:r>
      <w:r w:rsidRPr="00CA7825">
        <w:t xml:space="preserve"> Sipka Holdings </w:t>
      </w:r>
    </w:p>
  </w:footnote>
  <w:footnote w:id="1366">
    <w:p w14:paraId="6C822A5D" w14:textId="5689B899" w:rsidR="00417301" w:rsidRPr="00CA7825" w:rsidRDefault="00417301" w:rsidP="00417301">
      <w:pPr>
        <w:pStyle w:val="FootnoteText"/>
      </w:pPr>
      <w:r w:rsidRPr="00CA7825">
        <w:rPr>
          <w:rStyle w:val="FootnoteReference"/>
        </w:rPr>
        <w:footnoteRef/>
      </w:r>
      <w:r w:rsidRPr="00CA7825">
        <w:t xml:space="preserve"> </w:t>
      </w:r>
      <w:r w:rsidR="00D82E4D" w:rsidRPr="00CA7825">
        <w:t>00405.011</w:t>
      </w:r>
      <w:r w:rsidRPr="00CA7825">
        <w:t xml:space="preserve">Glenpanel, </w:t>
      </w:r>
      <w:r w:rsidR="00D24DD6" w:rsidRPr="00CA7825">
        <w:t>00402.014</w:t>
      </w:r>
      <w:r w:rsidRPr="00CA7825">
        <w:t xml:space="preserve"> Sipka Holdings</w:t>
      </w:r>
    </w:p>
  </w:footnote>
  <w:footnote w:id="1367">
    <w:p w14:paraId="58A0137E" w14:textId="2D5DA6E2" w:rsidR="00417301" w:rsidRDefault="00417301" w:rsidP="00417301">
      <w:pPr>
        <w:pStyle w:val="FootnoteText"/>
      </w:pPr>
      <w:r w:rsidRPr="00CA7825">
        <w:rPr>
          <w:rStyle w:val="FootnoteReference"/>
        </w:rPr>
        <w:footnoteRef/>
      </w:r>
      <w:r w:rsidR="00294DDF" w:rsidRPr="00CA7825">
        <w:t xml:space="preserve"> </w:t>
      </w:r>
      <w:r w:rsidR="00814EA2">
        <w:t>00221.014</w:t>
      </w:r>
      <w:r w:rsidR="00294DDF" w:rsidRPr="00CA7825">
        <w:t xml:space="preserve"> </w:t>
      </w:r>
      <w:r w:rsidR="00294DDF">
        <w:t xml:space="preserve">Silver Fern Farms, </w:t>
      </w:r>
      <w:r w:rsidR="00C419B6" w:rsidRPr="00CA7825">
        <w:t>00405.011</w:t>
      </w:r>
      <w:r w:rsidR="00294DDF">
        <w:t xml:space="preserve"> </w:t>
      </w:r>
      <w:r w:rsidR="00294DDF" w:rsidRPr="00CA7825">
        <w:t xml:space="preserve">Glenpanel, </w:t>
      </w:r>
      <w:r w:rsidR="00C419B6" w:rsidRPr="00CA7825">
        <w:t>00402.014</w:t>
      </w:r>
      <w:r w:rsidR="00C419B6">
        <w:t xml:space="preserve"> </w:t>
      </w:r>
      <w:r w:rsidR="00294DDF" w:rsidRPr="00CA7825">
        <w:t xml:space="preserve">Sipka Holdings </w:t>
      </w:r>
    </w:p>
  </w:footnote>
  <w:footnote w:id="1368">
    <w:p w14:paraId="4E81AC24" w14:textId="034F63EC" w:rsidR="00417301" w:rsidRDefault="00417301" w:rsidP="00417301">
      <w:pPr>
        <w:pStyle w:val="FootnoteText"/>
      </w:pPr>
      <w:r>
        <w:rPr>
          <w:rStyle w:val="FootnoteReference"/>
        </w:rPr>
        <w:footnoteRef/>
      </w:r>
      <w:r>
        <w:t xml:space="preserve"> </w:t>
      </w:r>
      <w:r w:rsidR="00814EA2">
        <w:t>00206.071</w:t>
      </w:r>
      <w:r>
        <w:t xml:space="preserve"> Trojan, </w:t>
      </w:r>
      <w:r w:rsidR="00814EA2">
        <w:t>00411.086</w:t>
      </w:r>
      <w:r>
        <w:t xml:space="preserve"> Wayfare </w:t>
      </w:r>
    </w:p>
  </w:footnote>
  <w:footnote w:id="1369">
    <w:p w14:paraId="5FB5B96B" w14:textId="52197F81" w:rsidR="00417301" w:rsidRDefault="00417301" w:rsidP="00417301">
      <w:pPr>
        <w:pStyle w:val="FootnoteText"/>
      </w:pPr>
      <w:r>
        <w:rPr>
          <w:rStyle w:val="FootnoteReference"/>
        </w:rPr>
        <w:footnoteRef/>
      </w:r>
      <w:r>
        <w:t xml:space="preserve"> 00139.260</w:t>
      </w:r>
      <w:r w:rsidR="00814EA2">
        <w:t xml:space="preserve"> </w:t>
      </w:r>
      <w:r>
        <w:t xml:space="preserve">DCC </w:t>
      </w:r>
    </w:p>
  </w:footnote>
  <w:footnote w:id="1370">
    <w:p w14:paraId="59971DA1" w14:textId="784ACE1D" w:rsidR="00417301" w:rsidRDefault="00417301" w:rsidP="00417301">
      <w:pPr>
        <w:pStyle w:val="FootnoteText"/>
      </w:pPr>
      <w:r>
        <w:rPr>
          <w:rStyle w:val="FootnoteReference"/>
        </w:rPr>
        <w:footnoteRef/>
      </w:r>
      <w:r>
        <w:t xml:space="preserve"> 00139.</w:t>
      </w:r>
      <w:r w:rsidR="00814EA2">
        <w:t>260</w:t>
      </w:r>
      <w:r w:rsidR="00A73E66">
        <w:t xml:space="preserve"> </w:t>
      </w:r>
      <w:r>
        <w:t xml:space="preserve">DCC </w:t>
      </w:r>
    </w:p>
  </w:footnote>
  <w:footnote w:id="1371">
    <w:p w14:paraId="15588893" w14:textId="2375C672" w:rsidR="00417301" w:rsidRDefault="00417301" w:rsidP="00417301">
      <w:pPr>
        <w:pStyle w:val="FootnoteText"/>
      </w:pPr>
      <w:r>
        <w:rPr>
          <w:rStyle w:val="FootnoteReference"/>
        </w:rPr>
        <w:footnoteRef/>
      </w:r>
      <w:r>
        <w:t xml:space="preserve"> </w:t>
      </w:r>
      <w:r w:rsidR="00814EA2">
        <w:t>00401.013</w:t>
      </w:r>
      <w:r w:rsidR="00A73E66">
        <w:t xml:space="preserve"> </w:t>
      </w:r>
      <w:r>
        <w:t xml:space="preserve">Tussock Rise </w:t>
      </w:r>
    </w:p>
  </w:footnote>
  <w:footnote w:id="1372">
    <w:p w14:paraId="007C3624" w14:textId="7CD9D864" w:rsidR="00417301" w:rsidRDefault="00417301" w:rsidP="00417301">
      <w:pPr>
        <w:pStyle w:val="FootnoteText"/>
      </w:pPr>
      <w:r>
        <w:rPr>
          <w:rStyle w:val="FootnoteReference"/>
        </w:rPr>
        <w:footnoteRef/>
      </w:r>
      <w:r>
        <w:t xml:space="preserve"> </w:t>
      </w:r>
      <w:r w:rsidR="00D508E2">
        <w:t>00206.071</w:t>
      </w:r>
      <w:r>
        <w:t xml:space="preserve"> Trojan, </w:t>
      </w:r>
      <w:r w:rsidR="00D508E2">
        <w:t>00411.086</w:t>
      </w:r>
      <w:r>
        <w:t xml:space="preserve"> Wayfare </w:t>
      </w:r>
    </w:p>
  </w:footnote>
  <w:footnote w:id="1373">
    <w:p w14:paraId="3835A22D" w14:textId="4C4F67A4" w:rsidR="00417301" w:rsidRDefault="00417301" w:rsidP="00417301">
      <w:pPr>
        <w:pStyle w:val="FootnoteText"/>
      </w:pPr>
      <w:r>
        <w:rPr>
          <w:rStyle w:val="FootnoteReference"/>
        </w:rPr>
        <w:footnoteRef/>
      </w:r>
      <w:r>
        <w:t xml:space="preserve"> </w:t>
      </w:r>
      <w:r w:rsidR="00D508E2">
        <w:t>00206.071</w:t>
      </w:r>
      <w:r>
        <w:t xml:space="preserve"> Trojan, </w:t>
      </w:r>
      <w:r w:rsidR="00D508E2">
        <w:t>00411.086</w:t>
      </w:r>
      <w:r>
        <w:t xml:space="preserve"> Wayfare </w:t>
      </w:r>
    </w:p>
  </w:footnote>
  <w:footnote w:id="1374">
    <w:p w14:paraId="2B658B0B" w14:textId="14D3F659" w:rsidR="00BE7391" w:rsidRDefault="00BE7391" w:rsidP="00BE7391">
      <w:pPr>
        <w:pStyle w:val="FootnoteText"/>
      </w:pPr>
      <w:r>
        <w:rPr>
          <w:rStyle w:val="FootnoteReference"/>
        </w:rPr>
        <w:footnoteRef/>
      </w:r>
      <w:r>
        <w:t xml:space="preserve"> 00213.</w:t>
      </w:r>
      <w:r w:rsidR="00797B33">
        <w:t>043</w:t>
      </w:r>
      <w:r w:rsidR="00033081">
        <w:t xml:space="preserve"> </w:t>
      </w:r>
      <w:r>
        <w:t xml:space="preserve">Fonterra </w:t>
      </w:r>
    </w:p>
  </w:footnote>
  <w:footnote w:id="1375">
    <w:p w14:paraId="7193EBA7" w14:textId="48625606" w:rsidR="00BE7391" w:rsidRDefault="00BE7391" w:rsidP="00BE7391">
      <w:pPr>
        <w:pStyle w:val="FootnoteText"/>
      </w:pPr>
      <w:r>
        <w:rPr>
          <w:rStyle w:val="FootnoteReference"/>
        </w:rPr>
        <w:footnoteRef/>
      </w:r>
      <w:r>
        <w:t xml:space="preserve"> </w:t>
      </w:r>
      <w:r w:rsidR="00797B33">
        <w:t>00213.043</w:t>
      </w:r>
      <w:r>
        <w:t xml:space="preserve"> Fonterra </w:t>
      </w:r>
    </w:p>
  </w:footnote>
  <w:footnote w:id="1376">
    <w:p w14:paraId="7169BD42" w14:textId="2E1A3525" w:rsidR="00BE7391" w:rsidRDefault="00BE7391" w:rsidP="00BE7391">
      <w:pPr>
        <w:pStyle w:val="FootnoteText"/>
      </w:pPr>
      <w:r>
        <w:rPr>
          <w:rStyle w:val="FootnoteReference"/>
        </w:rPr>
        <w:footnoteRef/>
      </w:r>
      <w:r>
        <w:t xml:space="preserve"> 00139.261</w:t>
      </w:r>
      <w:r w:rsidR="00797B33">
        <w:t xml:space="preserve"> </w:t>
      </w:r>
      <w:r>
        <w:t xml:space="preserve">DCC </w:t>
      </w:r>
    </w:p>
  </w:footnote>
  <w:footnote w:id="1377">
    <w:p w14:paraId="1724D11F" w14:textId="61A6BB58" w:rsidR="00BE7391" w:rsidRDefault="00BE7391" w:rsidP="00BE7391">
      <w:pPr>
        <w:pStyle w:val="FootnoteText"/>
      </w:pPr>
      <w:r>
        <w:rPr>
          <w:rStyle w:val="FootnoteReference"/>
        </w:rPr>
        <w:footnoteRef/>
      </w:r>
      <w:r>
        <w:t xml:space="preserve"> </w:t>
      </w:r>
      <w:r w:rsidR="00797B33">
        <w:t>00510.064</w:t>
      </w:r>
      <w:r>
        <w:t xml:space="preserve"> The Fuel Companies </w:t>
      </w:r>
    </w:p>
  </w:footnote>
  <w:footnote w:id="1378">
    <w:p w14:paraId="733FF19C" w14:textId="665F705F" w:rsidR="00BE7391" w:rsidRDefault="00BE7391" w:rsidP="00BE7391">
      <w:pPr>
        <w:pStyle w:val="FootnoteText"/>
      </w:pPr>
      <w:r>
        <w:rPr>
          <w:rStyle w:val="FootnoteReference"/>
        </w:rPr>
        <w:footnoteRef/>
      </w:r>
      <w:r w:rsidRPr="00797B33">
        <w:t xml:space="preserve"> </w:t>
      </w:r>
      <w:r w:rsidR="00797B33" w:rsidRPr="00797B33">
        <w:t>00510.064</w:t>
      </w:r>
      <w:r>
        <w:t xml:space="preserve"> The Fuel Companies </w:t>
      </w:r>
    </w:p>
  </w:footnote>
  <w:footnote w:id="1379">
    <w:p w14:paraId="7724EAB9" w14:textId="131BF42F" w:rsidR="00BE7391" w:rsidRDefault="00BE7391" w:rsidP="00BE7391">
      <w:pPr>
        <w:pStyle w:val="FootnoteText"/>
      </w:pPr>
      <w:r>
        <w:rPr>
          <w:rStyle w:val="FootnoteReference"/>
        </w:rPr>
        <w:footnoteRef/>
      </w:r>
      <w:r w:rsidRPr="00797B33">
        <w:t xml:space="preserve"> </w:t>
      </w:r>
      <w:r w:rsidR="00797B33" w:rsidRPr="00797B33">
        <w:t>00510.064</w:t>
      </w:r>
      <w:r>
        <w:t xml:space="preserve"> The Fuel Companies </w:t>
      </w:r>
    </w:p>
  </w:footnote>
  <w:footnote w:id="1380">
    <w:p w14:paraId="1A86FB09" w14:textId="625182E3" w:rsidR="00BE7391" w:rsidRDefault="00BE7391">
      <w:pPr>
        <w:pStyle w:val="FootnoteText"/>
      </w:pPr>
      <w:r>
        <w:rPr>
          <w:rStyle w:val="FootnoteReference"/>
        </w:rPr>
        <w:footnoteRef/>
      </w:r>
      <w:r>
        <w:t xml:space="preserve"> Clause 16(2), Schedule 1, RMA</w:t>
      </w:r>
    </w:p>
  </w:footnote>
  <w:footnote w:id="1381">
    <w:p w14:paraId="5E4DC18D" w14:textId="11B51492" w:rsidR="00417301" w:rsidRPr="00797B33" w:rsidRDefault="00417301" w:rsidP="00417301">
      <w:pPr>
        <w:pStyle w:val="FootnoteText"/>
      </w:pPr>
      <w:r w:rsidRPr="00797B33">
        <w:rPr>
          <w:rStyle w:val="FootnoteReference"/>
        </w:rPr>
        <w:footnoteRef/>
      </w:r>
      <w:r w:rsidRPr="00797B33">
        <w:t xml:space="preserve"> </w:t>
      </w:r>
      <w:r w:rsidR="00797B33" w:rsidRPr="00797B33">
        <w:t>00226.317</w:t>
      </w:r>
      <w:r w:rsidRPr="00797B33">
        <w:t xml:space="preserve"> Kai Tahu ki Otago </w:t>
      </w:r>
    </w:p>
  </w:footnote>
  <w:footnote w:id="1382">
    <w:p w14:paraId="6931CBF8" w14:textId="7DFCCBCF" w:rsidR="004A1F01" w:rsidRPr="00081780" w:rsidRDefault="004A1F01" w:rsidP="004A1F01">
      <w:pPr>
        <w:pStyle w:val="FootnoteText"/>
        <w:rPr>
          <w:highlight w:val="yellow"/>
        </w:rPr>
      </w:pPr>
      <w:r w:rsidRPr="00797B33">
        <w:rPr>
          <w:rStyle w:val="FootnoteReference"/>
        </w:rPr>
        <w:footnoteRef/>
      </w:r>
      <w:r w:rsidRPr="00797B33">
        <w:t xml:space="preserve"> 00235.152</w:t>
      </w:r>
      <w:r w:rsidR="00797B33" w:rsidRPr="00797B33">
        <w:t xml:space="preserve"> </w:t>
      </w:r>
      <w:r w:rsidRPr="00797B33">
        <w:t xml:space="preserve">OWRUG, </w:t>
      </w:r>
      <w:r w:rsidR="00797B33" w:rsidRPr="00797B33">
        <w:t>00015.032</w:t>
      </w:r>
      <w:r w:rsidRPr="00797B33">
        <w:t xml:space="preserve"> Oceana Gold </w:t>
      </w:r>
    </w:p>
  </w:footnote>
  <w:footnote w:id="1383">
    <w:p w14:paraId="366AD823" w14:textId="7C9D5D0A" w:rsidR="004A1F01" w:rsidRPr="00D62E3F" w:rsidRDefault="004A1F01" w:rsidP="004A1F01">
      <w:pPr>
        <w:pStyle w:val="FootnoteText"/>
      </w:pPr>
      <w:r w:rsidRPr="00D62E3F">
        <w:rPr>
          <w:rStyle w:val="FootnoteReference"/>
        </w:rPr>
        <w:footnoteRef/>
      </w:r>
      <w:r w:rsidRPr="00D62E3F">
        <w:t xml:space="preserve"> </w:t>
      </w:r>
      <w:r w:rsidR="009658E1" w:rsidRPr="00D62E3F">
        <w:t>00226.318</w:t>
      </w:r>
      <w:r w:rsidRPr="00D62E3F">
        <w:t xml:space="preserve"> Horticulture NZ, Kai Tahu ki Otago</w:t>
      </w:r>
      <w:r w:rsidR="009658E1" w:rsidRPr="00D62E3F">
        <w:t>, 00015.032</w:t>
      </w:r>
      <w:r w:rsidRPr="00D62E3F">
        <w:t xml:space="preserve"> Oceana Gold</w:t>
      </w:r>
      <w:r w:rsidR="009658E1" w:rsidRPr="00D62E3F">
        <w:t>,</w:t>
      </w:r>
      <w:r w:rsidRPr="00D62E3F">
        <w:t xml:space="preserve"> 00235.152</w:t>
      </w:r>
      <w:r w:rsidR="009658E1" w:rsidRPr="00D62E3F">
        <w:t xml:space="preserve"> OWRUG, 00410.009</w:t>
      </w:r>
      <w:r w:rsidRPr="00D62E3F">
        <w:t xml:space="preserve"> Rural Contractors NZ</w:t>
      </w:r>
      <w:r w:rsidR="009658E1" w:rsidRPr="00D62E3F">
        <w:t>, 00016.024</w:t>
      </w:r>
      <w:r w:rsidRPr="00D62E3F">
        <w:t xml:space="preserve"> Alluvium and Stoney Creek </w:t>
      </w:r>
    </w:p>
  </w:footnote>
  <w:footnote w:id="1384">
    <w:p w14:paraId="3BF297E6" w14:textId="4E5F016A" w:rsidR="004A1F01" w:rsidRPr="00081780" w:rsidRDefault="004A1F01" w:rsidP="004A1F01">
      <w:pPr>
        <w:pStyle w:val="FootnoteText"/>
        <w:rPr>
          <w:highlight w:val="yellow"/>
        </w:rPr>
      </w:pPr>
      <w:r w:rsidRPr="00D62E3F">
        <w:rPr>
          <w:rStyle w:val="FootnoteReference"/>
        </w:rPr>
        <w:footnoteRef/>
      </w:r>
      <w:r w:rsidRPr="00D62E3F">
        <w:t xml:space="preserve"> </w:t>
      </w:r>
      <w:r w:rsidR="00D62E3F" w:rsidRPr="00D62E3F">
        <w:rPr>
          <w:rFonts w:cstheme="minorHAnsi"/>
          <w:u w:color="000000" w:themeColor="text1"/>
        </w:rPr>
        <w:t xml:space="preserve">00226.310 </w:t>
      </w:r>
      <w:r w:rsidRPr="00D62E3F">
        <w:rPr>
          <w:rFonts w:eastAsia="Calibri" w:cstheme="minorHAnsi"/>
          <w:u w:color="000000" w:themeColor="text1"/>
        </w:rPr>
        <w:t>Kāi Tahu ki Otago</w:t>
      </w:r>
      <w:r w:rsidRPr="00D62E3F">
        <w:rPr>
          <w:rFonts w:cstheme="minorHAnsi"/>
          <w:u w:color="000000" w:themeColor="text1"/>
        </w:rPr>
        <w:t xml:space="preserve"> and </w:t>
      </w:r>
      <w:r w:rsidRPr="00D62E3F">
        <w:t xml:space="preserve">General Themes Section, in response to </w:t>
      </w:r>
      <w:r w:rsidRPr="00D62E3F">
        <w:rPr>
          <w:lang w:val="en-GB"/>
        </w:rPr>
        <w:t>00235.008</w:t>
      </w:r>
      <w:r w:rsidR="00D62E3F" w:rsidRPr="00D62E3F">
        <w:rPr>
          <w:lang w:val="en-GB"/>
        </w:rPr>
        <w:t xml:space="preserve"> </w:t>
      </w:r>
      <w:r w:rsidRPr="00D62E3F">
        <w:rPr>
          <w:lang w:val="en-GB"/>
        </w:rPr>
        <w:t xml:space="preserve">OWRUG </w:t>
      </w:r>
    </w:p>
  </w:footnote>
  <w:footnote w:id="1385">
    <w:p w14:paraId="52E76BA6" w14:textId="7F14A4F7" w:rsidR="004A1F01" w:rsidRPr="00081780" w:rsidRDefault="004A1F01" w:rsidP="004A1F01">
      <w:pPr>
        <w:pStyle w:val="FootnoteText"/>
        <w:rPr>
          <w:highlight w:val="yellow"/>
        </w:rPr>
      </w:pPr>
      <w:r w:rsidRPr="0040179D">
        <w:rPr>
          <w:rStyle w:val="FootnoteReference"/>
        </w:rPr>
        <w:footnoteRef/>
      </w:r>
      <w:r w:rsidRPr="0040179D">
        <w:t xml:space="preserve"> </w:t>
      </w:r>
      <w:r w:rsidR="0040179D" w:rsidRPr="0040179D">
        <w:rPr>
          <w:rFonts w:cstheme="minorHAnsi"/>
          <w:u w:color="000000" w:themeColor="text1"/>
        </w:rPr>
        <w:t>00236.102</w:t>
      </w:r>
      <w:r w:rsidRPr="0040179D">
        <w:t xml:space="preserve"> Horticulture NZ</w:t>
      </w:r>
      <w:r w:rsidRPr="00657AAE">
        <w:t xml:space="preserve">, </w:t>
      </w:r>
      <w:r w:rsidR="00D62E3F" w:rsidRPr="00657AAE">
        <w:t xml:space="preserve">00226.318 </w:t>
      </w:r>
      <w:r w:rsidRPr="00657AAE">
        <w:t>Kai Tahu ki Otago</w:t>
      </w:r>
      <w:r w:rsidR="00D62E3F" w:rsidRPr="00657AAE">
        <w:t>, 00015.032</w:t>
      </w:r>
      <w:r w:rsidRPr="00657AAE">
        <w:t xml:space="preserve"> Oceana Gold</w:t>
      </w:r>
      <w:r w:rsidR="00D62E3F" w:rsidRPr="00657AAE">
        <w:t>,</w:t>
      </w:r>
      <w:r w:rsidRPr="00657AAE">
        <w:t xml:space="preserve"> 00235.152</w:t>
      </w:r>
      <w:r w:rsidR="00D62E3F" w:rsidRPr="00657AAE">
        <w:t xml:space="preserve"> OWRUG, 00410.009</w:t>
      </w:r>
      <w:r w:rsidRPr="00657AAE">
        <w:t xml:space="preserve"> Rural Contractors NZ</w:t>
      </w:r>
      <w:r w:rsidR="00D62E3F" w:rsidRPr="00657AAE">
        <w:t>, 00016.024</w:t>
      </w:r>
      <w:r w:rsidRPr="00657AAE">
        <w:t xml:space="preserve"> Alluvium and Stoney Creek </w:t>
      </w:r>
    </w:p>
  </w:footnote>
  <w:footnote w:id="1386">
    <w:p w14:paraId="698256C3" w14:textId="485BA60D" w:rsidR="00871C01" w:rsidRPr="00A5017C" w:rsidRDefault="00871C01" w:rsidP="00871C01">
      <w:pPr>
        <w:pStyle w:val="FootnoteText"/>
      </w:pPr>
      <w:r w:rsidRPr="00C471C6">
        <w:rPr>
          <w:rStyle w:val="FootnoteReference"/>
        </w:rPr>
        <w:footnoteRef/>
      </w:r>
      <w:r w:rsidRPr="00C471C6">
        <w:t xml:space="preserve"> </w:t>
      </w:r>
      <w:r w:rsidR="00C471C6" w:rsidRPr="00C471C6">
        <w:rPr>
          <w:rFonts w:cstheme="minorHAnsi"/>
          <w:u w:color="000000" w:themeColor="text1"/>
        </w:rPr>
        <w:t>00236.102</w:t>
      </w:r>
      <w:r w:rsidRPr="00C471C6">
        <w:t xml:space="preserve"> </w:t>
      </w:r>
      <w:r w:rsidR="00D62E3F" w:rsidRPr="00C471C6">
        <w:t>Horticulture NZ</w:t>
      </w:r>
      <w:r w:rsidR="00D62E3F" w:rsidRPr="00657AAE">
        <w:t xml:space="preserve">, 00226.318 Kai Tahu ki Otago, 00015.032 Oceana Gold, 00235.152 OWRUG, 00410.009 Rural </w:t>
      </w:r>
      <w:r w:rsidR="00D62E3F" w:rsidRPr="00A5017C">
        <w:t xml:space="preserve">Contractors NZ, 00016.024 Alluvium and Stoney Creek </w:t>
      </w:r>
    </w:p>
  </w:footnote>
  <w:footnote w:id="1387">
    <w:p w14:paraId="412D094D" w14:textId="7AC5E168" w:rsidR="009E660B" w:rsidRPr="00A5017C" w:rsidRDefault="009E660B" w:rsidP="009E660B">
      <w:pPr>
        <w:pStyle w:val="FootnoteText"/>
      </w:pPr>
      <w:r w:rsidRPr="00A5017C">
        <w:rPr>
          <w:rStyle w:val="FootnoteReference"/>
        </w:rPr>
        <w:footnoteRef/>
      </w:r>
      <w:r w:rsidRPr="00A5017C">
        <w:t xml:space="preserve"> </w:t>
      </w:r>
      <w:r w:rsidR="0020603A" w:rsidRPr="00A5017C">
        <w:rPr>
          <w:rFonts w:eastAsia="Calibri" w:cstheme="minorHAnsi"/>
          <w:bCs/>
          <w:u w:color="000000" w:themeColor="text1"/>
        </w:rPr>
        <w:t>00226.310</w:t>
      </w:r>
      <w:r w:rsidRPr="00A5017C">
        <w:rPr>
          <w:rFonts w:eastAsia="Calibri" w:cstheme="minorHAnsi"/>
          <w:u w:color="000000" w:themeColor="text1"/>
        </w:rPr>
        <w:t xml:space="preserve"> Kāi Tahu ki Otago, and General Themes Section, in response to </w:t>
      </w:r>
      <w:r w:rsidR="0020603A" w:rsidRPr="00A5017C">
        <w:rPr>
          <w:rFonts w:eastAsia="Calibri" w:cstheme="minorHAnsi"/>
          <w:bCs/>
          <w:u w:color="000000" w:themeColor="text1"/>
        </w:rPr>
        <w:t xml:space="preserve">00235.008 </w:t>
      </w:r>
      <w:r w:rsidRPr="00A5017C">
        <w:rPr>
          <w:rFonts w:eastAsia="Calibri" w:cstheme="minorHAnsi"/>
          <w:u w:color="000000" w:themeColor="text1"/>
        </w:rPr>
        <w:t xml:space="preserve">OWRUG </w:t>
      </w:r>
      <w:r w:rsidR="0020603A" w:rsidRPr="00A5017C">
        <w:rPr>
          <w:rFonts w:eastAsia="Calibri" w:cstheme="minorHAnsi"/>
          <w:bCs/>
          <w:u w:color="000000" w:themeColor="text1"/>
        </w:rPr>
        <w:t>and</w:t>
      </w:r>
      <w:r w:rsidRPr="00A5017C">
        <w:rPr>
          <w:rFonts w:eastAsia="Calibri" w:cstheme="minorHAnsi"/>
          <w:u w:color="000000" w:themeColor="text1"/>
        </w:rPr>
        <w:t xml:space="preserve"> consequential to amendment to subclause 2</w:t>
      </w:r>
    </w:p>
  </w:footnote>
  <w:footnote w:id="1388">
    <w:p w14:paraId="04BDAD4D" w14:textId="7EFE275F" w:rsidR="00417301" w:rsidRPr="00A5017C" w:rsidRDefault="00417301" w:rsidP="00417301">
      <w:pPr>
        <w:pStyle w:val="FootnoteText"/>
      </w:pPr>
      <w:r w:rsidRPr="00A5017C">
        <w:rPr>
          <w:rStyle w:val="FootnoteReference"/>
        </w:rPr>
        <w:footnoteRef/>
      </w:r>
      <w:r w:rsidRPr="00A5017C">
        <w:t xml:space="preserve"> </w:t>
      </w:r>
      <w:r w:rsidR="0020603A" w:rsidRPr="00A5017C">
        <w:rPr>
          <w:rFonts w:cstheme="minorHAnsi"/>
          <w:u w:color="000000" w:themeColor="text1"/>
        </w:rPr>
        <w:t>00226.310</w:t>
      </w:r>
      <w:r w:rsidRPr="00A5017C">
        <w:rPr>
          <w:rFonts w:cstheme="minorHAnsi"/>
          <w:u w:color="000000" w:themeColor="text1"/>
        </w:rPr>
        <w:t xml:space="preserve"> </w:t>
      </w:r>
      <w:r w:rsidRPr="00A5017C">
        <w:rPr>
          <w:rFonts w:eastAsia="Calibri" w:cstheme="minorHAnsi"/>
          <w:u w:color="000000" w:themeColor="text1"/>
        </w:rPr>
        <w:t>Kāi Tahu ki Otago</w:t>
      </w:r>
      <w:r w:rsidRPr="00A5017C">
        <w:rPr>
          <w:rFonts w:cstheme="minorHAnsi"/>
          <w:u w:color="000000" w:themeColor="text1"/>
        </w:rPr>
        <w:t xml:space="preserve">  </w:t>
      </w:r>
    </w:p>
  </w:footnote>
  <w:footnote w:id="1389">
    <w:p w14:paraId="60720D84" w14:textId="0EDE3E68" w:rsidR="00417301" w:rsidRPr="00A5017C" w:rsidRDefault="00417301" w:rsidP="00417301">
      <w:pPr>
        <w:pStyle w:val="FootnoteText"/>
      </w:pPr>
      <w:r w:rsidRPr="00A5017C">
        <w:rPr>
          <w:rStyle w:val="FootnoteReference"/>
        </w:rPr>
        <w:footnoteRef/>
      </w:r>
      <w:r w:rsidRPr="00A5017C">
        <w:t xml:space="preserve"> </w:t>
      </w:r>
      <w:r w:rsidR="0020603A" w:rsidRPr="00A5017C">
        <w:t>0015.032</w:t>
      </w:r>
      <w:r w:rsidRPr="00A5017C">
        <w:t xml:space="preserve"> Oceana Gold</w:t>
      </w:r>
    </w:p>
  </w:footnote>
  <w:footnote w:id="1390">
    <w:p w14:paraId="127D7612" w14:textId="2E90B308" w:rsidR="00417301" w:rsidRDefault="00417301" w:rsidP="00417301">
      <w:pPr>
        <w:pStyle w:val="FootnoteText"/>
      </w:pPr>
      <w:r w:rsidRPr="00A5017C">
        <w:rPr>
          <w:rStyle w:val="FootnoteReference"/>
        </w:rPr>
        <w:footnoteRef/>
      </w:r>
      <w:r w:rsidRPr="00A5017C">
        <w:t xml:space="preserve"> </w:t>
      </w:r>
      <w:r w:rsidR="0020603A" w:rsidRPr="00A5017C">
        <w:t>00206.072</w:t>
      </w:r>
      <w:r w:rsidRPr="00A5017C">
        <w:t xml:space="preserve"> Trojan</w:t>
      </w:r>
      <w:r w:rsidRPr="00C701E5">
        <w:t xml:space="preserve">, </w:t>
      </w:r>
      <w:r w:rsidR="0020603A" w:rsidRPr="00C701E5">
        <w:t>00411.135</w:t>
      </w:r>
      <w:r w:rsidRPr="00C701E5">
        <w:t xml:space="preserve"> Wayfare, 00402.016 &amp; 00401.015</w:t>
      </w:r>
      <w:r w:rsidR="0020603A" w:rsidRPr="00C701E5">
        <w:t xml:space="preserve"> </w:t>
      </w:r>
      <w:r w:rsidRPr="00C701E5">
        <w:t>Sipka Holdings,</w:t>
      </w:r>
    </w:p>
  </w:footnote>
  <w:footnote w:id="1391">
    <w:p w14:paraId="72274057" w14:textId="3866550F" w:rsidR="004A1F01" w:rsidRPr="0020517A" w:rsidRDefault="004A1F01" w:rsidP="0020517A">
      <w:pPr>
        <w:pStyle w:val="FootnoteText"/>
        <w:rPr>
          <w:highlight w:val="yellow"/>
        </w:rPr>
      </w:pPr>
      <w:r w:rsidRPr="00C701E5">
        <w:rPr>
          <w:rStyle w:val="FootnoteReference"/>
        </w:rPr>
        <w:footnoteRef/>
      </w:r>
      <w:r w:rsidRPr="00C701E5">
        <w:t xml:space="preserve"> </w:t>
      </w:r>
      <w:r w:rsidR="0020603A" w:rsidRPr="00C701E5">
        <w:t>00321.095</w:t>
      </w:r>
      <w:r w:rsidRPr="00C701E5">
        <w:t xml:space="preserve"> </w:t>
      </w:r>
      <w:r w:rsidR="0066264B">
        <w:t>Te Waihanga</w:t>
      </w:r>
      <w:r w:rsidRPr="00C701E5">
        <w:t xml:space="preserve"> </w:t>
      </w:r>
    </w:p>
  </w:footnote>
  <w:footnote w:id="1392">
    <w:p w14:paraId="66DC4576" w14:textId="641F98A9" w:rsidR="004A1F01" w:rsidRPr="0020517A" w:rsidRDefault="004A1F01" w:rsidP="0020517A">
      <w:pPr>
        <w:pStyle w:val="FootnoteText"/>
        <w:rPr>
          <w:highlight w:val="yellow"/>
        </w:rPr>
      </w:pPr>
      <w:r w:rsidRPr="002B06D5">
        <w:rPr>
          <w:rStyle w:val="FootnoteReference"/>
        </w:rPr>
        <w:footnoteRef/>
      </w:r>
      <w:r w:rsidRPr="002B06D5">
        <w:t xml:space="preserve"> </w:t>
      </w:r>
      <w:r w:rsidR="002B06D5" w:rsidRPr="002B06D5">
        <w:rPr>
          <w:rFonts w:cstheme="minorHAnsi"/>
          <w:u w:color="000000" w:themeColor="text1"/>
        </w:rPr>
        <w:t>00231.091</w:t>
      </w:r>
      <w:r w:rsidRPr="002B06D5">
        <w:rPr>
          <w:rFonts w:cstheme="minorHAnsi"/>
          <w:u w:color="000000" w:themeColor="text1"/>
        </w:rPr>
        <w:t xml:space="preserve"> </w:t>
      </w:r>
      <w:r w:rsidRPr="002B06D5">
        <w:t>Fish and Game</w:t>
      </w:r>
      <w:r w:rsidRPr="00657AAE">
        <w:t xml:space="preserve">, </w:t>
      </w:r>
      <w:r w:rsidR="00C701E5" w:rsidRPr="00657AAE">
        <w:t xml:space="preserve">00411.135 </w:t>
      </w:r>
      <w:r w:rsidRPr="00657AAE">
        <w:t>Wayfare</w:t>
      </w:r>
      <w:r w:rsidR="00C701E5" w:rsidRPr="00657AAE">
        <w:t>, 00206.072</w:t>
      </w:r>
      <w:r w:rsidRPr="00657AAE">
        <w:t xml:space="preserve"> Trojan</w:t>
      </w:r>
      <w:r w:rsidR="00C701E5" w:rsidRPr="00657AAE">
        <w:t>, 00321.095</w:t>
      </w:r>
      <w:r w:rsidRPr="00657AAE">
        <w:t xml:space="preserve"> </w:t>
      </w:r>
      <w:r w:rsidR="0066264B">
        <w:t>Te Waihanga</w:t>
      </w:r>
    </w:p>
  </w:footnote>
  <w:footnote w:id="1393">
    <w:p w14:paraId="2B61A373" w14:textId="132959DF" w:rsidR="004A1F01" w:rsidRPr="00C701E5" w:rsidRDefault="004A1F01" w:rsidP="0020517A">
      <w:pPr>
        <w:pStyle w:val="CommentText"/>
        <w:spacing w:after="0"/>
        <w:rPr>
          <w:sz w:val="18"/>
          <w:szCs w:val="18"/>
        </w:rPr>
      </w:pPr>
      <w:r w:rsidRPr="00C701E5">
        <w:rPr>
          <w:rStyle w:val="FootnoteReference"/>
          <w:sz w:val="18"/>
          <w:szCs w:val="18"/>
        </w:rPr>
        <w:footnoteRef/>
      </w:r>
      <w:r w:rsidRPr="00C701E5">
        <w:rPr>
          <w:sz w:val="18"/>
          <w:szCs w:val="18"/>
        </w:rPr>
        <w:t xml:space="preserve"> </w:t>
      </w:r>
      <w:r w:rsidR="0077574F" w:rsidRPr="00C701E5">
        <w:rPr>
          <w:rFonts w:cs="Calibri"/>
          <w:sz w:val="18"/>
          <w:szCs w:val="18"/>
          <w:u w:color="000000" w:themeColor="text1"/>
        </w:rPr>
        <w:t>00221.015</w:t>
      </w:r>
      <w:r w:rsidRPr="00C701E5">
        <w:rPr>
          <w:rFonts w:cs="Calibri"/>
          <w:sz w:val="18"/>
          <w:szCs w:val="18"/>
          <w:u w:color="000000" w:themeColor="text1"/>
        </w:rPr>
        <w:t xml:space="preserve"> </w:t>
      </w:r>
      <w:r w:rsidRPr="00C701E5">
        <w:rPr>
          <w:sz w:val="18"/>
          <w:szCs w:val="18"/>
        </w:rPr>
        <w:t xml:space="preserve">Silver Fern Farms </w:t>
      </w:r>
    </w:p>
  </w:footnote>
  <w:footnote w:id="1394">
    <w:p w14:paraId="5BC8359D" w14:textId="5FF0809C" w:rsidR="004A1F01" w:rsidRPr="00C701E5" w:rsidRDefault="004A1F01" w:rsidP="0020517A">
      <w:pPr>
        <w:pStyle w:val="FootnoteText"/>
      </w:pPr>
      <w:r w:rsidRPr="00C701E5">
        <w:rPr>
          <w:rStyle w:val="FootnoteReference"/>
        </w:rPr>
        <w:footnoteRef/>
      </w:r>
      <w:r w:rsidRPr="00C701E5">
        <w:t xml:space="preserve"> </w:t>
      </w:r>
      <w:r w:rsidR="0077574F" w:rsidRPr="00C701E5">
        <w:t>00321.095</w:t>
      </w:r>
      <w:r w:rsidRPr="00C701E5">
        <w:t xml:space="preserve"> </w:t>
      </w:r>
      <w:r w:rsidR="005505A1">
        <w:t>Te Waihanga</w:t>
      </w:r>
      <w:r w:rsidRPr="00C701E5">
        <w:t xml:space="preserve"> </w:t>
      </w:r>
    </w:p>
  </w:footnote>
  <w:footnote w:id="1395">
    <w:p w14:paraId="66B95917" w14:textId="09708373" w:rsidR="009B59D9" w:rsidRPr="0020517A" w:rsidRDefault="009B59D9" w:rsidP="0020517A">
      <w:pPr>
        <w:pStyle w:val="FootnoteText"/>
        <w:rPr>
          <w:highlight w:val="yellow"/>
        </w:rPr>
      </w:pPr>
      <w:r w:rsidRPr="00C701E5">
        <w:rPr>
          <w:rStyle w:val="FootnoteReference"/>
        </w:rPr>
        <w:footnoteRef/>
      </w:r>
      <w:r w:rsidRPr="00C701E5">
        <w:t xml:space="preserve"> Clause 16(2), Schedule 1, RMA</w:t>
      </w:r>
    </w:p>
  </w:footnote>
  <w:footnote w:id="1396">
    <w:p w14:paraId="44D36C40" w14:textId="7FBBC603" w:rsidR="000B41B2" w:rsidRPr="000D33F2" w:rsidRDefault="000B41B2" w:rsidP="0020517A">
      <w:pPr>
        <w:pStyle w:val="FootnoteText"/>
      </w:pPr>
      <w:r w:rsidRPr="000D33F2">
        <w:rPr>
          <w:rStyle w:val="FootnoteReference"/>
        </w:rPr>
        <w:footnoteRef/>
      </w:r>
      <w:r w:rsidRPr="000D33F2">
        <w:t xml:space="preserve"> </w:t>
      </w:r>
      <w:r w:rsidR="00161710" w:rsidRPr="000D33F2">
        <w:t>00236.103</w:t>
      </w:r>
      <w:r w:rsidRPr="000D33F2">
        <w:t xml:space="preserve"> Horticulture NZ, </w:t>
      </w:r>
      <w:r w:rsidR="00161710" w:rsidRPr="000D33F2">
        <w:t>00208.012</w:t>
      </w:r>
      <w:r w:rsidRPr="000D33F2">
        <w:t xml:space="preserve"> AgResearch, 00235.153</w:t>
      </w:r>
      <w:r w:rsidR="00161710" w:rsidRPr="000D33F2">
        <w:t xml:space="preserve"> </w:t>
      </w:r>
      <w:r w:rsidRPr="000D33F2">
        <w:t xml:space="preserve">OWRUG, </w:t>
      </w:r>
      <w:r w:rsidR="00161710" w:rsidRPr="000D33F2">
        <w:t xml:space="preserve">00410.010 </w:t>
      </w:r>
      <w:r w:rsidRPr="000D33F2">
        <w:t xml:space="preserve">Rural </w:t>
      </w:r>
      <w:r w:rsidR="0066264B">
        <w:t>C</w:t>
      </w:r>
      <w:r w:rsidRPr="000D33F2">
        <w:t xml:space="preserve">ontractors NZ </w:t>
      </w:r>
    </w:p>
  </w:footnote>
  <w:footnote w:id="1397">
    <w:p w14:paraId="7B309321" w14:textId="1067B180" w:rsidR="000B41B2" w:rsidRPr="000D33F2" w:rsidRDefault="000B41B2" w:rsidP="0020517A">
      <w:pPr>
        <w:pStyle w:val="FootnoteText"/>
      </w:pPr>
      <w:r w:rsidRPr="000D33F2">
        <w:rPr>
          <w:rStyle w:val="FootnoteReference"/>
        </w:rPr>
        <w:footnoteRef/>
      </w:r>
      <w:r w:rsidRPr="000D33F2">
        <w:t xml:space="preserve"> </w:t>
      </w:r>
      <w:r w:rsidR="00161710" w:rsidRPr="000D33F2">
        <w:t>00236.103</w:t>
      </w:r>
      <w:r w:rsidRPr="000D33F2">
        <w:t xml:space="preserve"> Horticulture NZ</w:t>
      </w:r>
      <w:r w:rsidR="00161710" w:rsidRPr="000D33F2">
        <w:t>, 00208.012</w:t>
      </w:r>
      <w:r w:rsidRPr="000D33F2">
        <w:t xml:space="preserve"> AgResearch</w:t>
      </w:r>
      <w:r w:rsidR="00161710" w:rsidRPr="000D33F2">
        <w:t>,</w:t>
      </w:r>
      <w:r w:rsidRPr="000D33F2">
        <w:t xml:space="preserve"> 00235.153</w:t>
      </w:r>
      <w:r w:rsidR="00161710" w:rsidRPr="000D33F2">
        <w:t xml:space="preserve"> OWRUG, 00410.010</w:t>
      </w:r>
      <w:r w:rsidRPr="000D33F2">
        <w:t xml:space="preserve"> Rural </w:t>
      </w:r>
      <w:r w:rsidR="0066264B">
        <w:t>C</w:t>
      </w:r>
      <w:r w:rsidRPr="000D33F2">
        <w:t>ontractors NZ</w:t>
      </w:r>
    </w:p>
  </w:footnote>
  <w:footnote w:id="1398">
    <w:p w14:paraId="11895932" w14:textId="75113B56" w:rsidR="000B41B2" w:rsidRPr="000D33F2" w:rsidRDefault="000B41B2" w:rsidP="0020517A">
      <w:pPr>
        <w:pStyle w:val="FootnoteText"/>
      </w:pPr>
      <w:r w:rsidRPr="000D33F2">
        <w:rPr>
          <w:rStyle w:val="FootnoteReference"/>
        </w:rPr>
        <w:footnoteRef/>
      </w:r>
      <w:r w:rsidRPr="000D33F2">
        <w:t xml:space="preserve"> </w:t>
      </w:r>
      <w:r w:rsidR="00161710" w:rsidRPr="000D33F2">
        <w:t>00121.102</w:t>
      </w:r>
      <w:r w:rsidRPr="000D33F2">
        <w:t xml:space="preserve"> Ravensdown, and </w:t>
      </w:r>
      <w:r w:rsidR="00161710" w:rsidRPr="000D33F2">
        <w:t xml:space="preserve">00413.008 </w:t>
      </w:r>
      <w:r w:rsidRPr="000D33F2">
        <w:t xml:space="preserve">NZ Cherry Corp, </w:t>
      </w:r>
      <w:r w:rsidR="00161710" w:rsidRPr="000D33F2">
        <w:t xml:space="preserve">00414.006 </w:t>
      </w:r>
      <w:r w:rsidRPr="000D33F2">
        <w:t>Infinity in part</w:t>
      </w:r>
    </w:p>
  </w:footnote>
  <w:footnote w:id="1399">
    <w:p w14:paraId="47CC708E" w14:textId="681B434B" w:rsidR="002D3521" w:rsidRPr="000D33F2" w:rsidRDefault="002D3521" w:rsidP="0020517A">
      <w:pPr>
        <w:pStyle w:val="FootnoteText"/>
      </w:pPr>
      <w:r w:rsidRPr="000D33F2">
        <w:rPr>
          <w:rStyle w:val="FootnoteReference"/>
        </w:rPr>
        <w:footnoteRef/>
      </w:r>
      <w:r w:rsidRPr="000D33F2">
        <w:t xml:space="preserve"> </w:t>
      </w:r>
      <w:r w:rsidR="00601886" w:rsidRPr="000D33F2">
        <w:t>00226</w:t>
      </w:r>
      <w:r w:rsidR="000D33F2" w:rsidRPr="000D33F2">
        <w:t xml:space="preserve">.319 </w:t>
      </w:r>
      <w:r w:rsidRPr="000D33F2">
        <w:t>Kai Tahu ki Otago, 0235.153</w:t>
      </w:r>
      <w:r w:rsidR="00BD1BE5" w:rsidRPr="000D33F2">
        <w:t xml:space="preserve"> </w:t>
      </w:r>
      <w:r w:rsidRPr="000D33F2">
        <w:t xml:space="preserve">QLDC, </w:t>
      </w:r>
      <w:r w:rsidR="00BD1BE5" w:rsidRPr="000D33F2">
        <w:t>00121.102</w:t>
      </w:r>
      <w:r w:rsidRPr="000D33F2">
        <w:t xml:space="preserve"> Ravensdown </w:t>
      </w:r>
    </w:p>
  </w:footnote>
  <w:footnote w:id="1400">
    <w:p w14:paraId="0216A139" w14:textId="121FE919" w:rsidR="00417301" w:rsidRPr="000D33F2" w:rsidRDefault="00417301" w:rsidP="00417301">
      <w:pPr>
        <w:pStyle w:val="FootnoteText"/>
      </w:pPr>
      <w:r w:rsidRPr="000D33F2">
        <w:rPr>
          <w:rStyle w:val="FootnoteReference"/>
        </w:rPr>
        <w:footnoteRef/>
      </w:r>
      <w:r w:rsidRPr="000D33F2">
        <w:t xml:space="preserve"> 00219.019</w:t>
      </w:r>
      <w:r w:rsidR="00BD1BE5" w:rsidRPr="000D33F2">
        <w:t xml:space="preserve"> </w:t>
      </w:r>
      <w:r w:rsidRPr="000D33F2">
        <w:t xml:space="preserve">FENZ </w:t>
      </w:r>
    </w:p>
  </w:footnote>
  <w:footnote w:id="1401">
    <w:p w14:paraId="3933AB73" w14:textId="51ED2484" w:rsidR="00417301" w:rsidRDefault="00417301" w:rsidP="00417301">
      <w:pPr>
        <w:pStyle w:val="FootnoteText"/>
      </w:pPr>
      <w:r w:rsidRPr="000D33F2">
        <w:rPr>
          <w:rStyle w:val="FootnoteReference"/>
        </w:rPr>
        <w:footnoteRef/>
      </w:r>
      <w:r w:rsidRPr="000D33F2">
        <w:t xml:space="preserve"> 00219.018</w:t>
      </w:r>
      <w:r w:rsidR="00BD1BE5" w:rsidRPr="000D33F2">
        <w:t xml:space="preserve"> </w:t>
      </w:r>
      <w:r w:rsidRPr="000D33F2">
        <w:t xml:space="preserve">FENZ </w:t>
      </w:r>
    </w:p>
  </w:footnote>
  <w:footnote w:id="1402">
    <w:p w14:paraId="667AEC83" w14:textId="78F1859C" w:rsidR="0020517A" w:rsidRPr="000D33F2" w:rsidRDefault="0020517A" w:rsidP="0020517A">
      <w:pPr>
        <w:pStyle w:val="FootnoteText"/>
      </w:pPr>
      <w:r w:rsidRPr="000D33F2">
        <w:rPr>
          <w:rStyle w:val="FootnoteReference"/>
        </w:rPr>
        <w:footnoteRef/>
      </w:r>
      <w:r w:rsidRPr="000D33F2">
        <w:t xml:space="preserve"> </w:t>
      </w:r>
      <w:r w:rsidR="00BD1BE5" w:rsidRPr="000D33F2">
        <w:t>00306.080</w:t>
      </w:r>
      <w:r w:rsidRPr="000D33F2">
        <w:t xml:space="preserve"> Meridian </w:t>
      </w:r>
    </w:p>
  </w:footnote>
  <w:footnote w:id="1403">
    <w:p w14:paraId="2F02ED85" w14:textId="3F45722F" w:rsidR="00417301" w:rsidRPr="000D33F2" w:rsidRDefault="00417301" w:rsidP="00417301">
      <w:pPr>
        <w:pStyle w:val="FootnoteText"/>
      </w:pPr>
      <w:r w:rsidRPr="000D33F2">
        <w:rPr>
          <w:rStyle w:val="FootnoteReference"/>
        </w:rPr>
        <w:footnoteRef/>
      </w:r>
      <w:r w:rsidRPr="000D33F2">
        <w:t xml:space="preserve"> </w:t>
      </w:r>
      <w:r w:rsidR="00BD1BE5" w:rsidRPr="000D33F2">
        <w:t>0026.320</w:t>
      </w:r>
      <w:r w:rsidRPr="000D33F2">
        <w:t xml:space="preserve"> Kai Tahu ki Otago </w:t>
      </w:r>
    </w:p>
  </w:footnote>
  <w:footnote w:id="1404">
    <w:p w14:paraId="1E5ED000" w14:textId="5F41175F" w:rsidR="00417301" w:rsidRPr="000D33F2" w:rsidRDefault="00417301" w:rsidP="00417301">
      <w:pPr>
        <w:pStyle w:val="FootnoteText"/>
      </w:pPr>
      <w:r w:rsidRPr="000D33F2">
        <w:rPr>
          <w:rStyle w:val="FootnoteReference"/>
        </w:rPr>
        <w:footnoteRef/>
      </w:r>
      <w:r w:rsidRPr="000D33F2">
        <w:t xml:space="preserve"> </w:t>
      </w:r>
      <w:r w:rsidR="00BD1BE5" w:rsidRPr="000D33F2">
        <w:t>0026.320</w:t>
      </w:r>
      <w:r w:rsidRPr="000D33F2">
        <w:t xml:space="preserve"> Kai Tahu ki Otago </w:t>
      </w:r>
    </w:p>
  </w:footnote>
  <w:footnote w:id="1405">
    <w:p w14:paraId="365E4AD2" w14:textId="2A494EBD" w:rsidR="00417301" w:rsidRDefault="00417301" w:rsidP="00417301">
      <w:pPr>
        <w:pStyle w:val="FootnoteText"/>
      </w:pPr>
      <w:r w:rsidRPr="000D33F2">
        <w:rPr>
          <w:rStyle w:val="FootnoteReference"/>
        </w:rPr>
        <w:footnoteRef/>
      </w:r>
      <w:r w:rsidRPr="000D33F2">
        <w:t xml:space="preserve"> </w:t>
      </w:r>
      <w:r w:rsidR="00BD1BE5" w:rsidRPr="000D33F2">
        <w:t>0026.320</w:t>
      </w:r>
      <w:r w:rsidRPr="000D33F2">
        <w:t xml:space="preserve"> Kai Tahu ki Otago </w:t>
      </w:r>
    </w:p>
  </w:footnote>
  <w:footnote w:id="1406">
    <w:p w14:paraId="2D59300F" w14:textId="3DA3DDF2" w:rsidR="00AB5F68" w:rsidRDefault="00AB5F68" w:rsidP="00AB5F68">
      <w:pPr>
        <w:pStyle w:val="FootnoteText"/>
      </w:pPr>
      <w:r w:rsidRPr="00BD1BE5">
        <w:rPr>
          <w:rStyle w:val="FootnoteReference"/>
        </w:rPr>
        <w:footnoteRef/>
      </w:r>
      <w:r w:rsidRPr="00BD1BE5">
        <w:t xml:space="preserve"> </w:t>
      </w:r>
      <w:r w:rsidR="00BD1BE5" w:rsidRPr="00BD1BE5">
        <w:t>00411.088</w:t>
      </w:r>
      <w:r w:rsidRPr="00BD1BE5">
        <w:t xml:space="preserve"> Wayfare, </w:t>
      </w:r>
      <w:r w:rsidR="00BD1BE5" w:rsidRPr="00BD1BE5">
        <w:t>00206.073</w:t>
      </w:r>
      <w:r w:rsidRPr="00BD1BE5">
        <w:t xml:space="preserve"> Trojan, 00219.012</w:t>
      </w:r>
      <w:r w:rsidR="00BD1BE5" w:rsidRPr="00BD1BE5">
        <w:t xml:space="preserve"> </w:t>
      </w:r>
      <w:r w:rsidRPr="00BD1BE5">
        <w:t xml:space="preserve">FENZ </w:t>
      </w:r>
    </w:p>
  </w:footnote>
  <w:footnote w:id="1407">
    <w:p w14:paraId="163863B4" w14:textId="649FAB0E" w:rsidR="00A85827" w:rsidRPr="0096229D" w:rsidRDefault="00A85827" w:rsidP="00A85827">
      <w:pPr>
        <w:pStyle w:val="FootnoteText"/>
      </w:pPr>
      <w:r w:rsidRPr="0096229D">
        <w:rPr>
          <w:rStyle w:val="FootnoteReference"/>
        </w:rPr>
        <w:footnoteRef/>
      </w:r>
      <w:r w:rsidRPr="0096229D">
        <w:t xml:space="preserve"> 00204.003</w:t>
      </w:r>
      <w:r w:rsidRPr="0096229D">
        <w:rPr>
          <w:u w:color="000000" w:themeColor="text1"/>
        </w:rPr>
        <w:t xml:space="preserve"> Daisy Link</w:t>
      </w:r>
      <w:r w:rsidRPr="0096229D">
        <w:t xml:space="preserve">, </w:t>
      </w:r>
      <w:r w:rsidR="0096229D" w:rsidRPr="0096229D">
        <w:t>00405.009</w:t>
      </w:r>
      <w:r w:rsidRPr="0096229D">
        <w:t xml:space="preserve"> Glenpanel, </w:t>
      </w:r>
      <w:r w:rsidR="0096229D" w:rsidRPr="0096229D">
        <w:t>00402.012</w:t>
      </w:r>
      <w:r w:rsidRPr="0096229D">
        <w:t xml:space="preserve"> Sipka Holdings, </w:t>
      </w:r>
      <w:r w:rsidR="0096229D" w:rsidRPr="0096229D">
        <w:t>00401.006</w:t>
      </w:r>
      <w:r w:rsidRPr="0096229D">
        <w:t xml:space="preserve"> Tussock Rise </w:t>
      </w:r>
    </w:p>
  </w:footnote>
  <w:footnote w:id="1408">
    <w:p w14:paraId="0C559C74" w14:textId="29E988C3" w:rsidR="00A85827" w:rsidRPr="00627759" w:rsidRDefault="00A85827" w:rsidP="00A85827">
      <w:pPr>
        <w:pStyle w:val="FootnoteText"/>
        <w:rPr>
          <w:highlight w:val="yellow"/>
        </w:rPr>
      </w:pPr>
      <w:r w:rsidRPr="0096229D">
        <w:rPr>
          <w:rStyle w:val="FootnoteReference"/>
        </w:rPr>
        <w:footnoteRef/>
      </w:r>
      <w:r w:rsidRPr="0096229D">
        <w:t xml:space="preserve"> </w:t>
      </w:r>
      <w:r w:rsidR="0096229D" w:rsidRPr="0096229D">
        <w:t>00401.012</w:t>
      </w:r>
      <w:r w:rsidRPr="0096229D">
        <w:t xml:space="preserve"> Tussock Rise </w:t>
      </w:r>
    </w:p>
  </w:footnote>
  <w:footnote w:id="1409">
    <w:p w14:paraId="1641ED77" w14:textId="5C721BD0" w:rsidR="00417301" w:rsidRPr="00B522B9" w:rsidRDefault="00417301" w:rsidP="00417301">
      <w:pPr>
        <w:pStyle w:val="FootnoteText"/>
      </w:pPr>
      <w:r w:rsidRPr="00B522B9">
        <w:rPr>
          <w:rStyle w:val="FootnoteReference"/>
        </w:rPr>
        <w:footnoteRef/>
      </w:r>
      <w:r w:rsidRPr="00B522B9">
        <w:t xml:space="preserve"> </w:t>
      </w:r>
      <w:r w:rsidR="00B522B9" w:rsidRPr="00B522B9">
        <w:t>00236.104</w:t>
      </w:r>
      <w:r w:rsidRPr="00B522B9">
        <w:t xml:space="preserve"> Horticulture NZ, 235.</w:t>
      </w:r>
      <w:r w:rsidR="00B522B9" w:rsidRPr="00B522B9">
        <w:t>154</w:t>
      </w:r>
      <w:r w:rsidR="0066264B">
        <w:t xml:space="preserve"> </w:t>
      </w:r>
      <w:r w:rsidRPr="00B522B9">
        <w:t xml:space="preserve">OWRUG </w:t>
      </w:r>
    </w:p>
  </w:footnote>
  <w:footnote w:id="1410">
    <w:p w14:paraId="7A3FA1C7" w14:textId="149DB7AA" w:rsidR="00417301" w:rsidRPr="00B522B9" w:rsidRDefault="00417301" w:rsidP="00417301">
      <w:pPr>
        <w:pStyle w:val="FootnoteText"/>
      </w:pPr>
      <w:r w:rsidRPr="00B522B9">
        <w:rPr>
          <w:rStyle w:val="FootnoteReference"/>
        </w:rPr>
        <w:footnoteRef/>
      </w:r>
      <w:r w:rsidRPr="00B522B9">
        <w:t xml:space="preserve"> </w:t>
      </w:r>
      <w:r w:rsidR="00B522B9" w:rsidRPr="00B522B9">
        <w:t>00510.065</w:t>
      </w:r>
      <w:r w:rsidRPr="00B522B9">
        <w:t xml:space="preserve"> The Fuel Companies </w:t>
      </w:r>
    </w:p>
  </w:footnote>
  <w:footnote w:id="1411">
    <w:p w14:paraId="467B5758" w14:textId="6E7276D7" w:rsidR="00417301" w:rsidRPr="00B522B9" w:rsidRDefault="00417301" w:rsidP="00417301">
      <w:pPr>
        <w:pStyle w:val="FootnoteText"/>
      </w:pPr>
      <w:r w:rsidRPr="00B522B9">
        <w:rPr>
          <w:rStyle w:val="FootnoteReference"/>
        </w:rPr>
        <w:footnoteRef/>
      </w:r>
      <w:r w:rsidRPr="00B522B9">
        <w:t xml:space="preserve"> </w:t>
      </w:r>
      <w:r>
        <w:t>Clause 16</w:t>
      </w:r>
      <w:r w:rsidR="00C6690D">
        <w:t>(2), Schedule 1, RMA</w:t>
      </w:r>
      <w:r>
        <w:t>,</w:t>
      </w:r>
      <w:r w:rsidRPr="00B522B9">
        <w:t xml:space="preserve"> 00138.222</w:t>
      </w:r>
      <w:r w:rsidR="00ED5369">
        <w:t xml:space="preserve"> </w:t>
      </w:r>
      <w:r w:rsidRPr="00B522B9">
        <w:t>QLDC, 00235.154</w:t>
      </w:r>
      <w:r w:rsidR="00B522B9" w:rsidRPr="00B522B9">
        <w:t xml:space="preserve"> </w:t>
      </w:r>
      <w:r w:rsidRPr="00B522B9">
        <w:t xml:space="preserve">OWRUG </w:t>
      </w:r>
    </w:p>
  </w:footnote>
  <w:footnote w:id="1412">
    <w:p w14:paraId="04D29EAB" w14:textId="27DAE429" w:rsidR="00417301" w:rsidRPr="00627759" w:rsidRDefault="00417301" w:rsidP="00417301">
      <w:pPr>
        <w:pStyle w:val="FootnoteText"/>
        <w:rPr>
          <w:highlight w:val="yellow"/>
        </w:rPr>
      </w:pPr>
      <w:r w:rsidRPr="00B522B9">
        <w:rPr>
          <w:rStyle w:val="FootnoteReference"/>
        </w:rPr>
        <w:footnoteRef/>
      </w:r>
      <w:r w:rsidRPr="00B522B9">
        <w:t xml:space="preserve"> </w:t>
      </w:r>
      <w:r>
        <w:t>Clause 16</w:t>
      </w:r>
      <w:r w:rsidR="00C6690D">
        <w:t>(2), Schedule 1, RMA</w:t>
      </w:r>
      <w:r w:rsidRPr="00B522B9">
        <w:t>, 00138.222</w:t>
      </w:r>
      <w:r w:rsidR="00ED5369">
        <w:t xml:space="preserve"> </w:t>
      </w:r>
      <w:r w:rsidRPr="00B522B9">
        <w:t>QLDC, 00235.154</w:t>
      </w:r>
      <w:r w:rsidR="00B522B9" w:rsidRPr="00B522B9">
        <w:t xml:space="preserve"> </w:t>
      </w:r>
      <w:r w:rsidRPr="00B522B9">
        <w:t xml:space="preserve">OWRUG </w:t>
      </w:r>
    </w:p>
  </w:footnote>
  <w:footnote w:id="1413">
    <w:p w14:paraId="26FBBB58" w14:textId="20A1F1B3" w:rsidR="00EA4BD5" w:rsidRPr="00627759" w:rsidRDefault="00EA4BD5" w:rsidP="00EA4BD5">
      <w:pPr>
        <w:pStyle w:val="FootnoteText"/>
        <w:rPr>
          <w:highlight w:val="yellow"/>
        </w:rPr>
      </w:pPr>
      <w:r w:rsidRPr="009D41D9">
        <w:rPr>
          <w:rStyle w:val="FootnoteReference"/>
        </w:rPr>
        <w:footnoteRef/>
      </w:r>
      <w:r w:rsidRPr="009D41D9">
        <w:t xml:space="preserve"> </w:t>
      </w:r>
      <w:r w:rsidR="004C38C1" w:rsidRPr="009D41D9">
        <w:rPr>
          <w:rFonts w:cstheme="minorHAnsi"/>
          <w:u w:color="000000" w:themeColor="text1"/>
        </w:rPr>
        <w:t>00206.074 Trojan</w:t>
      </w:r>
      <w:r w:rsidR="004C38C1" w:rsidRPr="009D41D9">
        <w:t xml:space="preserve">, </w:t>
      </w:r>
      <w:r w:rsidR="00635C4A" w:rsidRPr="009D41D9">
        <w:rPr>
          <w:rFonts w:cstheme="minorHAnsi"/>
          <w:u w:color="000000" w:themeColor="text1"/>
        </w:rPr>
        <w:t>00411.136 Wayfare</w:t>
      </w:r>
      <w:r w:rsidR="00635C4A" w:rsidRPr="009D41D9">
        <w:t xml:space="preserve"> </w:t>
      </w:r>
    </w:p>
  </w:footnote>
  <w:footnote w:id="1414">
    <w:p w14:paraId="224EF237" w14:textId="5286737D" w:rsidR="00EA4BD5" w:rsidRPr="00F5765D" w:rsidRDefault="00EA4BD5" w:rsidP="00EA4BD5">
      <w:pPr>
        <w:pStyle w:val="FootnoteText"/>
        <w:rPr>
          <w:lang w:val="en-GB"/>
        </w:rPr>
      </w:pPr>
      <w:r w:rsidRPr="00B522B9">
        <w:rPr>
          <w:rStyle w:val="FootnoteReference"/>
        </w:rPr>
        <w:footnoteRef/>
      </w:r>
      <w:r w:rsidRPr="00B522B9">
        <w:t xml:space="preserve"> </w:t>
      </w:r>
      <w:r w:rsidR="00F5765D">
        <w:t>Clause 10(2)(b)(i), Schedule 1, RMA – consequential amendment arising from</w:t>
      </w:r>
      <w:r w:rsidR="00B522B9" w:rsidRPr="00B522B9">
        <w:t xml:space="preserve"> 0026.320 </w:t>
      </w:r>
      <w:r w:rsidRPr="00B522B9">
        <w:t>Kai Tahu ki Otago</w:t>
      </w:r>
    </w:p>
  </w:footnote>
  <w:footnote w:id="1415">
    <w:p w14:paraId="49AEFA40" w14:textId="18C1AE99" w:rsidR="00EA4BD5" w:rsidRPr="00627759" w:rsidRDefault="00EA4BD5" w:rsidP="00EA4BD5">
      <w:pPr>
        <w:pStyle w:val="FootnoteText"/>
        <w:rPr>
          <w:highlight w:val="yellow"/>
        </w:rPr>
      </w:pPr>
      <w:r w:rsidRPr="00B522B9">
        <w:rPr>
          <w:rStyle w:val="FootnoteReference"/>
        </w:rPr>
        <w:footnoteRef/>
      </w:r>
      <w:r w:rsidRPr="00B522B9">
        <w:t xml:space="preserve"> 00139.268</w:t>
      </w:r>
      <w:r w:rsidR="00B522B9" w:rsidRPr="00B522B9">
        <w:t xml:space="preserve"> </w:t>
      </w:r>
      <w:r w:rsidRPr="00B522B9">
        <w:t xml:space="preserve">DCC </w:t>
      </w:r>
    </w:p>
  </w:footnote>
  <w:footnote w:id="1416">
    <w:p w14:paraId="503B0FBA" w14:textId="59423D43" w:rsidR="0006496F" w:rsidRDefault="0006496F">
      <w:pPr>
        <w:pStyle w:val="FootnoteText"/>
      </w:pPr>
      <w:r>
        <w:rPr>
          <w:rStyle w:val="FootnoteReference"/>
        </w:rPr>
        <w:footnoteRef/>
      </w:r>
      <w:r>
        <w:t xml:space="preserve"> Clause 16(2), Schedule 1, RMA</w:t>
      </w:r>
    </w:p>
  </w:footnote>
  <w:footnote w:id="1417">
    <w:p w14:paraId="4F4C5B78" w14:textId="4168F049" w:rsidR="005E4EEF" w:rsidRDefault="005E4EEF" w:rsidP="005E4EEF">
      <w:pPr>
        <w:pStyle w:val="FootnoteText"/>
      </w:pPr>
      <w:r w:rsidRPr="00ED5369">
        <w:rPr>
          <w:rStyle w:val="FootnoteReference"/>
        </w:rPr>
        <w:footnoteRef/>
      </w:r>
      <w:r w:rsidRPr="00ED5369">
        <w:t xml:space="preserve"> </w:t>
      </w:r>
      <w:r w:rsidR="00ED5369" w:rsidRPr="00ED5369">
        <w:t xml:space="preserve">0023.6105 </w:t>
      </w:r>
      <w:r w:rsidR="00627759" w:rsidRPr="00ED5369">
        <w:t>Horticulture</w:t>
      </w:r>
      <w:r w:rsidRPr="00ED5369">
        <w:t xml:space="preserve"> NZ - and consequential to amendments to UFD-P7 and UFD-P8</w:t>
      </w:r>
    </w:p>
  </w:footnote>
  <w:footnote w:id="1418">
    <w:p w14:paraId="3F9366E7" w14:textId="77777777" w:rsidR="001F53CC" w:rsidRDefault="001F53CC" w:rsidP="001F53CC">
      <w:pPr>
        <w:pStyle w:val="FootnoteText"/>
      </w:pPr>
      <w:r>
        <w:rPr>
          <w:rStyle w:val="FootnoteReference"/>
        </w:rPr>
        <w:footnoteRef/>
      </w:r>
      <w:r>
        <w:t xml:space="preserve"> FENZ 00219.020, DCC 0139.268</w:t>
      </w:r>
    </w:p>
  </w:footnote>
  <w:footnote w:id="1419">
    <w:p w14:paraId="126CECD7" w14:textId="199E13FE" w:rsidR="00417301" w:rsidRDefault="00417301" w:rsidP="00417301">
      <w:pPr>
        <w:pStyle w:val="FootnoteText"/>
      </w:pPr>
      <w:r>
        <w:rPr>
          <w:rStyle w:val="FootnoteReference"/>
        </w:rPr>
        <w:footnoteRef/>
      </w:r>
      <w:r w:rsidR="005E4EEF">
        <w:t xml:space="preserve"> FENZ 00219.020, DCC 0139.268 DCC 00139.268 </w:t>
      </w:r>
    </w:p>
  </w:footnote>
  <w:footnote w:id="1420">
    <w:p w14:paraId="77C6B810" w14:textId="78D76A65" w:rsidR="00417301" w:rsidRDefault="00417301" w:rsidP="00417301">
      <w:pPr>
        <w:pStyle w:val="FootnoteText"/>
      </w:pPr>
      <w:r>
        <w:rPr>
          <w:rStyle w:val="FootnoteReference"/>
        </w:rPr>
        <w:footnoteRef/>
      </w:r>
      <w:r w:rsidR="005E4EEF">
        <w:t xml:space="preserve"> </w:t>
      </w:r>
      <w:r w:rsidR="00493DC9">
        <w:t>00139.</w:t>
      </w:r>
      <w:r w:rsidR="005E4EEF">
        <w:t xml:space="preserve">268, and 00139.259 DCC </w:t>
      </w:r>
    </w:p>
  </w:footnote>
  <w:footnote w:id="1421">
    <w:p w14:paraId="1D90345A" w14:textId="5D9AFA0B" w:rsidR="00417301" w:rsidRDefault="00417301" w:rsidP="00417301">
      <w:pPr>
        <w:pStyle w:val="FootnoteText"/>
      </w:pPr>
      <w:r>
        <w:rPr>
          <w:rStyle w:val="FootnoteReference"/>
        </w:rPr>
        <w:footnoteRef/>
      </w:r>
      <w:r>
        <w:t xml:space="preserve"> </w:t>
      </w:r>
      <w:r w:rsidR="00BB65B7">
        <w:t xml:space="preserve">Clause 16(2), Schedule 1, RMA </w:t>
      </w:r>
    </w:p>
  </w:footnote>
  <w:footnote w:id="1422">
    <w:p w14:paraId="2E8CA795" w14:textId="0F9E9EDF" w:rsidR="007E751C" w:rsidRDefault="007E751C">
      <w:pPr>
        <w:pStyle w:val="FootnoteText"/>
      </w:pPr>
      <w:r>
        <w:rPr>
          <w:rStyle w:val="FootnoteReference"/>
        </w:rPr>
        <w:footnoteRef/>
      </w:r>
      <w:r>
        <w:t xml:space="preserve"> </w:t>
      </w:r>
      <w:r w:rsidRPr="007E751C">
        <w:t>Clause 16(2), Schedule 1, RMA</w:t>
      </w:r>
    </w:p>
  </w:footnote>
  <w:footnote w:id="1423">
    <w:p w14:paraId="487FE497" w14:textId="725B9C96" w:rsidR="00417301" w:rsidRPr="00493DC9" w:rsidRDefault="00417301" w:rsidP="00417301">
      <w:pPr>
        <w:pStyle w:val="FootnoteText"/>
      </w:pPr>
      <w:r w:rsidRPr="00493DC9">
        <w:rPr>
          <w:rStyle w:val="FootnoteReference"/>
        </w:rPr>
        <w:footnoteRef/>
      </w:r>
      <w:r w:rsidRPr="00493DC9">
        <w:t xml:space="preserve"> 00219.020</w:t>
      </w:r>
      <w:r w:rsidR="00493DC9" w:rsidRPr="00493DC9">
        <w:t xml:space="preserve"> </w:t>
      </w:r>
      <w:r w:rsidRPr="00493DC9">
        <w:t xml:space="preserve">FENZ </w:t>
      </w:r>
    </w:p>
  </w:footnote>
  <w:footnote w:id="1424">
    <w:p w14:paraId="6D714F24" w14:textId="5239CFC1" w:rsidR="00E11250" w:rsidRPr="00E11250" w:rsidRDefault="00E11250" w:rsidP="00E11250">
      <w:pPr>
        <w:pStyle w:val="FootnoteText"/>
        <w:rPr>
          <w:highlight w:val="yellow"/>
        </w:rPr>
      </w:pPr>
      <w:r w:rsidRPr="00C23EED">
        <w:rPr>
          <w:rStyle w:val="FootnoteReference"/>
        </w:rPr>
        <w:footnoteRef/>
      </w:r>
      <w:r w:rsidRPr="00C23EED">
        <w:t xml:space="preserve"> </w:t>
      </w:r>
      <w:r w:rsidR="00C23EED" w:rsidRPr="00C23EED">
        <w:t>Clause 10(2)(b)(i)</w:t>
      </w:r>
      <w:r w:rsidR="00906D13">
        <w:t>, Schedule 1, RMA</w:t>
      </w:r>
      <w:r w:rsidR="00C23EED" w:rsidRPr="00C23EED">
        <w:t xml:space="preserve"> – c</w:t>
      </w:r>
      <w:r w:rsidRPr="00C23EED">
        <w:t xml:space="preserve">onsequential </w:t>
      </w:r>
      <w:r w:rsidR="00C23EED" w:rsidRPr="00C23EED">
        <w:t xml:space="preserve">amendment arising from </w:t>
      </w:r>
      <w:r w:rsidRPr="00C23EED">
        <w:t>00219.020</w:t>
      </w:r>
      <w:r w:rsidR="00493DC9">
        <w:t xml:space="preserve"> </w:t>
      </w:r>
      <w:r w:rsidRPr="00C23EED">
        <w:t xml:space="preserve">FENZ </w:t>
      </w:r>
    </w:p>
  </w:footnote>
  <w:footnote w:id="1425">
    <w:p w14:paraId="6793238B" w14:textId="77777777" w:rsidR="00315EEA" w:rsidRPr="00C23EED" w:rsidRDefault="00315EEA" w:rsidP="00315EEA">
      <w:pPr>
        <w:pStyle w:val="FootnoteText"/>
      </w:pPr>
      <w:r w:rsidRPr="00C23EED">
        <w:rPr>
          <w:rStyle w:val="FootnoteReference"/>
        </w:rPr>
        <w:footnoteRef/>
      </w:r>
      <w:r w:rsidRPr="00C23EED">
        <w:t xml:space="preserve"> Clause 16(2), Schedule 1, RMA</w:t>
      </w:r>
    </w:p>
  </w:footnote>
  <w:footnote w:id="1426">
    <w:p w14:paraId="31593BFA" w14:textId="072E0FE3" w:rsidR="00417301" w:rsidRDefault="00417301" w:rsidP="00417301">
      <w:pPr>
        <w:pStyle w:val="FootnoteText"/>
      </w:pPr>
      <w:r w:rsidRPr="00C23EED">
        <w:rPr>
          <w:rStyle w:val="FootnoteReference"/>
        </w:rPr>
        <w:footnoteRef/>
      </w:r>
      <w:r w:rsidR="00E11250" w:rsidRPr="00C23EED">
        <w:t xml:space="preserve"> Clause 16</w:t>
      </w:r>
      <w:r w:rsidR="00C23EED" w:rsidRPr="00C23EED">
        <w:t>(2), Schedule 1, RMA</w:t>
      </w:r>
    </w:p>
  </w:footnote>
  <w:footnote w:id="1427">
    <w:p w14:paraId="49958B0E" w14:textId="77777777" w:rsidR="00A953B2" w:rsidRPr="00C23EED" w:rsidRDefault="00A953B2" w:rsidP="00A953B2">
      <w:pPr>
        <w:pStyle w:val="FootnoteText"/>
      </w:pPr>
      <w:r w:rsidRPr="00C23EED">
        <w:rPr>
          <w:rStyle w:val="FootnoteReference"/>
        </w:rPr>
        <w:footnoteRef/>
      </w:r>
      <w:r w:rsidRPr="00C23EED">
        <w:t xml:space="preserve"> Clause 16(2), Schedule 1, RMA</w:t>
      </w:r>
    </w:p>
  </w:footnote>
  <w:footnote w:id="1428">
    <w:p w14:paraId="4F24D96B" w14:textId="34F59145" w:rsidR="00680E60" w:rsidRPr="00680E60" w:rsidRDefault="00680E60">
      <w:pPr>
        <w:pStyle w:val="FootnoteText"/>
        <w:rPr>
          <w:lang w:val="mi-NZ"/>
        </w:rPr>
      </w:pPr>
      <w:r>
        <w:rPr>
          <w:rStyle w:val="FootnoteReference"/>
        </w:rPr>
        <w:footnoteRef/>
      </w:r>
      <w:r>
        <w:t xml:space="preserve"> </w:t>
      </w:r>
      <w:r w:rsidRPr="00C23EED">
        <w:t>Clause 16(2), Schedule 1, RMA</w:t>
      </w:r>
    </w:p>
  </w:footnote>
  <w:footnote w:id="1429">
    <w:p w14:paraId="31BC78AE" w14:textId="23842C84" w:rsidR="00113E02" w:rsidRDefault="00113E02">
      <w:pPr>
        <w:pStyle w:val="FootnoteText"/>
      </w:pPr>
      <w:r>
        <w:rPr>
          <w:rStyle w:val="FootnoteReference"/>
        </w:rPr>
        <w:footnoteRef/>
      </w:r>
      <w:r>
        <w:t xml:space="preserve"> </w:t>
      </w:r>
      <w:r w:rsidR="00A61635">
        <w:t>Clause 16(2), Schedule 1, RMA</w:t>
      </w:r>
    </w:p>
  </w:footnote>
  <w:footnote w:id="1430">
    <w:p w14:paraId="475EB64B" w14:textId="1702075C" w:rsidR="00417301" w:rsidRDefault="00417301" w:rsidP="00417301">
      <w:pPr>
        <w:pStyle w:val="FootnoteText"/>
      </w:pPr>
      <w:r>
        <w:rPr>
          <w:rStyle w:val="FootnoteReference"/>
        </w:rPr>
        <w:footnoteRef/>
      </w:r>
      <w:r>
        <w:t xml:space="preserve"> 00139.268</w:t>
      </w:r>
      <w:r w:rsidR="00BB65B7">
        <w:t xml:space="preserve"> DCC</w:t>
      </w:r>
    </w:p>
  </w:footnote>
  <w:footnote w:id="1431">
    <w:p w14:paraId="5FF7378F" w14:textId="43E10F17" w:rsidR="00417301" w:rsidRDefault="00417301" w:rsidP="00417301">
      <w:pPr>
        <w:pStyle w:val="FootnoteText"/>
      </w:pPr>
      <w:r>
        <w:rPr>
          <w:rStyle w:val="FootnoteReference"/>
        </w:rPr>
        <w:footnoteRef/>
      </w:r>
      <w:r>
        <w:t xml:space="preserve"> 0</w:t>
      </w:r>
      <w:r w:rsidR="00BB65B7">
        <w:t>0</w:t>
      </w:r>
      <w:r>
        <w:t>139.272</w:t>
      </w:r>
      <w:r w:rsidR="00BB65B7">
        <w:t xml:space="preserve"> DCC</w:t>
      </w:r>
    </w:p>
  </w:footnote>
  <w:footnote w:id="1432">
    <w:p w14:paraId="6C69C5CB" w14:textId="49EEFCA4" w:rsidR="006E5625" w:rsidRPr="003623F5" w:rsidRDefault="006E5625" w:rsidP="006E5625">
      <w:pPr>
        <w:pStyle w:val="FootnoteText"/>
      </w:pPr>
      <w:r>
        <w:rPr>
          <w:rStyle w:val="FootnoteReference"/>
        </w:rPr>
        <w:footnoteRef/>
      </w:r>
      <w:r w:rsidRPr="00934896">
        <w:t xml:space="preserve"> </w:t>
      </w:r>
      <w:r w:rsidR="005F50AE" w:rsidRPr="00934896">
        <w:t xml:space="preserve">00237.064 </w:t>
      </w:r>
      <w:r w:rsidRPr="003623F5">
        <w:t>Beef &amp; Lamb</w:t>
      </w:r>
      <w:r w:rsidR="00934896" w:rsidRPr="00934896">
        <w:t>,</w:t>
      </w:r>
      <w:r w:rsidRPr="00934896">
        <w:rPr>
          <w:iCs/>
        </w:rPr>
        <w:t xml:space="preserve"> </w:t>
      </w:r>
      <w:r w:rsidR="00934896" w:rsidRPr="00934896">
        <w:rPr>
          <w:iCs/>
        </w:rPr>
        <w:t xml:space="preserve">00236.107 </w:t>
      </w:r>
      <w:r w:rsidRPr="003623F5">
        <w:rPr>
          <w:iCs/>
        </w:rPr>
        <w:t>Horticulture NZ</w:t>
      </w:r>
      <w:r w:rsidR="005F50AE" w:rsidRPr="00934896">
        <w:rPr>
          <w:iCs/>
        </w:rPr>
        <w:t>,</w:t>
      </w:r>
      <w:r w:rsidRPr="00934896">
        <w:rPr>
          <w:iCs/>
        </w:rPr>
        <w:t xml:space="preserve"> </w:t>
      </w:r>
      <w:r w:rsidR="005F50AE" w:rsidRPr="00934896">
        <w:t xml:space="preserve">00239.180 </w:t>
      </w:r>
      <w:r w:rsidRPr="003623F5">
        <w:t xml:space="preserve">Federated Farmers </w:t>
      </w:r>
    </w:p>
  </w:footnote>
  <w:footnote w:id="1433">
    <w:p w14:paraId="30D5E246" w14:textId="6147E3B3" w:rsidR="006E5625" w:rsidRDefault="006E5625" w:rsidP="006E5625">
      <w:pPr>
        <w:pStyle w:val="FootnoteText"/>
      </w:pPr>
      <w:r w:rsidRPr="003623F5">
        <w:rPr>
          <w:rStyle w:val="FootnoteReference"/>
        </w:rPr>
        <w:footnoteRef/>
      </w:r>
      <w:r w:rsidRPr="00934896">
        <w:t xml:space="preserve"> </w:t>
      </w:r>
      <w:r w:rsidR="005F50AE" w:rsidRPr="00934896">
        <w:rPr>
          <w:iCs/>
        </w:rPr>
        <w:t>00236.107</w:t>
      </w:r>
      <w:r w:rsidRPr="003623F5">
        <w:t xml:space="preserve"> </w:t>
      </w:r>
      <w:r w:rsidRPr="003623F5">
        <w:rPr>
          <w:iCs/>
        </w:rPr>
        <w:t>Horticulture NZ</w:t>
      </w:r>
      <w:r w:rsidRPr="00934896">
        <w:rPr>
          <w:iCs/>
        </w:rPr>
        <w:t xml:space="preserve">, </w:t>
      </w:r>
      <w:r w:rsidR="005F50AE" w:rsidRPr="00934896">
        <w:t>00208.001</w:t>
      </w:r>
      <w:r w:rsidRPr="003623F5">
        <w:rPr>
          <w:iCs/>
        </w:rPr>
        <w:t xml:space="preserve"> AgResearch</w:t>
      </w:r>
      <w:r w:rsidRPr="00934896">
        <w:t xml:space="preserve">, </w:t>
      </w:r>
      <w:r w:rsidR="005F50AE" w:rsidRPr="00934896">
        <w:t>00239.180</w:t>
      </w:r>
      <w:r w:rsidRPr="003623F5">
        <w:t xml:space="preserve"> Federated Farmers </w:t>
      </w:r>
    </w:p>
  </w:footnote>
  <w:footnote w:id="1434">
    <w:p w14:paraId="18567611" w14:textId="612A4F91" w:rsidR="006E5625" w:rsidRPr="003623F5" w:rsidRDefault="006E5625" w:rsidP="006E5625">
      <w:pPr>
        <w:pStyle w:val="FootnoteText"/>
      </w:pPr>
      <w:r w:rsidRPr="003623F5">
        <w:rPr>
          <w:rStyle w:val="FootnoteReference"/>
        </w:rPr>
        <w:footnoteRef/>
      </w:r>
      <w:r w:rsidRPr="003623F5">
        <w:t xml:space="preserve"> 00139.259</w:t>
      </w:r>
      <w:r w:rsidR="00BB65B7">
        <w:t xml:space="preserve"> DCC</w:t>
      </w:r>
    </w:p>
  </w:footnote>
  <w:footnote w:id="1435">
    <w:p w14:paraId="47FC2D76" w14:textId="019A3A4E" w:rsidR="006E5625" w:rsidRPr="00934896" w:rsidRDefault="006E5625" w:rsidP="006E5625">
      <w:pPr>
        <w:pStyle w:val="FootnoteText"/>
      </w:pPr>
      <w:r w:rsidRPr="00934896">
        <w:rPr>
          <w:rStyle w:val="FootnoteReference"/>
        </w:rPr>
        <w:footnoteRef/>
      </w:r>
      <w:r w:rsidRPr="00934896">
        <w:t xml:space="preserve"> </w:t>
      </w:r>
      <w:r w:rsidR="005F50AE" w:rsidRPr="00934896">
        <w:t>00237.064</w:t>
      </w:r>
      <w:r w:rsidRPr="00934896">
        <w:t xml:space="preserve"> </w:t>
      </w:r>
      <w:r w:rsidR="00BB65B7">
        <w:t>Ngāi Tahu ki Murihiku</w:t>
      </w:r>
      <w:r w:rsidRPr="00934896">
        <w:t xml:space="preserve"> </w:t>
      </w:r>
    </w:p>
  </w:footnote>
  <w:footnote w:id="1436">
    <w:p w14:paraId="3068E60E" w14:textId="72D69E6E" w:rsidR="006E5625" w:rsidRDefault="006E5625" w:rsidP="006E5625">
      <w:pPr>
        <w:pStyle w:val="FootnoteText"/>
      </w:pPr>
      <w:r w:rsidRPr="00934896">
        <w:rPr>
          <w:rStyle w:val="FootnoteReference"/>
        </w:rPr>
        <w:footnoteRef/>
      </w:r>
      <w:r w:rsidRPr="00934896">
        <w:t xml:space="preserve"> </w:t>
      </w:r>
      <w:r w:rsidR="005F50AE" w:rsidRPr="00934896">
        <w:t>00237.064</w:t>
      </w:r>
      <w:r w:rsidRPr="00934896">
        <w:t xml:space="preserve"> </w:t>
      </w:r>
      <w:r w:rsidR="00BB65B7">
        <w:t>Ngāi Tahu ki Murihiku</w:t>
      </w:r>
      <w:r w:rsidRPr="00934896">
        <w:t xml:space="preserve"> </w:t>
      </w:r>
      <w:r w:rsidR="005F50AE">
        <w:t xml:space="preserve"> </w:t>
      </w:r>
    </w:p>
  </w:footnote>
  <w:footnote w:id="1437">
    <w:p w14:paraId="68AE62C2" w14:textId="27F218E9" w:rsidR="00CC16F5" w:rsidRDefault="00CC16F5">
      <w:pPr>
        <w:pStyle w:val="FootnoteText"/>
      </w:pPr>
      <w:r>
        <w:rPr>
          <w:rStyle w:val="FootnoteReference"/>
        </w:rPr>
        <w:footnoteRef/>
      </w:r>
      <w:r>
        <w:t xml:space="preserve"> </w:t>
      </w:r>
      <w:r w:rsidRPr="00CC16F5">
        <w:t>Clause 16(2), Schedule 1, RMA</w:t>
      </w:r>
    </w:p>
  </w:footnote>
  <w:footnote w:id="1438">
    <w:p w14:paraId="6BF22E83" w14:textId="0037A09F" w:rsidR="00EC6A08" w:rsidRDefault="00EC6A08">
      <w:pPr>
        <w:pStyle w:val="FootnoteText"/>
      </w:pPr>
      <w:r>
        <w:rPr>
          <w:rStyle w:val="FootnoteReference"/>
        </w:rPr>
        <w:footnoteRef/>
      </w:r>
      <w:r>
        <w:t xml:space="preserve"> Clause 16(2), Schedule 1, RMA</w:t>
      </w:r>
    </w:p>
  </w:footnote>
  <w:footnote w:id="1439">
    <w:p w14:paraId="6DC4D5C5" w14:textId="4E12CBAF" w:rsidR="00BB5BCE" w:rsidRDefault="00BB5BCE">
      <w:pPr>
        <w:pStyle w:val="FootnoteText"/>
      </w:pPr>
      <w:r>
        <w:rPr>
          <w:rStyle w:val="FootnoteReference"/>
        </w:rPr>
        <w:footnoteRef/>
      </w:r>
      <w:r>
        <w:t xml:space="preserve"> Clause 16(2), Schedule 1, RMA</w:t>
      </w:r>
    </w:p>
  </w:footnote>
  <w:footnote w:id="1440">
    <w:p w14:paraId="0CC002CF" w14:textId="68690B10" w:rsidR="00BB5BCE" w:rsidRDefault="00BB5BCE">
      <w:pPr>
        <w:pStyle w:val="FootnoteText"/>
      </w:pPr>
      <w:r>
        <w:rPr>
          <w:rStyle w:val="FootnoteReference"/>
        </w:rPr>
        <w:footnoteRef/>
      </w:r>
      <w:r>
        <w:t xml:space="preserve"> Clause 16(2), Schedule 1, RMA</w:t>
      </w:r>
    </w:p>
  </w:footnote>
  <w:footnote w:id="1441">
    <w:p w14:paraId="198B3530" w14:textId="29D870B7" w:rsidR="00880B03" w:rsidRDefault="00880B03">
      <w:pPr>
        <w:pStyle w:val="FootnoteText"/>
      </w:pPr>
      <w:r>
        <w:rPr>
          <w:rStyle w:val="FootnoteReference"/>
        </w:rPr>
        <w:footnoteRef/>
      </w:r>
      <w:r>
        <w:t xml:space="preserve"> </w:t>
      </w:r>
      <w:r w:rsidRPr="00880B03">
        <w:t>Clause 16(2), Schedule 1, RMA</w:t>
      </w:r>
    </w:p>
  </w:footnote>
  <w:footnote w:id="1442">
    <w:p w14:paraId="5EA06DDA" w14:textId="77777777" w:rsidR="009A45CE" w:rsidRDefault="009A45CE" w:rsidP="009A45CE">
      <w:pPr>
        <w:pStyle w:val="FootnoteText"/>
        <w:rPr>
          <w:rFonts w:asciiTheme="minorHAnsi" w:hAnsiTheme="minorHAnsi" w:cstheme="minorBidi"/>
          <w:sz w:val="20"/>
        </w:rPr>
      </w:pPr>
      <w:r>
        <w:rPr>
          <w:rStyle w:val="FootnoteReference"/>
        </w:rPr>
        <w:footnoteRef/>
      </w:r>
      <w:r>
        <w:t xml:space="preserve"> 00226.325 Kāi Tahu ki Otago</w:t>
      </w:r>
    </w:p>
  </w:footnote>
  <w:footnote w:id="1443">
    <w:p w14:paraId="4BA32214" w14:textId="77777777" w:rsidR="009A45CE" w:rsidRDefault="009A45CE" w:rsidP="009A45CE">
      <w:pPr>
        <w:pStyle w:val="FootnoteText"/>
        <w:rPr>
          <w:rFonts w:asciiTheme="minorHAnsi" w:hAnsiTheme="minorHAnsi" w:cstheme="minorBidi"/>
          <w:sz w:val="20"/>
        </w:rPr>
      </w:pPr>
      <w:r>
        <w:rPr>
          <w:rStyle w:val="FootnoteReference"/>
        </w:rPr>
        <w:footnoteRef/>
      </w:r>
      <w:r>
        <w:t xml:space="preserve"> 00226.325 Kāi Tahu ki Otago</w:t>
      </w:r>
    </w:p>
  </w:footnote>
  <w:footnote w:id="1444">
    <w:p w14:paraId="4C5F49F5" w14:textId="77777777" w:rsidR="009A45CE" w:rsidRDefault="009A45CE" w:rsidP="009A45CE">
      <w:pPr>
        <w:pStyle w:val="FootnoteText"/>
        <w:rPr>
          <w:rFonts w:asciiTheme="minorHAnsi" w:hAnsiTheme="minorHAnsi" w:cstheme="minorBidi"/>
          <w:sz w:val="20"/>
        </w:rPr>
      </w:pPr>
      <w:r>
        <w:rPr>
          <w:rStyle w:val="FootnoteReference"/>
        </w:rPr>
        <w:footnoteRef/>
      </w:r>
      <w:r>
        <w:t xml:space="preserve"> 00239.183 </w:t>
      </w:r>
      <w:r>
        <w:rPr>
          <w:rFonts w:eastAsia="Calibri" w:cstheme="minorHAnsi"/>
          <w:bCs/>
        </w:rPr>
        <w:t>Federated Farmers</w:t>
      </w:r>
    </w:p>
  </w:footnote>
  <w:footnote w:id="1445">
    <w:p w14:paraId="4C97DE04" w14:textId="2D18D0F7" w:rsidR="00EB6838" w:rsidRDefault="00EB6838">
      <w:pPr>
        <w:pStyle w:val="FootnoteText"/>
      </w:pPr>
      <w:r>
        <w:rPr>
          <w:rStyle w:val="FootnoteReference"/>
        </w:rPr>
        <w:footnoteRef/>
      </w:r>
      <w:r w:rsidR="00BA6490">
        <w:t xml:space="preserve"> All amendments in this appendix attributable to</w:t>
      </w:r>
      <w:r>
        <w:t xml:space="preserve"> </w:t>
      </w:r>
      <w:r w:rsidR="00BA6490">
        <w:t>00311.062 Trustpower</w:t>
      </w:r>
    </w:p>
  </w:footnote>
  <w:footnote w:id="1446">
    <w:p w14:paraId="684660C9" w14:textId="77777777" w:rsidR="007E664C" w:rsidRPr="00BD5EE6" w:rsidRDefault="007E664C" w:rsidP="007E664C">
      <w:pPr>
        <w:pStyle w:val="FootnoteText"/>
        <w:rPr>
          <w:lang w:val="en-GB"/>
        </w:rPr>
      </w:pPr>
      <w:r w:rsidRPr="007E664C">
        <w:rPr>
          <w:rStyle w:val="FootnoteReference"/>
          <w:u w:val="single"/>
          <w:shd w:val="clear" w:color="auto" w:fill="D9D9D9" w:themeFill="background1" w:themeFillShade="D9"/>
        </w:rPr>
        <w:footnoteRef/>
      </w: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47">
    <w:p w14:paraId="41E8F758" w14:textId="78FEBBD7" w:rsidR="00FC5871" w:rsidRDefault="00FC5871" w:rsidP="00FC5871">
      <w:pPr>
        <w:pStyle w:val="FootnoteText"/>
      </w:pPr>
      <w:r>
        <w:rPr>
          <w:rStyle w:val="FootnoteReference"/>
        </w:rPr>
        <w:footnoteRef/>
      </w:r>
      <w:r>
        <w:t xml:space="preserve"> 00137.008 </w:t>
      </w:r>
      <w:r w:rsidR="00235F25">
        <w:t>DOC</w:t>
      </w:r>
    </w:p>
  </w:footnote>
  <w:footnote w:id="1448">
    <w:p w14:paraId="7A725BAF" w14:textId="5F790E6E" w:rsidR="006C6CCE" w:rsidRDefault="006C6CCE" w:rsidP="00235F25">
      <w:pPr>
        <w:pStyle w:val="FootnoteText"/>
        <w:rPr>
          <w:szCs w:val="18"/>
        </w:rPr>
      </w:pPr>
      <w:r w:rsidRPr="5435FF72">
        <w:rPr>
          <w:rStyle w:val="FootnoteReference"/>
          <w:rFonts w:eastAsia="Calibri"/>
          <w:szCs w:val="18"/>
        </w:rPr>
        <w:footnoteRef/>
      </w:r>
      <w:r w:rsidRPr="5435FF72">
        <w:rPr>
          <w:szCs w:val="18"/>
        </w:rPr>
        <w:t xml:space="preserve"> </w:t>
      </w:r>
      <w:r w:rsidRPr="5435FF72">
        <w:t xml:space="preserve">00306.081 Meridian </w:t>
      </w:r>
    </w:p>
  </w:footnote>
  <w:footnote w:id="1449">
    <w:p w14:paraId="21471FC6" w14:textId="15950616" w:rsidR="00733CE3" w:rsidRPr="00235F25" w:rsidRDefault="00733CE3" w:rsidP="00235F25">
      <w:pPr>
        <w:pStyle w:val="FootnoteText"/>
        <w:rPr>
          <w:sz w:val="16"/>
          <w:szCs w:val="16"/>
        </w:rPr>
      </w:pPr>
      <w:r w:rsidRPr="5435FF72">
        <w:rPr>
          <w:rStyle w:val="FootnoteReference"/>
          <w:rFonts w:eastAsia="Calibri"/>
          <w:szCs w:val="18"/>
        </w:rPr>
        <w:footnoteRef/>
      </w:r>
      <w:r w:rsidRPr="5435FF72">
        <w:rPr>
          <w:szCs w:val="18"/>
        </w:rPr>
        <w:t xml:space="preserve"> </w:t>
      </w:r>
      <w:r w:rsidRPr="5435FF72">
        <w:t xml:space="preserve">00318.020 Contact, 00122.032 Sanford, 00221.018 Silver Fern Farms, 00313.033 Queenstown Airport, 00019.005 Straterra, </w:t>
      </w:r>
      <w:r w:rsidRPr="00235F25">
        <w:rPr>
          <w:szCs w:val="18"/>
        </w:rPr>
        <w:t>00320.020 Network Waitaki, 00511.023 PowerNet</w:t>
      </w:r>
    </w:p>
  </w:footnote>
  <w:footnote w:id="1450">
    <w:p w14:paraId="67266E98" w14:textId="583F30F9" w:rsidR="00C64BAE" w:rsidRPr="00C64BAE" w:rsidRDefault="00C64BAE">
      <w:pPr>
        <w:pStyle w:val="FootnoteText"/>
        <w:rPr>
          <w:lang w:val="en-GB"/>
        </w:rPr>
      </w:pPr>
      <w:r>
        <w:rPr>
          <w:rStyle w:val="FootnoteReference"/>
        </w:rPr>
        <w:footnoteRef/>
      </w:r>
      <w:r>
        <w:t xml:space="preserve"> </w:t>
      </w:r>
      <w:r>
        <w:rPr>
          <w:lang w:val="en-GB"/>
        </w:rPr>
        <w:t>Clause 16(2), Schedule 1, RMA</w:t>
      </w:r>
    </w:p>
  </w:footnote>
  <w:footnote w:id="1451">
    <w:p w14:paraId="69A9587E" w14:textId="77777777" w:rsidR="007E664C" w:rsidRPr="00BD5EE6" w:rsidRDefault="007E664C" w:rsidP="007E664C">
      <w:pPr>
        <w:pStyle w:val="FootnoteText"/>
        <w:rPr>
          <w:lang w:val="en-GB"/>
        </w:rPr>
      </w:pPr>
      <w:r w:rsidRPr="007E664C">
        <w:rPr>
          <w:rStyle w:val="FootnoteReference"/>
          <w:u w:val="single"/>
          <w:shd w:val="clear" w:color="auto" w:fill="D9D9D9" w:themeFill="background1" w:themeFillShade="D9"/>
        </w:rPr>
        <w:footnoteRef/>
      </w: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52">
    <w:p w14:paraId="65810CC3" w14:textId="77777777" w:rsidR="007E664C" w:rsidRPr="00BD5EE6" w:rsidRDefault="007E664C" w:rsidP="007E664C">
      <w:pPr>
        <w:pStyle w:val="FootnoteText"/>
        <w:rPr>
          <w:lang w:val="en-GB"/>
        </w:rPr>
      </w:pPr>
      <w:r w:rsidRPr="007E664C">
        <w:rPr>
          <w:rStyle w:val="FootnoteReference"/>
          <w:u w:val="single"/>
          <w:shd w:val="clear" w:color="auto" w:fill="D9D9D9" w:themeFill="background1" w:themeFillShade="D9"/>
        </w:rPr>
        <w:footnoteRef/>
      </w: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53">
    <w:p w14:paraId="600DC764" w14:textId="77777777" w:rsidR="00147CB0" w:rsidRDefault="00147CB0" w:rsidP="00147CB0">
      <w:pPr>
        <w:pStyle w:val="FootnoteText"/>
        <w:rPr>
          <w:rFonts w:eastAsia="Calibri"/>
          <w:szCs w:val="18"/>
        </w:rPr>
      </w:pPr>
      <w:r w:rsidRPr="5435FF72">
        <w:rPr>
          <w:rStyle w:val="FootnoteReference"/>
          <w:rFonts w:eastAsia="Calibri"/>
          <w:szCs w:val="18"/>
        </w:rPr>
        <w:footnoteRef/>
      </w:r>
      <w:r w:rsidRPr="5435FF72">
        <w:rPr>
          <w:rFonts w:eastAsia="Calibri"/>
          <w:szCs w:val="18"/>
        </w:rPr>
        <w:t xml:space="preserve"> </w:t>
      </w:r>
      <w:r w:rsidRPr="5435FF72">
        <w:rPr>
          <w:rFonts w:eastAsia="Calibri"/>
          <w:sz w:val="21"/>
          <w:szCs w:val="21"/>
        </w:rPr>
        <w:t>00230.147 Royal Forest and Bird Protection Society of New Zealand Incorporated</w:t>
      </w:r>
    </w:p>
  </w:footnote>
  <w:footnote w:id="1454">
    <w:p w14:paraId="7BBC404F" w14:textId="77777777" w:rsidR="00883FB2" w:rsidRDefault="00883FB2" w:rsidP="00883FB2">
      <w:pPr>
        <w:pStyle w:val="FootnoteText"/>
      </w:pPr>
      <w:r>
        <w:rPr>
          <w:rStyle w:val="FootnoteReference"/>
        </w:rPr>
        <w:footnoteRef/>
      </w:r>
      <w:r>
        <w:t xml:space="preserve"> 00137.008 Director-General of Conservation</w:t>
      </w:r>
    </w:p>
  </w:footnote>
  <w:footnote w:id="1455">
    <w:p w14:paraId="08467D08" w14:textId="77777777" w:rsidR="00726A52" w:rsidRDefault="00726A52" w:rsidP="00726A52">
      <w:pPr>
        <w:pStyle w:val="FootnoteText"/>
        <w:rPr>
          <w:rFonts w:ascii="Times New Roman" w:hAnsi="Times New Roman" w:cs="Times New Roman"/>
          <w:sz w:val="20"/>
        </w:rPr>
      </w:pPr>
      <w:r>
        <w:rPr>
          <w:rStyle w:val="FootnoteReference"/>
        </w:rPr>
        <w:footnoteRef/>
      </w:r>
      <w:r>
        <w:t xml:space="preserve"> </w:t>
      </w:r>
      <w:r>
        <w:rPr>
          <w:rFonts w:asciiTheme="minorHAnsi" w:hAnsiTheme="minorHAnsi" w:cstheme="minorHAnsi"/>
        </w:rPr>
        <w:t>Consequential change to 00137.158 DOC</w:t>
      </w:r>
    </w:p>
  </w:footnote>
  <w:footnote w:id="1456">
    <w:p w14:paraId="13374DED" w14:textId="77777777" w:rsidR="00726A52" w:rsidRDefault="00726A52" w:rsidP="00726A52">
      <w:pPr>
        <w:pStyle w:val="FootnoteText"/>
      </w:pPr>
      <w:r>
        <w:rPr>
          <w:rStyle w:val="FootnoteReference"/>
        </w:rPr>
        <w:footnoteRef/>
      </w:r>
      <w:r>
        <w:t xml:space="preserve"> </w:t>
      </w:r>
      <w:r>
        <w:rPr>
          <w:rFonts w:asciiTheme="minorHAnsi" w:hAnsiTheme="minorHAnsi" w:cstheme="minorHAnsi"/>
        </w:rPr>
        <w:t>Consequential change to 00137.158 DOC</w:t>
      </w:r>
    </w:p>
  </w:footnote>
  <w:footnote w:id="1457">
    <w:p w14:paraId="4BB526CB" w14:textId="35B245B2" w:rsidR="00F17D5B" w:rsidRDefault="007E664C" w:rsidP="00726A52">
      <w:pPr>
        <w:pStyle w:val="FootnoteText"/>
        <w:rPr>
          <w:rFonts w:asciiTheme="minorHAnsi" w:hAnsiTheme="minorHAnsi" w:cstheme="minorHAnsi"/>
        </w:rPr>
      </w:pPr>
      <w:r w:rsidRPr="007E664C">
        <w:rPr>
          <w:rStyle w:val="FootnoteReference"/>
          <w:u w:val="single"/>
          <w:shd w:val="clear" w:color="auto" w:fill="D9D9D9" w:themeFill="background1" w:themeFillShade="D9"/>
        </w:rPr>
        <w:footnoteRef/>
      </w:r>
    </w:p>
    <w:p w14:paraId="55EE82FF" w14:textId="09AF7E64" w:rsidR="007E664C" w:rsidRPr="00BD5EE6" w:rsidRDefault="007E664C" w:rsidP="007E664C">
      <w:pPr>
        <w:pStyle w:val="FootnoteText"/>
        <w:rPr>
          <w:lang w:val="en-GB"/>
        </w:rPr>
      </w:pP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58">
    <w:p w14:paraId="3CCD93F7"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Consequential change to 00137.158 DOC</w:t>
      </w:r>
    </w:p>
  </w:footnote>
  <w:footnote w:id="1459">
    <w:p w14:paraId="7F9E29F3" w14:textId="00714445"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00306.082 Meridian, 00139.139 </w:t>
      </w:r>
      <w:r w:rsidR="007E664C">
        <w:rPr>
          <w:rFonts w:asciiTheme="minorHAnsi" w:hAnsiTheme="minorHAnsi" w:cstheme="minorHAnsi"/>
        </w:rPr>
        <w:t>DCC</w:t>
      </w:r>
    </w:p>
  </w:footnote>
  <w:footnote w:id="1460">
    <w:p w14:paraId="0AB6E329" w14:textId="77777777" w:rsidR="007E664C" w:rsidRPr="00BD5EE6" w:rsidRDefault="007E664C" w:rsidP="007E664C">
      <w:pPr>
        <w:pStyle w:val="FootnoteText"/>
        <w:rPr>
          <w:lang w:val="en-GB"/>
        </w:rPr>
      </w:pPr>
      <w:r w:rsidRPr="007E664C">
        <w:rPr>
          <w:rStyle w:val="FootnoteReference"/>
          <w:u w:val="single"/>
          <w:shd w:val="clear" w:color="auto" w:fill="D9D9D9" w:themeFill="background1" w:themeFillShade="D9"/>
        </w:rPr>
        <w:footnoteRef/>
      </w: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61">
    <w:p w14:paraId="71BC3C85"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2">
    <w:p w14:paraId="5D6AB439"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3">
    <w:p w14:paraId="6190DCED"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4">
    <w:p w14:paraId="0D78515C"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Consequential change to 00137.158 DOC</w:t>
      </w:r>
    </w:p>
  </w:footnote>
  <w:footnote w:id="1465">
    <w:p w14:paraId="5BD5E10E" w14:textId="77777777" w:rsidR="00726A52" w:rsidRDefault="00726A52" w:rsidP="00726A52">
      <w:pPr>
        <w:pStyle w:val="FootnoteText"/>
        <w:rPr>
          <w:rFonts w:ascii="Times New Roman" w:hAnsi="Times New Roman" w:cs="Times New Roman"/>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6">
    <w:p w14:paraId="3727BD7D"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7">
    <w:p w14:paraId="0A9D315D"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8">
    <w:p w14:paraId="4B7B852A"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69">
    <w:p w14:paraId="5CB087EE" w14:textId="509A85BE" w:rsidR="00F17D5B" w:rsidRDefault="007E664C" w:rsidP="00726A52">
      <w:pPr>
        <w:pStyle w:val="FootnoteText"/>
        <w:rPr>
          <w:rFonts w:asciiTheme="minorHAnsi" w:hAnsiTheme="minorHAnsi" w:cstheme="minorHAnsi"/>
        </w:rPr>
      </w:pPr>
      <w:r w:rsidRPr="007E664C">
        <w:rPr>
          <w:rStyle w:val="FootnoteReference"/>
          <w:u w:val="single"/>
          <w:shd w:val="clear" w:color="auto" w:fill="D9D9D9" w:themeFill="background1" w:themeFillShade="D9"/>
        </w:rPr>
        <w:footnoteRef/>
      </w:r>
    </w:p>
    <w:p w14:paraId="1227CEFC" w14:textId="297F0A01" w:rsidR="007E664C" w:rsidRPr="00BD5EE6" w:rsidRDefault="007E664C" w:rsidP="007E664C">
      <w:pPr>
        <w:pStyle w:val="FootnoteText"/>
        <w:rPr>
          <w:lang w:val="en-GB"/>
        </w:rPr>
      </w:pP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70">
    <w:p w14:paraId="7B5B8FF9" w14:textId="1FC95A91"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00237.007 Beef &amp; Lamb </w:t>
      </w:r>
      <w:r w:rsidR="007E664C">
        <w:rPr>
          <w:rFonts w:asciiTheme="minorHAnsi" w:hAnsiTheme="minorHAnsi" w:cstheme="minorHAnsi"/>
        </w:rPr>
        <w:t>and DINZ</w:t>
      </w:r>
      <w:r>
        <w:rPr>
          <w:rFonts w:asciiTheme="minorHAnsi" w:hAnsiTheme="minorHAnsi" w:cstheme="minorHAnsi"/>
        </w:rPr>
        <w:t xml:space="preserve">, 00137.016 </w:t>
      </w:r>
      <w:r w:rsidR="007E664C">
        <w:rPr>
          <w:rFonts w:asciiTheme="minorHAnsi" w:hAnsiTheme="minorHAnsi" w:cstheme="minorHAnsi"/>
        </w:rPr>
        <w:t>DOC</w:t>
      </w:r>
      <w:r>
        <w:rPr>
          <w:rFonts w:asciiTheme="minorHAnsi" w:hAnsiTheme="minorHAnsi" w:cstheme="minorHAnsi"/>
        </w:rPr>
        <w:t>, 00226.035 Kāi Tahu ki Otago, 00120.011 Yellow-eyed Penguin Trust, 00230.016 Forest and Bird</w:t>
      </w:r>
    </w:p>
  </w:footnote>
  <w:footnote w:id="1471">
    <w:p w14:paraId="02AF2D7C" w14:textId="18DF75A8"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00139.139 </w:t>
      </w:r>
      <w:r w:rsidR="00702D6F">
        <w:rPr>
          <w:rFonts w:asciiTheme="minorHAnsi" w:hAnsiTheme="minorHAnsi" w:cstheme="minorHAnsi"/>
        </w:rPr>
        <w:t>DCC</w:t>
      </w:r>
    </w:p>
  </w:footnote>
  <w:footnote w:id="1472">
    <w:p w14:paraId="1570A26D"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73">
    <w:p w14:paraId="1D13E1CE" w14:textId="77777777" w:rsidR="00726A52" w:rsidRDefault="00726A52" w:rsidP="00726A52">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00137.158 DOC</w:t>
      </w:r>
    </w:p>
  </w:footnote>
  <w:footnote w:id="1474">
    <w:p w14:paraId="16541AD7" w14:textId="6255FEE5" w:rsidR="004D28D7" w:rsidRDefault="004D28D7" w:rsidP="004D28D7">
      <w:pPr>
        <w:pStyle w:val="FootnoteText"/>
      </w:pPr>
      <w:r>
        <w:rPr>
          <w:rStyle w:val="FootnoteReference"/>
        </w:rPr>
        <w:footnoteRef/>
      </w:r>
      <w:r>
        <w:t xml:space="preserve"> C</w:t>
      </w:r>
      <w:r w:rsidR="009D3560">
        <w:t>lause 10(2)(b)(i), Schedule 1, RMA – c</w:t>
      </w:r>
      <w:r>
        <w:t>onsequential change from 00137.158 DOC</w:t>
      </w:r>
    </w:p>
  </w:footnote>
  <w:footnote w:id="1475">
    <w:p w14:paraId="33967A34" w14:textId="119B3675" w:rsidR="004D28D7" w:rsidRDefault="004D28D7" w:rsidP="004D28D7">
      <w:pPr>
        <w:pStyle w:val="FootnoteText"/>
      </w:pPr>
      <w:r>
        <w:rPr>
          <w:rStyle w:val="FootnoteReference"/>
        </w:rPr>
        <w:footnoteRef/>
      </w:r>
      <w:r>
        <w:t xml:space="preserve"> </w:t>
      </w:r>
      <w:r w:rsidR="009D3560">
        <w:t>Clause 10(2)(b)(i), Schedule 1, RMA – consequential change from 00137.158 DOC</w:t>
      </w:r>
    </w:p>
  </w:footnote>
  <w:footnote w:id="1476">
    <w:p w14:paraId="2EDAFD66" w14:textId="49E328C4" w:rsidR="00F17D5B" w:rsidRDefault="00702D6F" w:rsidP="004D28D7">
      <w:pPr>
        <w:pStyle w:val="FootnoteText"/>
      </w:pPr>
      <w:r w:rsidRPr="007E664C">
        <w:rPr>
          <w:rStyle w:val="FootnoteReference"/>
          <w:u w:val="single"/>
          <w:shd w:val="clear" w:color="auto" w:fill="D9D9D9" w:themeFill="background1" w:themeFillShade="D9"/>
        </w:rPr>
        <w:footnoteRef/>
      </w:r>
    </w:p>
    <w:p w14:paraId="49E6A825" w14:textId="61BADFCE" w:rsidR="00702D6F" w:rsidRPr="00BD5EE6" w:rsidRDefault="00702D6F" w:rsidP="00702D6F">
      <w:pPr>
        <w:pStyle w:val="FootnoteText"/>
        <w:rPr>
          <w:lang w:val="en-GB"/>
        </w:rPr>
      </w:pP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77">
    <w:p w14:paraId="0E9A20A6" w14:textId="77777777" w:rsidR="004D28D7" w:rsidRDefault="004D28D7" w:rsidP="004D28D7">
      <w:pPr>
        <w:pStyle w:val="FootnoteText"/>
      </w:pPr>
      <w:r>
        <w:rPr>
          <w:rStyle w:val="FootnoteReference"/>
        </w:rPr>
        <w:footnoteRef/>
      </w:r>
      <w:r>
        <w:t xml:space="preserve"> 00138.027 QLDC, and consequential change from 00137.158 DOC</w:t>
      </w:r>
    </w:p>
  </w:footnote>
  <w:footnote w:id="1478">
    <w:p w14:paraId="22380A19" w14:textId="30ADD551" w:rsidR="004D28D7" w:rsidRDefault="004D28D7" w:rsidP="004D28D7">
      <w:pPr>
        <w:pStyle w:val="FootnoteText"/>
      </w:pPr>
      <w:r>
        <w:rPr>
          <w:rStyle w:val="FootnoteReference"/>
        </w:rPr>
        <w:footnoteRef/>
      </w:r>
      <w:r>
        <w:t xml:space="preserve"> </w:t>
      </w:r>
      <w:r>
        <w:rPr>
          <w:rFonts w:cstheme="minorHAnsi"/>
        </w:rPr>
        <w:t xml:space="preserve">00237.007 Beef &amp; Lamb </w:t>
      </w:r>
      <w:r w:rsidR="009D3560">
        <w:rPr>
          <w:rFonts w:cstheme="minorHAnsi"/>
        </w:rPr>
        <w:t>and DINZ</w:t>
      </w:r>
      <w:r>
        <w:rPr>
          <w:rFonts w:cstheme="minorHAnsi"/>
        </w:rPr>
        <w:t>, 00137.016 DOC, 00226.035 Kāi Tahu ki Otago, 00120.011 Yellow-eyed Penguin Trust, 00230.016 Forest and Bird</w:t>
      </w:r>
    </w:p>
  </w:footnote>
  <w:footnote w:id="1479">
    <w:p w14:paraId="5AE824F7" w14:textId="3FF69370" w:rsidR="004D28D7" w:rsidRDefault="004D28D7" w:rsidP="004D28D7">
      <w:pPr>
        <w:pStyle w:val="FootnoteText"/>
      </w:pPr>
      <w:r>
        <w:rPr>
          <w:rStyle w:val="FootnoteReference"/>
        </w:rPr>
        <w:footnoteRef/>
      </w:r>
      <w:r>
        <w:t xml:space="preserve"> Clause 16(2), Sch</w:t>
      </w:r>
      <w:r w:rsidR="009D3560">
        <w:t>edule</w:t>
      </w:r>
      <w:r>
        <w:t xml:space="preserve"> 1</w:t>
      </w:r>
      <w:r w:rsidR="009D3560">
        <w:t>,</w:t>
      </w:r>
      <w:r>
        <w:t xml:space="preserve"> RMA</w:t>
      </w:r>
    </w:p>
  </w:footnote>
  <w:footnote w:id="1480">
    <w:p w14:paraId="16DF074D" w14:textId="77777777" w:rsidR="004D28D7" w:rsidRDefault="004D28D7" w:rsidP="004D28D7">
      <w:pPr>
        <w:pStyle w:val="FootnoteText"/>
      </w:pPr>
      <w:r>
        <w:rPr>
          <w:rStyle w:val="FootnoteReference"/>
        </w:rPr>
        <w:footnoteRef/>
      </w:r>
      <w:r>
        <w:t xml:space="preserve"> 00115.022 Oceana Gold</w:t>
      </w:r>
    </w:p>
  </w:footnote>
  <w:footnote w:id="1481">
    <w:p w14:paraId="0527DA36" w14:textId="586EED31" w:rsidR="004D28D7" w:rsidRDefault="004D28D7" w:rsidP="004D28D7">
      <w:pPr>
        <w:pStyle w:val="FootnoteText"/>
      </w:pPr>
      <w:r>
        <w:rPr>
          <w:rStyle w:val="FootnoteReference"/>
        </w:rPr>
        <w:footnoteRef/>
      </w:r>
      <w:r>
        <w:t xml:space="preserve"> 00230.149 Forest and Bird</w:t>
      </w:r>
    </w:p>
  </w:footnote>
  <w:footnote w:id="1482">
    <w:p w14:paraId="64EAF6CC" w14:textId="77777777" w:rsidR="004D28D7" w:rsidRDefault="004D28D7" w:rsidP="004D28D7">
      <w:pPr>
        <w:pStyle w:val="FootnoteText"/>
      </w:pPr>
      <w:r>
        <w:rPr>
          <w:rStyle w:val="FootnoteReference"/>
        </w:rPr>
        <w:footnoteRef/>
      </w:r>
      <w:r>
        <w:t xml:space="preserve"> Consequential to 0137.014 DOC</w:t>
      </w:r>
    </w:p>
  </w:footnote>
  <w:footnote w:id="1483">
    <w:p w14:paraId="250ADE42" w14:textId="4EF24965" w:rsidR="004D28D7" w:rsidRDefault="004D28D7" w:rsidP="004D28D7">
      <w:pPr>
        <w:pStyle w:val="FootnoteText"/>
      </w:pPr>
      <w:r>
        <w:rPr>
          <w:rStyle w:val="FootnoteReference"/>
        </w:rPr>
        <w:footnoteRef/>
      </w:r>
      <w:r>
        <w:t xml:space="preserve"> Clause 16(2), Sch</w:t>
      </w:r>
      <w:r w:rsidR="009D3560">
        <w:t>edule</w:t>
      </w:r>
      <w:r>
        <w:t xml:space="preserve"> 1</w:t>
      </w:r>
      <w:r w:rsidR="009D3560">
        <w:t>,</w:t>
      </w:r>
      <w:r>
        <w:t xml:space="preserve"> RMA</w:t>
      </w:r>
    </w:p>
  </w:footnote>
  <w:footnote w:id="1484">
    <w:p w14:paraId="2CFD3DE7" w14:textId="7183112B" w:rsidR="004D28D7" w:rsidRDefault="004D28D7" w:rsidP="004D28D7">
      <w:pPr>
        <w:pStyle w:val="FootnoteText"/>
      </w:pPr>
      <w:r>
        <w:rPr>
          <w:rStyle w:val="FootnoteReference"/>
        </w:rPr>
        <w:footnoteRef/>
      </w:r>
      <w:r>
        <w:t xml:space="preserve"> Clause 16(2), Sch</w:t>
      </w:r>
      <w:r w:rsidR="009D3560">
        <w:t>edule</w:t>
      </w:r>
      <w:r>
        <w:t xml:space="preserve"> 1</w:t>
      </w:r>
      <w:r w:rsidR="009D3560">
        <w:t>,</w:t>
      </w:r>
      <w:r>
        <w:t xml:space="preserve"> RMA</w:t>
      </w:r>
    </w:p>
  </w:footnote>
  <w:footnote w:id="1485">
    <w:p w14:paraId="0A3C9C0A" w14:textId="77777777" w:rsidR="004D28D7" w:rsidRDefault="004D28D7" w:rsidP="004D28D7">
      <w:pPr>
        <w:pStyle w:val="FootnoteText"/>
      </w:pPr>
      <w:r>
        <w:rPr>
          <w:rStyle w:val="FootnoteReference"/>
        </w:rPr>
        <w:footnoteRef/>
      </w:r>
      <w:r>
        <w:t xml:space="preserve"> 00137.158 DOC</w:t>
      </w:r>
    </w:p>
  </w:footnote>
  <w:footnote w:id="1486">
    <w:p w14:paraId="523AEC4C" w14:textId="77777777" w:rsidR="004D28D7" w:rsidRDefault="004D28D7" w:rsidP="004D28D7">
      <w:pPr>
        <w:pStyle w:val="FootnoteText"/>
      </w:pPr>
      <w:r>
        <w:rPr>
          <w:rStyle w:val="FootnoteReference"/>
        </w:rPr>
        <w:footnoteRef/>
      </w:r>
      <w:r>
        <w:t xml:space="preserve"> 00137.158 DOC</w:t>
      </w:r>
    </w:p>
  </w:footnote>
  <w:footnote w:id="1487">
    <w:p w14:paraId="3987F015" w14:textId="4C368486" w:rsidR="004D28D7" w:rsidRDefault="004D28D7" w:rsidP="004D28D7">
      <w:pPr>
        <w:pStyle w:val="FootnoteText"/>
      </w:pPr>
      <w:r>
        <w:rPr>
          <w:rStyle w:val="FootnoteReference"/>
        </w:rPr>
        <w:footnoteRef/>
      </w:r>
      <w:r>
        <w:t xml:space="preserve"> Clause 16(2), Sch</w:t>
      </w:r>
      <w:r w:rsidR="009D3560">
        <w:t>edule</w:t>
      </w:r>
      <w:r>
        <w:t xml:space="preserve"> 1</w:t>
      </w:r>
      <w:r w:rsidR="009D3560">
        <w:t>,</w:t>
      </w:r>
      <w:r>
        <w:t xml:space="preserve"> RMA</w:t>
      </w:r>
    </w:p>
  </w:footnote>
  <w:footnote w:id="1488">
    <w:p w14:paraId="2F12329E" w14:textId="77777777" w:rsidR="004D28D7" w:rsidRDefault="004D28D7" w:rsidP="004D28D7">
      <w:pPr>
        <w:pStyle w:val="FootnoteText"/>
      </w:pPr>
      <w:r>
        <w:rPr>
          <w:rStyle w:val="FootnoteReference"/>
        </w:rPr>
        <w:footnoteRef/>
      </w:r>
      <w:r>
        <w:t xml:space="preserve"> 00137.158 DOC</w:t>
      </w:r>
    </w:p>
  </w:footnote>
  <w:footnote w:id="1489">
    <w:p w14:paraId="682C9AD5" w14:textId="77777777" w:rsidR="004D28D7" w:rsidRDefault="004D28D7" w:rsidP="004D28D7">
      <w:pPr>
        <w:pStyle w:val="FootnoteText"/>
      </w:pPr>
      <w:r>
        <w:rPr>
          <w:rStyle w:val="FootnoteReference"/>
        </w:rPr>
        <w:footnoteRef/>
      </w:r>
      <w:r>
        <w:t xml:space="preserve"> 00137.158 DOC</w:t>
      </w:r>
    </w:p>
  </w:footnote>
  <w:footnote w:id="1490">
    <w:p w14:paraId="123CC981" w14:textId="77777777" w:rsidR="004D28D7" w:rsidRDefault="004D28D7" w:rsidP="004D28D7">
      <w:pPr>
        <w:pStyle w:val="FootnoteText"/>
      </w:pPr>
      <w:r>
        <w:rPr>
          <w:rStyle w:val="FootnoteReference"/>
        </w:rPr>
        <w:footnoteRef/>
      </w:r>
      <w:r>
        <w:t xml:space="preserve"> 00137.158 DOC</w:t>
      </w:r>
    </w:p>
  </w:footnote>
  <w:footnote w:id="1491">
    <w:p w14:paraId="26EF5C79" w14:textId="36E0C579" w:rsidR="00702D6F" w:rsidRPr="00BD5EE6" w:rsidRDefault="00702D6F" w:rsidP="00702D6F">
      <w:pPr>
        <w:pStyle w:val="FootnoteText"/>
        <w:rPr>
          <w:lang w:val="en-GB"/>
        </w:rPr>
      </w:pPr>
      <w:r w:rsidRPr="007E664C">
        <w:rPr>
          <w:rStyle w:val="FootnoteReference"/>
          <w:u w:val="single"/>
          <w:shd w:val="clear" w:color="auto" w:fill="D9D9D9" w:themeFill="background1" w:themeFillShade="D9"/>
        </w:rPr>
        <w:footnoteRef/>
      </w:r>
      <w:r w:rsidRPr="007E664C">
        <w:rPr>
          <w:u w:val="single"/>
          <w:shd w:val="clear" w:color="auto" w:fill="D9D9D9" w:themeFill="background1" w:themeFillShade="D9"/>
        </w:rPr>
        <w:t xml:space="preserve"> </w:t>
      </w:r>
      <w:r w:rsidRPr="007E664C">
        <w:rPr>
          <w:rFonts w:eastAsia="Times New Roman" w:cs="Segoe UI"/>
          <w:szCs w:val="22"/>
          <w:u w:val="single"/>
          <w:shd w:val="clear" w:color="auto" w:fill="D9D9D9" w:themeFill="background1" w:themeFillShade="D9"/>
          <w:lang w:eastAsia="en-NZ"/>
        </w:rPr>
        <w:t>McEwen, W Medium (ed), 1987. Ecological regions and districts of New Zealand. Wellington: Department of Conservation</w:t>
      </w:r>
      <w:r w:rsidRPr="007E664C">
        <w:rPr>
          <w:rFonts w:eastAsia="Times New Roman" w:cs="Segoe UI"/>
          <w:szCs w:val="22"/>
          <w:shd w:val="clear" w:color="auto" w:fill="D9D9D9" w:themeFill="background1" w:themeFillShade="D9"/>
          <w:lang w:eastAsia="en-NZ"/>
        </w:rPr>
        <w:t xml:space="preserve"> </w:t>
      </w:r>
      <w:r>
        <w:rPr>
          <w:rFonts w:eastAsia="Times New Roman" w:cs="Segoe UI"/>
          <w:szCs w:val="22"/>
          <w:lang w:eastAsia="en-NZ"/>
        </w:rPr>
        <w:t>(new footnote attributed to 00138.027 QLDC)</w:t>
      </w:r>
    </w:p>
  </w:footnote>
  <w:footnote w:id="1492">
    <w:p w14:paraId="60A9AD2A" w14:textId="55C26F61" w:rsidR="004D28D7" w:rsidRDefault="004D28D7" w:rsidP="004D28D7">
      <w:pPr>
        <w:pStyle w:val="FootnoteText"/>
      </w:pPr>
      <w:r>
        <w:rPr>
          <w:rStyle w:val="FootnoteReference"/>
        </w:rPr>
        <w:footnoteRef/>
      </w:r>
      <w:r>
        <w:t xml:space="preserve">  </w:t>
      </w:r>
      <w:r>
        <w:rPr>
          <w:rFonts w:cstheme="minorHAnsi"/>
        </w:rPr>
        <w:t xml:space="preserve">00237.007 Beef &amp; Lamb </w:t>
      </w:r>
      <w:r w:rsidR="009D3560">
        <w:rPr>
          <w:rFonts w:cstheme="minorHAnsi"/>
        </w:rPr>
        <w:t>and DINZ</w:t>
      </w:r>
      <w:r>
        <w:rPr>
          <w:rFonts w:cstheme="minorHAnsi"/>
        </w:rPr>
        <w:t xml:space="preserve">, 00137.016 DOC, 00226.035 Kāi Tahu ki Otago, 00120.011 Yellow-eyed Penguin Trust, 00230.016 Forest and Bird </w:t>
      </w:r>
    </w:p>
  </w:footnote>
  <w:footnote w:id="1493">
    <w:p w14:paraId="6865012B" w14:textId="77777777" w:rsidR="004D28D7" w:rsidRDefault="004D28D7" w:rsidP="004D28D7">
      <w:pPr>
        <w:pStyle w:val="FootnoteText"/>
      </w:pPr>
      <w:r>
        <w:rPr>
          <w:rStyle w:val="FootnoteReference"/>
        </w:rPr>
        <w:footnoteRef/>
      </w:r>
      <w:r>
        <w:t xml:space="preserve"> 00137.158 DOC</w:t>
      </w:r>
    </w:p>
  </w:footnote>
  <w:footnote w:id="1494">
    <w:p w14:paraId="05EAB175" w14:textId="77777777" w:rsidR="004D28D7" w:rsidRDefault="004D28D7" w:rsidP="004D28D7">
      <w:pPr>
        <w:pStyle w:val="FootnoteText"/>
      </w:pPr>
      <w:r>
        <w:rPr>
          <w:rStyle w:val="FootnoteReference"/>
        </w:rPr>
        <w:footnoteRef/>
      </w:r>
      <w:r>
        <w:t xml:space="preserve"> 00137.158 DOC</w:t>
      </w:r>
    </w:p>
  </w:footnote>
  <w:footnote w:id="1495">
    <w:p w14:paraId="17A67906" w14:textId="77777777" w:rsidR="004D28D7" w:rsidRDefault="004D28D7" w:rsidP="004D28D7">
      <w:pPr>
        <w:pStyle w:val="FootnoteText"/>
      </w:pPr>
      <w:r>
        <w:rPr>
          <w:rStyle w:val="FootnoteReference"/>
        </w:rPr>
        <w:footnoteRef/>
      </w:r>
      <w:r>
        <w:t xml:space="preserve"> 00137.158 DOC</w:t>
      </w:r>
    </w:p>
  </w:footnote>
  <w:footnote w:id="1496">
    <w:p w14:paraId="687D9266" w14:textId="77777777" w:rsidR="004D28D7" w:rsidRDefault="004D28D7" w:rsidP="004D28D7">
      <w:pPr>
        <w:pStyle w:val="FootnoteText"/>
      </w:pPr>
      <w:r>
        <w:rPr>
          <w:rStyle w:val="FootnoteReference"/>
        </w:rPr>
        <w:footnoteRef/>
      </w:r>
      <w:r>
        <w:t xml:space="preserve"> 00137.158 DOC</w:t>
      </w:r>
    </w:p>
  </w:footnote>
  <w:footnote w:id="1497">
    <w:p w14:paraId="34664E3D" w14:textId="77777777" w:rsidR="004D28D7" w:rsidRDefault="004D28D7" w:rsidP="004D28D7">
      <w:pPr>
        <w:pStyle w:val="FootnoteText"/>
      </w:pPr>
      <w:r>
        <w:rPr>
          <w:rStyle w:val="FootnoteReference"/>
        </w:rPr>
        <w:footnoteRef/>
      </w:r>
      <w:r>
        <w:t xml:space="preserve"> 00137.158 DOC</w:t>
      </w:r>
    </w:p>
  </w:footnote>
  <w:footnote w:id="1498">
    <w:p w14:paraId="53D44550" w14:textId="77777777" w:rsidR="004D28D7" w:rsidRDefault="004D28D7" w:rsidP="004D28D7">
      <w:pPr>
        <w:pStyle w:val="FootnoteText"/>
      </w:pPr>
      <w:r>
        <w:rPr>
          <w:rStyle w:val="FootnoteReference"/>
        </w:rPr>
        <w:footnoteRef/>
      </w:r>
      <w:r>
        <w:t xml:space="preserve"> 00137.158 DOC</w:t>
      </w:r>
    </w:p>
  </w:footnote>
  <w:footnote w:id="1499">
    <w:p w14:paraId="1173EF06" w14:textId="77777777" w:rsidR="004D28D7" w:rsidRDefault="004D28D7" w:rsidP="004D28D7">
      <w:pPr>
        <w:pStyle w:val="FootnoteText"/>
      </w:pPr>
      <w:r>
        <w:rPr>
          <w:rStyle w:val="FootnoteReference"/>
        </w:rPr>
        <w:footnoteRef/>
      </w:r>
      <w:r>
        <w:t xml:space="preserve"> 00137.158 DOC</w:t>
      </w:r>
    </w:p>
  </w:footnote>
  <w:footnote w:id="1500">
    <w:p w14:paraId="27A56E4E" w14:textId="77777777" w:rsidR="004D28D7" w:rsidRDefault="004D28D7" w:rsidP="004D28D7">
      <w:pPr>
        <w:pStyle w:val="FootnoteText"/>
      </w:pPr>
      <w:r>
        <w:rPr>
          <w:rStyle w:val="FootnoteReference"/>
        </w:rPr>
        <w:footnoteRef/>
      </w:r>
      <w:r>
        <w:t xml:space="preserve"> 00137.158 DOC</w:t>
      </w:r>
    </w:p>
  </w:footnote>
  <w:footnote w:id="1501">
    <w:p w14:paraId="108577DC" w14:textId="77777777" w:rsidR="004D28D7" w:rsidRDefault="004D28D7" w:rsidP="004D28D7">
      <w:pPr>
        <w:pStyle w:val="FootnoteText"/>
      </w:pPr>
      <w:r>
        <w:rPr>
          <w:rStyle w:val="FootnoteReference"/>
        </w:rPr>
        <w:footnoteRef/>
      </w:r>
      <w:r>
        <w:t xml:space="preserve"> 00137.158 DOC</w:t>
      </w:r>
    </w:p>
  </w:footnote>
  <w:footnote w:id="1502">
    <w:p w14:paraId="6B53FE5F" w14:textId="77777777" w:rsidR="004D28D7" w:rsidRDefault="004D28D7" w:rsidP="004D28D7">
      <w:pPr>
        <w:pStyle w:val="FootnoteText"/>
      </w:pPr>
      <w:r>
        <w:rPr>
          <w:rStyle w:val="FootnoteReference"/>
        </w:rPr>
        <w:footnoteRef/>
      </w:r>
      <w:r>
        <w:t xml:space="preserve"> 00137.158 DOC</w:t>
      </w:r>
    </w:p>
  </w:footnote>
  <w:footnote w:id="1503">
    <w:p w14:paraId="10527F58" w14:textId="77777777" w:rsidR="004D28D7" w:rsidRDefault="004D28D7" w:rsidP="004D28D7">
      <w:pPr>
        <w:pStyle w:val="FootnoteText"/>
      </w:pPr>
      <w:r>
        <w:rPr>
          <w:rStyle w:val="FootnoteReference"/>
        </w:rPr>
        <w:footnoteRef/>
      </w:r>
      <w:r>
        <w:t xml:space="preserve"> 00137.158 DOC</w:t>
      </w:r>
    </w:p>
  </w:footnote>
  <w:footnote w:id="1504">
    <w:p w14:paraId="1459CDE1" w14:textId="77777777" w:rsidR="00E550F0" w:rsidRDefault="00E550F0" w:rsidP="00E550F0">
      <w:pPr>
        <w:pStyle w:val="FootnoteText"/>
        <w:rPr>
          <w:lang w:val="en-GB"/>
        </w:rPr>
      </w:pPr>
      <w:r>
        <w:rPr>
          <w:rStyle w:val="FootnoteReference"/>
        </w:rPr>
        <w:footnoteRef/>
      </w:r>
      <w:r>
        <w:t xml:space="preserve"> 00138.147 </w:t>
      </w:r>
      <w:r>
        <w:rPr>
          <w:lang w:val="en-GB"/>
        </w:rPr>
        <w:t>QLDC</w:t>
      </w:r>
    </w:p>
  </w:footnote>
  <w:footnote w:id="1505">
    <w:p w14:paraId="0B6A4C0C" w14:textId="77777777" w:rsidR="00B05AE0" w:rsidRDefault="00B05AE0" w:rsidP="00B05AE0">
      <w:pPr>
        <w:pStyle w:val="FootnoteText"/>
        <w:rPr>
          <w:lang w:val="en-GB"/>
        </w:rPr>
      </w:pPr>
      <w:r>
        <w:rPr>
          <w:rStyle w:val="FootnoteReference"/>
        </w:rPr>
        <w:footnoteRef/>
      </w:r>
      <w:r>
        <w:t xml:space="preserve"> 00301.055 </w:t>
      </w:r>
      <w:r>
        <w:rPr>
          <w:lang w:eastAsia="en-NZ"/>
        </w:rPr>
        <w:t>Port Otago</w:t>
      </w:r>
    </w:p>
  </w:footnote>
  <w:footnote w:id="1506">
    <w:p w14:paraId="543BFB11" w14:textId="77777777" w:rsidR="00E550F0" w:rsidRDefault="00E550F0" w:rsidP="00E550F0">
      <w:pPr>
        <w:pStyle w:val="FootnoteText"/>
        <w:rPr>
          <w:lang w:val="en-GB"/>
        </w:rPr>
      </w:pPr>
      <w:r>
        <w:rPr>
          <w:rStyle w:val="FootnoteReference"/>
        </w:rPr>
        <w:footnoteRef/>
      </w:r>
      <w:r>
        <w:t xml:space="preserve"> 00411.091 </w:t>
      </w:r>
      <w:r>
        <w:rPr>
          <w:rFonts w:cs="Arial"/>
        </w:rPr>
        <w:t>Wayfare</w:t>
      </w:r>
    </w:p>
  </w:footnote>
  <w:footnote w:id="1507">
    <w:p w14:paraId="1C1B9C36" w14:textId="77777777" w:rsidR="00E550F0" w:rsidRDefault="00E550F0" w:rsidP="00E550F0">
      <w:pPr>
        <w:pStyle w:val="FootnoteText"/>
        <w:rPr>
          <w:lang w:val="en-GB"/>
        </w:rPr>
      </w:pPr>
      <w:r>
        <w:rPr>
          <w:rStyle w:val="FootnoteReference"/>
        </w:rPr>
        <w:footnoteRef/>
      </w:r>
      <w:r>
        <w:t xml:space="preserve"> 00411.091 </w:t>
      </w:r>
      <w:r>
        <w:rPr>
          <w:rFonts w:cs="Arial"/>
        </w:rPr>
        <w:t>Wayfare</w:t>
      </w:r>
    </w:p>
  </w:footnote>
  <w:footnote w:id="1508">
    <w:p w14:paraId="6A447FB5" w14:textId="77777777" w:rsidR="00E550F0" w:rsidRDefault="00E550F0" w:rsidP="00E550F0">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09">
    <w:p w14:paraId="65C95C94" w14:textId="77777777" w:rsidR="003C3411" w:rsidRDefault="003C3411" w:rsidP="003C3411">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0">
    <w:p w14:paraId="6AD71E3E" w14:textId="77777777" w:rsidR="003C3411" w:rsidRDefault="003C3411" w:rsidP="003C3411">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1">
    <w:p w14:paraId="4A7A802D" w14:textId="0048D491" w:rsidR="00B345FA" w:rsidRPr="00B345FA" w:rsidRDefault="00B345FA">
      <w:pPr>
        <w:pStyle w:val="FootnoteText"/>
        <w:rPr>
          <w:lang w:val="en-GB"/>
        </w:rPr>
      </w:pPr>
      <w:r>
        <w:rPr>
          <w:rStyle w:val="FootnoteReference"/>
        </w:rPr>
        <w:footnoteRef/>
      </w:r>
      <w:r>
        <w:t xml:space="preserve"> </w:t>
      </w:r>
      <w:r w:rsidRPr="007F0808">
        <w:rPr>
          <w:rFonts w:cstheme="minorHAnsi"/>
        </w:rPr>
        <w:t>00138.147</w:t>
      </w:r>
      <w:r w:rsidRPr="000B4363">
        <w:t xml:space="preserve"> </w:t>
      </w:r>
      <w:r>
        <w:t>QLDC</w:t>
      </w:r>
    </w:p>
  </w:footnote>
  <w:footnote w:id="1512">
    <w:p w14:paraId="61B84D05"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3">
    <w:p w14:paraId="190C9C86"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4">
    <w:p w14:paraId="33927F20"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5">
    <w:p w14:paraId="26F02FC1" w14:textId="69BDAA92" w:rsidR="00B345FA" w:rsidRPr="00B345FA" w:rsidRDefault="00B345FA">
      <w:pPr>
        <w:pStyle w:val="FootnoteText"/>
        <w:rPr>
          <w:lang w:val="en-GB"/>
        </w:rPr>
      </w:pPr>
      <w:r>
        <w:rPr>
          <w:rStyle w:val="FootnoteReference"/>
        </w:rPr>
        <w:footnoteRef/>
      </w:r>
      <w:r>
        <w:t xml:space="preserve"> </w:t>
      </w:r>
      <w:r w:rsidR="008502CC" w:rsidRPr="007F0808">
        <w:rPr>
          <w:rFonts w:cstheme="minorHAnsi"/>
        </w:rPr>
        <w:t>00138.147</w:t>
      </w:r>
      <w:r w:rsidR="008502CC" w:rsidRPr="000B4363">
        <w:t xml:space="preserve"> </w:t>
      </w:r>
      <w:r w:rsidR="008502CC">
        <w:t>QLDC</w:t>
      </w:r>
    </w:p>
  </w:footnote>
  <w:footnote w:id="1516">
    <w:p w14:paraId="72CED16E"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7">
    <w:p w14:paraId="16FA77F0"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8">
    <w:p w14:paraId="6542D746"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19">
    <w:p w14:paraId="35716FAC" w14:textId="279A4F73" w:rsidR="008502CC" w:rsidRPr="008502CC" w:rsidRDefault="008502CC">
      <w:pPr>
        <w:pStyle w:val="FootnoteText"/>
        <w:rPr>
          <w:lang w:val="en-GB"/>
        </w:rPr>
      </w:pPr>
      <w:r>
        <w:rPr>
          <w:rStyle w:val="FootnoteReference"/>
        </w:rPr>
        <w:footnoteRef/>
      </w:r>
      <w:r>
        <w:t xml:space="preserve"> </w:t>
      </w:r>
      <w:r w:rsidR="000513C1" w:rsidRPr="000513C1">
        <w:t>00138.147 QLDC</w:t>
      </w:r>
    </w:p>
  </w:footnote>
  <w:footnote w:id="1520">
    <w:p w14:paraId="738E9C89"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21">
    <w:p w14:paraId="59915D90"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22">
    <w:p w14:paraId="1D96639B"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23">
    <w:p w14:paraId="6DC14B78"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24">
    <w:p w14:paraId="650DD310"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25">
    <w:p w14:paraId="30E155D8" w14:textId="77777777" w:rsidR="00251408" w:rsidRDefault="00251408" w:rsidP="00251408">
      <w:pPr>
        <w:pStyle w:val="FootnoteText"/>
        <w:rPr>
          <w:lang w:val="en-GB"/>
        </w:rPr>
      </w:pPr>
      <w:r>
        <w:rPr>
          <w:rStyle w:val="FootnoteReference"/>
        </w:rPr>
        <w:footnoteRef/>
      </w:r>
      <w:r>
        <w:t xml:space="preserve"> </w:t>
      </w:r>
      <w:r>
        <w:rPr>
          <w:rFonts w:cstheme="minorHAnsi"/>
        </w:rPr>
        <w:t>00138.147</w:t>
      </w:r>
      <w:r>
        <w:rPr>
          <w:lang w:val="en-GB"/>
        </w:rPr>
        <w:t xml:space="preserve"> QLDC</w:t>
      </w:r>
    </w:p>
  </w:footnote>
  <w:footnote w:id="1526">
    <w:p w14:paraId="731150E9" w14:textId="77777777" w:rsidR="00B05AE0" w:rsidRDefault="00B05AE0" w:rsidP="00B05AE0">
      <w:pPr>
        <w:pStyle w:val="FootnoteText"/>
        <w:rPr>
          <w:lang w:val="en-GB"/>
        </w:rPr>
      </w:pPr>
      <w:r>
        <w:rPr>
          <w:rStyle w:val="FootnoteReference"/>
        </w:rPr>
        <w:footnoteRef/>
      </w:r>
      <w:r>
        <w:t xml:space="preserve"> 00301.055 </w:t>
      </w:r>
      <w:r>
        <w:rPr>
          <w:lang w:eastAsia="en-NZ"/>
        </w:rPr>
        <w:t>Port Otago</w:t>
      </w:r>
    </w:p>
  </w:footnote>
  <w:footnote w:id="1527">
    <w:p w14:paraId="2E0C5825" w14:textId="77777777" w:rsidR="00E550F0" w:rsidRDefault="00E550F0" w:rsidP="00E550F0">
      <w:pPr>
        <w:pStyle w:val="FootnoteText"/>
        <w:rPr>
          <w:lang w:val="en-GB"/>
        </w:rPr>
      </w:pPr>
      <w:r>
        <w:rPr>
          <w:rStyle w:val="FootnoteReference"/>
        </w:rPr>
        <w:footnoteRef/>
      </w:r>
      <w:r>
        <w:t xml:space="preserve"> 00138.147 </w:t>
      </w:r>
      <w:r>
        <w:rPr>
          <w:lang w:val="en-GB"/>
        </w:rPr>
        <w:t>QLDC</w:t>
      </w:r>
    </w:p>
  </w:footnote>
  <w:footnote w:id="1528">
    <w:p w14:paraId="2A9E5663" w14:textId="77777777" w:rsidR="00E550F0" w:rsidRDefault="00E550F0" w:rsidP="00E550F0">
      <w:pPr>
        <w:pStyle w:val="FootnoteText"/>
        <w:rPr>
          <w:lang w:val="en-GB"/>
        </w:rPr>
      </w:pPr>
      <w:r>
        <w:rPr>
          <w:rStyle w:val="FootnoteReference"/>
        </w:rPr>
        <w:footnoteRef/>
      </w:r>
      <w:r>
        <w:t xml:space="preserve"> 00138.147 QLDC</w:t>
      </w:r>
    </w:p>
  </w:footnote>
  <w:footnote w:id="1529">
    <w:p w14:paraId="1764F0BB" w14:textId="77777777" w:rsidR="00E550F0" w:rsidRDefault="00E550F0" w:rsidP="00E550F0">
      <w:pPr>
        <w:pStyle w:val="FootnoteText"/>
        <w:rPr>
          <w:lang w:val="en-GB"/>
        </w:rPr>
      </w:pPr>
      <w:r>
        <w:rPr>
          <w:rStyle w:val="FootnoteReference"/>
        </w:rPr>
        <w:footnoteRef/>
      </w:r>
      <w:r>
        <w:t xml:space="preserve"> </w:t>
      </w:r>
      <w:r>
        <w:rPr>
          <w:rFonts w:cstheme="minorHAnsi"/>
        </w:rPr>
        <w:t>00138.147</w:t>
      </w:r>
      <w:r>
        <w:t xml:space="preserve"> QLDC</w:t>
      </w:r>
    </w:p>
  </w:footnote>
  <w:footnote w:id="1530">
    <w:p w14:paraId="1673E478" w14:textId="77777777" w:rsidR="00E550F0" w:rsidRDefault="00E550F0" w:rsidP="00E550F0">
      <w:pPr>
        <w:pStyle w:val="FootnoteText"/>
        <w:rPr>
          <w:lang w:val="en-GB"/>
        </w:rPr>
      </w:pPr>
      <w:r>
        <w:rPr>
          <w:rStyle w:val="FootnoteReference"/>
        </w:rPr>
        <w:footnoteRef/>
      </w:r>
      <w:r>
        <w:t xml:space="preserve"> </w:t>
      </w:r>
      <w:r>
        <w:rPr>
          <w:rFonts w:cstheme="minorHAnsi"/>
        </w:rPr>
        <w:t>00138.147</w:t>
      </w:r>
      <w:r>
        <w:t xml:space="preserve"> QLDC</w:t>
      </w:r>
    </w:p>
  </w:footnote>
  <w:footnote w:id="1531">
    <w:p w14:paraId="60847966" w14:textId="08688C1E" w:rsidR="00194C77" w:rsidRPr="00194C77" w:rsidRDefault="00194C77">
      <w:pPr>
        <w:pStyle w:val="FootnoteText"/>
        <w:rPr>
          <w:lang w:val="en-GB"/>
        </w:rPr>
      </w:pPr>
      <w:r w:rsidRPr="00BB65B7">
        <w:rPr>
          <w:rStyle w:val="FootnoteReference"/>
          <w:u w:val="single"/>
          <w:shd w:val="clear" w:color="auto" w:fill="D9D9D9" w:themeFill="background1" w:themeFillShade="D9"/>
        </w:rPr>
        <w:footnoteRef/>
      </w:r>
      <w:r w:rsidRPr="00BB65B7">
        <w:rPr>
          <w:u w:val="single"/>
          <w:shd w:val="clear" w:color="auto" w:fill="D9D9D9" w:themeFill="background1" w:themeFillShade="D9"/>
        </w:rPr>
        <w:t xml:space="preserve"> </w:t>
      </w:r>
      <w:r w:rsidRPr="00BB65B7">
        <w:rPr>
          <w:szCs w:val="18"/>
          <w:highlight w:val="lightGray"/>
          <w:u w:val="single"/>
          <w:shd w:val="clear" w:color="auto" w:fill="D9D9D9" w:themeFill="background1" w:themeFillShade="D9"/>
        </w:rPr>
        <w:t>This</w:t>
      </w:r>
      <w:r w:rsidRPr="00513B64">
        <w:rPr>
          <w:szCs w:val="18"/>
          <w:highlight w:val="lightGray"/>
          <w:u w:val="single"/>
        </w:rPr>
        <w:t xml:space="preserve"> methodology has been developed in general accordance with the Australian Geomechanics Society, 2007 methodology, which may usefully provide additional guidance.</w:t>
      </w:r>
      <w:r w:rsidR="004E1BFB">
        <w:rPr>
          <w:szCs w:val="18"/>
          <w:u w:val="single"/>
        </w:rPr>
        <w:t xml:space="preserve"> </w:t>
      </w:r>
      <w:r w:rsidR="004E1BFB" w:rsidRPr="00BB65B7">
        <w:rPr>
          <w:szCs w:val="18"/>
        </w:rPr>
        <w:t>(</w:t>
      </w:r>
      <w:r w:rsidR="00BB65B7" w:rsidRPr="00BB65B7">
        <w:rPr>
          <w:szCs w:val="18"/>
        </w:rPr>
        <w:t xml:space="preserve">New footnote attributed to </w:t>
      </w:r>
      <w:r w:rsidR="00513B64" w:rsidRPr="00BB65B7">
        <w:rPr>
          <w:rFonts w:cstheme="minorHAnsi"/>
        </w:rPr>
        <w:t>00138.147</w:t>
      </w:r>
      <w:r w:rsidR="00513B64" w:rsidRPr="00BB65B7">
        <w:t xml:space="preserve"> QLDC</w:t>
      </w:r>
      <w:r w:rsidR="00513B64">
        <w:t>)</w:t>
      </w:r>
    </w:p>
  </w:footnote>
  <w:footnote w:id="1532">
    <w:p w14:paraId="77107B59" w14:textId="77777777" w:rsidR="00E550F0" w:rsidRDefault="00E550F0" w:rsidP="00E550F0">
      <w:pPr>
        <w:pStyle w:val="FootnoteText"/>
        <w:rPr>
          <w:lang w:val="en-GB"/>
        </w:rPr>
      </w:pPr>
      <w:r>
        <w:rPr>
          <w:rStyle w:val="FootnoteReference"/>
        </w:rPr>
        <w:footnoteRef/>
      </w:r>
      <w:r>
        <w:t xml:space="preserve"> 00138.147 </w:t>
      </w:r>
      <w:r>
        <w:rPr>
          <w:lang w:val="en-GB"/>
        </w:rPr>
        <w:t>QLDC</w:t>
      </w:r>
    </w:p>
  </w:footnote>
  <w:footnote w:id="1533">
    <w:p w14:paraId="7CA45228" w14:textId="56CD6729" w:rsidR="00462D47" w:rsidRPr="00462D47" w:rsidRDefault="00462D47">
      <w:pPr>
        <w:pStyle w:val="FootnoteText"/>
        <w:rPr>
          <w:lang w:val="en-GB"/>
        </w:rPr>
      </w:pPr>
      <w:r w:rsidRPr="005E7D3C">
        <w:rPr>
          <w:rStyle w:val="FootnoteReference"/>
          <w:shd w:val="clear" w:color="auto" w:fill="D9D9D9" w:themeFill="background1" w:themeFillShade="D9"/>
        </w:rPr>
        <w:footnoteRef/>
      </w:r>
      <w:r w:rsidRPr="005E7D3C">
        <w:rPr>
          <w:shd w:val="clear" w:color="auto" w:fill="D9D9D9" w:themeFill="background1" w:themeFillShade="D9"/>
        </w:rPr>
        <w:t xml:space="preserve"> </w:t>
      </w:r>
      <w:r w:rsidRPr="004F1950">
        <w:rPr>
          <w:szCs w:val="18"/>
          <w:shd w:val="clear" w:color="auto" w:fill="D9D9D9" w:themeFill="background1" w:themeFillShade="D9"/>
        </w:rPr>
        <w:t>The</w:t>
      </w:r>
      <w:r w:rsidRPr="004F1950">
        <w:rPr>
          <w:spacing w:val="-4"/>
          <w:szCs w:val="18"/>
          <w:shd w:val="clear" w:color="auto" w:fill="D9D9D9" w:themeFill="background1" w:themeFillShade="D9"/>
        </w:rPr>
        <w:t xml:space="preserve"> </w:t>
      </w:r>
      <w:r w:rsidRPr="004F1950">
        <w:rPr>
          <w:szCs w:val="18"/>
          <w:shd w:val="clear" w:color="auto" w:fill="D9D9D9" w:themeFill="background1" w:themeFillShade="D9"/>
        </w:rPr>
        <w:t>model</w:t>
      </w:r>
      <w:r w:rsidRPr="004F1950">
        <w:rPr>
          <w:spacing w:val="-3"/>
          <w:szCs w:val="18"/>
          <w:shd w:val="clear" w:color="auto" w:fill="D9D9D9" w:themeFill="background1" w:themeFillShade="D9"/>
        </w:rPr>
        <w:t xml:space="preserve"> </w:t>
      </w:r>
      <w:r w:rsidRPr="004F1950">
        <w:rPr>
          <w:szCs w:val="18"/>
          <w:shd w:val="clear" w:color="auto" w:fill="D9D9D9" w:themeFill="background1" w:themeFillShade="D9"/>
        </w:rPr>
        <w:t>should</w:t>
      </w:r>
      <w:r w:rsidRPr="004F1950">
        <w:rPr>
          <w:spacing w:val="-3"/>
          <w:szCs w:val="18"/>
          <w:shd w:val="clear" w:color="auto" w:fill="D9D9D9" w:themeFill="background1" w:themeFillShade="D9"/>
        </w:rPr>
        <w:t xml:space="preserve"> </w:t>
      </w:r>
      <w:r w:rsidRPr="004F1950">
        <w:rPr>
          <w:szCs w:val="18"/>
          <w:shd w:val="clear" w:color="auto" w:fill="D9D9D9" w:themeFill="background1" w:themeFillShade="D9"/>
        </w:rPr>
        <w:t>include</w:t>
      </w:r>
      <w:r w:rsidRPr="004F1950">
        <w:rPr>
          <w:spacing w:val="-3"/>
          <w:szCs w:val="18"/>
          <w:shd w:val="clear" w:color="auto" w:fill="D9D9D9" w:themeFill="background1" w:themeFillShade="D9"/>
        </w:rPr>
        <w:t xml:space="preserve"> </w:t>
      </w:r>
      <w:r w:rsidRPr="004F1950">
        <w:rPr>
          <w:szCs w:val="18"/>
          <w:shd w:val="clear" w:color="auto" w:fill="D9D9D9" w:themeFill="background1" w:themeFillShade="D9"/>
        </w:rPr>
        <w:t>an</w:t>
      </w:r>
      <w:r w:rsidRPr="004F1950">
        <w:rPr>
          <w:spacing w:val="-3"/>
          <w:szCs w:val="18"/>
          <w:shd w:val="clear" w:color="auto" w:fill="D9D9D9" w:themeFill="background1" w:themeFillShade="D9"/>
        </w:rPr>
        <w:t xml:space="preserve"> </w:t>
      </w:r>
      <w:r w:rsidRPr="004F1950">
        <w:rPr>
          <w:szCs w:val="18"/>
          <w:shd w:val="clear" w:color="auto" w:fill="D9D9D9" w:themeFill="background1" w:themeFillShade="D9"/>
        </w:rPr>
        <w:t>analysis</w:t>
      </w:r>
      <w:r w:rsidRPr="004F1950">
        <w:rPr>
          <w:spacing w:val="-1"/>
          <w:szCs w:val="18"/>
          <w:shd w:val="clear" w:color="auto" w:fill="D9D9D9" w:themeFill="background1" w:themeFillShade="D9"/>
        </w:rPr>
        <w:t xml:space="preserve"> </w:t>
      </w:r>
      <w:r w:rsidRPr="004F1950">
        <w:rPr>
          <w:szCs w:val="18"/>
          <w:shd w:val="clear" w:color="auto" w:fill="D9D9D9" w:themeFill="background1" w:themeFillShade="D9"/>
        </w:rPr>
        <w:t>of</w:t>
      </w:r>
      <w:r w:rsidRPr="004F1950">
        <w:rPr>
          <w:spacing w:val="-3"/>
          <w:szCs w:val="18"/>
          <w:shd w:val="clear" w:color="auto" w:fill="D9D9D9" w:themeFill="background1" w:themeFillShade="D9"/>
        </w:rPr>
        <w:t xml:space="preserve"> </w:t>
      </w:r>
      <w:r w:rsidRPr="004F1950">
        <w:rPr>
          <w:szCs w:val="18"/>
          <w:shd w:val="clear" w:color="auto" w:fill="D9D9D9" w:themeFill="background1" w:themeFillShade="D9"/>
        </w:rPr>
        <w:t>uncertainty.</w:t>
      </w:r>
    </w:p>
  </w:footnote>
  <w:footnote w:id="1534">
    <w:p w14:paraId="5D13F953" w14:textId="20AAA520" w:rsidR="005E7D3C" w:rsidRPr="005E7D3C" w:rsidRDefault="005E7D3C" w:rsidP="005E7D3C">
      <w:pPr>
        <w:pStyle w:val="FootnoteText"/>
        <w:shd w:val="clear" w:color="auto" w:fill="D9D9D9" w:themeFill="background1" w:themeFillShade="D9"/>
        <w:rPr>
          <w:lang w:val="en-GB"/>
        </w:rPr>
      </w:pPr>
      <w:r>
        <w:rPr>
          <w:rStyle w:val="FootnoteReference"/>
        </w:rPr>
        <w:footnoteRef/>
      </w:r>
      <w:r>
        <w:t xml:space="preserve"> </w:t>
      </w:r>
      <w:r w:rsidRPr="005E7D3C">
        <w:t>Annual probability that an individual most at risk is killed in any one year as a result of the hazards occurring</w:t>
      </w:r>
      <w:r>
        <w:t>.</w:t>
      </w:r>
    </w:p>
  </w:footnote>
  <w:footnote w:id="1535">
    <w:p w14:paraId="0CDA387B" w14:textId="3D882E41" w:rsidR="00895AE3" w:rsidRPr="00895AE3" w:rsidRDefault="00895AE3">
      <w:pPr>
        <w:pStyle w:val="FootnoteText"/>
        <w:rPr>
          <w:lang w:val="en-GB"/>
        </w:rPr>
      </w:pPr>
      <w:r w:rsidRPr="00895AE3">
        <w:rPr>
          <w:rStyle w:val="FootnoteReference"/>
          <w:shd w:val="clear" w:color="auto" w:fill="D9D9D9" w:themeFill="background1" w:themeFillShade="D9"/>
        </w:rPr>
        <w:footnoteRef/>
      </w:r>
      <w:r w:rsidRPr="00895AE3">
        <w:rPr>
          <w:shd w:val="clear" w:color="auto" w:fill="D9D9D9" w:themeFill="background1" w:themeFillShade="D9"/>
        </w:rPr>
        <w:t xml:space="preserve"> Annual probability of total property loss (relating to permanent structures) as a result of the hazards occurring.</w:t>
      </w:r>
    </w:p>
  </w:footnote>
  <w:footnote w:id="1536">
    <w:p w14:paraId="4E590888" w14:textId="77777777" w:rsidR="00E550F0" w:rsidRDefault="00E550F0" w:rsidP="00E550F0">
      <w:pPr>
        <w:pStyle w:val="FootnoteText"/>
      </w:pPr>
      <w:r>
        <w:rPr>
          <w:rStyle w:val="FootnoteReference"/>
        </w:rPr>
        <w:footnoteRef/>
      </w:r>
      <w:r>
        <w:t xml:space="preserve"> 00138.147 QLDC</w:t>
      </w:r>
    </w:p>
  </w:footnote>
  <w:footnote w:id="1537">
    <w:p w14:paraId="48A92558" w14:textId="77777777" w:rsidR="00E550F0" w:rsidRDefault="00E550F0" w:rsidP="00E550F0">
      <w:pPr>
        <w:pStyle w:val="FootnoteText"/>
        <w:rPr>
          <w:lang w:val="en-GB"/>
        </w:rPr>
      </w:pPr>
      <w:r>
        <w:rPr>
          <w:rStyle w:val="FootnoteReference"/>
        </w:rPr>
        <w:footnoteRef/>
      </w:r>
      <w:r>
        <w:t xml:space="preserve"> 00138.147 QLDC</w:t>
      </w:r>
    </w:p>
  </w:footnote>
  <w:footnote w:id="1538">
    <w:p w14:paraId="1C0A75F1" w14:textId="77777777" w:rsidR="00E550F0" w:rsidRDefault="00E550F0" w:rsidP="00E550F0">
      <w:pPr>
        <w:pStyle w:val="FootnoteText"/>
        <w:rPr>
          <w:lang w:val="en-GB"/>
        </w:rPr>
      </w:pPr>
      <w:r>
        <w:rPr>
          <w:rStyle w:val="FootnoteReference"/>
        </w:rPr>
        <w:footnoteRef/>
      </w:r>
      <w:r>
        <w:t xml:space="preserve"> 00138.147 QLDC</w:t>
      </w:r>
    </w:p>
  </w:footnote>
  <w:footnote w:id="1539">
    <w:p w14:paraId="585B5147" w14:textId="77777777" w:rsidR="00E550F0" w:rsidRDefault="00E550F0" w:rsidP="00E550F0">
      <w:pPr>
        <w:pStyle w:val="FootnoteText"/>
      </w:pPr>
      <w:r>
        <w:rPr>
          <w:rStyle w:val="FootnoteReference"/>
        </w:rPr>
        <w:footnoteRef/>
      </w:r>
      <w:r>
        <w:t xml:space="preserve"> 00138.147 QLDC</w:t>
      </w:r>
    </w:p>
  </w:footnote>
  <w:footnote w:id="1540">
    <w:p w14:paraId="03782B70" w14:textId="77777777" w:rsidR="009A45CE" w:rsidRDefault="009A45CE" w:rsidP="009A45CE">
      <w:pPr>
        <w:pStyle w:val="FootnoteText"/>
      </w:pPr>
      <w:r>
        <w:rPr>
          <w:rStyle w:val="FootnoteReference"/>
        </w:rPr>
        <w:footnoteRef/>
      </w:r>
      <w:r>
        <w:t xml:space="preserve"> 00223.135 Ngāi Tahu ki Murihiku</w:t>
      </w:r>
    </w:p>
  </w:footnote>
  <w:footnote w:id="1541">
    <w:p w14:paraId="34270EF3" w14:textId="77777777" w:rsidR="009A45CE" w:rsidRDefault="009A45CE" w:rsidP="009A45CE">
      <w:pPr>
        <w:pStyle w:val="FootnoteText"/>
      </w:pPr>
      <w:r>
        <w:rPr>
          <w:rStyle w:val="FootnoteReference"/>
        </w:rPr>
        <w:footnoteRef/>
      </w:r>
      <w:r>
        <w:t xml:space="preserve"> </w:t>
      </w:r>
      <w:r w:rsidRPr="0026529C">
        <w:t>00226.327</w:t>
      </w:r>
      <w:r>
        <w:t xml:space="preserve"> </w:t>
      </w:r>
      <w:r w:rsidRPr="0026529C">
        <w:t>Kāi Tahu ki Otago</w:t>
      </w:r>
    </w:p>
  </w:footnote>
  <w:footnote w:id="1542">
    <w:p w14:paraId="59756102" w14:textId="77777777" w:rsidR="009A45CE" w:rsidRDefault="009A45CE" w:rsidP="009A45CE">
      <w:pPr>
        <w:pStyle w:val="FootnoteText"/>
      </w:pPr>
      <w:r>
        <w:rPr>
          <w:rStyle w:val="FootnoteReference"/>
        </w:rPr>
        <w:footnoteRef/>
      </w:r>
      <w:r>
        <w:t xml:space="preserve"> </w:t>
      </w:r>
      <w:r w:rsidRPr="0026529C">
        <w:t>00226.327</w:t>
      </w:r>
      <w:r>
        <w:t xml:space="preserve"> </w:t>
      </w:r>
      <w:r w:rsidRPr="0026529C">
        <w:t>Kāi Tahu ki Otago</w:t>
      </w:r>
    </w:p>
  </w:footnote>
  <w:footnote w:id="1543">
    <w:p w14:paraId="071776AD" w14:textId="379B9BAA" w:rsidR="009A45CE" w:rsidRPr="00F64424" w:rsidRDefault="009A45CE" w:rsidP="009A45CE">
      <w:pPr>
        <w:pStyle w:val="FootnoteText"/>
        <w:rPr>
          <w:lang w:val="en-GB"/>
        </w:rPr>
      </w:pPr>
      <w:r>
        <w:rPr>
          <w:rStyle w:val="FootnoteReference"/>
        </w:rPr>
        <w:footnoteRef/>
      </w:r>
      <w:r>
        <w:t xml:space="preserve"> </w:t>
      </w:r>
      <w:r w:rsidR="00F64424">
        <w:t>Clause 10(2)(b)(i), Schedule 1, RMA –</w:t>
      </w:r>
      <w:r>
        <w:t xml:space="preserve"> consequential </w:t>
      </w:r>
      <w:r w:rsidR="00F64424">
        <w:t>amendment arising from</w:t>
      </w:r>
      <w:r>
        <w:t xml:space="preserve"> </w:t>
      </w:r>
      <w:r w:rsidRPr="0026529C">
        <w:t>00226.327</w:t>
      </w:r>
      <w:r>
        <w:t xml:space="preserve"> </w:t>
      </w:r>
      <w:r w:rsidRPr="0026529C">
        <w:t>Kāi Tahu ki Otago</w:t>
      </w:r>
    </w:p>
  </w:footnote>
  <w:footnote w:id="1544">
    <w:p w14:paraId="47F594D6"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1545">
    <w:p w14:paraId="0BB29B16"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1546">
    <w:p w14:paraId="7851FDCF" w14:textId="77777777" w:rsidR="00A00191" w:rsidRDefault="00A00191" w:rsidP="00A00191">
      <w:pPr>
        <w:pStyle w:val="FootnoteText"/>
      </w:pPr>
      <w:r>
        <w:rPr>
          <w:rStyle w:val="FootnoteReference"/>
        </w:rPr>
        <w:footnoteRef/>
      </w:r>
      <w:r>
        <w:t xml:space="preserve"> </w:t>
      </w:r>
      <w:r w:rsidRPr="0029576C">
        <w:t>Clause 10(2)(b)(i) – consequential amendment arising from 00226.038 Kāi Tahu ki Otago</w:t>
      </w:r>
    </w:p>
  </w:footnote>
  <w:footnote w:id="1547">
    <w:p w14:paraId="2A30825F" w14:textId="77777777" w:rsidR="009A45CE" w:rsidRDefault="009A45CE" w:rsidP="009A45CE">
      <w:pPr>
        <w:pStyle w:val="FootnoteText"/>
      </w:pPr>
      <w:r>
        <w:rPr>
          <w:rStyle w:val="FootnoteReference"/>
        </w:rPr>
        <w:footnoteRef/>
      </w:r>
      <w:r>
        <w:t xml:space="preserve"> </w:t>
      </w:r>
      <w:r w:rsidRPr="0026529C">
        <w:t>00226.327</w:t>
      </w:r>
      <w:r>
        <w:t xml:space="preserve"> </w:t>
      </w:r>
      <w:r w:rsidRPr="0026529C">
        <w:t>Kāi Tahu ki Otago</w:t>
      </w:r>
    </w:p>
  </w:footnote>
  <w:footnote w:id="1548">
    <w:p w14:paraId="7F2AA3E1" w14:textId="77777777" w:rsidR="00617B59" w:rsidRDefault="00617B59" w:rsidP="00617B59">
      <w:pPr>
        <w:pStyle w:val="FootnoteText"/>
      </w:pPr>
      <w:r>
        <w:rPr>
          <w:rStyle w:val="FootnoteReference"/>
        </w:rPr>
        <w:footnoteRef/>
      </w:r>
      <w:r>
        <w:t xml:space="preserve"> </w:t>
      </w:r>
      <w:r w:rsidRPr="0029576C">
        <w:t>Clause 10(2)(b)(i) – consequential amendment arising from 00226.038 Kāi Tahu ki Otago</w:t>
      </w:r>
    </w:p>
  </w:footnote>
  <w:footnote w:id="1549">
    <w:p w14:paraId="622126AF" w14:textId="77777777" w:rsidR="006B4C2C" w:rsidRDefault="006B4C2C" w:rsidP="006B4C2C">
      <w:pPr>
        <w:pStyle w:val="FootnoteText"/>
      </w:pPr>
      <w:r>
        <w:rPr>
          <w:rStyle w:val="FootnoteReference"/>
        </w:rPr>
        <w:footnoteRef/>
      </w:r>
      <w:r>
        <w:t xml:space="preserve"> Clause 16(2), Schedule 1, RMA</w:t>
      </w:r>
    </w:p>
  </w:footnote>
  <w:footnote w:id="1550">
    <w:p w14:paraId="64F25923" w14:textId="77777777" w:rsidR="009A45CE" w:rsidRDefault="009A45CE" w:rsidP="009A45CE">
      <w:pPr>
        <w:pStyle w:val="FootnoteText"/>
      </w:pPr>
      <w:r>
        <w:rPr>
          <w:rStyle w:val="FootnoteReference"/>
        </w:rPr>
        <w:footnoteRef/>
      </w:r>
      <w:r>
        <w:t xml:space="preserve"> </w:t>
      </w:r>
      <w:r w:rsidRPr="0026529C">
        <w:t>00226.327</w:t>
      </w:r>
      <w:r>
        <w:t xml:space="preserve"> </w:t>
      </w:r>
      <w:r w:rsidRPr="0026529C">
        <w:t>Kāi Tahu ki Otago</w:t>
      </w:r>
    </w:p>
  </w:footnote>
  <w:footnote w:id="1551">
    <w:p w14:paraId="4052762C" w14:textId="77777777" w:rsidR="009A45CE" w:rsidRDefault="009A45CE" w:rsidP="009A45CE">
      <w:pPr>
        <w:pStyle w:val="FootnoteText"/>
      </w:pPr>
      <w:r>
        <w:rPr>
          <w:rStyle w:val="FootnoteReference"/>
        </w:rPr>
        <w:footnoteRef/>
      </w:r>
      <w:r>
        <w:t xml:space="preserve"> See above.</w:t>
      </w:r>
    </w:p>
  </w:footnote>
  <w:footnote w:id="1552">
    <w:p w14:paraId="368C4363" w14:textId="77777777" w:rsidR="009A45CE" w:rsidRDefault="009A45CE" w:rsidP="009A45CE">
      <w:pPr>
        <w:pStyle w:val="FootnoteText"/>
      </w:pPr>
      <w:r>
        <w:rPr>
          <w:rStyle w:val="FootnoteReference"/>
        </w:rPr>
        <w:footnoteRef/>
      </w:r>
      <w:r>
        <w:t xml:space="preserve"> 00226.024 Kāi Tahu ki Otago</w:t>
      </w:r>
    </w:p>
  </w:footnote>
  <w:footnote w:id="1553">
    <w:p w14:paraId="4974B084" w14:textId="1DFF8999" w:rsidR="006B4317" w:rsidRPr="006B4317" w:rsidRDefault="006B4317">
      <w:pPr>
        <w:pStyle w:val="FootnoteText"/>
        <w:rPr>
          <w:lang w:val="mi-NZ"/>
        </w:rPr>
      </w:pPr>
      <w:r>
        <w:rPr>
          <w:rStyle w:val="FootnoteReference"/>
        </w:rPr>
        <w:footnoteRef/>
      </w:r>
      <w:r>
        <w:t xml:space="preserve"> </w:t>
      </w:r>
      <w:r w:rsidR="002117C5">
        <w:rPr>
          <w:lang w:val="mi-NZ"/>
        </w:rPr>
        <w:t>Clause 16(2), Schedule 1 RMA 1991</w:t>
      </w:r>
    </w:p>
  </w:footnote>
  <w:footnote w:id="1554">
    <w:p w14:paraId="436AC199" w14:textId="68DC99F8" w:rsidR="002117C5" w:rsidRPr="002117C5" w:rsidRDefault="002117C5" w:rsidP="002117C5">
      <w:pPr>
        <w:pStyle w:val="Paragraphs"/>
        <w:numPr>
          <w:ilvl w:val="0"/>
          <w:numId w:val="0"/>
        </w:numPr>
        <w:rPr>
          <w:i/>
          <w:iCs/>
          <w:u w:val="single"/>
        </w:rPr>
      </w:pPr>
      <w:r w:rsidRPr="00533B1F">
        <w:rPr>
          <w:rStyle w:val="FootnoteReference"/>
          <w:highlight w:val="lightGray"/>
          <w:u w:val="single"/>
          <w:shd w:val="clear" w:color="auto" w:fill="D9D9D9" w:themeFill="background1" w:themeFillShade="D9"/>
        </w:rPr>
        <w:footnoteRef/>
      </w:r>
      <w:r w:rsidRPr="00533B1F">
        <w:rPr>
          <w:u w:val="single"/>
          <w:shd w:val="clear" w:color="auto" w:fill="D9D9D9" w:themeFill="background1" w:themeFillShade="D9"/>
        </w:rPr>
        <w:t xml:space="preserve"> </w:t>
      </w:r>
      <w:r w:rsidRPr="00533B1F">
        <w:rPr>
          <w:sz w:val="18"/>
          <w:szCs w:val="18"/>
          <w:highlight w:val="lightGray"/>
          <w:u w:val="single"/>
          <w:shd w:val="clear" w:color="auto" w:fill="D9D9D9" w:themeFill="background1" w:themeFillShade="D9"/>
        </w:rPr>
        <w:t>The identification criteria in APP8 follows</w:t>
      </w:r>
      <w:r w:rsidRPr="00533B1F">
        <w:rPr>
          <w:i/>
          <w:sz w:val="18"/>
          <w:szCs w:val="18"/>
          <w:highlight w:val="lightGray"/>
          <w:u w:val="single"/>
          <w:shd w:val="clear" w:color="auto" w:fill="D9D9D9" w:themeFill="background1" w:themeFillShade="D9"/>
        </w:rPr>
        <w:t xml:space="preserve"> O’Brian, R and Barnes-Wylie J, Guidelines for Assessing Historic Places and Historic Areas for the New Zealand Heritage List/Rārangi Kōrero (2019) </w:t>
      </w:r>
      <w:r w:rsidRPr="00533B1F">
        <w:rPr>
          <w:sz w:val="18"/>
          <w:szCs w:val="18"/>
          <w:highlight w:val="lightGray"/>
          <w:u w:val="single"/>
          <w:shd w:val="clear" w:color="auto" w:fill="D9D9D9" w:themeFill="background1" w:themeFillShade="D9"/>
        </w:rPr>
        <w:t>which has been adopted by Heritage New Zealand Pouhere Taonga as its Significance Assessment Guidelines</w:t>
      </w:r>
      <w:r w:rsidRPr="002117C5">
        <w:rPr>
          <w:sz w:val="18"/>
          <w:szCs w:val="18"/>
          <w:u w:val="single"/>
        </w:rPr>
        <w:t xml:space="preserve"> </w:t>
      </w:r>
      <w:r w:rsidRPr="002117C5">
        <w:rPr>
          <w:sz w:val="18"/>
          <w:szCs w:val="18"/>
        </w:rPr>
        <w:t>(</w:t>
      </w:r>
      <w:r w:rsidR="00533B1F">
        <w:rPr>
          <w:sz w:val="18"/>
          <w:szCs w:val="18"/>
        </w:rPr>
        <w:t xml:space="preserve">New footnote attributed to </w:t>
      </w:r>
      <w:r w:rsidRPr="002117C5">
        <w:rPr>
          <w:sz w:val="18"/>
          <w:szCs w:val="18"/>
        </w:rPr>
        <w:t>00123.003 Heritage New Zealand Pouhere Taonga, 00139.239 DCC)</w:t>
      </w:r>
    </w:p>
  </w:footnote>
  <w:footnote w:id="1555">
    <w:p w14:paraId="6CB256B0" w14:textId="47471840" w:rsidR="009A45CE" w:rsidRPr="006F7B8C" w:rsidRDefault="009A45CE" w:rsidP="009A45CE">
      <w:pPr>
        <w:pStyle w:val="FootnoteText"/>
        <w:rPr>
          <w:lang w:val="mi-NZ"/>
        </w:rPr>
      </w:pPr>
      <w:r>
        <w:rPr>
          <w:rStyle w:val="FootnoteReference"/>
        </w:rPr>
        <w:footnoteRef/>
      </w:r>
      <w:r>
        <w:t xml:space="preserve"> 00123.003 Heritage </w:t>
      </w:r>
      <w:r w:rsidR="00533B1F">
        <w:t>NZ</w:t>
      </w:r>
    </w:p>
  </w:footnote>
  <w:footnote w:id="1556">
    <w:p w14:paraId="10B4A111" w14:textId="77777777" w:rsidR="009A45CE" w:rsidRPr="007C34F0" w:rsidRDefault="009A45CE" w:rsidP="009A45CE">
      <w:pPr>
        <w:pStyle w:val="FootnoteText"/>
        <w:rPr>
          <w:lang w:val="en-GB"/>
        </w:rPr>
      </w:pPr>
      <w:r>
        <w:rPr>
          <w:rStyle w:val="FootnoteReference"/>
        </w:rPr>
        <w:footnoteRef/>
      </w:r>
      <w:r>
        <w:t xml:space="preserve"> </w:t>
      </w:r>
      <w:r w:rsidRPr="007C34F0">
        <w:t>00301.054</w:t>
      </w:r>
      <w:r>
        <w:t xml:space="preserve"> Port Otago </w:t>
      </w:r>
    </w:p>
  </w:footnote>
  <w:footnote w:id="1557">
    <w:p w14:paraId="7C93B7DA" w14:textId="77777777" w:rsidR="009A45CE" w:rsidRPr="007C34F0" w:rsidRDefault="009A45CE" w:rsidP="009A45CE">
      <w:pPr>
        <w:pStyle w:val="FootnoteText"/>
        <w:rPr>
          <w:lang w:val="en-GB"/>
        </w:rPr>
      </w:pPr>
      <w:r>
        <w:rPr>
          <w:rStyle w:val="FootnoteReference"/>
        </w:rPr>
        <w:footnoteRef/>
      </w:r>
      <w:r>
        <w:t xml:space="preserve"> </w:t>
      </w:r>
      <w:r w:rsidRPr="007C34F0">
        <w:t>00301.054</w:t>
      </w:r>
      <w:r>
        <w:t xml:space="preserve"> Port Otago</w:t>
      </w:r>
    </w:p>
  </w:footnote>
  <w:footnote w:id="1558">
    <w:p w14:paraId="4A012C9E" w14:textId="77777777" w:rsidR="009A45CE" w:rsidRPr="007C34F0" w:rsidRDefault="009A45CE" w:rsidP="009A45CE">
      <w:pPr>
        <w:pStyle w:val="FootnoteText"/>
        <w:rPr>
          <w:lang w:val="en-GB"/>
        </w:rPr>
      </w:pPr>
      <w:r>
        <w:rPr>
          <w:rStyle w:val="FootnoteReference"/>
        </w:rPr>
        <w:footnoteRef/>
      </w:r>
      <w:r>
        <w:t xml:space="preserve"> </w:t>
      </w:r>
      <w:r w:rsidRPr="007C34F0">
        <w:t>00301.054</w:t>
      </w:r>
      <w:r>
        <w:t xml:space="preserve"> Port Otago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115FF" w14:paraId="725322A4" w14:textId="77777777" w:rsidTr="00B43568">
      <w:tc>
        <w:tcPr>
          <w:tcW w:w="3005" w:type="dxa"/>
        </w:tcPr>
        <w:p w14:paraId="6C1056C7" w14:textId="323EDA59" w:rsidR="009115FF" w:rsidRDefault="009115FF" w:rsidP="00B43568">
          <w:pPr>
            <w:pStyle w:val="Header"/>
            <w:ind w:left="-115"/>
          </w:pPr>
        </w:p>
      </w:tc>
      <w:tc>
        <w:tcPr>
          <w:tcW w:w="3005" w:type="dxa"/>
        </w:tcPr>
        <w:p w14:paraId="74267333" w14:textId="0C0B1B4F" w:rsidR="009115FF" w:rsidRDefault="009115FF" w:rsidP="00B43568">
          <w:pPr>
            <w:pStyle w:val="Header"/>
            <w:jc w:val="center"/>
          </w:pPr>
        </w:p>
      </w:tc>
      <w:tc>
        <w:tcPr>
          <w:tcW w:w="3005" w:type="dxa"/>
        </w:tcPr>
        <w:p w14:paraId="40885409" w14:textId="406F0492" w:rsidR="009115FF" w:rsidRDefault="009115FF" w:rsidP="00B43568">
          <w:pPr>
            <w:pStyle w:val="Header"/>
            <w:ind w:right="-115"/>
            <w:jc w:val="right"/>
          </w:pPr>
        </w:p>
      </w:tc>
    </w:tr>
  </w:tbl>
  <w:p w14:paraId="7B64755C" w14:textId="3B4FBEB0" w:rsidR="009115FF" w:rsidRDefault="00911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90DE" w14:textId="77777777" w:rsidR="009A45CE" w:rsidRDefault="009A4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A96C" w14:textId="77777777" w:rsidR="009A45CE" w:rsidRDefault="009A45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A45CE" w14:paraId="64F204C6" w14:textId="77777777" w:rsidTr="001C0550">
      <w:tc>
        <w:tcPr>
          <w:tcW w:w="3005" w:type="dxa"/>
        </w:tcPr>
        <w:p w14:paraId="5DBCB21B" w14:textId="77777777" w:rsidR="009A45CE" w:rsidRDefault="009A45CE" w:rsidP="001C0550">
          <w:pPr>
            <w:pStyle w:val="Header"/>
            <w:ind w:left="-115"/>
          </w:pPr>
        </w:p>
      </w:tc>
      <w:tc>
        <w:tcPr>
          <w:tcW w:w="3005" w:type="dxa"/>
        </w:tcPr>
        <w:p w14:paraId="2B0994BF" w14:textId="77777777" w:rsidR="009A45CE" w:rsidRDefault="009A45CE" w:rsidP="001C0550">
          <w:pPr>
            <w:pStyle w:val="Header"/>
            <w:jc w:val="center"/>
          </w:pPr>
        </w:p>
      </w:tc>
      <w:tc>
        <w:tcPr>
          <w:tcW w:w="3005" w:type="dxa"/>
        </w:tcPr>
        <w:p w14:paraId="299C1C2F" w14:textId="77777777" w:rsidR="009A45CE" w:rsidRDefault="009A45CE" w:rsidP="001C0550">
          <w:pPr>
            <w:pStyle w:val="Header"/>
            <w:ind w:right="-115"/>
            <w:jc w:val="right"/>
          </w:pPr>
        </w:p>
      </w:tc>
    </w:tr>
  </w:tbl>
  <w:p w14:paraId="33AE07A2" w14:textId="77777777" w:rsidR="009A45CE" w:rsidRDefault="009A45CE">
    <w:pPr>
      <w:pStyle w:val="Header"/>
    </w:pPr>
  </w:p>
</w:hdr>
</file>

<file path=word/intelligence.xml><?xml version="1.0" encoding="utf-8"?>
<int:Intelligence xmlns:int="http://schemas.microsoft.com/office/intelligence/2019/intelligence">
  <int:IntelligenceSettings/>
  <int:Manifest>
    <int:WordHash hashCode="RqhmcRGM7U3nVn" id="k5qTw8EH"/>
    <int:WordHash hashCode="O8SctCOCjs/84r" id="Uk3R/+KB"/>
    <int:WordHash hashCode="vBddOXx++lWyLv" id="QB76xEZR"/>
    <int:WordHash hashCode="6KwxCWAoDwtvI+" id="i6ZJTeU0"/>
    <int:WordHash hashCode="VRyAVr/dM977IK" id="3QdSBq3L"/>
    <int:WordHash hashCode="rnbkmeIDrtohjY" id="LAKZKC5e"/>
    <int:WordHash hashCode="051uur3qTsy1Ie" id="xaYFqPqO"/>
    <int:WordHash hashCode="kr1169j9KwF5Fy" id="IJONKPjA"/>
    <int:WordHash hashCode="AvF65gUQFWBrh7" id="gjMH6Du3"/>
    <int:WordHash hashCode="DxJUGvzOF1+zS7" id="3QMvJKWU"/>
    <int:WordHash hashCode="H32/XYOu7kd9H7" id="Zkt/w1aJ"/>
    <int:WordHash hashCode="SM6YhYOmXF+jnv" id="F2OqaYgc"/>
    <int:WordHash hashCode="g6jDPjFNlP5d3s" id="GigouFoe"/>
    <int:WordHash hashCode="8TEipAKoodSeQG" id="ydUnNpAW"/>
    <int:WordHash hashCode="a7X/VNNYq0VXgz" id="DGEc8r5e"/>
    <int:WordHash hashCode="SradH0SdDJdch8" id="9AM2FNEm"/>
    <int:WordHash hashCode="5QOPJmMfk4/xYi" id="g29pJ1tT"/>
    <int:WordHash hashCode="FiNCzSReCiV7Qq" id="KQpJtkXt"/>
    <int:WordHash hashCode="wYBAQbIVzVCihN" id="+nQ7COFJ"/>
    <int:WordHash hashCode="4bg4dPoZm2pTqD" id="SZR3tT1V"/>
    <int:WordHash hashCode="v1+anaRfUIDswh" id="w/9gqFe2"/>
    <int:WordHash hashCode="BP722YIMEjO0Sh" id="49t99tKJ"/>
    <int:WordHash hashCode="FWLP8xJSNTRS1Z" id="GbDJ/ulp"/>
    <int:WordHash hashCode="y9nkAVCKPSRSi4" id="DBPMvgbT"/>
    <int:WordHash hashCode="V9CnXcV+ZGgRNM" id="ShLyobHt"/>
    <int:WordHash hashCode="GB52TPAd3t5c1u" id="2yOxC/jA"/>
    <int:WordHash hashCode="gGjVY9pZaSGLMg" id="3a8P79Lh"/>
    <int:WordHash hashCode="m/D4/19di8v/ud" id="/wufG4B/"/>
    <int:WordHash hashCode="351r0XWD+hEdsL" id="bpxb2v09"/>
    <int:WordHash hashCode="QkVl4HkdcANS4T" id="4D4kQ1CR"/>
    <int:WordHash hashCode="3v+n8ON5F9ihrK" id="FTzP5s+5"/>
    <int:WordHash hashCode="ZanletI6wlweVG" id="AD7m4i6e"/>
    <int:WordHash hashCode="yIxiwsoLtgKuGw" id="vCmjHVHq"/>
    <int:WordHash hashCode="fLH1bT++CegJJE" id="LZkIcAFm"/>
    <int:WordHash hashCode="X1g1UTa7Xn+PzF" id="VU1j+U1x"/>
    <int:WordHash hashCode="hTob6RiazAMUmy" id="Lz45QFON"/>
    <int:WordHash hashCode="rChscs82y5+vOb" id="W0w6ueRc"/>
    <int:WordHash hashCode="W3QuFaGiwy0bt+" id="xBxavcoA"/>
    <int:WordHash hashCode="doVMEqylie62lr" id="acXTjA9b"/>
    <int:WordHash hashCode="8+dlEeV3NvwctS" id="qGctiTJM"/>
    <int:WordHash hashCode="6bVNq+N7VCJ8bt" id="eEyWfSF2"/>
    <int:WordHash hashCode="X5m4YxePTFYSs2" id="vuuCgRTn"/>
    <int:WordHash hashCode="1oV0hlFN+4Gwi+" id="TaOAeCIU"/>
    <int:WordHash hashCode="IEEkdmk2qlIoq+" id="t9lfcBL+"/>
    <int:WordHash hashCode="e3+TZqNgMaC5Vf" id="s6Tlip/R"/>
    <int:WordHash hashCode="sXFz5LuEf8DQVu" id="DhNexWLe"/>
    <int:WordHash hashCode="jI2dZKd8NRxqr/" id="4Ebx+89g"/>
  </int:Manifest>
  <int:Observations>
    <int:Content id="k5qTw8EH">
      <int:Rejection type="AugLoop_Text_Critique"/>
    </int:Content>
    <int:Content id="Uk3R/+KB">
      <int:Rejection type="AugLoop_Text_Critique"/>
    </int:Content>
    <int:Content id="QB76xEZR">
      <int:Rejection type="AugLoop_Text_Critique"/>
    </int:Content>
    <int:Content id="i6ZJTeU0">
      <int:Rejection type="AugLoop_Text_Critique"/>
    </int:Content>
    <int:Content id="3QdSBq3L">
      <int:Rejection type="AugLoop_Text_Critique"/>
    </int:Content>
    <int:Content id="LAKZKC5e">
      <int:Rejection type="AugLoop_Text_Critique"/>
    </int:Content>
    <int:Content id="xaYFqPqO">
      <int:Rejection type="AugLoop_Text_Critique"/>
    </int:Content>
    <int:Content id="IJONKPjA">
      <int:Rejection type="AugLoop_Text_Critique"/>
    </int:Content>
    <int:Content id="gjMH6Du3">
      <int:Rejection type="AugLoop_Text_Critique"/>
    </int:Content>
    <int:Content id="3QMvJKWU">
      <int:Rejection type="AugLoop_Text_Critique"/>
    </int:Content>
    <int:Content id="Zkt/w1aJ">
      <int:Rejection type="AugLoop_Text_Critique"/>
    </int:Content>
    <int:Content id="F2OqaYgc">
      <int:Rejection type="AugLoop_Text_Critique"/>
    </int:Content>
    <int:Content id="GigouFoe">
      <int:Rejection type="AugLoop_Text_Critique"/>
    </int:Content>
    <int:Content id="ydUnNpAW">
      <int:Rejection type="AugLoop_Text_Critique"/>
    </int:Content>
    <int:Content id="DGEc8r5e">
      <int:Rejection type="AugLoop_Text_Critique"/>
    </int:Content>
    <int:Content id="9AM2FNEm">
      <int:Rejection type="AugLoop_Text_Critique"/>
    </int:Content>
    <int:Content id="g29pJ1tT">
      <int:Rejection type="AugLoop_Text_Critique"/>
    </int:Content>
    <int:Content id="KQpJtkXt">
      <int:Rejection type="AugLoop_Text_Critique"/>
    </int:Content>
    <int:Content id="+nQ7COFJ">
      <int:Rejection type="AugLoop_Text_Critique"/>
    </int:Content>
    <int:Content id="SZR3tT1V">
      <int:Rejection type="AugLoop_Text_Critique"/>
    </int:Content>
    <int:Content id="w/9gqFe2">
      <int:Rejection type="AugLoop_Text_Critique"/>
    </int:Content>
    <int:Content id="49t99tKJ">
      <int:Rejection type="AugLoop_Text_Critique"/>
    </int:Content>
    <int:Content id="GbDJ/ulp">
      <int:Rejection type="AugLoop_Text_Critique"/>
    </int:Content>
    <int:Content id="DBPMvgbT">
      <int:Rejection type="AugLoop_Text_Critique"/>
    </int:Content>
    <int:Content id="ShLyobHt">
      <int:Rejection type="AugLoop_Text_Critique"/>
    </int:Content>
    <int:Content id="2yOxC/jA">
      <int:Rejection type="AugLoop_Text_Critique"/>
    </int:Content>
    <int:Content id="3a8P79Lh">
      <int:Rejection type="AugLoop_Text_Critique"/>
    </int:Content>
    <int:Content id="/wufG4B/">
      <int:Rejection type="AugLoop_Text_Critique"/>
    </int:Content>
    <int:Content id="bpxb2v09">
      <int:Rejection type="AugLoop_Text_Critique"/>
    </int:Content>
    <int:Content id="4D4kQ1CR">
      <int:Rejection type="AugLoop_Text_Critique"/>
    </int:Content>
    <int:Content id="FTzP5s+5">
      <int:Rejection type="AugLoop_Text_Critique"/>
    </int:Content>
    <int:Content id="AD7m4i6e">
      <int:Rejection type="AugLoop_Text_Critique"/>
    </int:Content>
    <int:Content id="vCmjHVHq">
      <int:Rejection type="AugLoop_Text_Critique"/>
    </int:Content>
    <int:Content id="LZkIcAFm">
      <int:Rejection type="AugLoop_Text_Critique"/>
    </int:Content>
    <int:Content id="VU1j+U1x">
      <int:Rejection type="AugLoop_Text_Critique"/>
    </int:Content>
    <int:Content id="Lz45QFON">
      <int:Rejection type="AugLoop_Text_Critique"/>
    </int:Content>
    <int:Content id="W0w6ueRc">
      <int:Rejection type="AugLoop_Text_Critique"/>
    </int:Content>
    <int:Content id="xBxavcoA">
      <int:Rejection type="AugLoop_Text_Critique"/>
    </int:Content>
    <int:Content id="acXTjA9b">
      <int:Rejection type="AugLoop_Text_Critique"/>
    </int:Content>
    <int:Content id="qGctiTJM">
      <int:Rejection type="AugLoop_Text_Critique"/>
    </int:Content>
    <int:Content id="eEyWfSF2">
      <int:Rejection type="AugLoop_Text_Critique"/>
    </int:Content>
    <int:Content id="vuuCgRTn">
      <int:Rejection type="AugLoop_Text_Critique"/>
    </int:Content>
    <int:Content id="TaOAeCIU">
      <int:Rejection type="AugLoop_Text_Critique"/>
    </int:Content>
    <int:Content id="t9lfcBL+">
      <int:Rejection type="AugLoop_Text_Critique"/>
    </int:Content>
    <int:Content id="s6Tlip/R">
      <int:Rejection type="AugLoop_Text_Critique"/>
    </int:Content>
    <int:Content id="DhNexWLe">
      <int:Rejection type="AugLoop_Text_Critique"/>
    </int:Content>
    <int:Content id="4Ebx+89g">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6525640"/>
    <w:lvl w:ilvl="0">
      <w:start w:val="1"/>
      <w:numFmt w:val="bullet"/>
      <w:pStyle w:val="ListBullet2"/>
      <w:lvlText w:val="o"/>
      <w:lvlJc w:val="left"/>
      <w:pPr>
        <w:ind w:left="700" w:hanging="360"/>
      </w:pPr>
      <w:rPr>
        <w:rFonts w:ascii="Courier New" w:hAnsi="Courier New" w:cs="Courier New" w:hint="default"/>
      </w:rPr>
    </w:lvl>
  </w:abstractNum>
  <w:abstractNum w:abstractNumId="1" w15:restartNumberingAfterBreak="0">
    <w:nsid w:val="FFFFFF89"/>
    <w:multiLevelType w:val="hybridMultilevel"/>
    <w:tmpl w:val="36DACD26"/>
    <w:lvl w:ilvl="0" w:tplc="E200D718">
      <w:start w:val="1"/>
      <w:numFmt w:val="bullet"/>
      <w:pStyle w:val="ListBullet"/>
      <w:lvlText w:val=""/>
      <w:lvlJc w:val="left"/>
      <w:pPr>
        <w:tabs>
          <w:tab w:val="num" w:pos="360"/>
        </w:tabs>
        <w:ind w:left="360" w:hanging="360"/>
      </w:pPr>
      <w:rPr>
        <w:rFonts w:ascii="Symbol" w:hAnsi="Symbol" w:hint="default"/>
      </w:rPr>
    </w:lvl>
    <w:lvl w:ilvl="1" w:tplc="3558DC16">
      <w:numFmt w:val="decimal"/>
      <w:lvlText w:val=""/>
      <w:lvlJc w:val="left"/>
    </w:lvl>
    <w:lvl w:ilvl="2" w:tplc="B8CACC8E">
      <w:numFmt w:val="decimal"/>
      <w:lvlText w:val=""/>
      <w:lvlJc w:val="left"/>
    </w:lvl>
    <w:lvl w:ilvl="3" w:tplc="0E88BF88">
      <w:numFmt w:val="decimal"/>
      <w:lvlText w:val=""/>
      <w:lvlJc w:val="left"/>
    </w:lvl>
    <w:lvl w:ilvl="4" w:tplc="3B70BCE0">
      <w:numFmt w:val="decimal"/>
      <w:lvlText w:val=""/>
      <w:lvlJc w:val="left"/>
    </w:lvl>
    <w:lvl w:ilvl="5" w:tplc="839A47D6">
      <w:numFmt w:val="decimal"/>
      <w:lvlText w:val=""/>
      <w:lvlJc w:val="left"/>
    </w:lvl>
    <w:lvl w:ilvl="6" w:tplc="5B02F704">
      <w:numFmt w:val="decimal"/>
      <w:lvlText w:val=""/>
      <w:lvlJc w:val="left"/>
    </w:lvl>
    <w:lvl w:ilvl="7" w:tplc="E60E4D6E">
      <w:numFmt w:val="decimal"/>
      <w:lvlText w:val=""/>
      <w:lvlJc w:val="left"/>
    </w:lvl>
    <w:lvl w:ilvl="8" w:tplc="ECC01892">
      <w:numFmt w:val="decimal"/>
      <w:lvlText w:val=""/>
      <w:lvlJc w:val="left"/>
    </w:lvl>
  </w:abstractNum>
  <w:abstractNum w:abstractNumId="2" w15:restartNumberingAfterBreak="0">
    <w:nsid w:val="01303EAA"/>
    <w:multiLevelType w:val="hybridMultilevel"/>
    <w:tmpl w:val="7A7A19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553FA6"/>
    <w:multiLevelType w:val="hybridMultilevel"/>
    <w:tmpl w:val="2B6066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06A05C21"/>
    <w:multiLevelType w:val="multilevel"/>
    <w:tmpl w:val="3192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E6CC0"/>
    <w:multiLevelType w:val="hybridMultilevel"/>
    <w:tmpl w:val="38A2311C"/>
    <w:lvl w:ilvl="0" w:tplc="3C9CAAB6">
      <w:start w:val="1"/>
      <w:numFmt w:val="decimal"/>
      <w:pStyle w:val="Listnumbering"/>
      <w:lvlText w:val="(%1)"/>
      <w:lvlJc w:val="left"/>
      <w:pPr>
        <w:ind w:left="720" w:hanging="360"/>
      </w:pPr>
    </w:lvl>
    <w:lvl w:ilvl="1" w:tplc="14090019" w:tentative="1">
      <w:start w:val="1"/>
      <w:numFmt w:val="lowerLetter"/>
      <w:lvlText w:val="%2."/>
      <w:lvlJc w:val="left"/>
      <w:pPr>
        <w:ind w:left="516" w:hanging="360"/>
      </w:pPr>
    </w:lvl>
    <w:lvl w:ilvl="2" w:tplc="8E16739E">
      <w:start w:val="1"/>
      <w:numFmt w:val="lowerLetter"/>
      <w:lvlText w:val="(%3)"/>
      <w:lvlJc w:val="left"/>
      <w:pPr>
        <w:ind w:left="1236" w:hanging="180"/>
      </w:pPr>
    </w:lvl>
    <w:lvl w:ilvl="3" w:tplc="1409000F" w:tentative="1">
      <w:start w:val="1"/>
      <w:numFmt w:val="decimal"/>
      <w:lvlText w:val="%4."/>
      <w:lvlJc w:val="left"/>
      <w:pPr>
        <w:ind w:left="1956" w:hanging="360"/>
      </w:pPr>
    </w:lvl>
    <w:lvl w:ilvl="4" w:tplc="14090019" w:tentative="1">
      <w:start w:val="1"/>
      <w:numFmt w:val="lowerLetter"/>
      <w:lvlText w:val="%5."/>
      <w:lvlJc w:val="left"/>
      <w:pPr>
        <w:ind w:left="2676" w:hanging="360"/>
      </w:pPr>
    </w:lvl>
    <w:lvl w:ilvl="5" w:tplc="1409001B" w:tentative="1">
      <w:start w:val="1"/>
      <w:numFmt w:val="lowerRoman"/>
      <w:lvlText w:val="%6."/>
      <w:lvlJc w:val="right"/>
      <w:pPr>
        <w:ind w:left="3396" w:hanging="180"/>
      </w:pPr>
    </w:lvl>
    <w:lvl w:ilvl="6" w:tplc="1409000F" w:tentative="1">
      <w:start w:val="1"/>
      <w:numFmt w:val="decimal"/>
      <w:lvlText w:val="%7."/>
      <w:lvlJc w:val="left"/>
      <w:pPr>
        <w:ind w:left="4116" w:hanging="360"/>
      </w:pPr>
    </w:lvl>
    <w:lvl w:ilvl="7" w:tplc="14090019" w:tentative="1">
      <w:start w:val="1"/>
      <w:numFmt w:val="lowerLetter"/>
      <w:lvlText w:val="%8."/>
      <w:lvlJc w:val="left"/>
      <w:pPr>
        <w:ind w:left="4836" w:hanging="360"/>
      </w:pPr>
    </w:lvl>
    <w:lvl w:ilvl="8" w:tplc="1409001B" w:tentative="1">
      <w:start w:val="1"/>
      <w:numFmt w:val="lowerRoman"/>
      <w:lvlText w:val="%9."/>
      <w:lvlJc w:val="right"/>
      <w:pPr>
        <w:ind w:left="5556" w:hanging="180"/>
      </w:pPr>
    </w:lvl>
  </w:abstractNum>
  <w:abstractNum w:abstractNumId="6" w15:restartNumberingAfterBreak="0">
    <w:nsid w:val="08915A82"/>
    <w:multiLevelType w:val="hybridMultilevel"/>
    <w:tmpl w:val="6EA2CFD4"/>
    <w:lvl w:ilvl="0" w:tplc="7FA084DA">
      <w:start w:val="1"/>
      <w:numFmt w:val="decimal"/>
      <w:pStyle w:val="Paragraphs"/>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ECE33AA"/>
    <w:multiLevelType w:val="hybridMultilevel"/>
    <w:tmpl w:val="6840F010"/>
    <w:lvl w:ilvl="0" w:tplc="55A05F34">
      <w:start w:val="1"/>
      <w:numFmt w:val="bullet"/>
      <w:lvlText w:val=""/>
      <w:lvlJc w:val="left"/>
      <w:pPr>
        <w:ind w:left="720" w:hanging="360"/>
      </w:pPr>
      <w:rPr>
        <w:rFonts w:ascii="Symbol" w:hAnsi="Symbol" w:hint="default"/>
        <w:i w:val="0"/>
        <w:iCs w:val="0"/>
      </w:rPr>
    </w:lvl>
    <w:lvl w:ilvl="1" w:tplc="E1702D0E">
      <w:start w:val="1"/>
      <w:numFmt w:val="lowerLetter"/>
      <w:lvlText w:val="(%2)"/>
      <w:lvlJc w:val="left"/>
      <w:pPr>
        <w:ind w:left="1080" w:hanging="360"/>
      </w:pPr>
      <w:rPr>
        <w:rFonts w:asciiTheme="minorHAnsi" w:eastAsiaTheme="minorHAnsi" w:hAnsiTheme="minorHAnsi" w:cstheme="minorBidi"/>
      </w:rPr>
    </w:lvl>
    <w:lvl w:ilvl="2" w:tplc="DCB84106">
      <w:start w:val="1"/>
      <w:numFmt w:val="lowerLetter"/>
      <w:lvlText w:val="(%3)"/>
      <w:lvlJc w:val="left"/>
      <w:pPr>
        <w:ind w:left="1440" w:hanging="360"/>
      </w:pPr>
      <w:rPr>
        <w:rFonts w:hint="default"/>
      </w:rPr>
    </w:lvl>
    <w:lvl w:ilvl="3" w:tplc="FBF473C0">
      <w:start w:val="1"/>
      <w:numFmt w:val="decimal"/>
      <w:lvlText w:val="(%4)"/>
      <w:lvlJc w:val="left"/>
      <w:pPr>
        <w:ind w:left="1800" w:hanging="360"/>
      </w:pPr>
      <w:rPr>
        <w:rFonts w:hint="default"/>
      </w:rPr>
    </w:lvl>
    <w:lvl w:ilvl="4" w:tplc="F380FD58">
      <w:start w:val="1"/>
      <w:numFmt w:val="lowerLetter"/>
      <w:lvlText w:val="(%5)"/>
      <w:lvlJc w:val="left"/>
      <w:pPr>
        <w:ind w:left="2160" w:hanging="360"/>
      </w:pPr>
      <w:rPr>
        <w:rFonts w:hint="default"/>
      </w:rPr>
    </w:lvl>
    <w:lvl w:ilvl="5" w:tplc="9BDE36D2">
      <w:start w:val="1"/>
      <w:numFmt w:val="lowerRoman"/>
      <w:lvlText w:val="(%6)"/>
      <w:lvlJc w:val="left"/>
      <w:pPr>
        <w:ind w:left="2520" w:hanging="360"/>
      </w:pPr>
      <w:rPr>
        <w:rFonts w:hint="default"/>
      </w:rPr>
    </w:lvl>
    <w:lvl w:ilvl="6" w:tplc="A2BC8CF0">
      <w:start w:val="1"/>
      <w:numFmt w:val="decimal"/>
      <w:lvlText w:val="%7."/>
      <w:lvlJc w:val="left"/>
      <w:pPr>
        <w:ind w:left="2880" w:hanging="360"/>
      </w:pPr>
      <w:rPr>
        <w:rFonts w:hint="default"/>
      </w:rPr>
    </w:lvl>
    <w:lvl w:ilvl="7" w:tplc="40F8DF72">
      <w:start w:val="1"/>
      <w:numFmt w:val="lowerLetter"/>
      <w:lvlText w:val="%8."/>
      <w:lvlJc w:val="left"/>
      <w:pPr>
        <w:ind w:left="3240" w:hanging="360"/>
      </w:pPr>
      <w:rPr>
        <w:rFonts w:hint="default"/>
      </w:rPr>
    </w:lvl>
    <w:lvl w:ilvl="8" w:tplc="B9A20220">
      <w:start w:val="1"/>
      <w:numFmt w:val="lowerRoman"/>
      <w:lvlText w:val="%9."/>
      <w:lvlJc w:val="left"/>
      <w:pPr>
        <w:ind w:left="3600" w:hanging="360"/>
      </w:pPr>
      <w:rPr>
        <w:rFonts w:hint="default"/>
      </w:rPr>
    </w:lvl>
  </w:abstractNum>
  <w:abstractNum w:abstractNumId="8" w15:restartNumberingAfterBreak="0">
    <w:nsid w:val="10E72065"/>
    <w:multiLevelType w:val="hybridMultilevel"/>
    <w:tmpl w:val="095ECF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615A01"/>
    <w:multiLevelType w:val="hybridMultilevel"/>
    <w:tmpl w:val="61B6F1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13BD6AC4"/>
    <w:multiLevelType w:val="hybridMultilevel"/>
    <w:tmpl w:val="801E9C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C256B4D"/>
    <w:multiLevelType w:val="hybridMultilevel"/>
    <w:tmpl w:val="6DAE0AFE"/>
    <w:lvl w:ilvl="0" w:tplc="299A4CCE">
      <w:start w:val="1"/>
      <w:numFmt w:val="decimal"/>
      <w:lvlText w:val="(%1)"/>
      <w:lvlJc w:val="left"/>
      <w:pPr>
        <w:ind w:left="866" w:hanging="567"/>
      </w:pPr>
      <w:rPr>
        <w:rFonts w:ascii="Calibri" w:eastAsia="Calibri" w:hAnsi="Calibri" w:cs="Calibri" w:hint="default"/>
        <w:b w:val="0"/>
        <w:bCs w:val="0"/>
        <w:i w:val="0"/>
        <w:iCs w:val="0"/>
        <w:spacing w:val="-1"/>
        <w:w w:val="100"/>
        <w:sz w:val="22"/>
        <w:szCs w:val="22"/>
        <w:lang w:val="en-NZ" w:eastAsia="en-US" w:bidi="ar-SA"/>
      </w:rPr>
    </w:lvl>
    <w:lvl w:ilvl="1" w:tplc="E9340842">
      <w:start w:val="1"/>
      <w:numFmt w:val="lowerLetter"/>
      <w:lvlText w:val="(%2)"/>
      <w:lvlJc w:val="left"/>
      <w:pPr>
        <w:ind w:left="1432" w:hanging="567"/>
      </w:pPr>
      <w:rPr>
        <w:rFonts w:ascii="Calibri" w:eastAsia="Calibri" w:hAnsi="Calibri" w:cs="Calibri" w:hint="default"/>
        <w:b w:val="0"/>
        <w:bCs w:val="0"/>
        <w:i w:val="0"/>
        <w:iCs w:val="0"/>
        <w:spacing w:val="-1"/>
        <w:w w:val="100"/>
        <w:sz w:val="22"/>
        <w:szCs w:val="22"/>
        <w:lang w:val="en-NZ" w:eastAsia="en-US" w:bidi="ar-SA"/>
      </w:rPr>
    </w:lvl>
    <w:lvl w:ilvl="2" w:tplc="34A2A682">
      <w:numFmt w:val="bullet"/>
      <w:lvlText w:val="•"/>
      <w:lvlJc w:val="left"/>
      <w:pPr>
        <w:ind w:left="2363" w:hanging="567"/>
      </w:pPr>
      <w:rPr>
        <w:rFonts w:hint="default"/>
        <w:lang w:val="en-NZ" w:eastAsia="en-US" w:bidi="ar-SA"/>
      </w:rPr>
    </w:lvl>
    <w:lvl w:ilvl="3" w:tplc="7C8EF3E4">
      <w:numFmt w:val="bullet"/>
      <w:lvlText w:val="•"/>
      <w:lvlJc w:val="left"/>
      <w:pPr>
        <w:ind w:left="3286" w:hanging="567"/>
      </w:pPr>
      <w:rPr>
        <w:rFonts w:hint="default"/>
        <w:lang w:val="en-NZ" w:eastAsia="en-US" w:bidi="ar-SA"/>
      </w:rPr>
    </w:lvl>
    <w:lvl w:ilvl="4" w:tplc="1A9AF3E2">
      <w:numFmt w:val="bullet"/>
      <w:lvlText w:val="•"/>
      <w:lvlJc w:val="left"/>
      <w:pPr>
        <w:ind w:left="4210" w:hanging="567"/>
      </w:pPr>
      <w:rPr>
        <w:rFonts w:hint="default"/>
        <w:lang w:val="en-NZ" w:eastAsia="en-US" w:bidi="ar-SA"/>
      </w:rPr>
    </w:lvl>
    <w:lvl w:ilvl="5" w:tplc="B7166538">
      <w:numFmt w:val="bullet"/>
      <w:lvlText w:val="•"/>
      <w:lvlJc w:val="left"/>
      <w:pPr>
        <w:ind w:left="5133" w:hanging="567"/>
      </w:pPr>
      <w:rPr>
        <w:rFonts w:hint="default"/>
        <w:lang w:val="en-NZ" w:eastAsia="en-US" w:bidi="ar-SA"/>
      </w:rPr>
    </w:lvl>
    <w:lvl w:ilvl="6" w:tplc="957C2FCA">
      <w:numFmt w:val="bullet"/>
      <w:lvlText w:val="•"/>
      <w:lvlJc w:val="left"/>
      <w:pPr>
        <w:ind w:left="6057" w:hanging="567"/>
      </w:pPr>
      <w:rPr>
        <w:rFonts w:hint="default"/>
        <w:lang w:val="en-NZ" w:eastAsia="en-US" w:bidi="ar-SA"/>
      </w:rPr>
    </w:lvl>
    <w:lvl w:ilvl="7" w:tplc="B1AA4236">
      <w:numFmt w:val="bullet"/>
      <w:lvlText w:val="•"/>
      <w:lvlJc w:val="left"/>
      <w:pPr>
        <w:ind w:left="6980" w:hanging="567"/>
      </w:pPr>
      <w:rPr>
        <w:rFonts w:hint="default"/>
        <w:lang w:val="en-NZ" w:eastAsia="en-US" w:bidi="ar-SA"/>
      </w:rPr>
    </w:lvl>
    <w:lvl w:ilvl="8" w:tplc="5C7ECF70">
      <w:numFmt w:val="bullet"/>
      <w:lvlText w:val="•"/>
      <w:lvlJc w:val="left"/>
      <w:pPr>
        <w:ind w:left="7904" w:hanging="567"/>
      </w:pPr>
      <w:rPr>
        <w:rFonts w:hint="default"/>
        <w:lang w:val="en-NZ" w:eastAsia="en-US" w:bidi="ar-SA"/>
      </w:rPr>
    </w:lvl>
  </w:abstractNum>
  <w:abstractNum w:abstractNumId="12" w15:restartNumberingAfterBreak="0">
    <w:nsid w:val="20C26359"/>
    <w:multiLevelType w:val="hybridMultilevel"/>
    <w:tmpl w:val="2D825668"/>
    <w:lvl w:ilvl="0" w:tplc="38C2C266">
      <w:numFmt w:val="bullet"/>
      <w:lvlText w:val=""/>
      <w:lvlJc w:val="left"/>
      <w:pPr>
        <w:ind w:left="666" w:hanging="567"/>
      </w:pPr>
      <w:rPr>
        <w:rFonts w:ascii="Symbol" w:eastAsia="Symbol" w:hAnsi="Symbol" w:cs="Symbol" w:hint="default"/>
        <w:b w:val="0"/>
        <w:bCs w:val="0"/>
        <w:i w:val="0"/>
        <w:iCs w:val="0"/>
        <w:w w:val="100"/>
        <w:sz w:val="22"/>
        <w:szCs w:val="22"/>
      </w:rPr>
    </w:lvl>
    <w:lvl w:ilvl="1" w:tplc="763445E0">
      <w:numFmt w:val="bullet"/>
      <w:lvlText w:val="•"/>
      <w:lvlJc w:val="left"/>
      <w:pPr>
        <w:ind w:left="1518" w:hanging="567"/>
      </w:pPr>
      <w:rPr>
        <w:rFonts w:hint="default"/>
      </w:rPr>
    </w:lvl>
    <w:lvl w:ilvl="2" w:tplc="002CDE62">
      <w:numFmt w:val="bullet"/>
      <w:lvlText w:val="•"/>
      <w:lvlJc w:val="left"/>
      <w:pPr>
        <w:ind w:left="2377" w:hanging="567"/>
      </w:pPr>
      <w:rPr>
        <w:rFonts w:hint="default"/>
      </w:rPr>
    </w:lvl>
    <w:lvl w:ilvl="3" w:tplc="0F322F38">
      <w:numFmt w:val="bullet"/>
      <w:lvlText w:val="•"/>
      <w:lvlJc w:val="left"/>
      <w:pPr>
        <w:ind w:left="3235" w:hanging="567"/>
      </w:pPr>
      <w:rPr>
        <w:rFonts w:hint="default"/>
      </w:rPr>
    </w:lvl>
    <w:lvl w:ilvl="4" w:tplc="C16A76D8">
      <w:numFmt w:val="bullet"/>
      <w:lvlText w:val="•"/>
      <w:lvlJc w:val="left"/>
      <w:pPr>
        <w:ind w:left="4094" w:hanging="567"/>
      </w:pPr>
      <w:rPr>
        <w:rFonts w:hint="default"/>
      </w:rPr>
    </w:lvl>
    <w:lvl w:ilvl="5" w:tplc="B5CAB29A">
      <w:numFmt w:val="bullet"/>
      <w:lvlText w:val="•"/>
      <w:lvlJc w:val="left"/>
      <w:pPr>
        <w:ind w:left="4953" w:hanging="567"/>
      </w:pPr>
      <w:rPr>
        <w:rFonts w:hint="default"/>
      </w:rPr>
    </w:lvl>
    <w:lvl w:ilvl="6" w:tplc="7018B84A">
      <w:numFmt w:val="bullet"/>
      <w:lvlText w:val="•"/>
      <w:lvlJc w:val="left"/>
      <w:pPr>
        <w:ind w:left="5811" w:hanging="567"/>
      </w:pPr>
      <w:rPr>
        <w:rFonts w:hint="default"/>
      </w:rPr>
    </w:lvl>
    <w:lvl w:ilvl="7" w:tplc="65888138">
      <w:numFmt w:val="bullet"/>
      <w:lvlText w:val="•"/>
      <w:lvlJc w:val="left"/>
      <w:pPr>
        <w:ind w:left="6670" w:hanging="567"/>
      </w:pPr>
      <w:rPr>
        <w:rFonts w:hint="default"/>
      </w:rPr>
    </w:lvl>
    <w:lvl w:ilvl="8" w:tplc="B3F41A96">
      <w:numFmt w:val="bullet"/>
      <w:lvlText w:val="•"/>
      <w:lvlJc w:val="left"/>
      <w:pPr>
        <w:ind w:left="7529" w:hanging="567"/>
      </w:pPr>
      <w:rPr>
        <w:rFonts w:hint="default"/>
      </w:rPr>
    </w:lvl>
  </w:abstractNum>
  <w:abstractNum w:abstractNumId="13" w15:restartNumberingAfterBreak="0">
    <w:nsid w:val="231925D6"/>
    <w:multiLevelType w:val="hybridMultilevel"/>
    <w:tmpl w:val="90DA9CDE"/>
    <w:lvl w:ilvl="0" w:tplc="7D2A55CE">
      <w:start w:val="1"/>
      <w:numFmt w:val="none"/>
      <w:pStyle w:val="Policyheader"/>
      <w:suff w:val="nothing"/>
      <w:lvlText w:val=""/>
      <w:lvlJc w:val="left"/>
      <w:pPr>
        <w:ind w:left="0" w:firstLine="0"/>
      </w:pPr>
    </w:lvl>
    <w:lvl w:ilvl="1" w:tplc="1D525E4C">
      <w:start w:val="1"/>
      <w:numFmt w:val="lowerLetter"/>
      <w:pStyle w:val="Policy1stlevelbulletpoint"/>
      <w:lvlText w:val="%2)"/>
      <w:lvlJc w:val="left"/>
      <w:pPr>
        <w:ind w:left="862" w:hanging="720"/>
      </w:pPr>
      <w:rPr>
        <w:rFonts w:ascii="Calibri" w:eastAsiaTheme="majorEastAsia" w:hAnsi="Calibri" w:cs="Times New Roman"/>
        <w:strike w:val="0"/>
        <w:dstrike w:val="0"/>
        <w:u w:val="none"/>
        <w:effect w:val="none"/>
      </w:rPr>
    </w:lvl>
    <w:lvl w:ilvl="2" w:tplc="EBC0E444">
      <w:start w:val="1"/>
      <w:numFmt w:val="lowerRoman"/>
      <w:pStyle w:val="Policy2ndlevelbulletpoint"/>
      <w:lvlText w:val="%3."/>
      <w:lvlJc w:val="left"/>
      <w:pPr>
        <w:ind w:left="1211" w:hanging="360"/>
      </w:pPr>
      <w:rPr>
        <w:i w:val="0"/>
        <w:strike w:val="0"/>
        <w:dstrike w:val="0"/>
        <w:color w:val="auto"/>
        <w:u w:val="none"/>
        <w:effect w:val="none"/>
      </w:rPr>
    </w:lvl>
    <w:lvl w:ilvl="3" w:tplc="AAE2278A">
      <w:start w:val="1"/>
      <w:numFmt w:val="decimal"/>
      <w:lvlText w:val="(%4)"/>
      <w:lvlJc w:val="left"/>
      <w:pPr>
        <w:ind w:left="360" w:hanging="360"/>
      </w:pPr>
    </w:lvl>
    <w:lvl w:ilvl="4" w:tplc="417466CA">
      <w:start w:val="7"/>
      <w:numFmt w:val="decimal"/>
      <w:lvlText w:val="(%5)"/>
      <w:lvlJc w:val="left"/>
      <w:pPr>
        <w:ind w:left="1800" w:hanging="360"/>
      </w:pPr>
    </w:lvl>
    <w:lvl w:ilvl="5" w:tplc="D0780EB2">
      <w:start w:val="1"/>
      <w:numFmt w:val="lowerRoman"/>
      <w:lvlText w:val="(%6)"/>
      <w:lvlJc w:val="left"/>
      <w:pPr>
        <w:ind w:left="2160" w:hanging="360"/>
      </w:pPr>
    </w:lvl>
    <w:lvl w:ilvl="6" w:tplc="148EEE02">
      <w:start w:val="1"/>
      <w:numFmt w:val="decimal"/>
      <w:lvlRestart w:val="2"/>
      <w:lvlText w:val="%7."/>
      <w:lvlJc w:val="left"/>
      <w:pPr>
        <w:ind w:left="2520" w:hanging="360"/>
      </w:pPr>
    </w:lvl>
    <w:lvl w:ilvl="7" w:tplc="88B4C20E">
      <w:start w:val="1"/>
      <w:numFmt w:val="lowerLetter"/>
      <w:lvlText w:val="%8."/>
      <w:lvlJc w:val="left"/>
      <w:pPr>
        <w:ind w:left="2880" w:hanging="360"/>
      </w:pPr>
    </w:lvl>
    <w:lvl w:ilvl="8" w:tplc="1D9EB886">
      <w:start w:val="1"/>
      <w:numFmt w:val="lowerRoman"/>
      <w:lvlRestart w:val="2"/>
      <w:lvlText w:val="%9."/>
      <w:lvlJc w:val="left"/>
      <w:pPr>
        <w:ind w:left="3240" w:hanging="360"/>
      </w:pPr>
    </w:lvl>
  </w:abstractNum>
  <w:abstractNum w:abstractNumId="14" w15:restartNumberingAfterBreak="0">
    <w:nsid w:val="27D255FC"/>
    <w:multiLevelType w:val="hybridMultilevel"/>
    <w:tmpl w:val="E458C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3B7C86"/>
    <w:multiLevelType w:val="hybridMultilevel"/>
    <w:tmpl w:val="C3E00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C0497B"/>
    <w:multiLevelType w:val="hybridMultilevel"/>
    <w:tmpl w:val="29EA6686"/>
    <w:lvl w:ilvl="0" w:tplc="4C0001E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16100FE"/>
    <w:multiLevelType w:val="hybridMultilevel"/>
    <w:tmpl w:val="DFE26004"/>
    <w:lvl w:ilvl="0" w:tplc="F1F4B8A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5245D11"/>
    <w:multiLevelType w:val="hybridMultilevel"/>
    <w:tmpl w:val="32763B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75004F"/>
    <w:multiLevelType w:val="hybridMultilevel"/>
    <w:tmpl w:val="613A50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3B0E35C9"/>
    <w:multiLevelType w:val="hybridMultilevel"/>
    <w:tmpl w:val="349A8A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B5C6F0C"/>
    <w:multiLevelType w:val="hybridMultilevel"/>
    <w:tmpl w:val="7922A596"/>
    <w:lvl w:ilvl="0" w:tplc="022E00D0">
      <w:start w:val="4"/>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403916B4"/>
    <w:multiLevelType w:val="hybridMultilevel"/>
    <w:tmpl w:val="4184DDFA"/>
    <w:lvl w:ilvl="0" w:tplc="9648D928">
      <w:start w:val="1"/>
      <w:numFmt w:val="bullet"/>
      <w:lvlText w:val=""/>
      <w:lvlJc w:val="left"/>
      <w:pPr>
        <w:ind w:left="720" w:hanging="360"/>
      </w:pPr>
      <w:rPr>
        <w:rFonts w:ascii="Symbol" w:hAnsi="Symbol" w:hint="default"/>
        <w:b w:val="0"/>
        <w:bCs w:val="0"/>
        <w:i w:val="0"/>
        <w:iCs w:val="0"/>
      </w:rPr>
    </w:lvl>
    <w:lvl w:ilvl="1" w:tplc="6D70E75A">
      <w:start w:val="1"/>
      <w:numFmt w:val="lowerLetter"/>
      <w:lvlText w:val="(%2)"/>
      <w:lvlJc w:val="left"/>
      <w:pPr>
        <w:ind w:left="1080" w:hanging="360"/>
      </w:pPr>
      <w:rPr>
        <w:rFonts w:asciiTheme="minorHAnsi" w:eastAsiaTheme="minorHAnsi" w:hAnsiTheme="minorHAnsi" w:cstheme="minorBidi"/>
      </w:rPr>
    </w:lvl>
    <w:lvl w:ilvl="2" w:tplc="E9366FC4">
      <w:start w:val="1"/>
      <w:numFmt w:val="lowerLetter"/>
      <w:lvlText w:val="(%3)"/>
      <w:lvlJc w:val="left"/>
      <w:pPr>
        <w:ind w:left="1440" w:hanging="360"/>
      </w:pPr>
      <w:rPr>
        <w:rFonts w:hint="default"/>
        <w:i w:val="0"/>
        <w:iCs w:val="0"/>
      </w:rPr>
    </w:lvl>
    <w:lvl w:ilvl="3" w:tplc="1990F098">
      <w:start w:val="1"/>
      <w:numFmt w:val="decimal"/>
      <w:lvlText w:val="(%4)"/>
      <w:lvlJc w:val="left"/>
      <w:pPr>
        <w:ind w:left="1800" w:hanging="360"/>
      </w:pPr>
      <w:rPr>
        <w:rFonts w:hint="default"/>
      </w:rPr>
    </w:lvl>
    <w:lvl w:ilvl="4" w:tplc="93081BA8">
      <w:start w:val="1"/>
      <w:numFmt w:val="lowerLetter"/>
      <w:lvlText w:val="(%5)"/>
      <w:lvlJc w:val="left"/>
      <w:pPr>
        <w:ind w:left="2160" w:hanging="360"/>
      </w:pPr>
      <w:rPr>
        <w:rFonts w:hint="default"/>
      </w:rPr>
    </w:lvl>
    <w:lvl w:ilvl="5" w:tplc="52FE4E96">
      <w:start w:val="1"/>
      <w:numFmt w:val="lowerRoman"/>
      <w:lvlText w:val="(%6)"/>
      <w:lvlJc w:val="left"/>
      <w:pPr>
        <w:ind w:left="2520" w:hanging="360"/>
      </w:pPr>
      <w:rPr>
        <w:rFonts w:hint="default"/>
      </w:rPr>
    </w:lvl>
    <w:lvl w:ilvl="6" w:tplc="574C9082">
      <w:start w:val="1"/>
      <w:numFmt w:val="decimal"/>
      <w:lvlText w:val="%7."/>
      <w:lvlJc w:val="left"/>
      <w:pPr>
        <w:ind w:left="2880" w:hanging="360"/>
      </w:pPr>
      <w:rPr>
        <w:rFonts w:hint="default"/>
      </w:rPr>
    </w:lvl>
    <w:lvl w:ilvl="7" w:tplc="58E0E1E0">
      <w:start w:val="1"/>
      <w:numFmt w:val="lowerLetter"/>
      <w:lvlText w:val="%8."/>
      <w:lvlJc w:val="left"/>
      <w:pPr>
        <w:ind w:left="3240" w:hanging="360"/>
      </w:pPr>
      <w:rPr>
        <w:rFonts w:hint="default"/>
      </w:rPr>
    </w:lvl>
    <w:lvl w:ilvl="8" w:tplc="E156207E">
      <w:start w:val="1"/>
      <w:numFmt w:val="lowerRoman"/>
      <w:lvlText w:val="%9."/>
      <w:lvlJc w:val="left"/>
      <w:pPr>
        <w:ind w:left="3600" w:hanging="360"/>
      </w:pPr>
      <w:rPr>
        <w:rFonts w:hint="default"/>
      </w:rPr>
    </w:lvl>
  </w:abstractNum>
  <w:abstractNum w:abstractNumId="23" w15:restartNumberingAfterBreak="0">
    <w:nsid w:val="42AA2EDD"/>
    <w:multiLevelType w:val="hybridMultilevel"/>
    <w:tmpl w:val="4AF63D2A"/>
    <w:lvl w:ilvl="0" w:tplc="F44CA44E">
      <w:start w:val="1"/>
      <w:numFmt w:val="lowerRoman"/>
      <w:lvlText w:val="(%1)"/>
      <w:lvlJc w:val="left"/>
      <w:pPr>
        <w:ind w:left="1440" w:hanging="72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4CC13AF6"/>
    <w:multiLevelType w:val="hybridMultilevel"/>
    <w:tmpl w:val="50B0CC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263B69"/>
    <w:multiLevelType w:val="hybridMultilevel"/>
    <w:tmpl w:val="6840F010"/>
    <w:lvl w:ilvl="0" w:tplc="773EF28A">
      <w:start w:val="1"/>
      <w:numFmt w:val="bullet"/>
      <w:lvlText w:val=""/>
      <w:lvlJc w:val="left"/>
      <w:pPr>
        <w:ind w:left="720" w:hanging="360"/>
      </w:pPr>
      <w:rPr>
        <w:rFonts w:ascii="Symbol" w:hAnsi="Symbol" w:hint="default"/>
        <w:i w:val="0"/>
        <w:iCs w:val="0"/>
      </w:rPr>
    </w:lvl>
    <w:lvl w:ilvl="1" w:tplc="538205E0">
      <w:start w:val="1"/>
      <w:numFmt w:val="lowerLetter"/>
      <w:lvlText w:val="(%2)"/>
      <w:lvlJc w:val="left"/>
      <w:pPr>
        <w:ind w:left="1080" w:hanging="360"/>
      </w:pPr>
      <w:rPr>
        <w:rFonts w:asciiTheme="minorHAnsi" w:eastAsiaTheme="minorHAnsi" w:hAnsiTheme="minorHAnsi" w:cstheme="minorBidi"/>
      </w:rPr>
    </w:lvl>
    <w:lvl w:ilvl="2" w:tplc="BBBED8F2">
      <w:start w:val="1"/>
      <w:numFmt w:val="lowerLetter"/>
      <w:lvlText w:val="(%3)"/>
      <w:lvlJc w:val="left"/>
      <w:pPr>
        <w:ind w:left="1440" w:hanging="360"/>
      </w:pPr>
      <w:rPr>
        <w:rFonts w:hint="default"/>
        <w:i w:val="0"/>
        <w:iCs w:val="0"/>
      </w:rPr>
    </w:lvl>
    <w:lvl w:ilvl="3" w:tplc="5394C392">
      <w:start w:val="1"/>
      <w:numFmt w:val="decimal"/>
      <w:lvlText w:val="(%4)"/>
      <w:lvlJc w:val="left"/>
      <w:pPr>
        <w:ind w:left="1800" w:hanging="360"/>
      </w:pPr>
      <w:rPr>
        <w:rFonts w:hint="default"/>
      </w:rPr>
    </w:lvl>
    <w:lvl w:ilvl="4" w:tplc="6980B4DA">
      <w:start w:val="1"/>
      <w:numFmt w:val="lowerLetter"/>
      <w:lvlText w:val="(%5)"/>
      <w:lvlJc w:val="left"/>
      <w:pPr>
        <w:ind w:left="2160" w:hanging="360"/>
      </w:pPr>
      <w:rPr>
        <w:rFonts w:hint="default"/>
      </w:rPr>
    </w:lvl>
    <w:lvl w:ilvl="5" w:tplc="8294E0EC">
      <w:start w:val="1"/>
      <w:numFmt w:val="lowerRoman"/>
      <w:lvlText w:val="(%6)"/>
      <w:lvlJc w:val="left"/>
      <w:pPr>
        <w:ind w:left="2520" w:hanging="360"/>
      </w:pPr>
      <w:rPr>
        <w:rFonts w:hint="default"/>
      </w:rPr>
    </w:lvl>
    <w:lvl w:ilvl="6" w:tplc="7BC81DF6">
      <w:start w:val="1"/>
      <w:numFmt w:val="decimal"/>
      <w:lvlText w:val="%7."/>
      <w:lvlJc w:val="left"/>
      <w:pPr>
        <w:ind w:left="2880" w:hanging="360"/>
      </w:pPr>
      <w:rPr>
        <w:rFonts w:hint="default"/>
      </w:rPr>
    </w:lvl>
    <w:lvl w:ilvl="7" w:tplc="AF9EBF92">
      <w:start w:val="1"/>
      <w:numFmt w:val="lowerLetter"/>
      <w:lvlText w:val="%8."/>
      <w:lvlJc w:val="left"/>
      <w:pPr>
        <w:ind w:left="3240" w:hanging="360"/>
      </w:pPr>
      <w:rPr>
        <w:rFonts w:hint="default"/>
      </w:rPr>
    </w:lvl>
    <w:lvl w:ilvl="8" w:tplc="D4A08816">
      <w:start w:val="1"/>
      <w:numFmt w:val="lowerRoman"/>
      <w:lvlText w:val="%9."/>
      <w:lvlJc w:val="left"/>
      <w:pPr>
        <w:ind w:left="3600" w:hanging="360"/>
      </w:pPr>
      <w:rPr>
        <w:rFonts w:hint="default"/>
      </w:rPr>
    </w:lvl>
  </w:abstractNum>
  <w:abstractNum w:abstractNumId="26" w15:restartNumberingAfterBreak="0">
    <w:nsid w:val="4FC62903"/>
    <w:multiLevelType w:val="hybridMultilevel"/>
    <w:tmpl w:val="024466C4"/>
    <w:lvl w:ilvl="0" w:tplc="93521CDC">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0B278AA"/>
    <w:multiLevelType w:val="hybridMultilevel"/>
    <w:tmpl w:val="B9683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8306BC2"/>
    <w:multiLevelType w:val="hybridMultilevel"/>
    <w:tmpl w:val="6840F010"/>
    <w:lvl w:ilvl="0" w:tplc="00FC16DC">
      <w:start w:val="1"/>
      <w:numFmt w:val="bullet"/>
      <w:lvlText w:val=""/>
      <w:lvlJc w:val="left"/>
      <w:pPr>
        <w:ind w:left="720" w:hanging="360"/>
      </w:pPr>
      <w:rPr>
        <w:rFonts w:ascii="Symbol" w:hAnsi="Symbol" w:hint="default"/>
        <w:b w:val="0"/>
        <w:bCs w:val="0"/>
        <w:i w:val="0"/>
        <w:iCs w:val="0"/>
      </w:rPr>
    </w:lvl>
    <w:lvl w:ilvl="1" w:tplc="3A52D870">
      <w:start w:val="1"/>
      <w:numFmt w:val="lowerLetter"/>
      <w:lvlText w:val="(%2)"/>
      <w:lvlJc w:val="left"/>
      <w:pPr>
        <w:ind w:left="1080" w:hanging="360"/>
      </w:pPr>
      <w:rPr>
        <w:rFonts w:asciiTheme="minorHAnsi" w:eastAsiaTheme="minorHAnsi" w:hAnsiTheme="minorHAnsi" w:cstheme="minorBidi"/>
      </w:rPr>
    </w:lvl>
    <w:lvl w:ilvl="2" w:tplc="FCFCD5B8">
      <w:start w:val="1"/>
      <w:numFmt w:val="lowerLetter"/>
      <w:lvlText w:val="(%3)"/>
      <w:lvlJc w:val="left"/>
      <w:pPr>
        <w:ind w:left="1440" w:hanging="360"/>
      </w:pPr>
      <w:rPr>
        <w:rFonts w:hint="default"/>
        <w:i w:val="0"/>
        <w:iCs w:val="0"/>
      </w:rPr>
    </w:lvl>
    <w:lvl w:ilvl="3" w:tplc="9968B78C">
      <w:start w:val="1"/>
      <w:numFmt w:val="decimal"/>
      <w:lvlText w:val="(%4)"/>
      <w:lvlJc w:val="left"/>
      <w:pPr>
        <w:ind w:left="1800" w:hanging="360"/>
      </w:pPr>
      <w:rPr>
        <w:rFonts w:hint="default"/>
      </w:rPr>
    </w:lvl>
    <w:lvl w:ilvl="4" w:tplc="034AAB80">
      <w:start w:val="1"/>
      <w:numFmt w:val="lowerLetter"/>
      <w:lvlText w:val="(%5)"/>
      <w:lvlJc w:val="left"/>
      <w:pPr>
        <w:ind w:left="2160" w:hanging="360"/>
      </w:pPr>
      <w:rPr>
        <w:rFonts w:hint="default"/>
      </w:rPr>
    </w:lvl>
    <w:lvl w:ilvl="5" w:tplc="DFEAABEC">
      <w:start w:val="1"/>
      <w:numFmt w:val="lowerRoman"/>
      <w:lvlText w:val="(%6)"/>
      <w:lvlJc w:val="left"/>
      <w:pPr>
        <w:ind w:left="2520" w:hanging="360"/>
      </w:pPr>
      <w:rPr>
        <w:rFonts w:hint="default"/>
      </w:rPr>
    </w:lvl>
    <w:lvl w:ilvl="6" w:tplc="108E5AA2">
      <w:start w:val="1"/>
      <w:numFmt w:val="decimal"/>
      <w:lvlText w:val="%7."/>
      <w:lvlJc w:val="left"/>
      <w:pPr>
        <w:ind w:left="2880" w:hanging="360"/>
      </w:pPr>
      <w:rPr>
        <w:rFonts w:hint="default"/>
      </w:rPr>
    </w:lvl>
    <w:lvl w:ilvl="7" w:tplc="9148FDEE">
      <w:start w:val="1"/>
      <w:numFmt w:val="lowerLetter"/>
      <w:lvlText w:val="%8."/>
      <w:lvlJc w:val="left"/>
      <w:pPr>
        <w:ind w:left="3240" w:hanging="360"/>
      </w:pPr>
      <w:rPr>
        <w:rFonts w:hint="default"/>
      </w:rPr>
    </w:lvl>
    <w:lvl w:ilvl="8" w:tplc="2366502E">
      <w:start w:val="1"/>
      <w:numFmt w:val="lowerRoman"/>
      <w:lvlText w:val="%9."/>
      <w:lvlJc w:val="left"/>
      <w:pPr>
        <w:ind w:left="3600" w:hanging="360"/>
      </w:pPr>
      <w:rPr>
        <w:rFonts w:hint="default"/>
      </w:rPr>
    </w:lvl>
  </w:abstractNum>
  <w:abstractNum w:abstractNumId="29" w15:restartNumberingAfterBreak="0">
    <w:nsid w:val="5A343571"/>
    <w:multiLevelType w:val="multilevel"/>
    <w:tmpl w:val="D956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175701"/>
    <w:multiLevelType w:val="hybridMultilevel"/>
    <w:tmpl w:val="22FA1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CA1521C"/>
    <w:multiLevelType w:val="hybridMultilevel"/>
    <w:tmpl w:val="9BD48DA4"/>
    <w:lvl w:ilvl="0" w:tplc="5D760796">
      <w:numFmt w:val="bullet"/>
      <w:lvlText w:val=""/>
      <w:lvlJc w:val="left"/>
      <w:pPr>
        <w:ind w:left="866" w:hanging="567"/>
      </w:pPr>
      <w:rPr>
        <w:rFonts w:ascii="Symbol" w:eastAsia="Symbol" w:hAnsi="Symbol" w:cs="Symbol" w:hint="default"/>
        <w:b w:val="0"/>
        <w:bCs w:val="0"/>
        <w:i w:val="0"/>
        <w:iCs w:val="0"/>
        <w:w w:val="100"/>
        <w:sz w:val="22"/>
        <w:szCs w:val="22"/>
        <w:lang w:val="en-NZ" w:eastAsia="en-US" w:bidi="ar-SA"/>
      </w:rPr>
    </w:lvl>
    <w:lvl w:ilvl="1" w:tplc="3DFEAC18">
      <w:numFmt w:val="bullet"/>
      <w:lvlText w:val="•"/>
      <w:lvlJc w:val="left"/>
      <w:pPr>
        <w:ind w:left="1749" w:hanging="567"/>
      </w:pPr>
      <w:rPr>
        <w:rFonts w:hint="default"/>
        <w:lang w:val="en-NZ" w:eastAsia="en-US" w:bidi="ar-SA"/>
      </w:rPr>
    </w:lvl>
    <w:lvl w:ilvl="2" w:tplc="C6D0B08C">
      <w:numFmt w:val="bullet"/>
      <w:lvlText w:val="•"/>
      <w:lvlJc w:val="left"/>
      <w:pPr>
        <w:ind w:left="2638" w:hanging="567"/>
      </w:pPr>
      <w:rPr>
        <w:rFonts w:hint="default"/>
        <w:lang w:val="en-NZ" w:eastAsia="en-US" w:bidi="ar-SA"/>
      </w:rPr>
    </w:lvl>
    <w:lvl w:ilvl="3" w:tplc="7A14E0C0">
      <w:numFmt w:val="bullet"/>
      <w:lvlText w:val="•"/>
      <w:lvlJc w:val="left"/>
      <w:pPr>
        <w:ind w:left="3527" w:hanging="567"/>
      </w:pPr>
      <w:rPr>
        <w:rFonts w:hint="default"/>
        <w:lang w:val="en-NZ" w:eastAsia="en-US" w:bidi="ar-SA"/>
      </w:rPr>
    </w:lvl>
    <w:lvl w:ilvl="4" w:tplc="A2B21F18">
      <w:numFmt w:val="bullet"/>
      <w:lvlText w:val="•"/>
      <w:lvlJc w:val="left"/>
      <w:pPr>
        <w:ind w:left="4416" w:hanging="567"/>
      </w:pPr>
      <w:rPr>
        <w:rFonts w:hint="default"/>
        <w:lang w:val="en-NZ" w:eastAsia="en-US" w:bidi="ar-SA"/>
      </w:rPr>
    </w:lvl>
    <w:lvl w:ilvl="5" w:tplc="3DFC353C">
      <w:numFmt w:val="bullet"/>
      <w:lvlText w:val="•"/>
      <w:lvlJc w:val="left"/>
      <w:pPr>
        <w:ind w:left="5305" w:hanging="567"/>
      </w:pPr>
      <w:rPr>
        <w:rFonts w:hint="default"/>
        <w:lang w:val="en-NZ" w:eastAsia="en-US" w:bidi="ar-SA"/>
      </w:rPr>
    </w:lvl>
    <w:lvl w:ilvl="6" w:tplc="AFD4D2B8">
      <w:numFmt w:val="bullet"/>
      <w:lvlText w:val="•"/>
      <w:lvlJc w:val="left"/>
      <w:pPr>
        <w:ind w:left="6194" w:hanging="567"/>
      </w:pPr>
      <w:rPr>
        <w:rFonts w:hint="default"/>
        <w:lang w:val="en-NZ" w:eastAsia="en-US" w:bidi="ar-SA"/>
      </w:rPr>
    </w:lvl>
    <w:lvl w:ilvl="7" w:tplc="73C00D4A">
      <w:numFmt w:val="bullet"/>
      <w:lvlText w:val="•"/>
      <w:lvlJc w:val="left"/>
      <w:pPr>
        <w:ind w:left="7083" w:hanging="567"/>
      </w:pPr>
      <w:rPr>
        <w:rFonts w:hint="default"/>
        <w:lang w:val="en-NZ" w:eastAsia="en-US" w:bidi="ar-SA"/>
      </w:rPr>
    </w:lvl>
    <w:lvl w:ilvl="8" w:tplc="19948380">
      <w:numFmt w:val="bullet"/>
      <w:lvlText w:val="•"/>
      <w:lvlJc w:val="left"/>
      <w:pPr>
        <w:ind w:left="7972" w:hanging="567"/>
      </w:pPr>
      <w:rPr>
        <w:rFonts w:hint="default"/>
        <w:lang w:val="en-NZ" w:eastAsia="en-US" w:bidi="ar-SA"/>
      </w:rPr>
    </w:lvl>
  </w:abstractNum>
  <w:abstractNum w:abstractNumId="32" w15:restartNumberingAfterBreak="0">
    <w:nsid w:val="5DE152D7"/>
    <w:multiLevelType w:val="hybridMultilevel"/>
    <w:tmpl w:val="A6DCD988"/>
    <w:lvl w:ilvl="0" w:tplc="14090001">
      <w:start w:val="1"/>
      <w:numFmt w:val="bullet"/>
      <w:lvlText w:val=""/>
      <w:lvlJc w:val="left"/>
      <w:pPr>
        <w:ind w:left="768" w:hanging="360"/>
      </w:pPr>
      <w:rPr>
        <w:rFonts w:ascii="Symbol" w:hAnsi="Symbol" w:hint="default"/>
      </w:rPr>
    </w:lvl>
    <w:lvl w:ilvl="1" w:tplc="14090003">
      <w:start w:val="1"/>
      <w:numFmt w:val="bullet"/>
      <w:lvlText w:val="o"/>
      <w:lvlJc w:val="left"/>
      <w:pPr>
        <w:ind w:left="1488" w:hanging="360"/>
      </w:pPr>
      <w:rPr>
        <w:rFonts w:ascii="Courier New" w:hAnsi="Courier New" w:cs="Courier New" w:hint="default"/>
      </w:rPr>
    </w:lvl>
    <w:lvl w:ilvl="2" w:tplc="14090005">
      <w:start w:val="1"/>
      <w:numFmt w:val="bullet"/>
      <w:lvlText w:val=""/>
      <w:lvlJc w:val="left"/>
      <w:pPr>
        <w:ind w:left="2208" w:hanging="360"/>
      </w:pPr>
      <w:rPr>
        <w:rFonts w:ascii="Wingdings" w:hAnsi="Wingdings" w:hint="default"/>
      </w:rPr>
    </w:lvl>
    <w:lvl w:ilvl="3" w:tplc="14090001">
      <w:start w:val="1"/>
      <w:numFmt w:val="bullet"/>
      <w:lvlText w:val=""/>
      <w:lvlJc w:val="left"/>
      <w:pPr>
        <w:ind w:left="2928" w:hanging="360"/>
      </w:pPr>
      <w:rPr>
        <w:rFonts w:ascii="Symbol" w:hAnsi="Symbol" w:hint="default"/>
      </w:rPr>
    </w:lvl>
    <w:lvl w:ilvl="4" w:tplc="14090003">
      <w:start w:val="1"/>
      <w:numFmt w:val="bullet"/>
      <w:lvlText w:val="o"/>
      <w:lvlJc w:val="left"/>
      <w:pPr>
        <w:ind w:left="3648" w:hanging="360"/>
      </w:pPr>
      <w:rPr>
        <w:rFonts w:ascii="Courier New" w:hAnsi="Courier New" w:cs="Courier New" w:hint="default"/>
      </w:rPr>
    </w:lvl>
    <w:lvl w:ilvl="5" w:tplc="14090005">
      <w:start w:val="1"/>
      <w:numFmt w:val="bullet"/>
      <w:lvlText w:val=""/>
      <w:lvlJc w:val="left"/>
      <w:pPr>
        <w:ind w:left="4368" w:hanging="360"/>
      </w:pPr>
      <w:rPr>
        <w:rFonts w:ascii="Wingdings" w:hAnsi="Wingdings" w:hint="default"/>
      </w:rPr>
    </w:lvl>
    <w:lvl w:ilvl="6" w:tplc="14090001">
      <w:start w:val="1"/>
      <w:numFmt w:val="bullet"/>
      <w:lvlText w:val=""/>
      <w:lvlJc w:val="left"/>
      <w:pPr>
        <w:ind w:left="5088" w:hanging="360"/>
      </w:pPr>
      <w:rPr>
        <w:rFonts w:ascii="Symbol" w:hAnsi="Symbol" w:hint="default"/>
      </w:rPr>
    </w:lvl>
    <w:lvl w:ilvl="7" w:tplc="14090003">
      <w:start w:val="1"/>
      <w:numFmt w:val="bullet"/>
      <w:lvlText w:val="o"/>
      <w:lvlJc w:val="left"/>
      <w:pPr>
        <w:ind w:left="5808" w:hanging="360"/>
      </w:pPr>
      <w:rPr>
        <w:rFonts w:ascii="Courier New" w:hAnsi="Courier New" w:cs="Courier New" w:hint="default"/>
      </w:rPr>
    </w:lvl>
    <w:lvl w:ilvl="8" w:tplc="14090005">
      <w:start w:val="1"/>
      <w:numFmt w:val="bullet"/>
      <w:lvlText w:val=""/>
      <w:lvlJc w:val="left"/>
      <w:pPr>
        <w:ind w:left="6528" w:hanging="360"/>
      </w:pPr>
      <w:rPr>
        <w:rFonts w:ascii="Wingdings" w:hAnsi="Wingdings" w:hint="default"/>
      </w:rPr>
    </w:lvl>
  </w:abstractNum>
  <w:abstractNum w:abstractNumId="33" w15:restartNumberingAfterBreak="0">
    <w:nsid w:val="61F07C96"/>
    <w:multiLevelType w:val="hybridMultilevel"/>
    <w:tmpl w:val="6840F010"/>
    <w:lvl w:ilvl="0" w:tplc="455C4794">
      <w:start w:val="1"/>
      <w:numFmt w:val="bullet"/>
      <w:lvlText w:val=""/>
      <w:lvlJc w:val="left"/>
      <w:pPr>
        <w:ind w:left="720" w:hanging="360"/>
      </w:pPr>
      <w:rPr>
        <w:rFonts w:ascii="Symbol" w:hAnsi="Symbol" w:hint="default"/>
      </w:rPr>
    </w:lvl>
    <w:lvl w:ilvl="1" w:tplc="6FB84748">
      <w:start w:val="1"/>
      <w:numFmt w:val="lowerLetter"/>
      <w:lvlText w:val="(%2)"/>
      <w:lvlJc w:val="left"/>
      <w:pPr>
        <w:ind w:left="1080" w:hanging="360"/>
      </w:pPr>
      <w:rPr>
        <w:rFonts w:asciiTheme="minorHAnsi" w:eastAsiaTheme="minorHAnsi" w:hAnsiTheme="minorHAnsi" w:cstheme="minorBidi"/>
      </w:rPr>
    </w:lvl>
    <w:lvl w:ilvl="2" w:tplc="2D22D2CC">
      <w:start w:val="1"/>
      <w:numFmt w:val="lowerLetter"/>
      <w:lvlText w:val="(%3)"/>
      <w:lvlJc w:val="left"/>
      <w:pPr>
        <w:ind w:left="1440" w:hanging="360"/>
      </w:pPr>
      <w:rPr>
        <w:rFonts w:hint="default"/>
      </w:rPr>
    </w:lvl>
    <w:lvl w:ilvl="3" w:tplc="719A8886">
      <w:start w:val="1"/>
      <w:numFmt w:val="decimal"/>
      <w:lvlText w:val="(%4)"/>
      <w:lvlJc w:val="left"/>
      <w:pPr>
        <w:ind w:left="1800" w:hanging="360"/>
      </w:pPr>
      <w:rPr>
        <w:rFonts w:hint="default"/>
      </w:rPr>
    </w:lvl>
    <w:lvl w:ilvl="4" w:tplc="EA2AEDE2">
      <w:start w:val="1"/>
      <w:numFmt w:val="lowerLetter"/>
      <w:lvlText w:val="(%5)"/>
      <w:lvlJc w:val="left"/>
      <w:pPr>
        <w:ind w:left="2160" w:hanging="360"/>
      </w:pPr>
      <w:rPr>
        <w:rFonts w:hint="default"/>
      </w:rPr>
    </w:lvl>
    <w:lvl w:ilvl="5" w:tplc="7ABC218E">
      <w:start w:val="1"/>
      <w:numFmt w:val="lowerRoman"/>
      <w:lvlText w:val="(%6)"/>
      <w:lvlJc w:val="left"/>
      <w:pPr>
        <w:ind w:left="2520" w:hanging="360"/>
      </w:pPr>
      <w:rPr>
        <w:rFonts w:hint="default"/>
      </w:rPr>
    </w:lvl>
    <w:lvl w:ilvl="6" w:tplc="97D8B0CE">
      <w:start w:val="1"/>
      <w:numFmt w:val="decimal"/>
      <w:lvlText w:val="%7."/>
      <w:lvlJc w:val="left"/>
      <w:pPr>
        <w:ind w:left="2880" w:hanging="360"/>
      </w:pPr>
      <w:rPr>
        <w:rFonts w:hint="default"/>
      </w:rPr>
    </w:lvl>
    <w:lvl w:ilvl="7" w:tplc="46988440">
      <w:start w:val="1"/>
      <w:numFmt w:val="lowerLetter"/>
      <w:lvlText w:val="%8."/>
      <w:lvlJc w:val="left"/>
      <w:pPr>
        <w:ind w:left="3240" w:hanging="360"/>
      </w:pPr>
      <w:rPr>
        <w:rFonts w:hint="default"/>
      </w:rPr>
    </w:lvl>
    <w:lvl w:ilvl="8" w:tplc="F428642A">
      <w:start w:val="1"/>
      <w:numFmt w:val="lowerRoman"/>
      <w:lvlText w:val="%9."/>
      <w:lvlJc w:val="left"/>
      <w:pPr>
        <w:ind w:left="3600" w:hanging="360"/>
      </w:pPr>
      <w:rPr>
        <w:rFonts w:hint="default"/>
      </w:rPr>
    </w:lvl>
  </w:abstractNum>
  <w:abstractNum w:abstractNumId="34" w15:restartNumberingAfterBreak="0">
    <w:nsid w:val="686E0390"/>
    <w:multiLevelType w:val="hybridMultilevel"/>
    <w:tmpl w:val="BDECB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A3E266D"/>
    <w:multiLevelType w:val="hybridMultilevel"/>
    <w:tmpl w:val="BBF2BAA0"/>
    <w:lvl w:ilvl="0" w:tplc="23B2C3D0">
      <w:numFmt w:val="bullet"/>
      <w:lvlText w:val=""/>
      <w:lvlJc w:val="left"/>
      <w:pPr>
        <w:ind w:left="686" w:hanging="567"/>
      </w:pPr>
      <w:rPr>
        <w:rFonts w:ascii="Symbol" w:eastAsia="Symbol" w:hAnsi="Symbol" w:cs="Symbol" w:hint="default"/>
        <w:b w:val="0"/>
        <w:bCs w:val="0"/>
        <w:i w:val="0"/>
        <w:iCs w:val="0"/>
        <w:w w:val="100"/>
        <w:sz w:val="22"/>
        <w:szCs w:val="22"/>
        <w:lang w:val="en-NZ" w:eastAsia="en-US" w:bidi="ar-SA"/>
      </w:rPr>
    </w:lvl>
    <w:lvl w:ilvl="1" w:tplc="90D6E088">
      <w:numFmt w:val="bullet"/>
      <w:lvlText w:val="o"/>
      <w:lvlJc w:val="left"/>
      <w:pPr>
        <w:ind w:left="1253" w:hanging="567"/>
      </w:pPr>
      <w:rPr>
        <w:rFonts w:ascii="Courier New" w:eastAsia="Courier New" w:hAnsi="Courier New" w:cs="Courier New" w:hint="default"/>
        <w:b w:val="0"/>
        <w:bCs w:val="0"/>
        <w:i w:val="0"/>
        <w:iCs w:val="0"/>
        <w:w w:val="100"/>
        <w:sz w:val="22"/>
        <w:szCs w:val="22"/>
        <w:lang w:val="en-NZ" w:eastAsia="en-US" w:bidi="ar-SA"/>
      </w:rPr>
    </w:lvl>
    <w:lvl w:ilvl="2" w:tplc="4F500130">
      <w:numFmt w:val="bullet"/>
      <w:lvlText w:val="•"/>
      <w:lvlJc w:val="left"/>
      <w:pPr>
        <w:ind w:left="2156" w:hanging="567"/>
      </w:pPr>
      <w:rPr>
        <w:rFonts w:hint="default"/>
        <w:lang w:val="en-NZ" w:eastAsia="en-US" w:bidi="ar-SA"/>
      </w:rPr>
    </w:lvl>
    <w:lvl w:ilvl="3" w:tplc="C7E65DE0">
      <w:numFmt w:val="bullet"/>
      <w:lvlText w:val="•"/>
      <w:lvlJc w:val="left"/>
      <w:pPr>
        <w:ind w:left="3052" w:hanging="567"/>
      </w:pPr>
      <w:rPr>
        <w:rFonts w:hint="default"/>
        <w:lang w:val="en-NZ" w:eastAsia="en-US" w:bidi="ar-SA"/>
      </w:rPr>
    </w:lvl>
    <w:lvl w:ilvl="4" w:tplc="CC8804EE">
      <w:numFmt w:val="bullet"/>
      <w:lvlText w:val="•"/>
      <w:lvlJc w:val="left"/>
      <w:pPr>
        <w:ind w:left="3948" w:hanging="567"/>
      </w:pPr>
      <w:rPr>
        <w:rFonts w:hint="default"/>
        <w:lang w:val="en-NZ" w:eastAsia="en-US" w:bidi="ar-SA"/>
      </w:rPr>
    </w:lvl>
    <w:lvl w:ilvl="5" w:tplc="6BFABCDA">
      <w:numFmt w:val="bullet"/>
      <w:lvlText w:val="•"/>
      <w:lvlJc w:val="left"/>
      <w:pPr>
        <w:ind w:left="4845" w:hanging="567"/>
      </w:pPr>
      <w:rPr>
        <w:rFonts w:hint="default"/>
        <w:lang w:val="en-NZ" w:eastAsia="en-US" w:bidi="ar-SA"/>
      </w:rPr>
    </w:lvl>
    <w:lvl w:ilvl="6" w:tplc="B0067DAE">
      <w:numFmt w:val="bullet"/>
      <w:lvlText w:val="•"/>
      <w:lvlJc w:val="left"/>
      <w:pPr>
        <w:ind w:left="5741" w:hanging="567"/>
      </w:pPr>
      <w:rPr>
        <w:rFonts w:hint="default"/>
        <w:lang w:val="en-NZ" w:eastAsia="en-US" w:bidi="ar-SA"/>
      </w:rPr>
    </w:lvl>
    <w:lvl w:ilvl="7" w:tplc="1A6E6CD6">
      <w:numFmt w:val="bullet"/>
      <w:lvlText w:val="•"/>
      <w:lvlJc w:val="left"/>
      <w:pPr>
        <w:ind w:left="6637" w:hanging="567"/>
      </w:pPr>
      <w:rPr>
        <w:rFonts w:hint="default"/>
        <w:lang w:val="en-NZ" w:eastAsia="en-US" w:bidi="ar-SA"/>
      </w:rPr>
    </w:lvl>
    <w:lvl w:ilvl="8" w:tplc="BE3C7F2A">
      <w:numFmt w:val="bullet"/>
      <w:lvlText w:val="•"/>
      <w:lvlJc w:val="left"/>
      <w:pPr>
        <w:ind w:left="7533" w:hanging="567"/>
      </w:pPr>
      <w:rPr>
        <w:rFonts w:hint="default"/>
        <w:lang w:val="en-NZ" w:eastAsia="en-US" w:bidi="ar-SA"/>
      </w:rPr>
    </w:lvl>
  </w:abstractNum>
  <w:abstractNum w:abstractNumId="36" w15:restartNumberingAfterBreak="0">
    <w:nsid w:val="6B4E4BD1"/>
    <w:multiLevelType w:val="hybridMultilevel"/>
    <w:tmpl w:val="B4F6B6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64A547C"/>
    <w:multiLevelType w:val="hybridMultilevel"/>
    <w:tmpl w:val="C0726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6CC355E"/>
    <w:multiLevelType w:val="hybridMultilevel"/>
    <w:tmpl w:val="E146F92E"/>
    <w:lvl w:ilvl="0" w:tplc="89E23BCA">
      <w:start w:val="1"/>
      <w:numFmt w:val="decimal"/>
      <w:pStyle w:val="Normal2"/>
      <w:lvlText w:val="%1."/>
      <w:lvlJc w:val="left"/>
      <w:pPr>
        <w:ind w:left="720" w:hanging="360"/>
      </w:pPr>
      <w:rPr>
        <w:rFonts w:asciiTheme="minorHAnsi" w:hAnsiTheme="minorHAnsi" w:cstheme="minorHAnsi" w:hint="default"/>
        <w:i w:val="0"/>
        <w:iCs w:val="0"/>
        <w:color w:val="auto"/>
        <w:sz w:val="22"/>
        <w:szCs w:val="22"/>
      </w:rPr>
    </w:lvl>
    <w:lvl w:ilvl="1" w:tplc="1B501C52">
      <w:start w:val="1"/>
      <w:numFmt w:val="lowerLetter"/>
      <w:pStyle w:val="Normal3"/>
      <w:lvlText w:val="%2."/>
      <w:lvlJc w:val="left"/>
      <w:pPr>
        <w:ind w:left="1440" w:hanging="360"/>
      </w:pPr>
      <w:rPr>
        <w:b w:val="0"/>
        <w:bCs w:val="0"/>
      </w:rPr>
    </w:lvl>
    <w:lvl w:ilvl="2" w:tplc="993CF8D2">
      <w:start w:val="1"/>
      <w:numFmt w:val="lowerRoman"/>
      <w:lvlText w:val="%3."/>
      <w:lvlJc w:val="left"/>
      <w:pPr>
        <w:ind w:left="2160" w:hanging="180"/>
      </w:pPr>
      <w:rPr>
        <w:rFonts w:hint="default"/>
        <w:b w:val="0"/>
        <w:bCs w:val="0"/>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B3F74F1"/>
    <w:multiLevelType w:val="hybridMultilevel"/>
    <w:tmpl w:val="1E0E6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CD848E1"/>
    <w:multiLevelType w:val="hybridMultilevel"/>
    <w:tmpl w:val="2924B1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E95692B"/>
    <w:multiLevelType w:val="hybridMultilevel"/>
    <w:tmpl w:val="CBCCDCE6"/>
    <w:lvl w:ilvl="0" w:tplc="F02C76E8">
      <w:numFmt w:val="bullet"/>
      <w:lvlText w:val=""/>
      <w:lvlJc w:val="left"/>
      <w:pPr>
        <w:ind w:left="666" w:hanging="567"/>
      </w:pPr>
      <w:rPr>
        <w:rFonts w:ascii="Symbol" w:eastAsia="Symbol" w:hAnsi="Symbol" w:cs="Symbol" w:hint="default"/>
        <w:b w:val="0"/>
        <w:bCs w:val="0"/>
        <w:i w:val="0"/>
        <w:iCs w:val="0"/>
        <w:w w:val="100"/>
        <w:sz w:val="22"/>
        <w:szCs w:val="22"/>
      </w:rPr>
    </w:lvl>
    <w:lvl w:ilvl="1" w:tplc="23085320">
      <w:numFmt w:val="bullet"/>
      <w:lvlText w:val="•"/>
      <w:lvlJc w:val="left"/>
      <w:pPr>
        <w:ind w:left="1518" w:hanging="567"/>
      </w:pPr>
      <w:rPr>
        <w:rFonts w:hint="default"/>
      </w:rPr>
    </w:lvl>
    <w:lvl w:ilvl="2" w:tplc="41DC29C6">
      <w:numFmt w:val="bullet"/>
      <w:lvlText w:val="•"/>
      <w:lvlJc w:val="left"/>
      <w:pPr>
        <w:ind w:left="2377" w:hanging="567"/>
      </w:pPr>
      <w:rPr>
        <w:rFonts w:hint="default"/>
      </w:rPr>
    </w:lvl>
    <w:lvl w:ilvl="3" w:tplc="E9E458F8">
      <w:numFmt w:val="bullet"/>
      <w:lvlText w:val="•"/>
      <w:lvlJc w:val="left"/>
      <w:pPr>
        <w:ind w:left="3235" w:hanging="567"/>
      </w:pPr>
      <w:rPr>
        <w:rFonts w:hint="default"/>
      </w:rPr>
    </w:lvl>
    <w:lvl w:ilvl="4" w:tplc="86829FE6">
      <w:numFmt w:val="bullet"/>
      <w:lvlText w:val="•"/>
      <w:lvlJc w:val="left"/>
      <w:pPr>
        <w:ind w:left="4094" w:hanging="567"/>
      </w:pPr>
      <w:rPr>
        <w:rFonts w:hint="default"/>
      </w:rPr>
    </w:lvl>
    <w:lvl w:ilvl="5" w:tplc="E0A82C00">
      <w:numFmt w:val="bullet"/>
      <w:lvlText w:val="•"/>
      <w:lvlJc w:val="left"/>
      <w:pPr>
        <w:ind w:left="4953" w:hanging="567"/>
      </w:pPr>
      <w:rPr>
        <w:rFonts w:hint="default"/>
      </w:rPr>
    </w:lvl>
    <w:lvl w:ilvl="6" w:tplc="892A92A0">
      <w:numFmt w:val="bullet"/>
      <w:lvlText w:val="•"/>
      <w:lvlJc w:val="left"/>
      <w:pPr>
        <w:ind w:left="5811" w:hanging="567"/>
      </w:pPr>
      <w:rPr>
        <w:rFonts w:hint="default"/>
      </w:rPr>
    </w:lvl>
    <w:lvl w:ilvl="7" w:tplc="7FAEB9BA">
      <w:numFmt w:val="bullet"/>
      <w:lvlText w:val="•"/>
      <w:lvlJc w:val="left"/>
      <w:pPr>
        <w:ind w:left="6670" w:hanging="567"/>
      </w:pPr>
      <w:rPr>
        <w:rFonts w:hint="default"/>
      </w:rPr>
    </w:lvl>
    <w:lvl w:ilvl="8" w:tplc="9926BCF2">
      <w:numFmt w:val="bullet"/>
      <w:lvlText w:val="•"/>
      <w:lvlJc w:val="left"/>
      <w:pPr>
        <w:ind w:left="7529" w:hanging="567"/>
      </w:pPr>
      <w:rPr>
        <w:rFonts w:hint="default"/>
      </w:rPr>
    </w:lvl>
  </w:abstractNum>
  <w:abstractNum w:abstractNumId="42" w15:restartNumberingAfterBreak="0">
    <w:nsid w:val="7F5F294E"/>
    <w:multiLevelType w:val="hybridMultilevel"/>
    <w:tmpl w:val="7C625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1"/>
  </w:num>
  <w:num w:numId="4">
    <w:abstractNumId w:val="0"/>
  </w:num>
  <w:num w:numId="5">
    <w:abstractNumId w:val="10"/>
  </w:num>
  <w:num w:numId="6">
    <w:abstractNumId w:val="19"/>
  </w:num>
  <w:num w:numId="7">
    <w:abstractNumId w:val="32"/>
  </w:num>
  <w:num w:numId="8">
    <w:abstractNumId w:val="17"/>
  </w:num>
  <w:num w:numId="9">
    <w:abstractNumId w:val="16"/>
  </w:num>
  <w:num w:numId="10">
    <w:abstractNumId w:val="40"/>
  </w:num>
  <w:num w:numId="11">
    <w:abstractNumId w:val="20"/>
  </w:num>
  <w:num w:numId="12">
    <w:abstractNumId w:val="36"/>
  </w:num>
  <w:num w:numId="13">
    <w:abstractNumId w:val="5"/>
  </w:num>
  <w:num w:numId="14">
    <w:abstractNumId w:val="7"/>
  </w:num>
  <w:num w:numId="15">
    <w:abstractNumId w:val="25"/>
  </w:num>
  <w:num w:numId="16">
    <w:abstractNumId w:val="28"/>
  </w:num>
  <w:num w:numId="17">
    <w:abstractNumId w:val="14"/>
  </w:num>
  <w:num w:numId="18">
    <w:abstractNumId w:val="2"/>
  </w:num>
  <w:num w:numId="19">
    <w:abstractNumId w:val="39"/>
  </w:num>
  <w:num w:numId="20">
    <w:abstractNumId w:val="30"/>
  </w:num>
  <w:num w:numId="21">
    <w:abstractNumId w:val="18"/>
  </w:num>
  <w:num w:numId="22">
    <w:abstractNumId w:val="24"/>
  </w:num>
  <w:num w:numId="23">
    <w:abstractNumId w:val="15"/>
  </w:num>
  <w:num w:numId="24">
    <w:abstractNumId w:val="8"/>
  </w:num>
  <w:num w:numId="25">
    <w:abstractNumId w:val="34"/>
  </w:num>
  <w:num w:numId="26">
    <w:abstractNumId w:val="22"/>
  </w:num>
  <w:num w:numId="27">
    <w:abstractNumId w:val="9"/>
  </w:num>
  <w:num w:numId="28">
    <w:abstractNumId w:val="3"/>
  </w:num>
  <w:num w:numId="29">
    <w:abstractNumId w:val="42"/>
  </w:num>
  <w:num w:numId="30">
    <w:abstractNumId w:val="27"/>
  </w:num>
  <w:num w:numId="31">
    <w:abstractNumId w:val="37"/>
  </w:num>
  <w:num w:numId="32">
    <w:abstractNumId w:val="21"/>
  </w:num>
  <w:num w:numId="33">
    <w:abstractNumId w:val="26"/>
  </w:num>
  <w:num w:numId="34">
    <w:abstractNumId w:val="6"/>
  </w:num>
  <w:num w:numId="35">
    <w:abstractNumId w:val="12"/>
  </w:num>
  <w:num w:numId="36">
    <w:abstractNumId w:val="41"/>
  </w:num>
  <w:num w:numId="37">
    <w:abstractNumId w:val="35"/>
  </w:num>
  <w:num w:numId="38">
    <w:abstractNumId w:val="31"/>
  </w:num>
  <w:num w:numId="39">
    <w:abstractNumId w:val="11"/>
  </w:num>
  <w:num w:numId="40">
    <w:abstractNumId w:val="29"/>
  </w:num>
  <w:num w:numId="41">
    <w:abstractNumId w:val="4"/>
  </w:num>
  <w:num w:numId="42">
    <w:abstractNumId w:val="33"/>
  </w:num>
  <w:num w:numId="43">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ocumentProtection w:edit="readOnly" w:enforcement="1" w:cryptProviderType="rsaAES" w:cryptAlgorithmClass="hash" w:cryptAlgorithmType="typeAny" w:cryptAlgorithmSid="14" w:cryptSpinCount="100000" w:hash="s5epKZbyBoWdyNgzO/5NFc2dGPx95cE39olsahjbRO2mUhS3Xs9IiqyvF22/g5Hg1O5GQhmgXAiptz25N7q4sQ==" w:salt="dEDVDxNSUN0HjaLUQrj8U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71"/>
    <w:rsid w:val="00000054"/>
    <w:rsid w:val="000000B3"/>
    <w:rsid w:val="000000B9"/>
    <w:rsid w:val="00000151"/>
    <w:rsid w:val="00000285"/>
    <w:rsid w:val="000002C6"/>
    <w:rsid w:val="00000319"/>
    <w:rsid w:val="00000430"/>
    <w:rsid w:val="00000466"/>
    <w:rsid w:val="00000915"/>
    <w:rsid w:val="00000ADF"/>
    <w:rsid w:val="00000BA3"/>
    <w:rsid w:val="00000D00"/>
    <w:rsid w:val="00000F39"/>
    <w:rsid w:val="00000FE5"/>
    <w:rsid w:val="0000108C"/>
    <w:rsid w:val="00001327"/>
    <w:rsid w:val="000013BA"/>
    <w:rsid w:val="00001566"/>
    <w:rsid w:val="000018A1"/>
    <w:rsid w:val="000018A9"/>
    <w:rsid w:val="000018F2"/>
    <w:rsid w:val="00001A7F"/>
    <w:rsid w:val="00001B32"/>
    <w:rsid w:val="00001D00"/>
    <w:rsid w:val="00001EE6"/>
    <w:rsid w:val="00001F02"/>
    <w:rsid w:val="0000250A"/>
    <w:rsid w:val="00002559"/>
    <w:rsid w:val="00002607"/>
    <w:rsid w:val="000026E1"/>
    <w:rsid w:val="0000282B"/>
    <w:rsid w:val="0000295C"/>
    <w:rsid w:val="000029AE"/>
    <w:rsid w:val="00002A23"/>
    <w:rsid w:val="00002A50"/>
    <w:rsid w:val="00002C7F"/>
    <w:rsid w:val="00002DAF"/>
    <w:rsid w:val="00002E1F"/>
    <w:rsid w:val="00002E9C"/>
    <w:rsid w:val="000031B7"/>
    <w:rsid w:val="00003237"/>
    <w:rsid w:val="000032DE"/>
    <w:rsid w:val="0000339A"/>
    <w:rsid w:val="0000343B"/>
    <w:rsid w:val="00003481"/>
    <w:rsid w:val="00003763"/>
    <w:rsid w:val="000037AA"/>
    <w:rsid w:val="00003912"/>
    <w:rsid w:val="00003B7C"/>
    <w:rsid w:val="000040E7"/>
    <w:rsid w:val="0000437E"/>
    <w:rsid w:val="000044A0"/>
    <w:rsid w:val="000044DA"/>
    <w:rsid w:val="0000461A"/>
    <w:rsid w:val="0000462F"/>
    <w:rsid w:val="000047A2"/>
    <w:rsid w:val="00004905"/>
    <w:rsid w:val="00004930"/>
    <w:rsid w:val="00004AA1"/>
    <w:rsid w:val="00004CB3"/>
    <w:rsid w:val="00004CF4"/>
    <w:rsid w:val="00004FD2"/>
    <w:rsid w:val="00004FEE"/>
    <w:rsid w:val="00005212"/>
    <w:rsid w:val="000052FE"/>
    <w:rsid w:val="00005375"/>
    <w:rsid w:val="000054CB"/>
    <w:rsid w:val="00005577"/>
    <w:rsid w:val="00005689"/>
    <w:rsid w:val="00005972"/>
    <w:rsid w:val="000059B0"/>
    <w:rsid w:val="00005A40"/>
    <w:rsid w:val="00005D48"/>
    <w:rsid w:val="00005EEB"/>
    <w:rsid w:val="00005F07"/>
    <w:rsid w:val="000064FA"/>
    <w:rsid w:val="00006679"/>
    <w:rsid w:val="00006957"/>
    <w:rsid w:val="00006AC2"/>
    <w:rsid w:val="00006B39"/>
    <w:rsid w:val="00006BD7"/>
    <w:rsid w:val="00006BF4"/>
    <w:rsid w:val="00007048"/>
    <w:rsid w:val="000071A1"/>
    <w:rsid w:val="000071EE"/>
    <w:rsid w:val="00007252"/>
    <w:rsid w:val="00007282"/>
    <w:rsid w:val="0000738F"/>
    <w:rsid w:val="00007469"/>
    <w:rsid w:val="00007531"/>
    <w:rsid w:val="00007556"/>
    <w:rsid w:val="00007680"/>
    <w:rsid w:val="000077A2"/>
    <w:rsid w:val="000079CE"/>
    <w:rsid w:val="00007B29"/>
    <w:rsid w:val="00007BBA"/>
    <w:rsid w:val="00007D67"/>
    <w:rsid w:val="00007F46"/>
    <w:rsid w:val="000101BE"/>
    <w:rsid w:val="0001022C"/>
    <w:rsid w:val="00010381"/>
    <w:rsid w:val="000103A9"/>
    <w:rsid w:val="000105C9"/>
    <w:rsid w:val="00010666"/>
    <w:rsid w:val="00010725"/>
    <w:rsid w:val="00010736"/>
    <w:rsid w:val="00010A16"/>
    <w:rsid w:val="00010AE5"/>
    <w:rsid w:val="00010E43"/>
    <w:rsid w:val="00010E77"/>
    <w:rsid w:val="00010E99"/>
    <w:rsid w:val="00010EDE"/>
    <w:rsid w:val="00010F73"/>
    <w:rsid w:val="0001115E"/>
    <w:rsid w:val="000111C9"/>
    <w:rsid w:val="00011292"/>
    <w:rsid w:val="000113DC"/>
    <w:rsid w:val="0001184B"/>
    <w:rsid w:val="000119DA"/>
    <w:rsid w:val="00011B4A"/>
    <w:rsid w:val="00011B80"/>
    <w:rsid w:val="00011BF3"/>
    <w:rsid w:val="00011C51"/>
    <w:rsid w:val="000120BF"/>
    <w:rsid w:val="0001220D"/>
    <w:rsid w:val="00012543"/>
    <w:rsid w:val="000125E3"/>
    <w:rsid w:val="00012685"/>
    <w:rsid w:val="0001275A"/>
    <w:rsid w:val="0001287F"/>
    <w:rsid w:val="0001294F"/>
    <w:rsid w:val="00012977"/>
    <w:rsid w:val="00012A4B"/>
    <w:rsid w:val="00012A7A"/>
    <w:rsid w:val="00012BEE"/>
    <w:rsid w:val="00012C37"/>
    <w:rsid w:val="00012C49"/>
    <w:rsid w:val="00012C4B"/>
    <w:rsid w:val="00012CE0"/>
    <w:rsid w:val="000131BC"/>
    <w:rsid w:val="000134F6"/>
    <w:rsid w:val="00013558"/>
    <w:rsid w:val="00013648"/>
    <w:rsid w:val="000136A0"/>
    <w:rsid w:val="0001383D"/>
    <w:rsid w:val="00013A06"/>
    <w:rsid w:val="00013A24"/>
    <w:rsid w:val="00013A92"/>
    <w:rsid w:val="00013AC5"/>
    <w:rsid w:val="00013C31"/>
    <w:rsid w:val="00014056"/>
    <w:rsid w:val="00014130"/>
    <w:rsid w:val="0001413C"/>
    <w:rsid w:val="000141D3"/>
    <w:rsid w:val="0001422C"/>
    <w:rsid w:val="0001442C"/>
    <w:rsid w:val="00014454"/>
    <w:rsid w:val="0001459B"/>
    <w:rsid w:val="00014692"/>
    <w:rsid w:val="0001495A"/>
    <w:rsid w:val="00014AF1"/>
    <w:rsid w:val="00014B8E"/>
    <w:rsid w:val="00014BB6"/>
    <w:rsid w:val="00014BBD"/>
    <w:rsid w:val="00014BD1"/>
    <w:rsid w:val="00014C64"/>
    <w:rsid w:val="00014CCD"/>
    <w:rsid w:val="00014D26"/>
    <w:rsid w:val="00014E68"/>
    <w:rsid w:val="00014EB1"/>
    <w:rsid w:val="00014F15"/>
    <w:rsid w:val="00015146"/>
    <w:rsid w:val="00015497"/>
    <w:rsid w:val="00015734"/>
    <w:rsid w:val="00015809"/>
    <w:rsid w:val="0001595B"/>
    <w:rsid w:val="000159AE"/>
    <w:rsid w:val="00015AF9"/>
    <w:rsid w:val="00015B53"/>
    <w:rsid w:val="00015BC5"/>
    <w:rsid w:val="00015BEB"/>
    <w:rsid w:val="00015F7B"/>
    <w:rsid w:val="00015FFD"/>
    <w:rsid w:val="000161C5"/>
    <w:rsid w:val="000163C6"/>
    <w:rsid w:val="000165A8"/>
    <w:rsid w:val="000165B7"/>
    <w:rsid w:val="000165E0"/>
    <w:rsid w:val="000167D2"/>
    <w:rsid w:val="00016812"/>
    <w:rsid w:val="000169A2"/>
    <w:rsid w:val="000169E5"/>
    <w:rsid w:val="00016A26"/>
    <w:rsid w:val="00016A51"/>
    <w:rsid w:val="00016A62"/>
    <w:rsid w:val="00016BF9"/>
    <w:rsid w:val="00016C6F"/>
    <w:rsid w:val="00016D2F"/>
    <w:rsid w:val="00016DA9"/>
    <w:rsid w:val="00016E04"/>
    <w:rsid w:val="00016F01"/>
    <w:rsid w:val="0001718F"/>
    <w:rsid w:val="00017216"/>
    <w:rsid w:val="0001734E"/>
    <w:rsid w:val="000173AE"/>
    <w:rsid w:val="00017444"/>
    <w:rsid w:val="00017491"/>
    <w:rsid w:val="00017501"/>
    <w:rsid w:val="00017611"/>
    <w:rsid w:val="0001782A"/>
    <w:rsid w:val="000178EF"/>
    <w:rsid w:val="00017924"/>
    <w:rsid w:val="00017C2A"/>
    <w:rsid w:val="00017CB7"/>
    <w:rsid w:val="00017D5C"/>
    <w:rsid w:val="00017E54"/>
    <w:rsid w:val="00017F1C"/>
    <w:rsid w:val="00017F21"/>
    <w:rsid w:val="0002006E"/>
    <w:rsid w:val="000200E4"/>
    <w:rsid w:val="00020120"/>
    <w:rsid w:val="0002013C"/>
    <w:rsid w:val="0002034F"/>
    <w:rsid w:val="000203AF"/>
    <w:rsid w:val="00020418"/>
    <w:rsid w:val="00020707"/>
    <w:rsid w:val="0002096D"/>
    <w:rsid w:val="00020BF4"/>
    <w:rsid w:val="00020C28"/>
    <w:rsid w:val="00020EE1"/>
    <w:rsid w:val="0002107F"/>
    <w:rsid w:val="000213E8"/>
    <w:rsid w:val="00021514"/>
    <w:rsid w:val="000215D2"/>
    <w:rsid w:val="000216E4"/>
    <w:rsid w:val="000216E6"/>
    <w:rsid w:val="00021728"/>
    <w:rsid w:val="000217ED"/>
    <w:rsid w:val="0002183D"/>
    <w:rsid w:val="00021929"/>
    <w:rsid w:val="00021988"/>
    <w:rsid w:val="00021AEC"/>
    <w:rsid w:val="00021B02"/>
    <w:rsid w:val="00021B72"/>
    <w:rsid w:val="00021BF5"/>
    <w:rsid w:val="00021D04"/>
    <w:rsid w:val="00022007"/>
    <w:rsid w:val="00022183"/>
    <w:rsid w:val="00022330"/>
    <w:rsid w:val="000223FE"/>
    <w:rsid w:val="00022512"/>
    <w:rsid w:val="00022824"/>
    <w:rsid w:val="00022834"/>
    <w:rsid w:val="0002286B"/>
    <w:rsid w:val="0002289D"/>
    <w:rsid w:val="00022940"/>
    <w:rsid w:val="00022A0B"/>
    <w:rsid w:val="00022BB4"/>
    <w:rsid w:val="00022BE9"/>
    <w:rsid w:val="00022CCF"/>
    <w:rsid w:val="00022DCE"/>
    <w:rsid w:val="00022F03"/>
    <w:rsid w:val="00022F67"/>
    <w:rsid w:val="00022F74"/>
    <w:rsid w:val="00023020"/>
    <w:rsid w:val="00023025"/>
    <w:rsid w:val="00023324"/>
    <w:rsid w:val="00023630"/>
    <w:rsid w:val="000237BF"/>
    <w:rsid w:val="000237CE"/>
    <w:rsid w:val="00023921"/>
    <w:rsid w:val="000239AD"/>
    <w:rsid w:val="00023D02"/>
    <w:rsid w:val="00023D0F"/>
    <w:rsid w:val="00023D78"/>
    <w:rsid w:val="00023DAC"/>
    <w:rsid w:val="00023DFE"/>
    <w:rsid w:val="00023FB8"/>
    <w:rsid w:val="00024247"/>
    <w:rsid w:val="00024419"/>
    <w:rsid w:val="000244DF"/>
    <w:rsid w:val="000246A4"/>
    <w:rsid w:val="000248A1"/>
    <w:rsid w:val="00024A4F"/>
    <w:rsid w:val="00024A71"/>
    <w:rsid w:val="00024D28"/>
    <w:rsid w:val="00025003"/>
    <w:rsid w:val="00025032"/>
    <w:rsid w:val="000251CD"/>
    <w:rsid w:val="00025265"/>
    <w:rsid w:val="0002533C"/>
    <w:rsid w:val="0002538C"/>
    <w:rsid w:val="000253D1"/>
    <w:rsid w:val="000256AF"/>
    <w:rsid w:val="00025A5F"/>
    <w:rsid w:val="00025CDB"/>
    <w:rsid w:val="00025DFF"/>
    <w:rsid w:val="00025F8B"/>
    <w:rsid w:val="00025FB1"/>
    <w:rsid w:val="00025FF6"/>
    <w:rsid w:val="0002603C"/>
    <w:rsid w:val="00026154"/>
    <w:rsid w:val="00026241"/>
    <w:rsid w:val="00026341"/>
    <w:rsid w:val="00026639"/>
    <w:rsid w:val="00026692"/>
    <w:rsid w:val="0002671B"/>
    <w:rsid w:val="00026884"/>
    <w:rsid w:val="000268EE"/>
    <w:rsid w:val="0002699C"/>
    <w:rsid w:val="00026B10"/>
    <w:rsid w:val="00026B5D"/>
    <w:rsid w:val="00026B6F"/>
    <w:rsid w:val="00026C7A"/>
    <w:rsid w:val="00026C81"/>
    <w:rsid w:val="00026CDD"/>
    <w:rsid w:val="00026CFF"/>
    <w:rsid w:val="00026EA1"/>
    <w:rsid w:val="00026EF5"/>
    <w:rsid w:val="00026FA6"/>
    <w:rsid w:val="00026FA8"/>
    <w:rsid w:val="00027045"/>
    <w:rsid w:val="000272CA"/>
    <w:rsid w:val="00027320"/>
    <w:rsid w:val="000274FE"/>
    <w:rsid w:val="000275BC"/>
    <w:rsid w:val="00027882"/>
    <w:rsid w:val="000278A1"/>
    <w:rsid w:val="00027A08"/>
    <w:rsid w:val="00027A2F"/>
    <w:rsid w:val="00027BF2"/>
    <w:rsid w:val="00027C57"/>
    <w:rsid w:val="00027C8F"/>
    <w:rsid w:val="00027D9F"/>
    <w:rsid w:val="00027E07"/>
    <w:rsid w:val="00027EC5"/>
    <w:rsid w:val="00030176"/>
    <w:rsid w:val="000301B3"/>
    <w:rsid w:val="000302F9"/>
    <w:rsid w:val="0003043E"/>
    <w:rsid w:val="00030567"/>
    <w:rsid w:val="000309AE"/>
    <w:rsid w:val="00030BB3"/>
    <w:rsid w:val="00030DC9"/>
    <w:rsid w:val="00030E7D"/>
    <w:rsid w:val="00030E7E"/>
    <w:rsid w:val="00030E8C"/>
    <w:rsid w:val="00030E97"/>
    <w:rsid w:val="000313A3"/>
    <w:rsid w:val="00031488"/>
    <w:rsid w:val="0003159B"/>
    <w:rsid w:val="00031642"/>
    <w:rsid w:val="000317A1"/>
    <w:rsid w:val="00031868"/>
    <w:rsid w:val="000318C8"/>
    <w:rsid w:val="000319D7"/>
    <w:rsid w:val="00031B28"/>
    <w:rsid w:val="00031B5C"/>
    <w:rsid w:val="00031BFA"/>
    <w:rsid w:val="0003206A"/>
    <w:rsid w:val="0003206B"/>
    <w:rsid w:val="000322AF"/>
    <w:rsid w:val="000323F3"/>
    <w:rsid w:val="00032882"/>
    <w:rsid w:val="000329FF"/>
    <w:rsid w:val="00032B59"/>
    <w:rsid w:val="00032BEB"/>
    <w:rsid w:val="00032DD9"/>
    <w:rsid w:val="00032E5B"/>
    <w:rsid w:val="00032EE4"/>
    <w:rsid w:val="00032F9F"/>
    <w:rsid w:val="0003302E"/>
    <w:rsid w:val="00033081"/>
    <w:rsid w:val="000330A1"/>
    <w:rsid w:val="00033117"/>
    <w:rsid w:val="00033154"/>
    <w:rsid w:val="00033189"/>
    <w:rsid w:val="000331A9"/>
    <w:rsid w:val="0003338D"/>
    <w:rsid w:val="000333C2"/>
    <w:rsid w:val="00033488"/>
    <w:rsid w:val="0003361E"/>
    <w:rsid w:val="00033882"/>
    <w:rsid w:val="0003389B"/>
    <w:rsid w:val="0003394A"/>
    <w:rsid w:val="000339B5"/>
    <w:rsid w:val="000339DB"/>
    <w:rsid w:val="00033BA1"/>
    <w:rsid w:val="00033BAC"/>
    <w:rsid w:val="00033C3D"/>
    <w:rsid w:val="00033CFD"/>
    <w:rsid w:val="00033E7B"/>
    <w:rsid w:val="00033F80"/>
    <w:rsid w:val="000341C0"/>
    <w:rsid w:val="00034224"/>
    <w:rsid w:val="0003423E"/>
    <w:rsid w:val="0003434C"/>
    <w:rsid w:val="000345D9"/>
    <w:rsid w:val="00034787"/>
    <w:rsid w:val="00034815"/>
    <w:rsid w:val="00034974"/>
    <w:rsid w:val="000349D2"/>
    <w:rsid w:val="00034B61"/>
    <w:rsid w:val="00034D74"/>
    <w:rsid w:val="00034ED9"/>
    <w:rsid w:val="0003534B"/>
    <w:rsid w:val="00035397"/>
    <w:rsid w:val="000353EC"/>
    <w:rsid w:val="00035404"/>
    <w:rsid w:val="00035609"/>
    <w:rsid w:val="0003561D"/>
    <w:rsid w:val="00035813"/>
    <w:rsid w:val="0003586C"/>
    <w:rsid w:val="0003596D"/>
    <w:rsid w:val="000359BF"/>
    <w:rsid w:val="00035AAF"/>
    <w:rsid w:val="00035DC2"/>
    <w:rsid w:val="00035E84"/>
    <w:rsid w:val="00035EAD"/>
    <w:rsid w:val="00035F32"/>
    <w:rsid w:val="00036043"/>
    <w:rsid w:val="000360FD"/>
    <w:rsid w:val="00036165"/>
    <w:rsid w:val="000363E6"/>
    <w:rsid w:val="0003646D"/>
    <w:rsid w:val="00036501"/>
    <w:rsid w:val="00036616"/>
    <w:rsid w:val="00036642"/>
    <w:rsid w:val="00036952"/>
    <w:rsid w:val="00036CFA"/>
    <w:rsid w:val="00036E1E"/>
    <w:rsid w:val="00036E7A"/>
    <w:rsid w:val="00036EE0"/>
    <w:rsid w:val="0003700B"/>
    <w:rsid w:val="00037116"/>
    <w:rsid w:val="000372C2"/>
    <w:rsid w:val="00037595"/>
    <w:rsid w:val="000375B6"/>
    <w:rsid w:val="000377E4"/>
    <w:rsid w:val="000378C7"/>
    <w:rsid w:val="00037B15"/>
    <w:rsid w:val="00037C58"/>
    <w:rsid w:val="00037C87"/>
    <w:rsid w:val="00037CFD"/>
    <w:rsid w:val="00037D26"/>
    <w:rsid w:val="0004019D"/>
    <w:rsid w:val="00040271"/>
    <w:rsid w:val="000404FB"/>
    <w:rsid w:val="00040615"/>
    <w:rsid w:val="000406F5"/>
    <w:rsid w:val="000408D3"/>
    <w:rsid w:val="00040905"/>
    <w:rsid w:val="00040945"/>
    <w:rsid w:val="00040A25"/>
    <w:rsid w:val="00040BE3"/>
    <w:rsid w:val="00040C37"/>
    <w:rsid w:val="00040DD6"/>
    <w:rsid w:val="00040DDE"/>
    <w:rsid w:val="00040E9A"/>
    <w:rsid w:val="00040EB7"/>
    <w:rsid w:val="00040EF2"/>
    <w:rsid w:val="00040F14"/>
    <w:rsid w:val="00041054"/>
    <w:rsid w:val="00041254"/>
    <w:rsid w:val="0004153C"/>
    <w:rsid w:val="000416C4"/>
    <w:rsid w:val="000417B1"/>
    <w:rsid w:val="000417C8"/>
    <w:rsid w:val="000417E3"/>
    <w:rsid w:val="0004193C"/>
    <w:rsid w:val="000419F6"/>
    <w:rsid w:val="000419FB"/>
    <w:rsid w:val="00041A8C"/>
    <w:rsid w:val="00041D13"/>
    <w:rsid w:val="00041D23"/>
    <w:rsid w:val="00041D3C"/>
    <w:rsid w:val="00041D82"/>
    <w:rsid w:val="00042017"/>
    <w:rsid w:val="00042296"/>
    <w:rsid w:val="000422A0"/>
    <w:rsid w:val="0004257F"/>
    <w:rsid w:val="00042581"/>
    <w:rsid w:val="000425AA"/>
    <w:rsid w:val="000427FB"/>
    <w:rsid w:val="0004286F"/>
    <w:rsid w:val="000429A6"/>
    <w:rsid w:val="000429B4"/>
    <w:rsid w:val="000429D9"/>
    <w:rsid w:val="00042A47"/>
    <w:rsid w:val="00042D96"/>
    <w:rsid w:val="00042DE9"/>
    <w:rsid w:val="00042EA7"/>
    <w:rsid w:val="00042F51"/>
    <w:rsid w:val="00043262"/>
    <w:rsid w:val="000432EC"/>
    <w:rsid w:val="00043310"/>
    <w:rsid w:val="0004347C"/>
    <w:rsid w:val="000434D0"/>
    <w:rsid w:val="000434D7"/>
    <w:rsid w:val="00043506"/>
    <w:rsid w:val="0004350A"/>
    <w:rsid w:val="00043543"/>
    <w:rsid w:val="0004394B"/>
    <w:rsid w:val="0004398C"/>
    <w:rsid w:val="000439E4"/>
    <w:rsid w:val="00043A48"/>
    <w:rsid w:val="00043BC4"/>
    <w:rsid w:val="00043C68"/>
    <w:rsid w:val="00043E4B"/>
    <w:rsid w:val="00043F1E"/>
    <w:rsid w:val="00043F7C"/>
    <w:rsid w:val="00043FBB"/>
    <w:rsid w:val="00043FF5"/>
    <w:rsid w:val="00044163"/>
    <w:rsid w:val="0004435C"/>
    <w:rsid w:val="0004436C"/>
    <w:rsid w:val="000443A3"/>
    <w:rsid w:val="0004452E"/>
    <w:rsid w:val="000445AC"/>
    <w:rsid w:val="000446AA"/>
    <w:rsid w:val="00044703"/>
    <w:rsid w:val="00044861"/>
    <w:rsid w:val="000448BE"/>
    <w:rsid w:val="000448D1"/>
    <w:rsid w:val="000449B8"/>
    <w:rsid w:val="00044AE1"/>
    <w:rsid w:val="00044BDC"/>
    <w:rsid w:val="00044C66"/>
    <w:rsid w:val="000451BF"/>
    <w:rsid w:val="000451DB"/>
    <w:rsid w:val="0004540F"/>
    <w:rsid w:val="0004545F"/>
    <w:rsid w:val="0004579D"/>
    <w:rsid w:val="000458A0"/>
    <w:rsid w:val="00045C7D"/>
    <w:rsid w:val="00045CF2"/>
    <w:rsid w:val="00045EDB"/>
    <w:rsid w:val="00045F0E"/>
    <w:rsid w:val="00045FAE"/>
    <w:rsid w:val="0004600B"/>
    <w:rsid w:val="00046022"/>
    <w:rsid w:val="00046469"/>
    <w:rsid w:val="000464F3"/>
    <w:rsid w:val="00046526"/>
    <w:rsid w:val="00046570"/>
    <w:rsid w:val="0004663B"/>
    <w:rsid w:val="000466B6"/>
    <w:rsid w:val="000466BB"/>
    <w:rsid w:val="00046709"/>
    <w:rsid w:val="000469B6"/>
    <w:rsid w:val="000469E5"/>
    <w:rsid w:val="00046C0A"/>
    <w:rsid w:val="00046DA0"/>
    <w:rsid w:val="00046F8C"/>
    <w:rsid w:val="00047155"/>
    <w:rsid w:val="0004718E"/>
    <w:rsid w:val="000472A7"/>
    <w:rsid w:val="00047317"/>
    <w:rsid w:val="0004746C"/>
    <w:rsid w:val="000474B6"/>
    <w:rsid w:val="00047648"/>
    <w:rsid w:val="0004766E"/>
    <w:rsid w:val="00047716"/>
    <w:rsid w:val="00047892"/>
    <w:rsid w:val="00047BB7"/>
    <w:rsid w:val="00047C15"/>
    <w:rsid w:val="00047C16"/>
    <w:rsid w:val="00047DA5"/>
    <w:rsid w:val="00047E1B"/>
    <w:rsid w:val="00047E27"/>
    <w:rsid w:val="00047FCE"/>
    <w:rsid w:val="000501AC"/>
    <w:rsid w:val="000502F0"/>
    <w:rsid w:val="00050407"/>
    <w:rsid w:val="00050593"/>
    <w:rsid w:val="000505C4"/>
    <w:rsid w:val="00050712"/>
    <w:rsid w:val="00050764"/>
    <w:rsid w:val="0005092A"/>
    <w:rsid w:val="00050998"/>
    <w:rsid w:val="00050A26"/>
    <w:rsid w:val="00050B05"/>
    <w:rsid w:val="00050C59"/>
    <w:rsid w:val="00050C90"/>
    <w:rsid w:val="00050CA3"/>
    <w:rsid w:val="00050DB5"/>
    <w:rsid w:val="00050E25"/>
    <w:rsid w:val="00050F2B"/>
    <w:rsid w:val="00050F35"/>
    <w:rsid w:val="00051386"/>
    <w:rsid w:val="000513C1"/>
    <w:rsid w:val="0005147A"/>
    <w:rsid w:val="00051604"/>
    <w:rsid w:val="000516EE"/>
    <w:rsid w:val="000517A8"/>
    <w:rsid w:val="0005181B"/>
    <w:rsid w:val="00051ABD"/>
    <w:rsid w:val="00051BAA"/>
    <w:rsid w:val="00051BBD"/>
    <w:rsid w:val="00051BEC"/>
    <w:rsid w:val="00051CFC"/>
    <w:rsid w:val="00051E29"/>
    <w:rsid w:val="00051E2C"/>
    <w:rsid w:val="00051E36"/>
    <w:rsid w:val="00051E8C"/>
    <w:rsid w:val="00051EAE"/>
    <w:rsid w:val="00051EBC"/>
    <w:rsid w:val="00052147"/>
    <w:rsid w:val="00052239"/>
    <w:rsid w:val="00052255"/>
    <w:rsid w:val="00052261"/>
    <w:rsid w:val="000523F8"/>
    <w:rsid w:val="0005241F"/>
    <w:rsid w:val="000524EB"/>
    <w:rsid w:val="0005250D"/>
    <w:rsid w:val="0005268F"/>
    <w:rsid w:val="000526F4"/>
    <w:rsid w:val="00052791"/>
    <w:rsid w:val="000527EE"/>
    <w:rsid w:val="0005298D"/>
    <w:rsid w:val="00052B95"/>
    <w:rsid w:val="00052C49"/>
    <w:rsid w:val="00052C63"/>
    <w:rsid w:val="00052D03"/>
    <w:rsid w:val="00052D2B"/>
    <w:rsid w:val="00052DC0"/>
    <w:rsid w:val="00052E1A"/>
    <w:rsid w:val="00053046"/>
    <w:rsid w:val="00053101"/>
    <w:rsid w:val="00053208"/>
    <w:rsid w:val="000533BC"/>
    <w:rsid w:val="000533E5"/>
    <w:rsid w:val="00053462"/>
    <w:rsid w:val="000534A1"/>
    <w:rsid w:val="00053599"/>
    <w:rsid w:val="000535AE"/>
    <w:rsid w:val="00053612"/>
    <w:rsid w:val="00053849"/>
    <w:rsid w:val="00053999"/>
    <w:rsid w:val="00053B05"/>
    <w:rsid w:val="00053C4B"/>
    <w:rsid w:val="00053D11"/>
    <w:rsid w:val="00053EEC"/>
    <w:rsid w:val="0005403D"/>
    <w:rsid w:val="000540D9"/>
    <w:rsid w:val="000542E6"/>
    <w:rsid w:val="000542FE"/>
    <w:rsid w:val="00054436"/>
    <w:rsid w:val="00054548"/>
    <w:rsid w:val="00054682"/>
    <w:rsid w:val="0005474E"/>
    <w:rsid w:val="000548B9"/>
    <w:rsid w:val="0005497D"/>
    <w:rsid w:val="000549B2"/>
    <w:rsid w:val="00054A21"/>
    <w:rsid w:val="00054D1E"/>
    <w:rsid w:val="00054E8E"/>
    <w:rsid w:val="00054F3A"/>
    <w:rsid w:val="00055063"/>
    <w:rsid w:val="000550DC"/>
    <w:rsid w:val="00055134"/>
    <w:rsid w:val="000551EA"/>
    <w:rsid w:val="00055322"/>
    <w:rsid w:val="00055426"/>
    <w:rsid w:val="000554B3"/>
    <w:rsid w:val="00055517"/>
    <w:rsid w:val="00055552"/>
    <w:rsid w:val="000555F6"/>
    <w:rsid w:val="0005583C"/>
    <w:rsid w:val="00055872"/>
    <w:rsid w:val="0005588A"/>
    <w:rsid w:val="000558B5"/>
    <w:rsid w:val="0005591E"/>
    <w:rsid w:val="00055C39"/>
    <w:rsid w:val="00055D25"/>
    <w:rsid w:val="00055DC4"/>
    <w:rsid w:val="00055DC5"/>
    <w:rsid w:val="00055F4B"/>
    <w:rsid w:val="00055F74"/>
    <w:rsid w:val="00056099"/>
    <w:rsid w:val="0005613F"/>
    <w:rsid w:val="000561AE"/>
    <w:rsid w:val="0005628E"/>
    <w:rsid w:val="0005649C"/>
    <w:rsid w:val="00056643"/>
    <w:rsid w:val="00056748"/>
    <w:rsid w:val="0005680A"/>
    <w:rsid w:val="000569C6"/>
    <w:rsid w:val="00056A05"/>
    <w:rsid w:val="00056A6B"/>
    <w:rsid w:val="00056B6A"/>
    <w:rsid w:val="00056D75"/>
    <w:rsid w:val="00056E62"/>
    <w:rsid w:val="00056E9C"/>
    <w:rsid w:val="00056ED0"/>
    <w:rsid w:val="00056ED7"/>
    <w:rsid w:val="0005708B"/>
    <w:rsid w:val="000570D1"/>
    <w:rsid w:val="000570D8"/>
    <w:rsid w:val="00057142"/>
    <w:rsid w:val="0005717A"/>
    <w:rsid w:val="00057353"/>
    <w:rsid w:val="000574AA"/>
    <w:rsid w:val="00057527"/>
    <w:rsid w:val="000575D5"/>
    <w:rsid w:val="00057733"/>
    <w:rsid w:val="00057770"/>
    <w:rsid w:val="0005781F"/>
    <w:rsid w:val="000578B8"/>
    <w:rsid w:val="000578FA"/>
    <w:rsid w:val="000578FD"/>
    <w:rsid w:val="000579CE"/>
    <w:rsid w:val="00057A40"/>
    <w:rsid w:val="00057A71"/>
    <w:rsid w:val="00057C0F"/>
    <w:rsid w:val="00057C4D"/>
    <w:rsid w:val="00057C55"/>
    <w:rsid w:val="00057C64"/>
    <w:rsid w:val="00057CB7"/>
    <w:rsid w:val="00057E08"/>
    <w:rsid w:val="00057EF2"/>
    <w:rsid w:val="00057F70"/>
    <w:rsid w:val="000602DF"/>
    <w:rsid w:val="00060420"/>
    <w:rsid w:val="0006056D"/>
    <w:rsid w:val="000606A8"/>
    <w:rsid w:val="000606FD"/>
    <w:rsid w:val="00060779"/>
    <w:rsid w:val="000607CD"/>
    <w:rsid w:val="00060CD2"/>
    <w:rsid w:val="00060D14"/>
    <w:rsid w:val="00060E38"/>
    <w:rsid w:val="00060E68"/>
    <w:rsid w:val="00060E82"/>
    <w:rsid w:val="00060F3F"/>
    <w:rsid w:val="00061215"/>
    <w:rsid w:val="00061263"/>
    <w:rsid w:val="00061404"/>
    <w:rsid w:val="0006143D"/>
    <w:rsid w:val="00061518"/>
    <w:rsid w:val="0006169D"/>
    <w:rsid w:val="00061ACE"/>
    <w:rsid w:val="00061C67"/>
    <w:rsid w:val="00061D82"/>
    <w:rsid w:val="00061DC2"/>
    <w:rsid w:val="00061E8A"/>
    <w:rsid w:val="00061EC7"/>
    <w:rsid w:val="00062196"/>
    <w:rsid w:val="000621FA"/>
    <w:rsid w:val="000623A8"/>
    <w:rsid w:val="000625E8"/>
    <w:rsid w:val="000626C6"/>
    <w:rsid w:val="0006280D"/>
    <w:rsid w:val="00062817"/>
    <w:rsid w:val="00062851"/>
    <w:rsid w:val="00062988"/>
    <w:rsid w:val="00062C97"/>
    <w:rsid w:val="00062CC1"/>
    <w:rsid w:val="00062F13"/>
    <w:rsid w:val="0006306E"/>
    <w:rsid w:val="00063097"/>
    <w:rsid w:val="000631BF"/>
    <w:rsid w:val="00063269"/>
    <w:rsid w:val="00063448"/>
    <w:rsid w:val="00063452"/>
    <w:rsid w:val="00063624"/>
    <w:rsid w:val="000636C1"/>
    <w:rsid w:val="000637B6"/>
    <w:rsid w:val="000637F1"/>
    <w:rsid w:val="00063A30"/>
    <w:rsid w:val="00063BED"/>
    <w:rsid w:val="00063C67"/>
    <w:rsid w:val="00063D1A"/>
    <w:rsid w:val="00064086"/>
    <w:rsid w:val="0006413A"/>
    <w:rsid w:val="000643D7"/>
    <w:rsid w:val="0006450A"/>
    <w:rsid w:val="0006452B"/>
    <w:rsid w:val="00064686"/>
    <w:rsid w:val="0006496F"/>
    <w:rsid w:val="00064A9B"/>
    <w:rsid w:val="00064BA4"/>
    <w:rsid w:val="00064F2A"/>
    <w:rsid w:val="00065037"/>
    <w:rsid w:val="00065284"/>
    <w:rsid w:val="0006534F"/>
    <w:rsid w:val="0006535E"/>
    <w:rsid w:val="000655B4"/>
    <w:rsid w:val="00065623"/>
    <w:rsid w:val="000656E0"/>
    <w:rsid w:val="0006577E"/>
    <w:rsid w:val="000657DE"/>
    <w:rsid w:val="0006592F"/>
    <w:rsid w:val="00065940"/>
    <w:rsid w:val="00065AA6"/>
    <w:rsid w:val="00065AFD"/>
    <w:rsid w:val="00065B0B"/>
    <w:rsid w:val="00065CD6"/>
    <w:rsid w:val="00065E59"/>
    <w:rsid w:val="00065E79"/>
    <w:rsid w:val="00066092"/>
    <w:rsid w:val="000666A8"/>
    <w:rsid w:val="000666CC"/>
    <w:rsid w:val="00066806"/>
    <w:rsid w:val="00066840"/>
    <w:rsid w:val="000669E4"/>
    <w:rsid w:val="00066A14"/>
    <w:rsid w:val="00066A95"/>
    <w:rsid w:val="00066AC2"/>
    <w:rsid w:val="00066AF2"/>
    <w:rsid w:val="00066B20"/>
    <w:rsid w:val="00066C92"/>
    <w:rsid w:val="00067073"/>
    <w:rsid w:val="00067084"/>
    <w:rsid w:val="000670B4"/>
    <w:rsid w:val="00067143"/>
    <w:rsid w:val="000671B0"/>
    <w:rsid w:val="00067346"/>
    <w:rsid w:val="00067374"/>
    <w:rsid w:val="000673D9"/>
    <w:rsid w:val="00067431"/>
    <w:rsid w:val="000674CA"/>
    <w:rsid w:val="00067593"/>
    <w:rsid w:val="000677C6"/>
    <w:rsid w:val="00067810"/>
    <w:rsid w:val="000678C1"/>
    <w:rsid w:val="00067A81"/>
    <w:rsid w:val="00067D79"/>
    <w:rsid w:val="00067EA2"/>
    <w:rsid w:val="00067FC3"/>
    <w:rsid w:val="000700F4"/>
    <w:rsid w:val="00070100"/>
    <w:rsid w:val="00070116"/>
    <w:rsid w:val="000701ED"/>
    <w:rsid w:val="00070344"/>
    <w:rsid w:val="00070418"/>
    <w:rsid w:val="00070472"/>
    <w:rsid w:val="00070479"/>
    <w:rsid w:val="0007057F"/>
    <w:rsid w:val="0007068D"/>
    <w:rsid w:val="000706F1"/>
    <w:rsid w:val="0007073C"/>
    <w:rsid w:val="000708BE"/>
    <w:rsid w:val="000708D2"/>
    <w:rsid w:val="00070957"/>
    <w:rsid w:val="0007099C"/>
    <w:rsid w:val="000709B8"/>
    <w:rsid w:val="00070AF8"/>
    <w:rsid w:val="00070BF9"/>
    <w:rsid w:val="00070CB8"/>
    <w:rsid w:val="00070CBD"/>
    <w:rsid w:val="00070DAF"/>
    <w:rsid w:val="00070F42"/>
    <w:rsid w:val="00070FFF"/>
    <w:rsid w:val="0007101B"/>
    <w:rsid w:val="0007108B"/>
    <w:rsid w:val="000711B3"/>
    <w:rsid w:val="000712C1"/>
    <w:rsid w:val="000715A7"/>
    <w:rsid w:val="00071748"/>
    <w:rsid w:val="000718B3"/>
    <w:rsid w:val="00071986"/>
    <w:rsid w:val="00071AAF"/>
    <w:rsid w:val="00071B27"/>
    <w:rsid w:val="00071D93"/>
    <w:rsid w:val="00072125"/>
    <w:rsid w:val="00072210"/>
    <w:rsid w:val="0007233F"/>
    <w:rsid w:val="0007238E"/>
    <w:rsid w:val="000724FB"/>
    <w:rsid w:val="000726AF"/>
    <w:rsid w:val="00072809"/>
    <w:rsid w:val="00072864"/>
    <w:rsid w:val="00072949"/>
    <w:rsid w:val="00072D07"/>
    <w:rsid w:val="00072E35"/>
    <w:rsid w:val="00072FEC"/>
    <w:rsid w:val="00073556"/>
    <w:rsid w:val="000736C4"/>
    <w:rsid w:val="000736D4"/>
    <w:rsid w:val="000739DC"/>
    <w:rsid w:val="00073B0A"/>
    <w:rsid w:val="00073C18"/>
    <w:rsid w:val="00073C6B"/>
    <w:rsid w:val="00073C6F"/>
    <w:rsid w:val="00073F9C"/>
    <w:rsid w:val="00073FDD"/>
    <w:rsid w:val="00074093"/>
    <w:rsid w:val="0007417F"/>
    <w:rsid w:val="0007438D"/>
    <w:rsid w:val="00074463"/>
    <w:rsid w:val="000744B7"/>
    <w:rsid w:val="000744EA"/>
    <w:rsid w:val="000744F5"/>
    <w:rsid w:val="000745F3"/>
    <w:rsid w:val="00074675"/>
    <w:rsid w:val="00074763"/>
    <w:rsid w:val="00074AB0"/>
    <w:rsid w:val="00074B21"/>
    <w:rsid w:val="00074B41"/>
    <w:rsid w:val="00074D15"/>
    <w:rsid w:val="00074D42"/>
    <w:rsid w:val="00074E40"/>
    <w:rsid w:val="0007523D"/>
    <w:rsid w:val="00075260"/>
    <w:rsid w:val="00075416"/>
    <w:rsid w:val="0007547C"/>
    <w:rsid w:val="000754F9"/>
    <w:rsid w:val="0007567D"/>
    <w:rsid w:val="0007575F"/>
    <w:rsid w:val="0007585F"/>
    <w:rsid w:val="00075A77"/>
    <w:rsid w:val="00075A8B"/>
    <w:rsid w:val="00075AB3"/>
    <w:rsid w:val="00075AE2"/>
    <w:rsid w:val="00075B34"/>
    <w:rsid w:val="00075B36"/>
    <w:rsid w:val="00075E07"/>
    <w:rsid w:val="00075E29"/>
    <w:rsid w:val="00075E50"/>
    <w:rsid w:val="00076058"/>
    <w:rsid w:val="0007606D"/>
    <w:rsid w:val="00076089"/>
    <w:rsid w:val="00076149"/>
    <w:rsid w:val="0007614D"/>
    <w:rsid w:val="0007626F"/>
    <w:rsid w:val="000762B4"/>
    <w:rsid w:val="00076315"/>
    <w:rsid w:val="00076523"/>
    <w:rsid w:val="000765E3"/>
    <w:rsid w:val="000767EC"/>
    <w:rsid w:val="00076970"/>
    <w:rsid w:val="00076A59"/>
    <w:rsid w:val="00076BA4"/>
    <w:rsid w:val="00076CA3"/>
    <w:rsid w:val="00076CB6"/>
    <w:rsid w:val="00076D4F"/>
    <w:rsid w:val="00076EF3"/>
    <w:rsid w:val="00077085"/>
    <w:rsid w:val="0007746F"/>
    <w:rsid w:val="00077683"/>
    <w:rsid w:val="0007768C"/>
    <w:rsid w:val="000777A4"/>
    <w:rsid w:val="00077854"/>
    <w:rsid w:val="00077ACA"/>
    <w:rsid w:val="00077BA1"/>
    <w:rsid w:val="00077D02"/>
    <w:rsid w:val="00077E0F"/>
    <w:rsid w:val="00077E10"/>
    <w:rsid w:val="000802EA"/>
    <w:rsid w:val="000803FF"/>
    <w:rsid w:val="0008058E"/>
    <w:rsid w:val="000807A2"/>
    <w:rsid w:val="0008096C"/>
    <w:rsid w:val="00080A8C"/>
    <w:rsid w:val="00080A9A"/>
    <w:rsid w:val="00080C8A"/>
    <w:rsid w:val="00080D8B"/>
    <w:rsid w:val="00080E66"/>
    <w:rsid w:val="00080F18"/>
    <w:rsid w:val="00081013"/>
    <w:rsid w:val="000811C0"/>
    <w:rsid w:val="00081583"/>
    <w:rsid w:val="000815C3"/>
    <w:rsid w:val="00081780"/>
    <w:rsid w:val="00081956"/>
    <w:rsid w:val="000819F1"/>
    <w:rsid w:val="00081B06"/>
    <w:rsid w:val="00081B4F"/>
    <w:rsid w:val="00081B8E"/>
    <w:rsid w:val="00081CB7"/>
    <w:rsid w:val="00081DE2"/>
    <w:rsid w:val="00081DFF"/>
    <w:rsid w:val="0008201E"/>
    <w:rsid w:val="00082120"/>
    <w:rsid w:val="00082289"/>
    <w:rsid w:val="000822E4"/>
    <w:rsid w:val="0008231C"/>
    <w:rsid w:val="00082375"/>
    <w:rsid w:val="000824B4"/>
    <w:rsid w:val="00082624"/>
    <w:rsid w:val="00082673"/>
    <w:rsid w:val="00082895"/>
    <w:rsid w:val="0008299F"/>
    <w:rsid w:val="00082A09"/>
    <w:rsid w:val="00082C91"/>
    <w:rsid w:val="00082D73"/>
    <w:rsid w:val="00082D9C"/>
    <w:rsid w:val="00082E4C"/>
    <w:rsid w:val="00082EFA"/>
    <w:rsid w:val="00082F77"/>
    <w:rsid w:val="000830FF"/>
    <w:rsid w:val="0008324A"/>
    <w:rsid w:val="00083288"/>
    <w:rsid w:val="0008331D"/>
    <w:rsid w:val="0008336A"/>
    <w:rsid w:val="0008343B"/>
    <w:rsid w:val="00083592"/>
    <w:rsid w:val="0008361B"/>
    <w:rsid w:val="0008365F"/>
    <w:rsid w:val="00083686"/>
    <w:rsid w:val="0008381E"/>
    <w:rsid w:val="000838DD"/>
    <w:rsid w:val="00083991"/>
    <w:rsid w:val="00083995"/>
    <w:rsid w:val="00083C3B"/>
    <w:rsid w:val="0008405A"/>
    <w:rsid w:val="000840F0"/>
    <w:rsid w:val="000841ED"/>
    <w:rsid w:val="00084303"/>
    <w:rsid w:val="00084482"/>
    <w:rsid w:val="00084517"/>
    <w:rsid w:val="000845F6"/>
    <w:rsid w:val="00084754"/>
    <w:rsid w:val="00084A2F"/>
    <w:rsid w:val="00084AE8"/>
    <w:rsid w:val="00084E32"/>
    <w:rsid w:val="00084FEB"/>
    <w:rsid w:val="000851A0"/>
    <w:rsid w:val="00085349"/>
    <w:rsid w:val="0008538F"/>
    <w:rsid w:val="00085584"/>
    <w:rsid w:val="00085660"/>
    <w:rsid w:val="000856FB"/>
    <w:rsid w:val="000857A4"/>
    <w:rsid w:val="000857CA"/>
    <w:rsid w:val="00085A4B"/>
    <w:rsid w:val="00085BAB"/>
    <w:rsid w:val="00085C6D"/>
    <w:rsid w:val="00085C8A"/>
    <w:rsid w:val="00085D70"/>
    <w:rsid w:val="00085DE7"/>
    <w:rsid w:val="00086076"/>
    <w:rsid w:val="000860F8"/>
    <w:rsid w:val="000861D7"/>
    <w:rsid w:val="000861E9"/>
    <w:rsid w:val="0008622F"/>
    <w:rsid w:val="0008633B"/>
    <w:rsid w:val="00086346"/>
    <w:rsid w:val="000863DB"/>
    <w:rsid w:val="00086518"/>
    <w:rsid w:val="00086610"/>
    <w:rsid w:val="000866B6"/>
    <w:rsid w:val="00086AE9"/>
    <w:rsid w:val="00086CEF"/>
    <w:rsid w:val="00086FF5"/>
    <w:rsid w:val="00087114"/>
    <w:rsid w:val="00087188"/>
    <w:rsid w:val="000871B8"/>
    <w:rsid w:val="000871E7"/>
    <w:rsid w:val="00087509"/>
    <w:rsid w:val="000877FC"/>
    <w:rsid w:val="00087912"/>
    <w:rsid w:val="0008792A"/>
    <w:rsid w:val="000879BD"/>
    <w:rsid w:val="000879D0"/>
    <w:rsid w:val="00087D0B"/>
    <w:rsid w:val="00087D60"/>
    <w:rsid w:val="00087DF0"/>
    <w:rsid w:val="00087E6E"/>
    <w:rsid w:val="00087F0D"/>
    <w:rsid w:val="00090210"/>
    <w:rsid w:val="0009021F"/>
    <w:rsid w:val="0009022D"/>
    <w:rsid w:val="000903CD"/>
    <w:rsid w:val="000905C6"/>
    <w:rsid w:val="0009061F"/>
    <w:rsid w:val="0009063E"/>
    <w:rsid w:val="0009075F"/>
    <w:rsid w:val="00090A85"/>
    <w:rsid w:val="00090AA1"/>
    <w:rsid w:val="00090C5B"/>
    <w:rsid w:val="00090CF6"/>
    <w:rsid w:val="000910C8"/>
    <w:rsid w:val="000910F1"/>
    <w:rsid w:val="00091409"/>
    <w:rsid w:val="00091523"/>
    <w:rsid w:val="00091731"/>
    <w:rsid w:val="00091853"/>
    <w:rsid w:val="0009193E"/>
    <w:rsid w:val="000919FD"/>
    <w:rsid w:val="00091C35"/>
    <w:rsid w:val="00091D16"/>
    <w:rsid w:val="00091DD0"/>
    <w:rsid w:val="00091DDE"/>
    <w:rsid w:val="00091E88"/>
    <w:rsid w:val="00091E8E"/>
    <w:rsid w:val="00092058"/>
    <w:rsid w:val="0009218D"/>
    <w:rsid w:val="00092245"/>
    <w:rsid w:val="000923C8"/>
    <w:rsid w:val="00092426"/>
    <w:rsid w:val="0009257A"/>
    <w:rsid w:val="0009266D"/>
    <w:rsid w:val="00092931"/>
    <w:rsid w:val="00092B4B"/>
    <w:rsid w:val="00093053"/>
    <w:rsid w:val="000930DB"/>
    <w:rsid w:val="0009312C"/>
    <w:rsid w:val="00093330"/>
    <w:rsid w:val="00093631"/>
    <w:rsid w:val="0009369D"/>
    <w:rsid w:val="000938A7"/>
    <w:rsid w:val="000939B0"/>
    <w:rsid w:val="000939DD"/>
    <w:rsid w:val="00093BE1"/>
    <w:rsid w:val="00093DA2"/>
    <w:rsid w:val="00094061"/>
    <w:rsid w:val="00094096"/>
    <w:rsid w:val="00094150"/>
    <w:rsid w:val="00094215"/>
    <w:rsid w:val="000943C3"/>
    <w:rsid w:val="000943DD"/>
    <w:rsid w:val="000943E1"/>
    <w:rsid w:val="000943ED"/>
    <w:rsid w:val="00094560"/>
    <w:rsid w:val="00094753"/>
    <w:rsid w:val="000947AB"/>
    <w:rsid w:val="000947CD"/>
    <w:rsid w:val="0009486A"/>
    <w:rsid w:val="00094888"/>
    <w:rsid w:val="000949F2"/>
    <w:rsid w:val="00094AA3"/>
    <w:rsid w:val="00094AA6"/>
    <w:rsid w:val="00094B74"/>
    <w:rsid w:val="00094BB5"/>
    <w:rsid w:val="00094BB9"/>
    <w:rsid w:val="00094F9C"/>
    <w:rsid w:val="000950AD"/>
    <w:rsid w:val="000950EC"/>
    <w:rsid w:val="0009522F"/>
    <w:rsid w:val="000952D6"/>
    <w:rsid w:val="000953B0"/>
    <w:rsid w:val="00095687"/>
    <w:rsid w:val="000957F3"/>
    <w:rsid w:val="0009582F"/>
    <w:rsid w:val="00095997"/>
    <w:rsid w:val="000959D2"/>
    <w:rsid w:val="00095A98"/>
    <w:rsid w:val="00095B5E"/>
    <w:rsid w:val="00095E60"/>
    <w:rsid w:val="00095ED0"/>
    <w:rsid w:val="00095FCA"/>
    <w:rsid w:val="000960F4"/>
    <w:rsid w:val="00096277"/>
    <w:rsid w:val="00096325"/>
    <w:rsid w:val="00096371"/>
    <w:rsid w:val="000963FC"/>
    <w:rsid w:val="0009640B"/>
    <w:rsid w:val="00096414"/>
    <w:rsid w:val="00096563"/>
    <w:rsid w:val="0009660B"/>
    <w:rsid w:val="000966D9"/>
    <w:rsid w:val="000967B4"/>
    <w:rsid w:val="00096AE3"/>
    <w:rsid w:val="00096B04"/>
    <w:rsid w:val="00096B4E"/>
    <w:rsid w:val="00096B6E"/>
    <w:rsid w:val="00096CCD"/>
    <w:rsid w:val="00096DB9"/>
    <w:rsid w:val="00096F3B"/>
    <w:rsid w:val="00096FCC"/>
    <w:rsid w:val="0009712C"/>
    <w:rsid w:val="00097299"/>
    <w:rsid w:val="00097380"/>
    <w:rsid w:val="000974B2"/>
    <w:rsid w:val="000974C5"/>
    <w:rsid w:val="0009779E"/>
    <w:rsid w:val="0009797A"/>
    <w:rsid w:val="000979CE"/>
    <w:rsid w:val="00097A1C"/>
    <w:rsid w:val="00097BA2"/>
    <w:rsid w:val="00097BE9"/>
    <w:rsid w:val="00097C1C"/>
    <w:rsid w:val="00097C50"/>
    <w:rsid w:val="00097C5E"/>
    <w:rsid w:val="00097CC9"/>
    <w:rsid w:val="00097F1C"/>
    <w:rsid w:val="000A01AD"/>
    <w:rsid w:val="000A0238"/>
    <w:rsid w:val="000A026A"/>
    <w:rsid w:val="000A0603"/>
    <w:rsid w:val="000A06AE"/>
    <w:rsid w:val="000A0762"/>
    <w:rsid w:val="000A085A"/>
    <w:rsid w:val="000A0978"/>
    <w:rsid w:val="000A0988"/>
    <w:rsid w:val="000A09B3"/>
    <w:rsid w:val="000A0C32"/>
    <w:rsid w:val="000A0D45"/>
    <w:rsid w:val="000A0EAB"/>
    <w:rsid w:val="000A11B1"/>
    <w:rsid w:val="000A15EE"/>
    <w:rsid w:val="000A163E"/>
    <w:rsid w:val="000A1661"/>
    <w:rsid w:val="000A1941"/>
    <w:rsid w:val="000A195E"/>
    <w:rsid w:val="000A19EF"/>
    <w:rsid w:val="000A1ADD"/>
    <w:rsid w:val="000A1C42"/>
    <w:rsid w:val="000A1DE6"/>
    <w:rsid w:val="000A1E9B"/>
    <w:rsid w:val="000A202B"/>
    <w:rsid w:val="000A2076"/>
    <w:rsid w:val="000A2078"/>
    <w:rsid w:val="000A2146"/>
    <w:rsid w:val="000A221E"/>
    <w:rsid w:val="000A23EE"/>
    <w:rsid w:val="000A2923"/>
    <w:rsid w:val="000A2936"/>
    <w:rsid w:val="000A2943"/>
    <w:rsid w:val="000A29D8"/>
    <w:rsid w:val="000A2A44"/>
    <w:rsid w:val="000A2B9E"/>
    <w:rsid w:val="000A2C17"/>
    <w:rsid w:val="000A2C3A"/>
    <w:rsid w:val="000A2E96"/>
    <w:rsid w:val="000A2F7B"/>
    <w:rsid w:val="000A30B7"/>
    <w:rsid w:val="000A31A2"/>
    <w:rsid w:val="000A3340"/>
    <w:rsid w:val="000A336D"/>
    <w:rsid w:val="000A33C0"/>
    <w:rsid w:val="000A3476"/>
    <w:rsid w:val="000A3607"/>
    <w:rsid w:val="000A37E0"/>
    <w:rsid w:val="000A38A2"/>
    <w:rsid w:val="000A3C1C"/>
    <w:rsid w:val="000A3D08"/>
    <w:rsid w:val="000A3DCD"/>
    <w:rsid w:val="000A3E84"/>
    <w:rsid w:val="000A3EC7"/>
    <w:rsid w:val="000A4083"/>
    <w:rsid w:val="000A40C3"/>
    <w:rsid w:val="000A40E1"/>
    <w:rsid w:val="000A413C"/>
    <w:rsid w:val="000A42A9"/>
    <w:rsid w:val="000A440D"/>
    <w:rsid w:val="000A4433"/>
    <w:rsid w:val="000A4573"/>
    <w:rsid w:val="000A46AF"/>
    <w:rsid w:val="000A46DF"/>
    <w:rsid w:val="000A47EF"/>
    <w:rsid w:val="000A484E"/>
    <w:rsid w:val="000A4BCA"/>
    <w:rsid w:val="000A4BE2"/>
    <w:rsid w:val="000A4C0F"/>
    <w:rsid w:val="000A4CDF"/>
    <w:rsid w:val="000A4D05"/>
    <w:rsid w:val="000A4D99"/>
    <w:rsid w:val="000A4E73"/>
    <w:rsid w:val="000A506B"/>
    <w:rsid w:val="000A508B"/>
    <w:rsid w:val="000A520B"/>
    <w:rsid w:val="000A530D"/>
    <w:rsid w:val="000A53AC"/>
    <w:rsid w:val="000A53F3"/>
    <w:rsid w:val="000A548A"/>
    <w:rsid w:val="000A5532"/>
    <w:rsid w:val="000A55BB"/>
    <w:rsid w:val="000A560B"/>
    <w:rsid w:val="000A5628"/>
    <w:rsid w:val="000A566C"/>
    <w:rsid w:val="000A5765"/>
    <w:rsid w:val="000A5863"/>
    <w:rsid w:val="000A5884"/>
    <w:rsid w:val="000A58E4"/>
    <w:rsid w:val="000A5911"/>
    <w:rsid w:val="000A5B05"/>
    <w:rsid w:val="000A5BE7"/>
    <w:rsid w:val="000A5C34"/>
    <w:rsid w:val="000A5C8E"/>
    <w:rsid w:val="000A5DC2"/>
    <w:rsid w:val="000A5E3C"/>
    <w:rsid w:val="000A5E64"/>
    <w:rsid w:val="000A5F2B"/>
    <w:rsid w:val="000A5F69"/>
    <w:rsid w:val="000A60CF"/>
    <w:rsid w:val="000A6124"/>
    <w:rsid w:val="000A6219"/>
    <w:rsid w:val="000A6312"/>
    <w:rsid w:val="000A6318"/>
    <w:rsid w:val="000A6343"/>
    <w:rsid w:val="000A65C3"/>
    <w:rsid w:val="000A6717"/>
    <w:rsid w:val="000A6779"/>
    <w:rsid w:val="000A6A65"/>
    <w:rsid w:val="000A6DF3"/>
    <w:rsid w:val="000A6E9D"/>
    <w:rsid w:val="000A7153"/>
    <w:rsid w:val="000A71AD"/>
    <w:rsid w:val="000A7599"/>
    <w:rsid w:val="000A7601"/>
    <w:rsid w:val="000A77B6"/>
    <w:rsid w:val="000A782D"/>
    <w:rsid w:val="000A7844"/>
    <w:rsid w:val="000A7881"/>
    <w:rsid w:val="000A7BD1"/>
    <w:rsid w:val="000A7CDA"/>
    <w:rsid w:val="000A7D03"/>
    <w:rsid w:val="000A7D09"/>
    <w:rsid w:val="000A7E94"/>
    <w:rsid w:val="000B0000"/>
    <w:rsid w:val="000B008A"/>
    <w:rsid w:val="000B04E5"/>
    <w:rsid w:val="000B0D3A"/>
    <w:rsid w:val="000B0E2F"/>
    <w:rsid w:val="000B0E4A"/>
    <w:rsid w:val="000B0E8C"/>
    <w:rsid w:val="000B0F3F"/>
    <w:rsid w:val="000B0FA9"/>
    <w:rsid w:val="000B1240"/>
    <w:rsid w:val="000B125F"/>
    <w:rsid w:val="000B1314"/>
    <w:rsid w:val="000B13BB"/>
    <w:rsid w:val="000B155C"/>
    <w:rsid w:val="000B1697"/>
    <w:rsid w:val="000B169A"/>
    <w:rsid w:val="000B1832"/>
    <w:rsid w:val="000B1953"/>
    <w:rsid w:val="000B1A17"/>
    <w:rsid w:val="000B1BA5"/>
    <w:rsid w:val="000B1D2C"/>
    <w:rsid w:val="000B1E2F"/>
    <w:rsid w:val="000B21B1"/>
    <w:rsid w:val="000B22F4"/>
    <w:rsid w:val="000B2588"/>
    <w:rsid w:val="000B2597"/>
    <w:rsid w:val="000B2881"/>
    <w:rsid w:val="000B29FF"/>
    <w:rsid w:val="000B2B0A"/>
    <w:rsid w:val="000B2CB5"/>
    <w:rsid w:val="000B2DBE"/>
    <w:rsid w:val="000B2EF3"/>
    <w:rsid w:val="000B3248"/>
    <w:rsid w:val="000B32DB"/>
    <w:rsid w:val="000B3476"/>
    <w:rsid w:val="000B3477"/>
    <w:rsid w:val="000B34A1"/>
    <w:rsid w:val="000B3540"/>
    <w:rsid w:val="000B3554"/>
    <w:rsid w:val="000B356C"/>
    <w:rsid w:val="000B361B"/>
    <w:rsid w:val="000B3624"/>
    <w:rsid w:val="000B362B"/>
    <w:rsid w:val="000B3725"/>
    <w:rsid w:val="000B3952"/>
    <w:rsid w:val="000B3A6B"/>
    <w:rsid w:val="000B3B10"/>
    <w:rsid w:val="000B3B19"/>
    <w:rsid w:val="000B3B73"/>
    <w:rsid w:val="000B3BEB"/>
    <w:rsid w:val="000B3CCD"/>
    <w:rsid w:val="000B3D3B"/>
    <w:rsid w:val="000B4125"/>
    <w:rsid w:val="000B41B2"/>
    <w:rsid w:val="000B437C"/>
    <w:rsid w:val="000B43D8"/>
    <w:rsid w:val="000B4545"/>
    <w:rsid w:val="000B46C7"/>
    <w:rsid w:val="000B4759"/>
    <w:rsid w:val="000B47E3"/>
    <w:rsid w:val="000B47E4"/>
    <w:rsid w:val="000B483F"/>
    <w:rsid w:val="000B490C"/>
    <w:rsid w:val="000B495F"/>
    <w:rsid w:val="000B496A"/>
    <w:rsid w:val="000B4A73"/>
    <w:rsid w:val="000B4A79"/>
    <w:rsid w:val="000B4AA0"/>
    <w:rsid w:val="000B4C10"/>
    <w:rsid w:val="000B4C98"/>
    <w:rsid w:val="000B4E19"/>
    <w:rsid w:val="000B4E92"/>
    <w:rsid w:val="000B4F62"/>
    <w:rsid w:val="000B4FF4"/>
    <w:rsid w:val="000B5222"/>
    <w:rsid w:val="000B53DC"/>
    <w:rsid w:val="000B5561"/>
    <w:rsid w:val="000B561B"/>
    <w:rsid w:val="000B581C"/>
    <w:rsid w:val="000B588E"/>
    <w:rsid w:val="000B5921"/>
    <w:rsid w:val="000B5AC1"/>
    <w:rsid w:val="000B5AF9"/>
    <w:rsid w:val="000B5B13"/>
    <w:rsid w:val="000B5C7B"/>
    <w:rsid w:val="000B5C88"/>
    <w:rsid w:val="000B5C8E"/>
    <w:rsid w:val="000B6262"/>
    <w:rsid w:val="000B6655"/>
    <w:rsid w:val="000B66BF"/>
    <w:rsid w:val="000B6889"/>
    <w:rsid w:val="000B6C08"/>
    <w:rsid w:val="000B6C11"/>
    <w:rsid w:val="000B6C79"/>
    <w:rsid w:val="000B6D6A"/>
    <w:rsid w:val="000B6D78"/>
    <w:rsid w:val="000B6D81"/>
    <w:rsid w:val="000B6D87"/>
    <w:rsid w:val="000B6E93"/>
    <w:rsid w:val="000B6E97"/>
    <w:rsid w:val="000B6FA2"/>
    <w:rsid w:val="000B7432"/>
    <w:rsid w:val="000B7449"/>
    <w:rsid w:val="000B749D"/>
    <w:rsid w:val="000B759F"/>
    <w:rsid w:val="000B764D"/>
    <w:rsid w:val="000B7789"/>
    <w:rsid w:val="000B77BB"/>
    <w:rsid w:val="000B7CA9"/>
    <w:rsid w:val="000B7CBC"/>
    <w:rsid w:val="000B7F49"/>
    <w:rsid w:val="000C058E"/>
    <w:rsid w:val="000C06D0"/>
    <w:rsid w:val="000C0820"/>
    <w:rsid w:val="000C0990"/>
    <w:rsid w:val="000C09BB"/>
    <w:rsid w:val="000C0CF7"/>
    <w:rsid w:val="000C0D8A"/>
    <w:rsid w:val="000C0E08"/>
    <w:rsid w:val="000C0EE8"/>
    <w:rsid w:val="000C0EEB"/>
    <w:rsid w:val="000C0F3E"/>
    <w:rsid w:val="000C113B"/>
    <w:rsid w:val="000C113E"/>
    <w:rsid w:val="000C12C1"/>
    <w:rsid w:val="000C1511"/>
    <w:rsid w:val="000C1537"/>
    <w:rsid w:val="000C1612"/>
    <w:rsid w:val="000C1637"/>
    <w:rsid w:val="000C188C"/>
    <w:rsid w:val="000C190F"/>
    <w:rsid w:val="000C1950"/>
    <w:rsid w:val="000C1C72"/>
    <w:rsid w:val="000C1E9D"/>
    <w:rsid w:val="000C1EFD"/>
    <w:rsid w:val="000C1F41"/>
    <w:rsid w:val="000C2062"/>
    <w:rsid w:val="000C20B3"/>
    <w:rsid w:val="000C21CF"/>
    <w:rsid w:val="000C21F9"/>
    <w:rsid w:val="000C22B8"/>
    <w:rsid w:val="000C2348"/>
    <w:rsid w:val="000C254C"/>
    <w:rsid w:val="000C25EC"/>
    <w:rsid w:val="000C281E"/>
    <w:rsid w:val="000C2ACC"/>
    <w:rsid w:val="000C2C80"/>
    <w:rsid w:val="000C2CD7"/>
    <w:rsid w:val="000C2DE7"/>
    <w:rsid w:val="000C2EA3"/>
    <w:rsid w:val="000C31FC"/>
    <w:rsid w:val="000C3264"/>
    <w:rsid w:val="000C3C67"/>
    <w:rsid w:val="000C3DAF"/>
    <w:rsid w:val="000C3E1D"/>
    <w:rsid w:val="000C3E5C"/>
    <w:rsid w:val="000C3E83"/>
    <w:rsid w:val="000C3F82"/>
    <w:rsid w:val="000C3FA3"/>
    <w:rsid w:val="000C40DB"/>
    <w:rsid w:val="000C4147"/>
    <w:rsid w:val="000C43EB"/>
    <w:rsid w:val="000C4402"/>
    <w:rsid w:val="000C440D"/>
    <w:rsid w:val="000C4428"/>
    <w:rsid w:val="000C4476"/>
    <w:rsid w:val="000C44CB"/>
    <w:rsid w:val="000C45CB"/>
    <w:rsid w:val="000C4681"/>
    <w:rsid w:val="000C4685"/>
    <w:rsid w:val="000C4786"/>
    <w:rsid w:val="000C47D9"/>
    <w:rsid w:val="000C49AA"/>
    <w:rsid w:val="000C4A4B"/>
    <w:rsid w:val="000C4ADF"/>
    <w:rsid w:val="000C4CFB"/>
    <w:rsid w:val="000C4D6E"/>
    <w:rsid w:val="000C4F41"/>
    <w:rsid w:val="000C5080"/>
    <w:rsid w:val="000C5216"/>
    <w:rsid w:val="000C5478"/>
    <w:rsid w:val="000C553E"/>
    <w:rsid w:val="000C5769"/>
    <w:rsid w:val="000C5797"/>
    <w:rsid w:val="000C588D"/>
    <w:rsid w:val="000C5973"/>
    <w:rsid w:val="000C5976"/>
    <w:rsid w:val="000C597A"/>
    <w:rsid w:val="000C5B1B"/>
    <w:rsid w:val="000C5CC6"/>
    <w:rsid w:val="000C5DA4"/>
    <w:rsid w:val="000C5E3D"/>
    <w:rsid w:val="000C5F0D"/>
    <w:rsid w:val="000C5F39"/>
    <w:rsid w:val="000C6071"/>
    <w:rsid w:val="000C607C"/>
    <w:rsid w:val="000C613E"/>
    <w:rsid w:val="000C6262"/>
    <w:rsid w:val="000C62C3"/>
    <w:rsid w:val="000C62DD"/>
    <w:rsid w:val="000C62DE"/>
    <w:rsid w:val="000C6714"/>
    <w:rsid w:val="000C68A7"/>
    <w:rsid w:val="000C6A08"/>
    <w:rsid w:val="000C6A30"/>
    <w:rsid w:val="000C6A79"/>
    <w:rsid w:val="000C6BF1"/>
    <w:rsid w:val="000C6BFF"/>
    <w:rsid w:val="000C6E9F"/>
    <w:rsid w:val="000C6EB4"/>
    <w:rsid w:val="000C6F51"/>
    <w:rsid w:val="000C6FDA"/>
    <w:rsid w:val="000C70DD"/>
    <w:rsid w:val="000C7151"/>
    <w:rsid w:val="000C71B1"/>
    <w:rsid w:val="000C7206"/>
    <w:rsid w:val="000C72CF"/>
    <w:rsid w:val="000C733A"/>
    <w:rsid w:val="000C762E"/>
    <w:rsid w:val="000C7916"/>
    <w:rsid w:val="000C79EE"/>
    <w:rsid w:val="000C7B6F"/>
    <w:rsid w:val="000C7DC1"/>
    <w:rsid w:val="000C7F69"/>
    <w:rsid w:val="000C7F98"/>
    <w:rsid w:val="000C7FD9"/>
    <w:rsid w:val="000C7FDE"/>
    <w:rsid w:val="000D03B5"/>
    <w:rsid w:val="000D0434"/>
    <w:rsid w:val="000D049E"/>
    <w:rsid w:val="000D0624"/>
    <w:rsid w:val="000D074D"/>
    <w:rsid w:val="000D07E0"/>
    <w:rsid w:val="000D08C8"/>
    <w:rsid w:val="000D091A"/>
    <w:rsid w:val="000D0967"/>
    <w:rsid w:val="000D0BB4"/>
    <w:rsid w:val="000D0BBD"/>
    <w:rsid w:val="000D0CB9"/>
    <w:rsid w:val="000D0ED3"/>
    <w:rsid w:val="000D0ED4"/>
    <w:rsid w:val="000D0F0A"/>
    <w:rsid w:val="000D0F77"/>
    <w:rsid w:val="000D10F3"/>
    <w:rsid w:val="000D1135"/>
    <w:rsid w:val="000D1196"/>
    <w:rsid w:val="000D11D3"/>
    <w:rsid w:val="000D14ED"/>
    <w:rsid w:val="000D15AF"/>
    <w:rsid w:val="000D15CD"/>
    <w:rsid w:val="000D15E8"/>
    <w:rsid w:val="000D179E"/>
    <w:rsid w:val="000D18D3"/>
    <w:rsid w:val="000D1B15"/>
    <w:rsid w:val="000D1CDF"/>
    <w:rsid w:val="000D1DAF"/>
    <w:rsid w:val="000D1E59"/>
    <w:rsid w:val="000D1F9F"/>
    <w:rsid w:val="000D21C7"/>
    <w:rsid w:val="000D22B4"/>
    <w:rsid w:val="000D23A9"/>
    <w:rsid w:val="000D247A"/>
    <w:rsid w:val="000D2753"/>
    <w:rsid w:val="000D2792"/>
    <w:rsid w:val="000D27CE"/>
    <w:rsid w:val="000D28BC"/>
    <w:rsid w:val="000D2B81"/>
    <w:rsid w:val="000D2C74"/>
    <w:rsid w:val="000D2E00"/>
    <w:rsid w:val="000D3180"/>
    <w:rsid w:val="000D33C6"/>
    <w:rsid w:val="000D33F2"/>
    <w:rsid w:val="000D3441"/>
    <w:rsid w:val="000D348B"/>
    <w:rsid w:val="000D34CB"/>
    <w:rsid w:val="000D35E7"/>
    <w:rsid w:val="000D3611"/>
    <w:rsid w:val="000D37D6"/>
    <w:rsid w:val="000D38EE"/>
    <w:rsid w:val="000D39FB"/>
    <w:rsid w:val="000D3BDA"/>
    <w:rsid w:val="000D3C2D"/>
    <w:rsid w:val="000D3C68"/>
    <w:rsid w:val="000D3D29"/>
    <w:rsid w:val="000D3DE1"/>
    <w:rsid w:val="000D4006"/>
    <w:rsid w:val="000D4267"/>
    <w:rsid w:val="000D42D5"/>
    <w:rsid w:val="000D4474"/>
    <w:rsid w:val="000D44BA"/>
    <w:rsid w:val="000D44C2"/>
    <w:rsid w:val="000D4698"/>
    <w:rsid w:val="000D46AB"/>
    <w:rsid w:val="000D4871"/>
    <w:rsid w:val="000D48E0"/>
    <w:rsid w:val="000D48F7"/>
    <w:rsid w:val="000D4949"/>
    <w:rsid w:val="000D49BA"/>
    <w:rsid w:val="000D4BA4"/>
    <w:rsid w:val="000D4DA1"/>
    <w:rsid w:val="000D4DAF"/>
    <w:rsid w:val="000D4FA0"/>
    <w:rsid w:val="000D5011"/>
    <w:rsid w:val="000D5111"/>
    <w:rsid w:val="000D5138"/>
    <w:rsid w:val="000D5152"/>
    <w:rsid w:val="000D5193"/>
    <w:rsid w:val="000D543D"/>
    <w:rsid w:val="000D5479"/>
    <w:rsid w:val="000D552E"/>
    <w:rsid w:val="000D55C0"/>
    <w:rsid w:val="000D569A"/>
    <w:rsid w:val="000D574A"/>
    <w:rsid w:val="000D58B1"/>
    <w:rsid w:val="000D5D15"/>
    <w:rsid w:val="000D5D33"/>
    <w:rsid w:val="000D5DFE"/>
    <w:rsid w:val="000D6090"/>
    <w:rsid w:val="000D60F1"/>
    <w:rsid w:val="000D6185"/>
    <w:rsid w:val="000D61F3"/>
    <w:rsid w:val="000D6372"/>
    <w:rsid w:val="000D63D9"/>
    <w:rsid w:val="000D6441"/>
    <w:rsid w:val="000D66D5"/>
    <w:rsid w:val="000D6828"/>
    <w:rsid w:val="000D6ABE"/>
    <w:rsid w:val="000D6E9E"/>
    <w:rsid w:val="000D6EAE"/>
    <w:rsid w:val="000D6F0B"/>
    <w:rsid w:val="000D70BC"/>
    <w:rsid w:val="000D73AD"/>
    <w:rsid w:val="000D73EF"/>
    <w:rsid w:val="000D7441"/>
    <w:rsid w:val="000D748B"/>
    <w:rsid w:val="000D74CF"/>
    <w:rsid w:val="000D76A2"/>
    <w:rsid w:val="000D76D0"/>
    <w:rsid w:val="000D7746"/>
    <w:rsid w:val="000D787D"/>
    <w:rsid w:val="000D78BC"/>
    <w:rsid w:val="000D78DE"/>
    <w:rsid w:val="000D7901"/>
    <w:rsid w:val="000D79B8"/>
    <w:rsid w:val="000D7AC6"/>
    <w:rsid w:val="000D7BBD"/>
    <w:rsid w:val="000D7BE9"/>
    <w:rsid w:val="000D7D11"/>
    <w:rsid w:val="000D7D45"/>
    <w:rsid w:val="000D7D4D"/>
    <w:rsid w:val="000D7E86"/>
    <w:rsid w:val="000D7F65"/>
    <w:rsid w:val="000E0108"/>
    <w:rsid w:val="000E02A0"/>
    <w:rsid w:val="000E02CA"/>
    <w:rsid w:val="000E02F7"/>
    <w:rsid w:val="000E0384"/>
    <w:rsid w:val="000E03D3"/>
    <w:rsid w:val="000E0409"/>
    <w:rsid w:val="000E04F9"/>
    <w:rsid w:val="000E051E"/>
    <w:rsid w:val="000E0570"/>
    <w:rsid w:val="000E058E"/>
    <w:rsid w:val="000E065C"/>
    <w:rsid w:val="000E06F5"/>
    <w:rsid w:val="000E0705"/>
    <w:rsid w:val="000E070E"/>
    <w:rsid w:val="000E0737"/>
    <w:rsid w:val="000E07D7"/>
    <w:rsid w:val="000E085F"/>
    <w:rsid w:val="000E0939"/>
    <w:rsid w:val="000E0977"/>
    <w:rsid w:val="000E09F5"/>
    <w:rsid w:val="000E0BE6"/>
    <w:rsid w:val="000E0E85"/>
    <w:rsid w:val="000E0F68"/>
    <w:rsid w:val="000E12D4"/>
    <w:rsid w:val="000E14A5"/>
    <w:rsid w:val="000E1630"/>
    <w:rsid w:val="000E16AB"/>
    <w:rsid w:val="000E183D"/>
    <w:rsid w:val="000E186F"/>
    <w:rsid w:val="000E1A0F"/>
    <w:rsid w:val="000E1A93"/>
    <w:rsid w:val="000E1B4C"/>
    <w:rsid w:val="000E1B8C"/>
    <w:rsid w:val="000E1C52"/>
    <w:rsid w:val="000E1D0F"/>
    <w:rsid w:val="000E1D7F"/>
    <w:rsid w:val="000E1D93"/>
    <w:rsid w:val="000E1FAA"/>
    <w:rsid w:val="000E1FDF"/>
    <w:rsid w:val="000E2062"/>
    <w:rsid w:val="000E2273"/>
    <w:rsid w:val="000E2429"/>
    <w:rsid w:val="000E259E"/>
    <w:rsid w:val="000E268C"/>
    <w:rsid w:val="000E271E"/>
    <w:rsid w:val="000E27C6"/>
    <w:rsid w:val="000E2940"/>
    <w:rsid w:val="000E2A9B"/>
    <w:rsid w:val="000E2AE5"/>
    <w:rsid w:val="000E2AE6"/>
    <w:rsid w:val="000E2AF6"/>
    <w:rsid w:val="000E2B7F"/>
    <w:rsid w:val="000E2DCE"/>
    <w:rsid w:val="000E2EAE"/>
    <w:rsid w:val="000E308F"/>
    <w:rsid w:val="000E30C1"/>
    <w:rsid w:val="000E30DC"/>
    <w:rsid w:val="000E3278"/>
    <w:rsid w:val="000E33EF"/>
    <w:rsid w:val="000E3407"/>
    <w:rsid w:val="000E34E9"/>
    <w:rsid w:val="000E34F9"/>
    <w:rsid w:val="000E3674"/>
    <w:rsid w:val="000E3841"/>
    <w:rsid w:val="000E3856"/>
    <w:rsid w:val="000E3901"/>
    <w:rsid w:val="000E3956"/>
    <w:rsid w:val="000E3AAC"/>
    <w:rsid w:val="000E3ADE"/>
    <w:rsid w:val="000E3AE1"/>
    <w:rsid w:val="000E3C98"/>
    <w:rsid w:val="000E418F"/>
    <w:rsid w:val="000E4216"/>
    <w:rsid w:val="000E42BB"/>
    <w:rsid w:val="000E4303"/>
    <w:rsid w:val="000E437F"/>
    <w:rsid w:val="000E4652"/>
    <w:rsid w:val="000E48EA"/>
    <w:rsid w:val="000E495D"/>
    <w:rsid w:val="000E4A7A"/>
    <w:rsid w:val="000E4AFF"/>
    <w:rsid w:val="000E4B90"/>
    <w:rsid w:val="000E4C23"/>
    <w:rsid w:val="000E4C5F"/>
    <w:rsid w:val="000E4C9F"/>
    <w:rsid w:val="000E4D50"/>
    <w:rsid w:val="000E4E52"/>
    <w:rsid w:val="000E4F43"/>
    <w:rsid w:val="000E4F67"/>
    <w:rsid w:val="000E4F8C"/>
    <w:rsid w:val="000E4FA0"/>
    <w:rsid w:val="000E5112"/>
    <w:rsid w:val="000E5418"/>
    <w:rsid w:val="000E54EF"/>
    <w:rsid w:val="000E5624"/>
    <w:rsid w:val="000E5B81"/>
    <w:rsid w:val="000E5BB2"/>
    <w:rsid w:val="000E5BC5"/>
    <w:rsid w:val="000E5CC0"/>
    <w:rsid w:val="000E5DBD"/>
    <w:rsid w:val="000E5E0D"/>
    <w:rsid w:val="000E5ED3"/>
    <w:rsid w:val="000E5EF8"/>
    <w:rsid w:val="000E5FB6"/>
    <w:rsid w:val="000E608B"/>
    <w:rsid w:val="000E63AD"/>
    <w:rsid w:val="000E64AB"/>
    <w:rsid w:val="000E64DA"/>
    <w:rsid w:val="000E65B3"/>
    <w:rsid w:val="000E6671"/>
    <w:rsid w:val="000E66D1"/>
    <w:rsid w:val="000E673B"/>
    <w:rsid w:val="000E68BC"/>
    <w:rsid w:val="000E694A"/>
    <w:rsid w:val="000E6AF8"/>
    <w:rsid w:val="000E6BB2"/>
    <w:rsid w:val="000E6BC2"/>
    <w:rsid w:val="000E6BCA"/>
    <w:rsid w:val="000E6D63"/>
    <w:rsid w:val="000E6D9C"/>
    <w:rsid w:val="000E6E31"/>
    <w:rsid w:val="000E6EAA"/>
    <w:rsid w:val="000E6F0E"/>
    <w:rsid w:val="000E6F2C"/>
    <w:rsid w:val="000E6F72"/>
    <w:rsid w:val="000E70C4"/>
    <w:rsid w:val="000E7284"/>
    <w:rsid w:val="000E7377"/>
    <w:rsid w:val="000E750E"/>
    <w:rsid w:val="000E769C"/>
    <w:rsid w:val="000E77F7"/>
    <w:rsid w:val="000E7B24"/>
    <w:rsid w:val="000E7B3A"/>
    <w:rsid w:val="000E7B42"/>
    <w:rsid w:val="000E7BA8"/>
    <w:rsid w:val="000E7BE1"/>
    <w:rsid w:val="000E7CC0"/>
    <w:rsid w:val="000E7D03"/>
    <w:rsid w:val="000F00D6"/>
    <w:rsid w:val="000F01AA"/>
    <w:rsid w:val="000F021A"/>
    <w:rsid w:val="000F023E"/>
    <w:rsid w:val="000F0730"/>
    <w:rsid w:val="000F0790"/>
    <w:rsid w:val="000F081A"/>
    <w:rsid w:val="000F0820"/>
    <w:rsid w:val="000F087E"/>
    <w:rsid w:val="000F08DB"/>
    <w:rsid w:val="000F0B35"/>
    <w:rsid w:val="000F0B94"/>
    <w:rsid w:val="000F0C79"/>
    <w:rsid w:val="000F0D37"/>
    <w:rsid w:val="000F0DF5"/>
    <w:rsid w:val="000F0EBD"/>
    <w:rsid w:val="000F0EFB"/>
    <w:rsid w:val="000F1143"/>
    <w:rsid w:val="000F11AF"/>
    <w:rsid w:val="000F123E"/>
    <w:rsid w:val="000F12CC"/>
    <w:rsid w:val="000F1498"/>
    <w:rsid w:val="000F149A"/>
    <w:rsid w:val="000F16E4"/>
    <w:rsid w:val="000F170C"/>
    <w:rsid w:val="000F174A"/>
    <w:rsid w:val="000F188F"/>
    <w:rsid w:val="000F18CF"/>
    <w:rsid w:val="000F1B48"/>
    <w:rsid w:val="000F1C57"/>
    <w:rsid w:val="000F1D22"/>
    <w:rsid w:val="000F1DCB"/>
    <w:rsid w:val="000F1DD6"/>
    <w:rsid w:val="000F208C"/>
    <w:rsid w:val="000F217B"/>
    <w:rsid w:val="000F21E4"/>
    <w:rsid w:val="000F22CE"/>
    <w:rsid w:val="000F23CB"/>
    <w:rsid w:val="000F257B"/>
    <w:rsid w:val="000F25BE"/>
    <w:rsid w:val="000F263E"/>
    <w:rsid w:val="000F282D"/>
    <w:rsid w:val="000F2A77"/>
    <w:rsid w:val="000F2C18"/>
    <w:rsid w:val="000F2CA2"/>
    <w:rsid w:val="000F2D78"/>
    <w:rsid w:val="000F3071"/>
    <w:rsid w:val="000F3105"/>
    <w:rsid w:val="000F328B"/>
    <w:rsid w:val="000F3327"/>
    <w:rsid w:val="000F3491"/>
    <w:rsid w:val="000F38C7"/>
    <w:rsid w:val="000F3A1F"/>
    <w:rsid w:val="000F3A5D"/>
    <w:rsid w:val="000F3B96"/>
    <w:rsid w:val="000F3D0A"/>
    <w:rsid w:val="000F3DFD"/>
    <w:rsid w:val="000F4062"/>
    <w:rsid w:val="000F423A"/>
    <w:rsid w:val="000F4378"/>
    <w:rsid w:val="000F4393"/>
    <w:rsid w:val="000F44E3"/>
    <w:rsid w:val="000F453A"/>
    <w:rsid w:val="000F453F"/>
    <w:rsid w:val="000F4875"/>
    <w:rsid w:val="000F4D77"/>
    <w:rsid w:val="000F4FCC"/>
    <w:rsid w:val="000F5158"/>
    <w:rsid w:val="000F519B"/>
    <w:rsid w:val="000F51D9"/>
    <w:rsid w:val="000F52B1"/>
    <w:rsid w:val="000F52D3"/>
    <w:rsid w:val="000F534A"/>
    <w:rsid w:val="000F534D"/>
    <w:rsid w:val="000F5451"/>
    <w:rsid w:val="000F545B"/>
    <w:rsid w:val="000F5513"/>
    <w:rsid w:val="000F563A"/>
    <w:rsid w:val="000F5666"/>
    <w:rsid w:val="000F5675"/>
    <w:rsid w:val="000F569D"/>
    <w:rsid w:val="000F570D"/>
    <w:rsid w:val="000F57C1"/>
    <w:rsid w:val="000F585E"/>
    <w:rsid w:val="000F5887"/>
    <w:rsid w:val="000F59A0"/>
    <w:rsid w:val="000F5A95"/>
    <w:rsid w:val="000F5B5B"/>
    <w:rsid w:val="000F5BE2"/>
    <w:rsid w:val="000F5C86"/>
    <w:rsid w:val="000F5D44"/>
    <w:rsid w:val="000F5D83"/>
    <w:rsid w:val="000F5DBC"/>
    <w:rsid w:val="000F5DD2"/>
    <w:rsid w:val="000F5F1A"/>
    <w:rsid w:val="000F5F41"/>
    <w:rsid w:val="000F62AA"/>
    <w:rsid w:val="000F6556"/>
    <w:rsid w:val="000F65C5"/>
    <w:rsid w:val="000F65DB"/>
    <w:rsid w:val="000F6618"/>
    <w:rsid w:val="000F6737"/>
    <w:rsid w:val="000F6B15"/>
    <w:rsid w:val="000F6C72"/>
    <w:rsid w:val="000F6C81"/>
    <w:rsid w:val="000F6DCA"/>
    <w:rsid w:val="000F709C"/>
    <w:rsid w:val="000F71D8"/>
    <w:rsid w:val="000F71F5"/>
    <w:rsid w:val="000F734F"/>
    <w:rsid w:val="000F73B3"/>
    <w:rsid w:val="000F743F"/>
    <w:rsid w:val="000F74D6"/>
    <w:rsid w:val="000F774C"/>
    <w:rsid w:val="000F7801"/>
    <w:rsid w:val="000F7818"/>
    <w:rsid w:val="000F7833"/>
    <w:rsid w:val="000F7B7A"/>
    <w:rsid w:val="000F7C5B"/>
    <w:rsid w:val="000F7DF8"/>
    <w:rsid w:val="000F7E05"/>
    <w:rsid w:val="000F7F7A"/>
    <w:rsid w:val="001000C4"/>
    <w:rsid w:val="00100141"/>
    <w:rsid w:val="00100144"/>
    <w:rsid w:val="0010050F"/>
    <w:rsid w:val="0010054E"/>
    <w:rsid w:val="00100628"/>
    <w:rsid w:val="001006C4"/>
    <w:rsid w:val="00100792"/>
    <w:rsid w:val="00100804"/>
    <w:rsid w:val="0010081F"/>
    <w:rsid w:val="0010096A"/>
    <w:rsid w:val="00100CF5"/>
    <w:rsid w:val="00100EA6"/>
    <w:rsid w:val="00100FBF"/>
    <w:rsid w:val="00101168"/>
    <w:rsid w:val="001011C9"/>
    <w:rsid w:val="0010129C"/>
    <w:rsid w:val="0010132A"/>
    <w:rsid w:val="00101375"/>
    <w:rsid w:val="0010137C"/>
    <w:rsid w:val="001013B8"/>
    <w:rsid w:val="00101514"/>
    <w:rsid w:val="00101549"/>
    <w:rsid w:val="00101671"/>
    <w:rsid w:val="0010187B"/>
    <w:rsid w:val="001018DB"/>
    <w:rsid w:val="00101962"/>
    <w:rsid w:val="001019C2"/>
    <w:rsid w:val="00101B0E"/>
    <w:rsid w:val="00101BF8"/>
    <w:rsid w:val="00101F92"/>
    <w:rsid w:val="001021AC"/>
    <w:rsid w:val="001021BA"/>
    <w:rsid w:val="001023C0"/>
    <w:rsid w:val="001025BB"/>
    <w:rsid w:val="001025BC"/>
    <w:rsid w:val="0010270E"/>
    <w:rsid w:val="0010288B"/>
    <w:rsid w:val="00102A19"/>
    <w:rsid w:val="00102D01"/>
    <w:rsid w:val="00102D89"/>
    <w:rsid w:val="00102DDA"/>
    <w:rsid w:val="00102F7D"/>
    <w:rsid w:val="00102F8A"/>
    <w:rsid w:val="001030E0"/>
    <w:rsid w:val="00103324"/>
    <w:rsid w:val="0010365D"/>
    <w:rsid w:val="001036A9"/>
    <w:rsid w:val="0010374A"/>
    <w:rsid w:val="00103773"/>
    <w:rsid w:val="001037BB"/>
    <w:rsid w:val="0010399F"/>
    <w:rsid w:val="00103A83"/>
    <w:rsid w:val="00103CFB"/>
    <w:rsid w:val="00103F82"/>
    <w:rsid w:val="00103FFA"/>
    <w:rsid w:val="0010406F"/>
    <w:rsid w:val="00104183"/>
    <w:rsid w:val="00104335"/>
    <w:rsid w:val="001043ED"/>
    <w:rsid w:val="0010449A"/>
    <w:rsid w:val="0010457A"/>
    <w:rsid w:val="0010463A"/>
    <w:rsid w:val="001046B3"/>
    <w:rsid w:val="001046F9"/>
    <w:rsid w:val="00104756"/>
    <w:rsid w:val="001047AC"/>
    <w:rsid w:val="001047CC"/>
    <w:rsid w:val="001047D4"/>
    <w:rsid w:val="00104850"/>
    <w:rsid w:val="001049CD"/>
    <w:rsid w:val="00104A6D"/>
    <w:rsid w:val="00104DEE"/>
    <w:rsid w:val="00104E23"/>
    <w:rsid w:val="00104F37"/>
    <w:rsid w:val="00105079"/>
    <w:rsid w:val="001052AA"/>
    <w:rsid w:val="001052C1"/>
    <w:rsid w:val="001052CA"/>
    <w:rsid w:val="00105449"/>
    <w:rsid w:val="001055C6"/>
    <w:rsid w:val="0010572C"/>
    <w:rsid w:val="001058ED"/>
    <w:rsid w:val="001059AE"/>
    <w:rsid w:val="00105B74"/>
    <w:rsid w:val="00105CA6"/>
    <w:rsid w:val="00105E4E"/>
    <w:rsid w:val="00105EC5"/>
    <w:rsid w:val="00106104"/>
    <w:rsid w:val="00106204"/>
    <w:rsid w:val="00106224"/>
    <w:rsid w:val="00106625"/>
    <w:rsid w:val="00106705"/>
    <w:rsid w:val="0010676C"/>
    <w:rsid w:val="001068DE"/>
    <w:rsid w:val="00106970"/>
    <w:rsid w:val="00106A4D"/>
    <w:rsid w:val="00106ACE"/>
    <w:rsid w:val="00106BE2"/>
    <w:rsid w:val="00106C40"/>
    <w:rsid w:val="00106D8A"/>
    <w:rsid w:val="00106E0B"/>
    <w:rsid w:val="00106FEA"/>
    <w:rsid w:val="00107085"/>
    <w:rsid w:val="00107157"/>
    <w:rsid w:val="001071BC"/>
    <w:rsid w:val="001072D1"/>
    <w:rsid w:val="001072D7"/>
    <w:rsid w:val="00107333"/>
    <w:rsid w:val="001074BA"/>
    <w:rsid w:val="001074BE"/>
    <w:rsid w:val="0010751B"/>
    <w:rsid w:val="00107624"/>
    <w:rsid w:val="001076E3"/>
    <w:rsid w:val="0010773B"/>
    <w:rsid w:val="001077F4"/>
    <w:rsid w:val="001078E4"/>
    <w:rsid w:val="0010791D"/>
    <w:rsid w:val="0010796A"/>
    <w:rsid w:val="00107A8E"/>
    <w:rsid w:val="00107B60"/>
    <w:rsid w:val="00107ED8"/>
    <w:rsid w:val="00107EEA"/>
    <w:rsid w:val="00107F1B"/>
    <w:rsid w:val="00110094"/>
    <w:rsid w:val="001101AC"/>
    <w:rsid w:val="00110362"/>
    <w:rsid w:val="001103EB"/>
    <w:rsid w:val="00110594"/>
    <w:rsid w:val="001106C5"/>
    <w:rsid w:val="001106D5"/>
    <w:rsid w:val="00110A01"/>
    <w:rsid w:val="00110A49"/>
    <w:rsid w:val="00110AF8"/>
    <w:rsid w:val="00110BD7"/>
    <w:rsid w:val="00110BF0"/>
    <w:rsid w:val="00110F6A"/>
    <w:rsid w:val="00110F6E"/>
    <w:rsid w:val="00111225"/>
    <w:rsid w:val="001112B5"/>
    <w:rsid w:val="00111355"/>
    <w:rsid w:val="00111379"/>
    <w:rsid w:val="001113E0"/>
    <w:rsid w:val="001114BB"/>
    <w:rsid w:val="0011154C"/>
    <w:rsid w:val="001115A1"/>
    <w:rsid w:val="0011168C"/>
    <w:rsid w:val="001118DE"/>
    <w:rsid w:val="00111BD7"/>
    <w:rsid w:val="00111C2D"/>
    <w:rsid w:val="00111C3B"/>
    <w:rsid w:val="00111DE3"/>
    <w:rsid w:val="00111E48"/>
    <w:rsid w:val="00112008"/>
    <w:rsid w:val="00112108"/>
    <w:rsid w:val="00112152"/>
    <w:rsid w:val="00112398"/>
    <w:rsid w:val="001124D0"/>
    <w:rsid w:val="0011256D"/>
    <w:rsid w:val="001126AD"/>
    <w:rsid w:val="0011287F"/>
    <w:rsid w:val="001128E6"/>
    <w:rsid w:val="00112931"/>
    <w:rsid w:val="00112963"/>
    <w:rsid w:val="00112994"/>
    <w:rsid w:val="00112A74"/>
    <w:rsid w:val="00112D60"/>
    <w:rsid w:val="00112EB5"/>
    <w:rsid w:val="00112EED"/>
    <w:rsid w:val="00113232"/>
    <w:rsid w:val="00113318"/>
    <w:rsid w:val="001136AF"/>
    <w:rsid w:val="00113766"/>
    <w:rsid w:val="00113806"/>
    <w:rsid w:val="00113BB2"/>
    <w:rsid w:val="00113C6B"/>
    <w:rsid w:val="00113CDE"/>
    <w:rsid w:val="00113D33"/>
    <w:rsid w:val="00113D5C"/>
    <w:rsid w:val="00113E02"/>
    <w:rsid w:val="00114290"/>
    <w:rsid w:val="001142D3"/>
    <w:rsid w:val="00114304"/>
    <w:rsid w:val="00114341"/>
    <w:rsid w:val="001148AA"/>
    <w:rsid w:val="00114911"/>
    <w:rsid w:val="00114938"/>
    <w:rsid w:val="001149F0"/>
    <w:rsid w:val="00114A32"/>
    <w:rsid w:val="00114A4D"/>
    <w:rsid w:val="00114A86"/>
    <w:rsid w:val="00114B25"/>
    <w:rsid w:val="00114B9C"/>
    <w:rsid w:val="00114C43"/>
    <w:rsid w:val="00114CF1"/>
    <w:rsid w:val="0011505E"/>
    <w:rsid w:val="00115215"/>
    <w:rsid w:val="00115245"/>
    <w:rsid w:val="00115257"/>
    <w:rsid w:val="00115271"/>
    <w:rsid w:val="001152D7"/>
    <w:rsid w:val="00115422"/>
    <w:rsid w:val="001154DF"/>
    <w:rsid w:val="001154E4"/>
    <w:rsid w:val="00115554"/>
    <w:rsid w:val="0011563D"/>
    <w:rsid w:val="0011578E"/>
    <w:rsid w:val="001157BF"/>
    <w:rsid w:val="00115816"/>
    <w:rsid w:val="00115973"/>
    <w:rsid w:val="0011599D"/>
    <w:rsid w:val="00115AE8"/>
    <w:rsid w:val="00115B15"/>
    <w:rsid w:val="00115B3B"/>
    <w:rsid w:val="00115C91"/>
    <w:rsid w:val="00115CC0"/>
    <w:rsid w:val="00115CEB"/>
    <w:rsid w:val="00115DA7"/>
    <w:rsid w:val="00115FAB"/>
    <w:rsid w:val="00115FFB"/>
    <w:rsid w:val="00116070"/>
    <w:rsid w:val="00116074"/>
    <w:rsid w:val="00116078"/>
    <w:rsid w:val="00116107"/>
    <w:rsid w:val="00116390"/>
    <w:rsid w:val="001163CA"/>
    <w:rsid w:val="00116455"/>
    <w:rsid w:val="00116465"/>
    <w:rsid w:val="0011646A"/>
    <w:rsid w:val="00116533"/>
    <w:rsid w:val="00116625"/>
    <w:rsid w:val="0011670D"/>
    <w:rsid w:val="00116717"/>
    <w:rsid w:val="00116933"/>
    <w:rsid w:val="00116A31"/>
    <w:rsid w:val="00116A40"/>
    <w:rsid w:val="00116A8F"/>
    <w:rsid w:val="00116AF6"/>
    <w:rsid w:val="00116B9B"/>
    <w:rsid w:val="00116BE5"/>
    <w:rsid w:val="00116C57"/>
    <w:rsid w:val="00116CD9"/>
    <w:rsid w:val="00116D50"/>
    <w:rsid w:val="00117116"/>
    <w:rsid w:val="0011714A"/>
    <w:rsid w:val="001171DE"/>
    <w:rsid w:val="001172F0"/>
    <w:rsid w:val="00117651"/>
    <w:rsid w:val="00117715"/>
    <w:rsid w:val="0011779B"/>
    <w:rsid w:val="00117842"/>
    <w:rsid w:val="001178AB"/>
    <w:rsid w:val="001178C3"/>
    <w:rsid w:val="001179A9"/>
    <w:rsid w:val="001179E9"/>
    <w:rsid w:val="00117A1D"/>
    <w:rsid w:val="00117A44"/>
    <w:rsid w:val="00117A93"/>
    <w:rsid w:val="00117BC8"/>
    <w:rsid w:val="00117E14"/>
    <w:rsid w:val="00117F2F"/>
    <w:rsid w:val="00117FCD"/>
    <w:rsid w:val="00120036"/>
    <w:rsid w:val="0012022C"/>
    <w:rsid w:val="00120249"/>
    <w:rsid w:val="00120339"/>
    <w:rsid w:val="0012052A"/>
    <w:rsid w:val="00120562"/>
    <w:rsid w:val="001208B9"/>
    <w:rsid w:val="00120CF2"/>
    <w:rsid w:val="00120D10"/>
    <w:rsid w:val="00120E23"/>
    <w:rsid w:val="00120F9E"/>
    <w:rsid w:val="00120FB0"/>
    <w:rsid w:val="00120FDE"/>
    <w:rsid w:val="00120FF3"/>
    <w:rsid w:val="00121005"/>
    <w:rsid w:val="0012114C"/>
    <w:rsid w:val="00121266"/>
    <w:rsid w:val="001212C8"/>
    <w:rsid w:val="00121406"/>
    <w:rsid w:val="0012141F"/>
    <w:rsid w:val="00121421"/>
    <w:rsid w:val="00121803"/>
    <w:rsid w:val="0012181B"/>
    <w:rsid w:val="00121922"/>
    <w:rsid w:val="00121924"/>
    <w:rsid w:val="00121B70"/>
    <w:rsid w:val="00121DF5"/>
    <w:rsid w:val="00121E74"/>
    <w:rsid w:val="00121EE4"/>
    <w:rsid w:val="0012206C"/>
    <w:rsid w:val="00122165"/>
    <w:rsid w:val="001221E3"/>
    <w:rsid w:val="00122319"/>
    <w:rsid w:val="00122336"/>
    <w:rsid w:val="001224AD"/>
    <w:rsid w:val="001224AF"/>
    <w:rsid w:val="0012264B"/>
    <w:rsid w:val="0012273F"/>
    <w:rsid w:val="0012278C"/>
    <w:rsid w:val="001227CC"/>
    <w:rsid w:val="001227FC"/>
    <w:rsid w:val="0012289C"/>
    <w:rsid w:val="001228F8"/>
    <w:rsid w:val="00122A29"/>
    <w:rsid w:val="00122AFD"/>
    <w:rsid w:val="00122C60"/>
    <w:rsid w:val="00122CBE"/>
    <w:rsid w:val="00122EA5"/>
    <w:rsid w:val="00122EC2"/>
    <w:rsid w:val="00122F01"/>
    <w:rsid w:val="001232E9"/>
    <w:rsid w:val="001233F5"/>
    <w:rsid w:val="00123593"/>
    <w:rsid w:val="001235A7"/>
    <w:rsid w:val="0012361B"/>
    <w:rsid w:val="001238AE"/>
    <w:rsid w:val="001238D6"/>
    <w:rsid w:val="001239E0"/>
    <w:rsid w:val="00123F40"/>
    <w:rsid w:val="00123F7B"/>
    <w:rsid w:val="00123FB9"/>
    <w:rsid w:val="00124069"/>
    <w:rsid w:val="001241F0"/>
    <w:rsid w:val="001242AC"/>
    <w:rsid w:val="001242D7"/>
    <w:rsid w:val="0012438B"/>
    <w:rsid w:val="001243B4"/>
    <w:rsid w:val="001243EE"/>
    <w:rsid w:val="0012455F"/>
    <w:rsid w:val="001245CD"/>
    <w:rsid w:val="0012470B"/>
    <w:rsid w:val="001248CD"/>
    <w:rsid w:val="00124A67"/>
    <w:rsid w:val="00124BF5"/>
    <w:rsid w:val="00124C45"/>
    <w:rsid w:val="00124D4D"/>
    <w:rsid w:val="00124F08"/>
    <w:rsid w:val="00124F22"/>
    <w:rsid w:val="00124F83"/>
    <w:rsid w:val="00125116"/>
    <w:rsid w:val="00125166"/>
    <w:rsid w:val="001251BF"/>
    <w:rsid w:val="00125269"/>
    <w:rsid w:val="001254CA"/>
    <w:rsid w:val="001255C3"/>
    <w:rsid w:val="001255CB"/>
    <w:rsid w:val="00125794"/>
    <w:rsid w:val="001257FA"/>
    <w:rsid w:val="00125B8E"/>
    <w:rsid w:val="00125D04"/>
    <w:rsid w:val="00125D4A"/>
    <w:rsid w:val="0012607A"/>
    <w:rsid w:val="00126144"/>
    <w:rsid w:val="00126147"/>
    <w:rsid w:val="0012618F"/>
    <w:rsid w:val="0012620F"/>
    <w:rsid w:val="00126477"/>
    <w:rsid w:val="00126542"/>
    <w:rsid w:val="001269BE"/>
    <w:rsid w:val="00126B60"/>
    <w:rsid w:val="00126EB6"/>
    <w:rsid w:val="0012709C"/>
    <w:rsid w:val="00127250"/>
    <w:rsid w:val="001272F6"/>
    <w:rsid w:val="001273A0"/>
    <w:rsid w:val="001273DC"/>
    <w:rsid w:val="00127447"/>
    <w:rsid w:val="001277C6"/>
    <w:rsid w:val="00127816"/>
    <w:rsid w:val="00127A64"/>
    <w:rsid w:val="00127C05"/>
    <w:rsid w:val="00127D47"/>
    <w:rsid w:val="00127DBE"/>
    <w:rsid w:val="00127E45"/>
    <w:rsid w:val="00127ED5"/>
    <w:rsid w:val="00127FAE"/>
    <w:rsid w:val="00130029"/>
    <w:rsid w:val="001301B7"/>
    <w:rsid w:val="001301BC"/>
    <w:rsid w:val="00130278"/>
    <w:rsid w:val="00130376"/>
    <w:rsid w:val="00130553"/>
    <w:rsid w:val="001305D0"/>
    <w:rsid w:val="0013065E"/>
    <w:rsid w:val="001306AE"/>
    <w:rsid w:val="00130755"/>
    <w:rsid w:val="00130773"/>
    <w:rsid w:val="001307EA"/>
    <w:rsid w:val="001307F7"/>
    <w:rsid w:val="001308BD"/>
    <w:rsid w:val="00130BA0"/>
    <w:rsid w:val="00130BB6"/>
    <w:rsid w:val="00130BC7"/>
    <w:rsid w:val="00130BCB"/>
    <w:rsid w:val="00130C26"/>
    <w:rsid w:val="00130C3E"/>
    <w:rsid w:val="00130CC4"/>
    <w:rsid w:val="00130CD5"/>
    <w:rsid w:val="00130CDD"/>
    <w:rsid w:val="00130EBF"/>
    <w:rsid w:val="00130EE2"/>
    <w:rsid w:val="00130F5D"/>
    <w:rsid w:val="00130FD7"/>
    <w:rsid w:val="00131046"/>
    <w:rsid w:val="00131059"/>
    <w:rsid w:val="00131183"/>
    <w:rsid w:val="001311AF"/>
    <w:rsid w:val="001311EF"/>
    <w:rsid w:val="0013138D"/>
    <w:rsid w:val="001313E6"/>
    <w:rsid w:val="00131624"/>
    <w:rsid w:val="001316D0"/>
    <w:rsid w:val="00131739"/>
    <w:rsid w:val="00131740"/>
    <w:rsid w:val="001317CF"/>
    <w:rsid w:val="0013197E"/>
    <w:rsid w:val="00131997"/>
    <w:rsid w:val="001319F7"/>
    <w:rsid w:val="001319FE"/>
    <w:rsid w:val="00131A11"/>
    <w:rsid w:val="00131B03"/>
    <w:rsid w:val="00131B59"/>
    <w:rsid w:val="00131C4F"/>
    <w:rsid w:val="00131D9A"/>
    <w:rsid w:val="00131EC4"/>
    <w:rsid w:val="00131F53"/>
    <w:rsid w:val="00132120"/>
    <w:rsid w:val="0013215C"/>
    <w:rsid w:val="00132200"/>
    <w:rsid w:val="0013224D"/>
    <w:rsid w:val="00132488"/>
    <w:rsid w:val="001328AD"/>
    <w:rsid w:val="0013291E"/>
    <w:rsid w:val="001329E1"/>
    <w:rsid w:val="001329F1"/>
    <w:rsid w:val="00132DEE"/>
    <w:rsid w:val="00132E7F"/>
    <w:rsid w:val="00132EDC"/>
    <w:rsid w:val="00132F17"/>
    <w:rsid w:val="0013309D"/>
    <w:rsid w:val="001330F3"/>
    <w:rsid w:val="0013317B"/>
    <w:rsid w:val="0013326C"/>
    <w:rsid w:val="001332EB"/>
    <w:rsid w:val="001334BD"/>
    <w:rsid w:val="001337E5"/>
    <w:rsid w:val="00133899"/>
    <w:rsid w:val="00133909"/>
    <w:rsid w:val="00133952"/>
    <w:rsid w:val="00133958"/>
    <w:rsid w:val="00133964"/>
    <w:rsid w:val="001339F4"/>
    <w:rsid w:val="00133A43"/>
    <w:rsid w:val="00133B6D"/>
    <w:rsid w:val="00133C64"/>
    <w:rsid w:val="00133E02"/>
    <w:rsid w:val="00133FBB"/>
    <w:rsid w:val="001341F2"/>
    <w:rsid w:val="001346E7"/>
    <w:rsid w:val="001347E1"/>
    <w:rsid w:val="00134926"/>
    <w:rsid w:val="00134948"/>
    <w:rsid w:val="0013499E"/>
    <w:rsid w:val="001349F9"/>
    <w:rsid w:val="00134B31"/>
    <w:rsid w:val="00134B7F"/>
    <w:rsid w:val="00134D57"/>
    <w:rsid w:val="00134EA3"/>
    <w:rsid w:val="00134F5B"/>
    <w:rsid w:val="00134F73"/>
    <w:rsid w:val="00134F79"/>
    <w:rsid w:val="0013504B"/>
    <w:rsid w:val="001352E6"/>
    <w:rsid w:val="00135436"/>
    <w:rsid w:val="00135608"/>
    <w:rsid w:val="00135633"/>
    <w:rsid w:val="00135816"/>
    <w:rsid w:val="00135874"/>
    <w:rsid w:val="001358D6"/>
    <w:rsid w:val="00135E22"/>
    <w:rsid w:val="00135E95"/>
    <w:rsid w:val="00135EF5"/>
    <w:rsid w:val="001360ED"/>
    <w:rsid w:val="00136224"/>
    <w:rsid w:val="0013652C"/>
    <w:rsid w:val="0013654D"/>
    <w:rsid w:val="001365BA"/>
    <w:rsid w:val="00136794"/>
    <w:rsid w:val="001369AD"/>
    <w:rsid w:val="00136CB1"/>
    <w:rsid w:val="00136E6D"/>
    <w:rsid w:val="00136FB4"/>
    <w:rsid w:val="00137016"/>
    <w:rsid w:val="00137082"/>
    <w:rsid w:val="00137265"/>
    <w:rsid w:val="001374DD"/>
    <w:rsid w:val="00137766"/>
    <w:rsid w:val="00137A4A"/>
    <w:rsid w:val="00137C74"/>
    <w:rsid w:val="00137D96"/>
    <w:rsid w:val="00137DBF"/>
    <w:rsid w:val="00137E31"/>
    <w:rsid w:val="00137E56"/>
    <w:rsid w:val="00137F2F"/>
    <w:rsid w:val="0014009F"/>
    <w:rsid w:val="001401A0"/>
    <w:rsid w:val="001402E5"/>
    <w:rsid w:val="00140400"/>
    <w:rsid w:val="00140496"/>
    <w:rsid w:val="00140705"/>
    <w:rsid w:val="00140773"/>
    <w:rsid w:val="00140A38"/>
    <w:rsid w:val="00140B5E"/>
    <w:rsid w:val="00140C04"/>
    <w:rsid w:val="00140C7B"/>
    <w:rsid w:val="00140CA6"/>
    <w:rsid w:val="00140D76"/>
    <w:rsid w:val="00140E7B"/>
    <w:rsid w:val="00140F47"/>
    <w:rsid w:val="00140FA2"/>
    <w:rsid w:val="00140FFE"/>
    <w:rsid w:val="001410F1"/>
    <w:rsid w:val="00141122"/>
    <w:rsid w:val="00141127"/>
    <w:rsid w:val="00141132"/>
    <w:rsid w:val="001411AF"/>
    <w:rsid w:val="00141311"/>
    <w:rsid w:val="001413AB"/>
    <w:rsid w:val="0014147E"/>
    <w:rsid w:val="0014154F"/>
    <w:rsid w:val="001415A2"/>
    <w:rsid w:val="001417F6"/>
    <w:rsid w:val="001418D2"/>
    <w:rsid w:val="00141949"/>
    <w:rsid w:val="00141D6B"/>
    <w:rsid w:val="00141D93"/>
    <w:rsid w:val="00141DD8"/>
    <w:rsid w:val="00141DE8"/>
    <w:rsid w:val="00141E0D"/>
    <w:rsid w:val="00141EC3"/>
    <w:rsid w:val="00141EE5"/>
    <w:rsid w:val="00142002"/>
    <w:rsid w:val="0014215E"/>
    <w:rsid w:val="0014225C"/>
    <w:rsid w:val="00142313"/>
    <w:rsid w:val="0014260A"/>
    <w:rsid w:val="001426A6"/>
    <w:rsid w:val="001426C7"/>
    <w:rsid w:val="00142A9F"/>
    <w:rsid w:val="00142BDB"/>
    <w:rsid w:val="00142DEF"/>
    <w:rsid w:val="0014301D"/>
    <w:rsid w:val="00143020"/>
    <w:rsid w:val="001430B2"/>
    <w:rsid w:val="00143116"/>
    <w:rsid w:val="001432D2"/>
    <w:rsid w:val="001434B1"/>
    <w:rsid w:val="001434F7"/>
    <w:rsid w:val="00143557"/>
    <w:rsid w:val="00143566"/>
    <w:rsid w:val="001435F8"/>
    <w:rsid w:val="0014369C"/>
    <w:rsid w:val="00143788"/>
    <w:rsid w:val="00143893"/>
    <w:rsid w:val="001438AF"/>
    <w:rsid w:val="00143920"/>
    <w:rsid w:val="00143953"/>
    <w:rsid w:val="00143994"/>
    <w:rsid w:val="00143AA4"/>
    <w:rsid w:val="00143D94"/>
    <w:rsid w:val="00143E7D"/>
    <w:rsid w:val="00143EB3"/>
    <w:rsid w:val="00143F1C"/>
    <w:rsid w:val="001440CE"/>
    <w:rsid w:val="0014433D"/>
    <w:rsid w:val="00144567"/>
    <w:rsid w:val="00144649"/>
    <w:rsid w:val="00144841"/>
    <w:rsid w:val="001448BF"/>
    <w:rsid w:val="001448D0"/>
    <w:rsid w:val="00144C21"/>
    <w:rsid w:val="00144E05"/>
    <w:rsid w:val="00144F2F"/>
    <w:rsid w:val="001452A4"/>
    <w:rsid w:val="00145346"/>
    <w:rsid w:val="001453C8"/>
    <w:rsid w:val="00145601"/>
    <w:rsid w:val="0014563E"/>
    <w:rsid w:val="001456A8"/>
    <w:rsid w:val="00145931"/>
    <w:rsid w:val="001459BB"/>
    <w:rsid w:val="00145CCE"/>
    <w:rsid w:val="00145EF5"/>
    <w:rsid w:val="00145F07"/>
    <w:rsid w:val="00145F61"/>
    <w:rsid w:val="00145F9F"/>
    <w:rsid w:val="00145FC9"/>
    <w:rsid w:val="00146020"/>
    <w:rsid w:val="00146335"/>
    <w:rsid w:val="001464D1"/>
    <w:rsid w:val="001464FF"/>
    <w:rsid w:val="00146542"/>
    <w:rsid w:val="00146612"/>
    <w:rsid w:val="0014671D"/>
    <w:rsid w:val="00146911"/>
    <w:rsid w:val="00146920"/>
    <w:rsid w:val="0014692C"/>
    <w:rsid w:val="00146A4C"/>
    <w:rsid w:val="00146ABE"/>
    <w:rsid w:val="00146B91"/>
    <w:rsid w:val="00146CFB"/>
    <w:rsid w:val="00146D5D"/>
    <w:rsid w:val="00146DC8"/>
    <w:rsid w:val="00146E1D"/>
    <w:rsid w:val="00146F7B"/>
    <w:rsid w:val="00146FEA"/>
    <w:rsid w:val="0014706C"/>
    <w:rsid w:val="001470F8"/>
    <w:rsid w:val="001474CF"/>
    <w:rsid w:val="0014771D"/>
    <w:rsid w:val="00147773"/>
    <w:rsid w:val="00147788"/>
    <w:rsid w:val="00147791"/>
    <w:rsid w:val="00147CB0"/>
    <w:rsid w:val="00147CB4"/>
    <w:rsid w:val="00147EDC"/>
    <w:rsid w:val="00147F03"/>
    <w:rsid w:val="00147FB2"/>
    <w:rsid w:val="00150167"/>
    <w:rsid w:val="0015038E"/>
    <w:rsid w:val="00150495"/>
    <w:rsid w:val="00150544"/>
    <w:rsid w:val="001506B8"/>
    <w:rsid w:val="001509F0"/>
    <w:rsid w:val="00150A21"/>
    <w:rsid w:val="00150A40"/>
    <w:rsid w:val="00150B3F"/>
    <w:rsid w:val="00150C41"/>
    <w:rsid w:val="00150F4B"/>
    <w:rsid w:val="00151428"/>
    <w:rsid w:val="001517A8"/>
    <w:rsid w:val="001517D1"/>
    <w:rsid w:val="0015185D"/>
    <w:rsid w:val="001519AA"/>
    <w:rsid w:val="00151A6F"/>
    <w:rsid w:val="00151CD0"/>
    <w:rsid w:val="00151D1C"/>
    <w:rsid w:val="00151DED"/>
    <w:rsid w:val="00151E26"/>
    <w:rsid w:val="00151E82"/>
    <w:rsid w:val="00151ECD"/>
    <w:rsid w:val="00152032"/>
    <w:rsid w:val="00152071"/>
    <w:rsid w:val="001520D1"/>
    <w:rsid w:val="001520D8"/>
    <w:rsid w:val="001520FF"/>
    <w:rsid w:val="0015215F"/>
    <w:rsid w:val="00152290"/>
    <w:rsid w:val="00152353"/>
    <w:rsid w:val="0015244C"/>
    <w:rsid w:val="001526A7"/>
    <w:rsid w:val="00152740"/>
    <w:rsid w:val="00152A78"/>
    <w:rsid w:val="00152B09"/>
    <w:rsid w:val="00152B20"/>
    <w:rsid w:val="00152B30"/>
    <w:rsid w:val="00152DCC"/>
    <w:rsid w:val="00152E4F"/>
    <w:rsid w:val="00152E7E"/>
    <w:rsid w:val="0015300C"/>
    <w:rsid w:val="00153011"/>
    <w:rsid w:val="001530AC"/>
    <w:rsid w:val="00153273"/>
    <w:rsid w:val="0015355F"/>
    <w:rsid w:val="00153579"/>
    <w:rsid w:val="001535C1"/>
    <w:rsid w:val="00153720"/>
    <w:rsid w:val="00153893"/>
    <w:rsid w:val="00153BD3"/>
    <w:rsid w:val="00153BDE"/>
    <w:rsid w:val="00153DE1"/>
    <w:rsid w:val="00153DEB"/>
    <w:rsid w:val="001540D8"/>
    <w:rsid w:val="0015412C"/>
    <w:rsid w:val="001541D0"/>
    <w:rsid w:val="0015429D"/>
    <w:rsid w:val="00154354"/>
    <w:rsid w:val="00154388"/>
    <w:rsid w:val="001544F1"/>
    <w:rsid w:val="00154536"/>
    <w:rsid w:val="00154599"/>
    <w:rsid w:val="0015463B"/>
    <w:rsid w:val="00154687"/>
    <w:rsid w:val="001547A4"/>
    <w:rsid w:val="001547C7"/>
    <w:rsid w:val="00154955"/>
    <w:rsid w:val="00154B55"/>
    <w:rsid w:val="00154B8F"/>
    <w:rsid w:val="00154BA5"/>
    <w:rsid w:val="00154BBD"/>
    <w:rsid w:val="00154BCE"/>
    <w:rsid w:val="00154BD0"/>
    <w:rsid w:val="00154CEB"/>
    <w:rsid w:val="00154D8D"/>
    <w:rsid w:val="00154E06"/>
    <w:rsid w:val="00154E48"/>
    <w:rsid w:val="00154E7C"/>
    <w:rsid w:val="00154E83"/>
    <w:rsid w:val="00154F29"/>
    <w:rsid w:val="00154FFC"/>
    <w:rsid w:val="001550F2"/>
    <w:rsid w:val="00155172"/>
    <w:rsid w:val="001551AA"/>
    <w:rsid w:val="00155628"/>
    <w:rsid w:val="0015571F"/>
    <w:rsid w:val="001557F4"/>
    <w:rsid w:val="00155984"/>
    <w:rsid w:val="001559E8"/>
    <w:rsid w:val="00155A08"/>
    <w:rsid w:val="00155A98"/>
    <w:rsid w:val="00155C4D"/>
    <w:rsid w:val="00155C88"/>
    <w:rsid w:val="00155D91"/>
    <w:rsid w:val="00155E02"/>
    <w:rsid w:val="00155EF9"/>
    <w:rsid w:val="001560D2"/>
    <w:rsid w:val="001560E8"/>
    <w:rsid w:val="00156108"/>
    <w:rsid w:val="00156196"/>
    <w:rsid w:val="00156267"/>
    <w:rsid w:val="001564B2"/>
    <w:rsid w:val="001566D7"/>
    <w:rsid w:val="001567CA"/>
    <w:rsid w:val="001569DB"/>
    <w:rsid w:val="00156A01"/>
    <w:rsid w:val="00156A6A"/>
    <w:rsid w:val="00156B76"/>
    <w:rsid w:val="00156DD1"/>
    <w:rsid w:val="00157032"/>
    <w:rsid w:val="00157205"/>
    <w:rsid w:val="001572A3"/>
    <w:rsid w:val="001576F0"/>
    <w:rsid w:val="00157778"/>
    <w:rsid w:val="00157783"/>
    <w:rsid w:val="001577FA"/>
    <w:rsid w:val="0015780A"/>
    <w:rsid w:val="001578EA"/>
    <w:rsid w:val="00157992"/>
    <w:rsid w:val="00157B87"/>
    <w:rsid w:val="00157BCD"/>
    <w:rsid w:val="00157DB5"/>
    <w:rsid w:val="00157E30"/>
    <w:rsid w:val="00157E62"/>
    <w:rsid w:val="00160147"/>
    <w:rsid w:val="00160165"/>
    <w:rsid w:val="001602EF"/>
    <w:rsid w:val="00160490"/>
    <w:rsid w:val="001605DA"/>
    <w:rsid w:val="0016077D"/>
    <w:rsid w:val="001607B7"/>
    <w:rsid w:val="001608A7"/>
    <w:rsid w:val="00160966"/>
    <w:rsid w:val="00160B8A"/>
    <w:rsid w:val="00160BF4"/>
    <w:rsid w:val="00160CC1"/>
    <w:rsid w:val="00160EB4"/>
    <w:rsid w:val="00160ED2"/>
    <w:rsid w:val="00160F7C"/>
    <w:rsid w:val="00160FB2"/>
    <w:rsid w:val="00161016"/>
    <w:rsid w:val="001610DC"/>
    <w:rsid w:val="00161133"/>
    <w:rsid w:val="00161205"/>
    <w:rsid w:val="0016125B"/>
    <w:rsid w:val="00161373"/>
    <w:rsid w:val="0016154F"/>
    <w:rsid w:val="001615E3"/>
    <w:rsid w:val="00161710"/>
    <w:rsid w:val="001617AD"/>
    <w:rsid w:val="001617BA"/>
    <w:rsid w:val="0016194B"/>
    <w:rsid w:val="00161AB8"/>
    <w:rsid w:val="00161B16"/>
    <w:rsid w:val="00161BA9"/>
    <w:rsid w:val="00161C87"/>
    <w:rsid w:val="00161D21"/>
    <w:rsid w:val="00161DCC"/>
    <w:rsid w:val="00161FE9"/>
    <w:rsid w:val="0016219B"/>
    <w:rsid w:val="001623B2"/>
    <w:rsid w:val="001624E5"/>
    <w:rsid w:val="00162528"/>
    <w:rsid w:val="0016253D"/>
    <w:rsid w:val="00162694"/>
    <w:rsid w:val="001626E0"/>
    <w:rsid w:val="001626ED"/>
    <w:rsid w:val="001626F2"/>
    <w:rsid w:val="0016276B"/>
    <w:rsid w:val="0016287E"/>
    <w:rsid w:val="001628D6"/>
    <w:rsid w:val="00162911"/>
    <w:rsid w:val="0016293A"/>
    <w:rsid w:val="00162A2F"/>
    <w:rsid w:val="00162B05"/>
    <w:rsid w:val="00162C02"/>
    <w:rsid w:val="00162E50"/>
    <w:rsid w:val="00162E9C"/>
    <w:rsid w:val="00162F6C"/>
    <w:rsid w:val="001630B5"/>
    <w:rsid w:val="00163240"/>
    <w:rsid w:val="001634FF"/>
    <w:rsid w:val="001635FC"/>
    <w:rsid w:val="001636E8"/>
    <w:rsid w:val="00163757"/>
    <w:rsid w:val="0016378B"/>
    <w:rsid w:val="001637EC"/>
    <w:rsid w:val="001638AF"/>
    <w:rsid w:val="001639BA"/>
    <w:rsid w:val="00163CC9"/>
    <w:rsid w:val="00163E13"/>
    <w:rsid w:val="00163E72"/>
    <w:rsid w:val="00163E8D"/>
    <w:rsid w:val="00164017"/>
    <w:rsid w:val="001640A1"/>
    <w:rsid w:val="00164118"/>
    <w:rsid w:val="001641BA"/>
    <w:rsid w:val="001641F9"/>
    <w:rsid w:val="00164236"/>
    <w:rsid w:val="00164398"/>
    <w:rsid w:val="001643E2"/>
    <w:rsid w:val="0016459C"/>
    <w:rsid w:val="001648FA"/>
    <w:rsid w:val="00164924"/>
    <w:rsid w:val="00164ABE"/>
    <w:rsid w:val="00164B08"/>
    <w:rsid w:val="00164D69"/>
    <w:rsid w:val="00164F05"/>
    <w:rsid w:val="00164FA5"/>
    <w:rsid w:val="00165102"/>
    <w:rsid w:val="001651BA"/>
    <w:rsid w:val="00165202"/>
    <w:rsid w:val="001653E9"/>
    <w:rsid w:val="00165453"/>
    <w:rsid w:val="001657E0"/>
    <w:rsid w:val="00165A15"/>
    <w:rsid w:val="00165AEF"/>
    <w:rsid w:val="00165BB3"/>
    <w:rsid w:val="00165BE9"/>
    <w:rsid w:val="00165D31"/>
    <w:rsid w:val="00165E85"/>
    <w:rsid w:val="00165F90"/>
    <w:rsid w:val="00165FC6"/>
    <w:rsid w:val="00166043"/>
    <w:rsid w:val="001662EF"/>
    <w:rsid w:val="0016635B"/>
    <w:rsid w:val="00166365"/>
    <w:rsid w:val="00166394"/>
    <w:rsid w:val="001663B1"/>
    <w:rsid w:val="00166474"/>
    <w:rsid w:val="001664E5"/>
    <w:rsid w:val="00166590"/>
    <w:rsid w:val="00166728"/>
    <w:rsid w:val="00166742"/>
    <w:rsid w:val="001668E5"/>
    <w:rsid w:val="00166AA3"/>
    <w:rsid w:val="00166AE7"/>
    <w:rsid w:val="00166AF1"/>
    <w:rsid w:val="00166B94"/>
    <w:rsid w:val="001671CA"/>
    <w:rsid w:val="00167552"/>
    <w:rsid w:val="00167586"/>
    <w:rsid w:val="00167619"/>
    <w:rsid w:val="001676A3"/>
    <w:rsid w:val="001676A5"/>
    <w:rsid w:val="0016775E"/>
    <w:rsid w:val="0016782B"/>
    <w:rsid w:val="001678C3"/>
    <w:rsid w:val="001678C5"/>
    <w:rsid w:val="00167BD5"/>
    <w:rsid w:val="00167BEA"/>
    <w:rsid w:val="00167C1A"/>
    <w:rsid w:val="00167C53"/>
    <w:rsid w:val="00167D52"/>
    <w:rsid w:val="00167D94"/>
    <w:rsid w:val="00167EAF"/>
    <w:rsid w:val="00167F70"/>
    <w:rsid w:val="00167FEC"/>
    <w:rsid w:val="001703B6"/>
    <w:rsid w:val="00170483"/>
    <w:rsid w:val="001704BD"/>
    <w:rsid w:val="001704F1"/>
    <w:rsid w:val="001705F3"/>
    <w:rsid w:val="00170697"/>
    <w:rsid w:val="001707B2"/>
    <w:rsid w:val="001707B5"/>
    <w:rsid w:val="001709E6"/>
    <w:rsid w:val="00170B41"/>
    <w:rsid w:val="00170F65"/>
    <w:rsid w:val="00171098"/>
    <w:rsid w:val="001713B6"/>
    <w:rsid w:val="0017159D"/>
    <w:rsid w:val="001715D8"/>
    <w:rsid w:val="001715F4"/>
    <w:rsid w:val="0017161F"/>
    <w:rsid w:val="00171863"/>
    <w:rsid w:val="00171907"/>
    <w:rsid w:val="00171988"/>
    <w:rsid w:val="001719DE"/>
    <w:rsid w:val="00171AD9"/>
    <w:rsid w:val="00171B9E"/>
    <w:rsid w:val="00171BE2"/>
    <w:rsid w:val="00171C23"/>
    <w:rsid w:val="00171CFB"/>
    <w:rsid w:val="00171DE4"/>
    <w:rsid w:val="00172159"/>
    <w:rsid w:val="0017217D"/>
    <w:rsid w:val="00172196"/>
    <w:rsid w:val="001722AE"/>
    <w:rsid w:val="00172335"/>
    <w:rsid w:val="00172398"/>
    <w:rsid w:val="00172478"/>
    <w:rsid w:val="001725B2"/>
    <w:rsid w:val="001726BB"/>
    <w:rsid w:val="001726D2"/>
    <w:rsid w:val="0017279A"/>
    <w:rsid w:val="00172A2C"/>
    <w:rsid w:val="00172A73"/>
    <w:rsid w:val="00172B80"/>
    <w:rsid w:val="00172BEC"/>
    <w:rsid w:val="00172E58"/>
    <w:rsid w:val="00172EE5"/>
    <w:rsid w:val="0017304E"/>
    <w:rsid w:val="00173081"/>
    <w:rsid w:val="001730D4"/>
    <w:rsid w:val="001732F9"/>
    <w:rsid w:val="001734A9"/>
    <w:rsid w:val="00173601"/>
    <w:rsid w:val="0017369A"/>
    <w:rsid w:val="001737DF"/>
    <w:rsid w:val="00173ABF"/>
    <w:rsid w:val="00173B36"/>
    <w:rsid w:val="00173BC6"/>
    <w:rsid w:val="00173D7D"/>
    <w:rsid w:val="00173DDD"/>
    <w:rsid w:val="00173F5A"/>
    <w:rsid w:val="00173F7F"/>
    <w:rsid w:val="00174067"/>
    <w:rsid w:val="00174263"/>
    <w:rsid w:val="001743EA"/>
    <w:rsid w:val="001743FD"/>
    <w:rsid w:val="001744A3"/>
    <w:rsid w:val="0017450A"/>
    <w:rsid w:val="00174534"/>
    <w:rsid w:val="001746ED"/>
    <w:rsid w:val="00174745"/>
    <w:rsid w:val="001747B2"/>
    <w:rsid w:val="001747D8"/>
    <w:rsid w:val="001748A1"/>
    <w:rsid w:val="00174B35"/>
    <w:rsid w:val="00174B81"/>
    <w:rsid w:val="00174CE3"/>
    <w:rsid w:val="00174ED5"/>
    <w:rsid w:val="00174FE7"/>
    <w:rsid w:val="00175005"/>
    <w:rsid w:val="001750F9"/>
    <w:rsid w:val="00175127"/>
    <w:rsid w:val="00175163"/>
    <w:rsid w:val="0017541D"/>
    <w:rsid w:val="00175447"/>
    <w:rsid w:val="001756AD"/>
    <w:rsid w:val="001756E5"/>
    <w:rsid w:val="0017582E"/>
    <w:rsid w:val="00175850"/>
    <w:rsid w:val="0017593C"/>
    <w:rsid w:val="00175D7C"/>
    <w:rsid w:val="00176071"/>
    <w:rsid w:val="001760C9"/>
    <w:rsid w:val="00176159"/>
    <w:rsid w:val="00176498"/>
    <w:rsid w:val="00176516"/>
    <w:rsid w:val="00176769"/>
    <w:rsid w:val="00176791"/>
    <w:rsid w:val="00176D93"/>
    <w:rsid w:val="00176E8C"/>
    <w:rsid w:val="00176FB0"/>
    <w:rsid w:val="00177309"/>
    <w:rsid w:val="001777BB"/>
    <w:rsid w:val="001777CB"/>
    <w:rsid w:val="00177969"/>
    <w:rsid w:val="0017798D"/>
    <w:rsid w:val="00177A83"/>
    <w:rsid w:val="00177E67"/>
    <w:rsid w:val="00177F11"/>
    <w:rsid w:val="00177FD4"/>
    <w:rsid w:val="0018013D"/>
    <w:rsid w:val="00180148"/>
    <w:rsid w:val="0018035F"/>
    <w:rsid w:val="0018038E"/>
    <w:rsid w:val="00180411"/>
    <w:rsid w:val="00180482"/>
    <w:rsid w:val="001804AB"/>
    <w:rsid w:val="00180667"/>
    <w:rsid w:val="001807A2"/>
    <w:rsid w:val="001807BB"/>
    <w:rsid w:val="001807ED"/>
    <w:rsid w:val="0018089D"/>
    <w:rsid w:val="00180930"/>
    <w:rsid w:val="00180A0C"/>
    <w:rsid w:val="00180B42"/>
    <w:rsid w:val="00180C69"/>
    <w:rsid w:val="00180E89"/>
    <w:rsid w:val="0018102B"/>
    <w:rsid w:val="00181229"/>
    <w:rsid w:val="0018122A"/>
    <w:rsid w:val="00181377"/>
    <w:rsid w:val="001814F6"/>
    <w:rsid w:val="00181614"/>
    <w:rsid w:val="001817DF"/>
    <w:rsid w:val="001817FB"/>
    <w:rsid w:val="0018183E"/>
    <w:rsid w:val="0018194C"/>
    <w:rsid w:val="00181995"/>
    <w:rsid w:val="00181B83"/>
    <w:rsid w:val="00181BDE"/>
    <w:rsid w:val="00181BF6"/>
    <w:rsid w:val="00181DA3"/>
    <w:rsid w:val="00181F7D"/>
    <w:rsid w:val="0018201F"/>
    <w:rsid w:val="00182086"/>
    <w:rsid w:val="001822F9"/>
    <w:rsid w:val="0018251E"/>
    <w:rsid w:val="00182851"/>
    <w:rsid w:val="0018291E"/>
    <w:rsid w:val="001829F1"/>
    <w:rsid w:val="00182A2E"/>
    <w:rsid w:val="00182E17"/>
    <w:rsid w:val="00182E91"/>
    <w:rsid w:val="00182EBC"/>
    <w:rsid w:val="00182FF6"/>
    <w:rsid w:val="00183003"/>
    <w:rsid w:val="00183054"/>
    <w:rsid w:val="001830F3"/>
    <w:rsid w:val="00183594"/>
    <w:rsid w:val="001835FA"/>
    <w:rsid w:val="001836D3"/>
    <w:rsid w:val="0018375E"/>
    <w:rsid w:val="00183814"/>
    <w:rsid w:val="00183879"/>
    <w:rsid w:val="0018394A"/>
    <w:rsid w:val="00183ADF"/>
    <w:rsid w:val="00183AF6"/>
    <w:rsid w:val="00183C0A"/>
    <w:rsid w:val="00183D0B"/>
    <w:rsid w:val="00183DAA"/>
    <w:rsid w:val="00183FD7"/>
    <w:rsid w:val="0018413D"/>
    <w:rsid w:val="0018429D"/>
    <w:rsid w:val="0018435D"/>
    <w:rsid w:val="001843C8"/>
    <w:rsid w:val="0018440A"/>
    <w:rsid w:val="0018476B"/>
    <w:rsid w:val="00184851"/>
    <w:rsid w:val="001849E0"/>
    <w:rsid w:val="00184A91"/>
    <w:rsid w:val="00184A96"/>
    <w:rsid w:val="00184D4B"/>
    <w:rsid w:val="00184F3E"/>
    <w:rsid w:val="001851AD"/>
    <w:rsid w:val="0018524B"/>
    <w:rsid w:val="001853F2"/>
    <w:rsid w:val="001857EB"/>
    <w:rsid w:val="00185971"/>
    <w:rsid w:val="00185982"/>
    <w:rsid w:val="00185988"/>
    <w:rsid w:val="00185CB7"/>
    <w:rsid w:val="00185E80"/>
    <w:rsid w:val="00185EB1"/>
    <w:rsid w:val="00185F2B"/>
    <w:rsid w:val="0018608C"/>
    <w:rsid w:val="00186195"/>
    <w:rsid w:val="0018630B"/>
    <w:rsid w:val="00186357"/>
    <w:rsid w:val="00186437"/>
    <w:rsid w:val="0018656D"/>
    <w:rsid w:val="001865F0"/>
    <w:rsid w:val="00186724"/>
    <w:rsid w:val="00186870"/>
    <w:rsid w:val="00186913"/>
    <w:rsid w:val="001869F8"/>
    <w:rsid w:val="00186A21"/>
    <w:rsid w:val="00186C6A"/>
    <w:rsid w:val="00186EB6"/>
    <w:rsid w:val="00186FE1"/>
    <w:rsid w:val="001871B3"/>
    <w:rsid w:val="0018720B"/>
    <w:rsid w:val="00187233"/>
    <w:rsid w:val="00187287"/>
    <w:rsid w:val="001872D8"/>
    <w:rsid w:val="0018744E"/>
    <w:rsid w:val="00187553"/>
    <w:rsid w:val="001875F9"/>
    <w:rsid w:val="001876F6"/>
    <w:rsid w:val="001877FE"/>
    <w:rsid w:val="00187819"/>
    <w:rsid w:val="001879F1"/>
    <w:rsid w:val="00187B26"/>
    <w:rsid w:val="00187B39"/>
    <w:rsid w:val="00187BC5"/>
    <w:rsid w:val="00187C05"/>
    <w:rsid w:val="00187C63"/>
    <w:rsid w:val="0019006B"/>
    <w:rsid w:val="00190165"/>
    <w:rsid w:val="00190187"/>
    <w:rsid w:val="0019018E"/>
    <w:rsid w:val="0019018F"/>
    <w:rsid w:val="001901A8"/>
    <w:rsid w:val="001902F1"/>
    <w:rsid w:val="00190332"/>
    <w:rsid w:val="00190336"/>
    <w:rsid w:val="0019048F"/>
    <w:rsid w:val="00190590"/>
    <w:rsid w:val="0019063C"/>
    <w:rsid w:val="001906B3"/>
    <w:rsid w:val="00190716"/>
    <w:rsid w:val="00190778"/>
    <w:rsid w:val="00190894"/>
    <w:rsid w:val="0019098F"/>
    <w:rsid w:val="00190A18"/>
    <w:rsid w:val="00190C64"/>
    <w:rsid w:val="00190C80"/>
    <w:rsid w:val="00190CFB"/>
    <w:rsid w:val="00190DE9"/>
    <w:rsid w:val="00190FC5"/>
    <w:rsid w:val="00191051"/>
    <w:rsid w:val="0019130E"/>
    <w:rsid w:val="00191468"/>
    <w:rsid w:val="001915F8"/>
    <w:rsid w:val="00191611"/>
    <w:rsid w:val="00191649"/>
    <w:rsid w:val="00191695"/>
    <w:rsid w:val="001916D4"/>
    <w:rsid w:val="0019173F"/>
    <w:rsid w:val="0019179E"/>
    <w:rsid w:val="001917CF"/>
    <w:rsid w:val="00191A08"/>
    <w:rsid w:val="00191BCF"/>
    <w:rsid w:val="00191DC6"/>
    <w:rsid w:val="00191DF6"/>
    <w:rsid w:val="00191F1F"/>
    <w:rsid w:val="00192017"/>
    <w:rsid w:val="00192159"/>
    <w:rsid w:val="0019215A"/>
    <w:rsid w:val="001921D1"/>
    <w:rsid w:val="00192317"/>
    <w:rsid w:val="00192319"/>
    <w:rsid w:val="00192365"/>
    <w:rsid w:val="00192491"/>
    <w:rsid w:val="001925BE"/>
    <w:rsid w:val="00192652"/>
    <w:rsid w:val="00192695"/>
    <w:rsid w:val="001926C0"/>
    <w:rsid w:val="001926DE"/>
    <w:rsid w:val="00192B21"/>
    <w:rsid w:val="00192B4A"/>
    <w:rsid w:val="00192BF1"/>
    <w:rsid w:val="00192D7A"/>
    <w:rsid w:val="00192DC4"/>
    <w:rsid w:val="00192DEF"/>
    <w:rsid w:val="0019301A"/>
    <w:rsid w:val="00193333"/>
    <w:rsid w:val="00193417"/>
    <w:rsid w:val="0019343E"/>
    <w:rsid w:val="001936A0"/>
    <w:rsid w:val="00193856"/>
    <w:rsid w:val="001938BE"/>
    <w:rsid w:val="0019399A"/>
    <w:rsid w:val="001939BC"/>
    <w:rsid w:val="001939D1"/>
    <w:rsid w:val="00193AC4"/>
    <w:rsid w:val="00193B61"/>
    <w:rsid w:val="00193BA7"/>
    <w:rsid w:val="0019413B"/>
    <w:rsid w:val="001941CF"/>
    <w:rsid w:val="0019423B"/>
    <w:rsid w:val="0019424F"/>
    <w:rsid w:val="00194463"/>
    <w:rsid w:val="001944CB"/>
    <w:rsid w:val="0019465A"/>
    <w:rsid w:val="001948D6"/>
    <w:rsid w:val="00194950"/>
    <w:rsid w:val="00194ABE"/>
    <w:rsid w:val="00194B0F"/>
    <w:rsid w:val="00194C18"/>
    <w:rsid w:val="00194C77"/>
    <w:rsid w:val="00194CFD"/>
    <w:rsid w:val="00194D0E"/>
    <w:rsid w:val="00194E01"/>
    <w:rsid w:val="00194F62"/>
    <w:rsid w:val="00194F72"/>
    <w:rsid w:val="00194F89"/>
    <w:rsid w:val="001950CC"/>
    <w:rsid w:val="00195106"/>
    <w:rsid w:val="00195132"/>
    <w:rsid w:val="00195356"/>
    <w:rsid w:val="001953EC"/>
    <w:rsid w:val="001954A0"/>
    <w:rsid w:val="0019557E"/>
    <w:rsid w:val="001955BE"/>
    <w:rsid w:val="001956B9"/>
    <w:rsid w:val="001957D7"/>
    <w:rsid w:val="00195888"/>
    <w:rsid w:val="001959CF"/>
    <w:rsid w:val="00195AEF"/>
    <w:rsid w:val="00195B68"/>
    <w:rsid w:val="00195C30"/>
    <w:rsid w:val="00195D07"/>
    <w:rsid w:val="00195D0F"/>
    <w:rsid w:val="00195E0F"/>
    <w:rsid w:val="00195E84"/>
    <w:rsid w:val="00195EE8"/>
    <w:rsid w:val="00195F24"/>
    <w:rsid w:val="00195F74"/>
    <w:rsid w:val="00195FC3"/>
    <w:rsid w:val="00196018"/>
    <w:rsid w:val="00196111"/>
    <w:rsid w:val="001962AD"/>
    <w:rsid w:val="001962E8"/>
    <w:rsid w:val="0019648E"/>
    <w:rsid w:val="001964A9"/>
    <w:rsid w:val="001964E2"/>
    <w:rsid w:val="001965BD"/>
    <w:rsid w:val="0019666B"/>
    <w:rsid w:val="001966EE"/>
    <w:rsid w:val="00196950"/>
    <w:rsid w:val="00196A60"/>
    <w:rsid w:val="00196AF1"/>
    <w:rsid w:val="00196B0C"/>
    <w:rsid w:val="00196B3F"/>
    <w:rsid w:val="00196CE7"/>
    <w:rsid w:val="00196DB2"/>
    <w:rsid w:val="00196F14"/>
    <w:rsid w:val="00196FC8"/>
    <w:rsid w:val="001970E0"/>
    <w:rsid w:val="00197137"/>
    <w:rsid w:val="00197159"/>
    <w:rsid w:val="0019732B"/>
    <w:rsid w:val="001973B0"/>
    <w:rsid w:val="00197452"/>
    <w:rsid w:val="00197461"/>
    <w:rsid w:val="00197513"/>
    <w:rsid w:val="00197784"/>
    <w:rsid w:val="00197827"/>
    <w:rsid w:val="0019789B"/>
    <w:rsid w:val="00197985"/>
    <w:rsid w:val="00197AE0"/>
    <w:rsid w:val="00197B21"/>
    <w:rsid w:val="00197C5C"/>
    <w:rsid w:val="00197CC2"/>
    <w:rsid w:val="00197E05"/>
    <w:rsid w:val="00197EBA"/>
    <w:rsid w:val="00197F76"/>
    <w:rsid w:val="001A009B"/>
    <w:rsid w:val="001A012C"/>
    <w:rsid w:val="001A0320"/>
    <w:rsid w:val="001A0337"/>
    <w:rsid w:val="001A051C"/>
    <w:rsid w:val="001A05D1"/>
    <w:rsid w:val="001A0652"/>
    <w:rsid w:val="001A0830"/>
    <w:rsid w:val="001A084E"/>
    <w:rsid w:val="001A09BB"/>
    <w:rsid w:val="001A0B8E"/>
    <w:rsid w:val="001A0D68"/>
    <w:rsid w:val="001A0DD0"/>
    <w:rsid w:val="001A0EDF"/>
    <w:rsid w:val="001A0F8C"/>
    <w:rsid w:val="001A0FC7"/>
    <w:rsid w:val="001A110F"/>
    <w:rsid w:val="001A11C1"/>
    <w:rsid w:val="001A1483"/>
    <w:rsid w:val="001A1493"/>
    <w:rsid w:val="001A1498"/>
    <w:rsid w:val="001A16C2"/>
    <w:rsid w:val="001A16E6"/>
    <w:rsid w:val="001A185E"/>
    <w:rsid w:val="001A18C6"/>
    <w:rsid w:val="001A19D9"/>
    <w:rsid w:val="001A1B07"/>
    <w:rsid w:val="001A1C45"/>
    <w:rsid w:val="001A1CAE"/>
    <w:rsid w:val="001A1CD1"/>
    <w:rsid w:val="001A1D92"/>
    <w:rsid w:val="001A1E2A"/>
    <w:rsid w:val="001A1F0E"/>
    <w:rsid w:val="001A1F18"/>
    <w:rsid w:val="001A1F71"/>
    <w:rsid w:val="001A1F87"/>
    <w:rsid w:val="001A1FBD"/>
    <w:rsid w:val="001A207D"/>
    <w:rsid w:val="001A221C"/>
    <w:rsid w:val="001A22BD"/>
    <w:rsid w:val="001A22E8"/>
    <w:rsid w:val="001A2405"/>
    <w:rsid w:val="001A2536"/>
    <w:rsid w:val="001A25BC"/>
    <w:rsid w:val="001A2616"/>
    <w:rsid w:val="001A2942"/>
    <w:rsid w:val="001A2A9D"/>
    <w:rsid w:val="001A2E05"/>
    <w:rsid w:val="001A2FE6"/>
    <w:rsid w:val="001A3028"/>
    <w:rsid w:val="001A30FE"/>
    <w:rsid w:val="001A315A"/>
    <w:rsid w:val="001A31F9"/>
    <w:rsid w:val="001A32A9"/>
    <w:rsid w:val="001A38AB"/>
    <w:rsid w:val="001A38CD"/>
    <w:rsid w:val="001A3A68"/>
    <w:rsid w:val="001A3B92"/>
    <w:rsid w:val="001A3BB4"/>
    <w:rsid w:val="001A3DFD"/>
    <w:rsid w:val="001A3EB9"/>
    <w:rsid w:val="001A411F"/>
    <w:rsid w:val="001A417F"/>
    <w:rsid w:val="001A430C"/>
    <w:rsid w:val="001A431D"/>
    <w:rsid w:val="001A438B"/>
    <w:rsid w:val="001A45B2"/>
    <w:rsid w:val="001A462E"/>
    <w:rsid w:val="001A466E"/>
    <w:rsid w:val="001A48E3"/>
    <w:rsid w:val="001A49F6"/>
    <w:rsid w:val="001A4A3C"/>
    <w:rsid w:val="001A4C0C"/>
    <w:rsid w:val="001A4CD1"/>
    <w:rsid w:val="001A4D8A"/>
    <w:rsid w:val="001A4EB2"/>
    <w:rsid w:val="001A4EC2"/>
    <w:rsid w:val="001A5065"/>
    <w:rsid w:val="001A5162"/>
    <w:rsid w:val="001A51CA"/>
    <w:rsid w:val="001A54C0"/>
    <w:rsid w:val="001A56CC"/>
    <w:rsid w:val="001A583F"/>
    <w:rsid w:val="001A5864"/>
    <w:rsid w:val="001A5895"/>
    <w:rsid w:val="001A58B3"/>
    <w:rsid w:val="001A5921"/>
    <w:rsid w:val="001A5947"/>
    <w:rsid w:val="001A5A68"/>
    <w:rsid w:val="001A5B88"/>
    <w:rsid w:val="001A5C5F"/>
    <w:rsid w:val="001A5D28"/>
    <w:rsid w:val="001A5D8D"/>
    <w:rsid w:val="001A5DDA"/>
    <w:rsid w:val="001A5DEB"/>
    <w:rsid w:val="001A5E6A"/>
    <w:rsid w:val="001A5E7D"/>
    <w:rsid w:val="001A600E"/>
    <w:rsid w:val="001A6368"/>
    <w:rsid w:val="001A694C"/>
    <w:rsid w:val="001A69C0"/>
    <w:rsid w:val="001A6AA6"/>
    <w:rsid w:val="001A6B1B"/>
    <w:rsid w:val="001A6C3D"/>
    <w:rsid w:val="001A6CE3"/>
    <w:rsid w:val="001A6D49"/>
    <w:rsid w:val="001A6F48"/>
    <w:rsid w:val="001A6FBE"/>
    <w:rsid w:val="001A7021"/>
    <w:rsid w:val="001A7035"/>
    <w:rsid w:val="001A71D8"/>
    <w:rsid w:val="001A7292"/>
    <w:rsid w:val="001A732C"/>
    <w:rsid w:val="001A7339"/>
    <w:rsid w:val="001A7379"/>
    <w:rsid w:val="001A73E8"/>
    <w:rsid w:val="001A753F"/>
    <w:rsid w:val="001A76BB"/>
    <w:rsid w:val="001A7AAB"/>
    <w:rsid w:val="001A7B4B"/>
    <w:rsid w:val="001A7B89"/>
    <w:rsid w:val="001A7D3F"/>
    <w:rsid w:val="001A7DC7"/>
    <w:rsid w:val="001A7EE9"/>
    <w:rsid w:val="001A7F0B"/>
    <w:rsid w:val="001A7FC4"/>
    <w:rsid w:val="001B00E0"/>
    <w:rsid w:val="001B015C"/>
    <w:rsid w:val="001B01A3"/>
    <w:rsid w:val="001B02ED"/>
    <w:rsid w:val="001B0341"/>
    <w:rsid w:val="001B0551"/>
    <w:rsid w:val="001B0562"/>
    <w:rsid w:val="001B05DA"/>
    <w:rsid w:val="001B08B4"/>
    <w:rsid w:val="001B0919"/>
    <w:rsid w:val="001B0ADB"/>
    <w:rsid w:val="001B0B59"/>
    <w:rsid w:val="001B0B99"/>
    <w:rsid w:val="001B0D39"/>
    <w:rsid w:val="001B0D8F"/>
    <w:rsid w:val="001B0DBD"/>
    <w:rsid w:val="001B0F95"/>
    <w:rsid w:val="001B0F9C"/>
    <w:rsid w:val="001B1054"/>
    <w:rsid w:val="001B1227"/>
    <w:rsid w:val="001B131C"/>
    <w:rsid w:val="001B138C"/>
    <w:rsid w:val="001B14FB"/>
    <w:rsid w:val="001B1663"/>
    <w:rsid w:val="001B16A8"/>
    <w:rsid w:val="001B17C2"/>
    <w:rsid w:val="001B19D0"/>
    <w:rsid w:val="001B1A5F"/>
    <w:rsid w:val="001B1C28"/>
    <w:rsid w:val="001B1E0C"/>
    <w:rsid w:val="001B1FCA"/>
    <w:rsid w:val="001B217A"/>
    <w:rsid w:val="001B219B"/>
    <w:rsid w:val="001B22F3"/>
    <w:rsid w:val="001B230E"/>
    <w:rsid w:val="001B2336"/>
    <w:rsid w:val="001B23D6"/>
    <w:rsid w:val="001B27A6"/>
    <w:rsid w:val="001B284D"/>
    <w:rsid w:val="001B2872"/>
    <w:rsid w:val="001B294B"/>
    <w:rsid w:val="001B2973"/>
    <w:rsid w:val="001B29A0"/>
    <w:rsid w:val="001B29FF"/>
    <w:rsid w:val="001B2CD0"/>
    <w:rsid w:val="001B2E21"/>
    <w:rsid w:val="001B2F1C"/>
    <w:rsid w:val="001B3125"/>
    <w:rsid w:val="001B3262"/>
    <w:rsid w:val="001B32B5"/>
    <w:rsid w:val="001B3396"/>
    <w:rsid w:val="001B3479"/>
    <w:rsid w:val="001B35DD"/>
    <w:rsid w:val="001B362B"/>
    <w:rsid w:val="001B3672"/>
    <w:rsid w:val="001B37C2"/>
    <w:rsid w:val="001B384E"/>
    <w:rsid w:val="001B393E"/>
    <w:rsid w:val="001B399F"/>
    <w:rsid w:val="001B39EF"/>
    <w:rsid w:val="001B3A57"/>
    <w:rsid w:val="001B3D76"/>
    <w:rsid w:val="001B3D8D"/>
    <w:rsid w:val="001B3D97"/>
    <w:rsid w:val="001B3DBA"/>
    <w:rsid w:val="001B3DCA"/>
    <w:rsid w:val="001B3DCC"/>
    <w:rsid w:val="001B3DED"/>
    <w:rsid w:val="001B3E12"/>
    <w:rsid w:val="001B3F66"/>
    <w:rsid w:val="001B3FE3"/>
    <w:rsid w:val="001B419B"/>
    <w:rsid w:val="001B41A3"/>
    <w:rsid w:val="001B41F6"/>
    <w:rsid w:val="001B4210"/>
    <w:rsid w:val="001B4334"/>
    <w:rsid w:val="001B4348"/>
    <w:rsid w:val="001B44F3"/>
    <w:rsid w:val="001B4594"/>
    <w:rsid w:val="001B46F0"/>
    <w:rsid w:val="001B4942"/>
    <w:rsid w:val="001B4A28"/>
    <w:rsid w:val="001B4BBE"/>
    <w:rsid w:val="001B4ECE"/>
    <w:rsid w:val="001B50B0"/>
    <w:rsid w:val="001B5182"/>
    <w:rsid w:val="001B5187"/>
    <w:rsid w:val="001B52A8"/>
    <w:rsid w:val="001B52BA"/>
    <w:rsid w:val="001B54EA"/>
    <w:rsid w:val="001B55C5"/>
    <w:rsid w:val="001B56BA"/>
    <w:rsid w:val="001B5801"/>
    <w:rsid w:val="001B582D"/>
    <w:rsid w:val="001B59DA"/>
    <w:rsid w:val="001B5C14"/>
    <w:rsid w:val="001B5E8F"/>
    <w:rsid w:val="001B619C"/>
    <w:rsid w:val="001B61DA"/>
    <w:rsid w:val="001B6296"/>
    <w:rsid w:val="001B64EA"/>
    <w:rsid w:val="001B66D0"/>
    <w:rsid w:val="001B6852"/>
    <w:rsid w:val="001B696B"/>
    <w:rsid w:val="001B69CF"/>
    <w:rsid w:val="001B69FE"/>
    <w:rsid w:val="001B6A33"/>
    <w:rsid w:val="001B6ACE"/>
    <w:rsid w:val="001B6BC6"/>
    <w:rsid w:val="001B6C92"/>
    <w:rsid w:val="001B6DF8"/>
    <w:rsid w:val="001B6E63"/>
    <w:rsid w:val="001B6FA3"/>
    <w:rsid w:val="001B70B0"/>
    <w:rsid w:val="001B725C"/>
    <w:rsid w:val="001B7350"/>
    <w:rsid w:val="001B737D"/>
    <w:rsid w:val="001B74D1"/>
    <w:rsid w:val="001B74D7"/>
    <w:rsid w:val="001B7524"/>
    <w:rsid w:val="001B7643"/>
    <w:rsid w:val="001B7686"/>
    <w:rsid w:val="001B76B7"/>
    <w:rsid w:val="001B7770"/>
    <w:rsid w:val="001B7833"/>
    <w:rsid w:val="001B798E"/>
    <w:rsid w:val="001B7BAB"/>
    <w:rsid w:val="001B7C2E"/>
    <w:rsid w:val="001B7C9B"/>
    <w:rsid w:val="001B7D9B"/>
    <w:rsid w:val="001B7E67"/>
    <w:rsid w:val="001B7E69"/>
    <w:rsid w:val="001B7EA0"/>
    <w:rsid w:val="001B7F53"/>
    <w:rsid w:val="001BE9EE"/>
    <w:rsid w:val="001C0075"/>
    <w:rsid w:val="001C01C4"/>
    <w:rsid w:val="001C02C1"/>
    <w:rsid w:val="001C02D4"/>
    <w:rsid w:val="001C03ED"/>
    <w:rsid w:val="001C0550"/>
    <w:rsid w:val="001C055E"/>
    <w:rsid w:val="001C0591"/>
    <w:rsid w:val="001C0803"/>
    <w:rsid w:val="001C0868"/>
    <w:rsid w:val="001C09C0"/>
    <w:rsid w:val="001C0A8A"/>
    <w:rsid w:val="001C0AFC"/>
    <w:rsid w:val="001C0B40"/>
    <w:rsid w:val="001C0BBA"/>
    <w:rsid w:val="001C0DF6"/>
    <w:rsid w:val="001C0E87"/>
    <w:rsid w:val="001C0FBA"/>
    <w:rsid w:val="001C107B"/>
    <w:rsid w:val="001C1360"/>
    <w:rsid w:val="001C1370"/>
    <w:rsid w:val="001C13F6"/>
    <w:rsid w:val="001C13F7"/>
    <w:rsid w:val="001C1405"/>
    <w:rsid w:val="001C1596"/>
    <w:rsid w:val="001C160F"/>
    <w:rsid w:val="001C18FF"/>
    <w:rsid w:val="001C19FA"/>
    <w:rsid w:val="001C1A3C"/>
    <w:rsid w:val="001C1A62"/>
    <w:rsid w:val="001C1C5C"/>
    <w:rsid w:val="001C1EC3"/>
    <w:rsid w:val="001C217F"/>
    <w:rsid w:val="001C230F"/>
    <w:rsid w:val="001C2494"/>
    <w:rsid w:val="001C261E"/>
    <w:rsid w:val="001C261F"/>
    <w:rsid w:val="001C265C"/>
    <w:rsid w:val="001C26EE"/>
    <w:rsid w:val="001C2786"/>
    <w:rsid w:val="001C27D5"/>
    <w:rsid w:val="001C27E7"/>
    <w:rsid w:val="001C2CD5"/>
    <w:rsid w:val="001C2D18"/>
    <w:rsid w:val="001C2F95"/>
    <w:rsid w:val="001C3057"/>
    <w:rsid w:val="001C3418"/>
    <w:rsid w:val="001C36BC"/>
    <w:rsid w:val="001C3779"/>
    <w:rsid w:val="001C3801"/>
    <w:rsid w:val="001C3876"/>
    <w:rsid w:val="001C3921"/>
    <w:rsid w:val="001C3924"/>
    <w:rsid w:val="001C3943"/>
    <w:rsid w:val="001C3B17"/>
    <w:rsid w:val="001C3B8B"/>
    <w:rsid w:val="001C409D"/>
    <w:rsid w:val="001C41E3"/>
    <w:rsid w:val="001C42C0"/>
    <w:rsid w:val="001C44D6"/>
    <w:rsid w:val="001C453E"/>
    <w:rsid w:val="001C45E4"/>
    <w:rsid w:val="001C46D0"/>
    <w:rsid w:val="001C4739"/>
    <w:rsid w:val="001C4747"/>
    <w:rsid w:val="001C4799"/>
    <w:rsid w:val="001C48D9"/>
    <w:rsid w:val="001C492F"/>
    <w:rsid w:val="001C496D"/>
    <w:rsid w:val="001C4992"/>
    <w:rsid w:val="001C4B74"/>
    <w:rsid w:val="001C4BEB"/>
    <w:rsid w:val="001C4C04"/>
    <w:rsid w:val="001C4D04"/>
    <w:rsid w:val="001C4D8A"/>
    <w:rsid w:val="001C4D8F"/>
    <w:rsid w:val="001C5054"/>
    <w:rsid w:val="001C5082"/>
    <w:rsid w:val="001C538A"/>
    <w:rsid w:val="001C538E"/>
    <w:rsid w:val="001C53B2"/>
    <w:rsid w:val="001C53B3"/>
    <w:rsid w:val="001C546D"/>
    <w:rsid w:val="001C57F7"/>
    <w:rsid w:val="001C593A"/>
    <w:rsid w:val="001C593E"/>
    <w:rsid w:val="001C5B9E"/>
    <w:rsid w:val="001C5CEC"/>
    <w:rsid w:val="001C5D8F"/>
    <w:rsid w:val="001C605F"/>
    <w:rsid w:val="001C60ED"/>
    <w:rsid w:val="001C60FE"/>
    <w:rsid w:val="001C61E3"/>
    <w:rsid w:val="001C6224"/>
    <w:rsid w:val="001C6295"/>
    <w:rsid w:val="001C6367"/>
    <w:rsid w:val="001C640D"/>
    <w:rsid w:val="001C653A"/>
    <w:rsid w:val="001C6565"/>
    <w:rsid w:val="001C657C"/>
    <w:rsid w:val="001C65DE"/>
    <w:rsid w:val="001C68E0"/>
    <w:rsid w:val="001C6926"/>
    <w:rsid w:val="001C6B07"/>
    <w:rsid w:val="001C6C76"/>
    <w:rsid w:val="001C6CBA"/>
    <w:rsid w:val="001C6D2F"/>
    <w:rsid w:val="001C6DA9"/>
    <w:rsid w:val="001C6E87"/>
    <w:rsid w:val="001C7042"/>
    <w:rsid w:val="001C70AA"/>
    <w:rsid w:val="001C71E6"/>
    <w:rsid w:val="001C72B9"/>
    <w:rsid w:val="001C72FF"/>
    <w:rsid w:val="001C7516"/>
    <w:rsid w:val="001C7553"/>
    <w:rsid w:val="001C75A0"/>
    <w:rsid w:val="001C76D9"/>
    <w:rsid w:val="001C7738"/>
    <w:rsid w:val="001C78CD"/>
    <w:rsid w:val="001C7AC2"/>
    <w:rsid w:val="001C7C07"/>
    <w:rsid w:val="001C7D83"/>
    <w:rsid w:val="001C7DD5"/>
    <w:rsid w:val="001C7EFA"/>
    <w:rsid w:val="001C7F49"/>
    <w:rsid w:val="001C7F79"/>
    <w:rsid w:val="001D0336"/>
    <w:rsid w:val="001D040D"/>
    <w:rsid w:val="001D0751"/>
    <w:rsid w:val="001D075B"/>
    <w:rsid w:val="001D081A"/>
    <w:rsid w:val="001D08A3"/>
    <w:rsid w:val="001D0967"/>
    <w:rsid w:val="001D0B3E"/>
    <w:rsid w:val="001D0C5D"/>
    <w:rsid w:val="001D0C5E"/>
    <w:rsid w:val="001D0DAE"/>
    <w:rsid w:val="001D1006"/>
    <w:rsid w:val="001D1050"/>
    <w:rsid w:val="001D129B"/>
    <w:rsid w:val="001D12E2"/>
    <w:rsid w:val="001D12FD"/>
    <w:rsid w:val="001D1377"/>
    <w:rsid w:val="001D146E"/>
    <w:rsid w:val="001D15A8"/>
    <w:rsid w:val="001D15FA"/>
    <w:rsid w:val="001D1654"/>
    <w:rsid w:val="001D16EF"/>
    <w:rsid w:val="001D199F"/>
    <w:rsid w:val="001D1A1E"/>
    <w:rsid w:val="001D1AE9"/>
    <w:rsid w:val="001D1F28"/>
    <w:rsid w:val="001D1FCB"/>
    <w:rsid w:val="001D212D"/>
    <w:rsid w:val="001D21E0"/>
    <w:rsid w:val="001D2250"/>
    <w:rsid w:val="001D22B6"/>
    <w:rsid w:val="001D23D1"/>
    <w:rsid w:val="001D25AC"/>
    <w:rsid w:val="001D25C8"/>
    <w:rsid w:val="001D27AB"/>
    <w:rsid w:val="001D27C7"/>
    <w:rsid w:val="001D295D"/>
    <w:rsid w:val="001D2AAB"/>
    <w:rsid w:val="001D2CDB"/>
    <w:rsid w:val="001D2CEA"/>
    <w:rsid w:val="001D2DC8"/>
    <w:rsid w:val="001D2E41"/>
    <w:rsid w:val="001D2F1C"/>
    <w:rsid w:val="001D2F6B"/>
    <w:rsid w:val="001D2F74"/>
    <w:rsid w:val="001D31D0"/>
    <w:rsid w:val="001D31F3"/>
    <w:rsid w:val="001D324F"/>
    <w:rsid w:val="001D32EA"/>
    <w:rsid w:val="001D3324"/>
    <w:rsid w:val="001D3379"/>
    <w:rsid w:val="001D349A"/>
    <w:rsid w:val="001D35B1"/>
    <w:rsid w:val="001D366C"/>
    <w:rsid w:val="001D3874"/>
    <w:rsid w:val="001D388F"/>
    <w:rsid w:val="001D3953"/>
    <w:rsid w:val="001D3A6C"/>
    <w:rsid w:val="001D3DB0"/>
    <w:rsid w:val="001D3DE7"/>
    <w:rsid w:val="001D3F5C"/>
    <w:rsid w:val="001D3F70"/>
    <w:rsid w:val="001D4105"/>
    <w:rsid w:val="001D4173"/>
    <w:rsid w:val="001D41B0"/>
    <w:rsid w:val="001D4213"/>
    <w:rsid w:val="001D4232"/>
    <w:rsid w:val="001D42C5"/>
    <w:rsid w:val="001D4376"/>
    <w:rsid w:val="001D43BC"/>
    <w:rsid w:val="001D43FB"/>
    <w:rsid w:val="001D4519"/>
    <w:rsid w:val="001D4553"/>
    <w:rsid w:val="001D462D"/>
    <w:rsid w:val="001D47C0"/>
    <w:rsid w:val="001D4AB2"/>
    <w:rsid w:val="001D4ACC"/>
    <w:rsid w:val="001D4C40"/>
    <w:rsid w:val="001D4D0D"/>
    <w:rsid w:val="001D4ED8"/>
    <w:rsid w:val="001D4F69"/>
    <w:rsid w:val="001D5176"/>
    <w:rsid w:val="001D518D"/>
    <w:rsid w:val="001D534E"/>
    <w:rsid w:val="001D5487"/>
    <w:rsid w:val="001D54CD"/>
    <w:rsid w:val="001D54E6"/>
    <w:rsid w:val="001D5501"/>
    <w:rsid w:val="001D558E"/>
    <w:rsid w:val="001D56D0"/>
    <w:rsid w:val="001D5736"/>
    <w:rsid w:val="001D5741"/>
    <w:rsid w:val="001D5801"/>
    <w:rsid w:val="001D5975"/>
    <w:rsid w:val="001D5A6B"/>
    <w:rsid w:val="001D5A70"/>
    <w:rsid w:val="001D5B68"/>
    <w:rsid w:val="001D5C29"/>
    <w:rsid w:val="001D5D7C"/>
    <w:rsid w:val="001D5E10"/>
    <w:rsid w:val="001D5EEA"/>
    <w:rsid w:val="001D600B"/>
    <w:rsid w:val="001D6091"/>
    <w:rsid w:val="001D625E"/>
    <w:rsid w:val="001D62D4"/>
    <w:rsid w:val="001D65E4"/>
    <w:rsid w:val="001D6621"/>
    <w:rsid w:val="001D6642"/>
    <w:rsid w:val="001D666E"/>
    <w:rsid w:val="001D6720"/>
    <w:rsid w:val="001D6790"/>
    <w:rsid w:val="001D67E4"/>
    <w:rsid w:val="001D6829"/>
    <w:rsid w:val="001D6B2E"/>
    <w:rsid w:val="001D6B8A"/>
    <w:rsid w:val="001D6C5C"/>
    <w:rsid w:val="001D6C74"/>
    <w:rsid w:val="001D6D6F"/>
    <w:rsid w:val="001D70DD"/>
    <w:rsid w:val="001D71A6"/>
    <w:rsid w:val="001D71B2"/>
    <w:rsid w:val="001D728E"/>
    <w:rsid w:val="001D75CA"/>
    <w:rsid w:val="001D769E"/>
    <w:rsid w:val="001D775F"/>
    <w:rsid w:val="001D7876"/>
    <w:rsid w:val="001D78AB"/>
    <w:rsid w:val="001D7959"/>
    <w:rsid w:val="001D7AAD"/>
    <w:rsid w:val="001D7C45"/>
    <w:rsid w:val="001D7CCF"/>
    <w:rsid w:val="001D7DB2"/>
    <w:rsid w:val="001D7DD9"/>
    <w:rsid w:val="001D7E8F"/>
    <w:rsid w:val="001E0016"/>
    <w:rsid w:val="001E027F"/>
    <w:rsid w:val="001E0419"/>
    <w:rsid w:val="001E052E"/>
    <w:rsid w:val="001E05F5"/>
    <w:rsid w:val="001E0791"/>
    <w:rsid w:val="001E088C"/>
    <w:rsid w:val="001E0B3E"/>
    <w:rsid w:val="001E0C57"/>
    <w:rsid w:val="001E0CAB"/>
    <w:rsid w:val="001E0DE7"/>
    <w:rsid w:val="001E0F3D"/>
    <w:rsid w:val="001E0FB6"/>
    <w:rsid w:val="001E11CF"/>
    <w:rsid w:val="001E1406"/>
    <w:rsid w:val="001E14C1"/>
    <w:rsid w:val="001E1665"/>
    <w:rsid w:val="001E1666"/>
    <w:rsid w:val="001E16B8"/>
    <w:rsid w:val="001E179B"/>
    <w:rsid w:val="001E18FC"/>
    <w:rsid w:val="001E19BA"/>
    <w:rsid w:val="001E1BD8"/>
    <w:rsid w:val="001E1BFB"/>
    <w:rsid w:val="001E1C42"/>
    <w:rsid w:val="001E1C70"/>
    <w:rsid w:val="001E1E24"/>
    <w:rsid w:val="001E1E34"/>
    <w:rsid w:val="001E1E84"/>
    <w:rsid w:val="001E1F1E"/>
    <w:rsid w:val="001E2069"/>
    <w:rsid w:val="001E22EA"/>
    <w:rsid w:val="001E235B"/>
    <w:rsid w:val="001E2375"/>
    <w:rsid w:val="001E2485"/>
    <w:rsid w:val="001E252C"/>
    <w:rsid w:val="001E255B"/>
    <w:rsid w:val="001E258C"/>
    <w:rsid w:val="001E26D9"/>
    <w:rsid w:val="001E2729"/>
    <w:rsid w:val="001E2A24"/>
    <w:rsid w:val="001E2D03"/>
    <w:rsid w:val="001E2DB8"/>
    <w:rsid w:val="001E2F0C"/>
    <w:rsid w:val="001E2F70"/>
    <w:rsid w:val="001E3280"/>
    <w:rsid w:val="001E334F"/>
    <w:rsid w:val="001E33C9"/>
    <w:rsid w:val="001E34B0"/>
    <w:rsid w:val="001E3555"/>
    <w:rsid w:val="001E35FE"/>
    <w:rsid w:val="001E3678"/>
    <w:rsid w:val="001E36A2"/>
    <w:rsid w:val="001E3A39"/>
    <w:rsid w:val="001E3A5B"/>
    <w:rsid w:val="001E3C55"/>
    <w:rsid w:val="001E3DC0"/>
    <w:rsid w:val="001E4093"/>
    <w:rsid w:val="001E423C"/>
    <w:rsid w:val="001E439D"/>
    <w:rsid w:val="001E4677"/>
    <w:rsid w:val="001E4891"/>
    <w:rsid w:val="001E4984"/>
    <w:rsid w:val="001E49DF"/>
    <w:rsid w:val="001E4C08"/>
    <w:rsid w:val="001E4D1B"/>
    <w:rsid w:val="001E4DC9"/>
    <w:rsid w:val="001E4F1A"/>
    <w:rsid w:val="001E4F9A"/>
    <w:rsid w:val="001E5027"/>
    <w:rsid w:val="001E51B5"/>
    <w:rsid w:val="001E51B7"/>
    <w:rsid w:val="001E51F5"/>
    <w:rsid w:val="001E5308"/>
    <w:rsid w:val="001E5351"/>
    <w:rsid w:val="001E5721"/>
    <w:rsid w:val="001E5842"/>
    <w:rsid w:val="001E596C"/>
    <w:rsid w:val="001E5AFD"/>
    <w:rsid w:val="001E5B25"/>
    <w:rsid w:val="001E5B75"/>
    <w:rsid w:val="001E5D32"/>
    <w:rsid w:val="001E5DD8"/>
    <w:rsid w:val="001E5EC1"/>
    <w:rsid w:val="001E5F22"/>
    <w:rsid w:val="001E6495"/>
    <w:rsid w:val="001E64B5"/>
    <w:rsid w:val="001E65D0"/>
    <w:rsid w:val="001E661D"/>
    <w:rsid w:val="001E66C7"/>
    <w:rsid w:val="001E67DB"/>
    <w:rsid w:val="001E67F0"/>
    <w:rsid w:val="001E6803"/>
    <w:rsid w:val="001E68B1"/>
    <w:rsid w:val="001E69C4"/>
    <w:rsid w:val="001E6A77"/>
    <w:rsid w:val="001E6B4C"/>
    <w:rsid w:val="001E6BF5"/>
    <w:rsid w:val="001E6C04"/>
    <w:rsid w:val="001E6D20"/>
    <w:rsid w:val="001E6E6F"/>
    <w:rsid w:val="001E6ED5"/>
    <w:rsid w:val="001E6F6F"/>
    <w:rsid w:val="001E708C"/>
    <w:rsid w:val="001E7124"/>
    <w:rsid w:val="001E71C6"/>
    <w:rsid w:val="001E729C"/>
    <w:rsid w:val="001E732E"/>
    <w:rsid w:val="001E7584"/>
    <w:rsid w:val="001E7651"/>
    <w:rsid w:val="001E76B3"/>
    <w:rsid w:val="001E76CF"/>
    <w:rsid w:val="001E76F8"/>
    <w:rsid w:val="001E7A3F"/>
    <w:rsid w:val="001E7A5E"/>
    <w:rsid w:val="001E7AFF"/>
    <w:rsid w:val="001E7BEA"/>
    <w:rsid w:val="001F00E5"/>
    <w:rsid w:val="001F0122"/>
    <w:rsid w:val="001F0173"/>
    <w:rsid w:val="001F01D5"/>
    <w:rsid w:val="001F0257"/>
    <w:rsid w:val="001F04FF"/>
    <w:rsid w:val="001F060B"/>
    <w:rsid w:val="001F0787"/>
    <w:rsid w:val="001F0818"/>
    <w:rsid w:val="001F08C5"/>
    <w:rsid w:val="001F0945"/>
    <w:rsid w:val="001F0997"/>
    <w:rsid w:val="001F09A0"/>
    <w:rsid w:val="001F0AD4"/>
    <w:rsid w:val="001F0CD5"/>
    <w:rsid w:val="001F11FD"/>
    <w:rsid w:val="001F1372"/>
    <w:rsid w:val="001F140E"/>
    <w:rsid w:val="001F1666"/>
    <w:rsid w:val="001F16BB"/>
    <w:rsid w:val="001F16DE"/>
    <w:rsid w:val="001F1716"/>
    <w:rsid w:val="001F18AF"/>
    <w:rsid w:val="001F1C3F"/>
    <w:rsid w:val="001F1C6E"/>
    <w:rsid w:val="001F1D28"/>
    <w:rsid w:val="001F1D3C"/>
    <w:rsid w:val="001F21A4"/>
    <w:rsid w:val="001F22BD"/>
    <w:rsid w:val="001F22EC"/>
    <w:rsid w:val="001F2471"/>
    <w:rsid w:val="001F25A9"/>
    <w:rsid w:val="001F263E"/>
    <w:rsid w:val="001F27E9"/>
    <w:rsid w:val="001F2955"/>
    <w:rsid w:val="001F2A87"/>
    <w:rsid w:val="001F2A8C"/>
    <w:rsid w:val="001F2C7F"/>
    <w:rsid w:val="001F2CE0"/>
    <w:rsid w:val="001F3015"/>
    <w:rsid w:val="001F3201"/>
    <w:rsid w:val="001F3257"/>
    <w:rsid w:val="001F33A6"/>
    <w:rsid w:val="001F34C9"/>
    <w:rsid w:val="001F35A0"/>
    <w:rsid w:val="001F363D"/>
    <w:rsid w:val="001F3916"/>
    <w:rsid w:val="001F391E"/>
    <w:rsid w:val="001F395B"/>
    <w:rsid w:val="001F3A7B"/>
    <w:rsid w:val="001F3C51"/>
    <w:rsid w:val="001F3FB3"/>
    <w:rsid w:val="001F4299"/>
    <w:rsid w:val="001F42A6"/>
    <w:rsid w:val="001F44B6"/>
    <w:rsid w:val="001F456C"/>
    <w:rsid w:val="001F45DA"/>
    <w:rsid w:val="001F4933"/>
    <w:rsid w:val="001F4A55"/>
    <w:rsid w:val="001F4B62"/>
    <w:rsid w:val="001F4C24"/>
    <w:rsid w:val="001F4CFD"/>
    <w:rsid w:val="001F4E4E"/>
    <w:rsid w:val="001F50B9"/>
    <w:rsid w:val="001F5265"/>
    <w:rsid w:val="001F535C"/>
    <w:rsid w:val="001F5378"/>
    <w:rsid w:val="001F53A5"/>
    <w:rsid w:val="001F53CC"/>
    <w:rsid w:val="001F55C9"/>
    <w:rsid w:val="001F55E0"/>
    <w:rsid w:val="001F569E"/>
    <w:rsid w:val="001F597D"/>
    <w:rsid w:val="001F5988"/>
    <w:rsid w:val="001F5D86"/>
    <w:rsid w:val="001F5DB0"/>
    <w:rsid w:val="001F5F2D"/>
    <w:rsid w:val="001F60FE"/>
    <w:rsid w:val="001F620B"/>
    <w:rsid w:val="001F6314"/>
    <w:rsid w:val="001F636D"/>
    <w:rsid w:val="001F63C7"/>
    <w:rsid w:val="001F643F"/>
    <w:rsid w:val="001F6447"/>
    <w:rsid w:val="001F6589"/>
    <w:rsid w:val="001F6602"/>
    <w:rsid w:val="001F6A3A"/>
    <w:rsid w:val="001F6A68"/>
    <w:rsid w:val="001F6CC4"/>
    <w:rsid w:val="001F6CFA"/>
    <w:rsid w:val="001F6EB5"/>
    <w:rsid w:val="001F6F35"/>
    <w:rsid w:val="001F6FD0"/>
    <w:rsid w:val="001F6FE5"/>
    <w:rsid w:val="001F706E"/>
    <w:rsid w:val="001F70E3"/>
    <w:rsid w:val="001F738C"/>
    <w:rsid w:val="001F73D5"/>
    <w:rsid w:val="001F7407"/>
    <w:rsid w:val="001F74E3"/>
    <w:rsid w:val="001F753A"/>
    <w:rsid w:val="001F7D8E"/>
    <w:rsid w:val="001F7E47"/>
    <w:rsid w:val="0020030E"/>
    <w:rsid w:val="002003AC"/>
    <w:rsid w:val="00200458"/>
    <w:rsid w:val="002004BD"/>
    <w:rsid w:val="002005D4"/>
    <w:rsid w:val="002005F4"/>
    <w:rsid w:val="0020064F"/>
    <w:rsid w:val="00200865"/>
    <w:rsid w:val="002008FE"/>
    <w:rsid w:val="00200945"/>
    <w:rsid w:val="0020094C"/>
    <w:rsid w:val="00200A78"/>
    <w:rsid w:val="00200BA4"/>
    <w:rsid w:val="00200C61"/>
    <w:rsid w:val="00200CFE"/>
    <w:rsid w:val="00200F7A"/>
    <w:rsid w:val="00200F97"/>
    <w:rsid w:val="002011A9"/>
    <w:rsid w:val="0020127D"/>
    <w:rsid w:val="00201327"/>
    <w:rsid w:val="002013E5"/>
    <w:rsid w:val="00201521"/>
    <w:rsid w:val="002015E9"/>
    <w:rsid w:val="002017AB"/>
    <w:rsid w:val="002017AE"/>
    <w:rsid w:val="00201823"/>
    <w:rsid w:val="002019D7"/>
    <w:rsid w:val="00201AA2"/>
    <w:rsid w:val="00201CB4"/>
    <w:rsid w:val="00201D51"/>
    <w:rsid w:val="00201D7F"/>
    <w:rsid w:val="00201EE7"/>
    <w:rsid w:val="00201F06"/>
    <w:rsid w:val="00201F51"/>
    <w:rsid w:val="00201FA7"/>
    <w:rsid w:val="00201FD2"/>
    <w:rsid w:val="002021BE"/>
    <w:rsid w:val="002024B8"/>
    <w:rsid w:val="002025C3"/>
    <w:rsid w:val="00202773"/>
    <w:rsid w:val="00202797"/>
    <w:rsid w:val="002029D5"/>
    <w:rsid w:val="00202AC4"/>
    <w:rsid w:val="00202CB0"/>
    <w:rsid w:val="00202CB2"/>
    <w:rsid w:val="00202F8D"/>
    <w:rsid w:val="00202F9B"/>
    <w:rsid w:val="00203079"/>
    <w:rsid w:val="002030AE"/>
    <w:rsid w:val="002030BB"/>
    <w:rsid w:val="00203370"/>
    <w:rsid w:val="00203519"/>
    <w:rsid w:val="002035D8"/>
    <w:rsid w:val="002036A7"/>
    <w:rsid w:val="0020371A"/>
    <w:rsid w:val="002038D9"/>
    <w:rsid w:val="00203C4B"/>
    <w:rsid w:val="00203CD9"/>
    <w:rsid w:val="00203CFF"/>
    <w:rsid w:val="00203D01"/>
    <w:rsid w:val="00203E03"/>
    <w:rsid w:val="002040A6"/>
    <w:rsid w:val="0020412F"/>
    <w:rsid w:val="00204261"/>
    <w:rsid w:val="00204421"/>
    <w:rsid w:val="00204534"/>
    <w:rsid w:val="00204576"/>
    <w:rsid w:val="00204647"/>
    <w:rsid w:val="00204CA6"/>
    <w:rsid w:val="00204D0F"/>
    <w:rsid w:val="00204FDF"/>
    <w:rsid w:val="00205011"/>
    <w:rsid w:val="0020517A"/>
    <w:rsid w:val="00205195"/>
    <w:rsid w:val="002051AD"/>
    <w:rsid w:val="00205476"/>
    <w:rsid w:val="002056C1"/>
    <w:rsid w:val="0020573E"/>
    <w:rsid w:val="002057C3"/>
    <w:rsid w:val="00205816"/>
    <w:rsid w:val="00205881"/>
    <w:rsid w:val="0020593C"/>
    <w:rsid w:val="002059C4"/>
    <w:rsid w:val="00205A47"/>
    <w:rsid w:val="00205B80"/>
    <w:rsid w:val="00205C6C"/>
    <w:rsid w:val="00205CB7"/>
    <w:rsid w:val="00205D4B"/>
    <w:rsid w:val="00205D9D"/>
    <w:rsid w:val="00205DED"/>
    <w:rsid w:val="00205EED"/>
    <w:rsid w:val="00205F17"/>
    <w:rsid w:val="00205F70"/>
    <w:rsid w:val="00206033"/>
    <w:rsid w:val="0020603A"/>
    <w:rsid w:val="00206151"/>
    <w:rsid w:val="002062BB"/>
    <w:rsid w:val="002062DB"/>
    <w:rsid w:val="0020634E"/>
    <w:rsid w:val="00206363"/>
    <w:rsid w:val="002063B5"/>
    <w:rsid w:val="0020653D"/>
    <w:rsid w:val="00206642"/>
    <w:rsid w:val="0020697C"/>
    <w:rsid w:val="00206AA9"/>
    <w:rsid w:val="00206E6D"/>
    <w:rsid w:val="00206E91"/>
    <w:rsid w:val="00206FAA"/>
    <w:rsid w:val="002071C1"/>
    <w:rsid w:val="002071C2"/>
    <w:rsid w:val="0020730C"/>
    <w:rsid w:val="002074BA"/>
    <w:rsid w:val="002074DA"/>
    <w:rsid w:val="0020751E"/>
    <w:rsid w:val="00207820"/>
    <w:rsid w:val="00207868"/>
    <w:rsid w:val="00207872"/>
    <w:rsid w:val="00207920"/>
    <w:rsid w:val="002079AF"/>
    <w:rsid w:val="00207C18"/>
    <w:rsid w:val="00210026"/>
    <w:rsid w:val="00210031"/>
    <w:rsid w:val="002100D5"/>
    <w:rsid w:val="00210157"/>
    <w:rsid w:val="002101A0"/>
    <w:rsid w:val="002103B9"/>
    <w:rsid w:val="0021050A"/>
    <w:rsid w:val="00210517"/>
    <w:rsid w:val="0021056C"/>
    <w:rsid w:val="00210584"/>
    <w:rsid w:val="00210721"/>
    <w:rsid w:val="002108B4"/>
    <w:rsid w:val="002108C9"/>
    <w:rsid w:val="00210927"/>
    <w:rsid w:val="0021093E"/>
    <w:rsid w:val="002109F9"/>
    <w:rsid w:val="00210AAD"/>
    <w:rsid w:val="00210B2A"/>
    <w:rsid w:val="00210EFF"/>
    <w:rsid w:val="00210FF8"/>
    <w:rsid w:val="002111CD"/>
    <w:rsid w:val="0021123B"/>
    <w:rsid w:val="00211432"/>
    <w:rsid w:val="002114AE"/>
    <w:rsid w:val="00211534"/>
    <w:rsid w:val="002115F1"/>
    <w:rsid w:val="00211679"/>
    <w:rsid w:val="00211768"/>
    <w:rsid w:val="002117AD"/>
    <w:rsid w:val="002117B1"/>
    <w:rsid w:val="002117C5"/>
    <w:rsid w:val="0021180C"/>
    <w:rsid w:val="002118B1"/>
    <w:rsid w:val="00211A59"/>
    <w:rsid w:val="00211B40"/>
    <w:rsid w:val="00211C77"/>
    <w:rsid w:val="00211D59"/>
    <w:rsid w:val="00211D88"/>
    <w:rsid w:val="00211E81"/>
    <w:rsid w:val="00211EFD"/>
    <w:rsid w:val="002120E9"/>
    <w:rsid w:val="0021219C"/>
    <w:rsid w:val="0021241B"/>
    <w:rsid w:val="0021249E"/>
    <w:rsid w:val="002124A8"/>
    <w:rsid w:val="00212547"/>
    <w:rsid w:val="0021271E"/>
    <w:rsid w:val="00212778"/>
    <w:rsid w:val="002127F8"/>
    <w:rsid w:val="00212829"/>
    <w:rsid w:val="002128A2"/>
    <w:rsid w:val="00212A23"/>
    <w:rsid w:val="00212B0A"/>
    <w:rsid w:val="00212CC2"/>
    <w:rsid w:val="00212CD1"/>
    <w:rsid w:val="00212DAF"/>
    <w:rsid w:val="00212EF8"/>
    <w:rsid w:val="00212F09"/>
    <w:rsid w:val="00212FA2"/>
    <w:rsid w:val="00212FF3"/>
    <w:rsid w:val="002130FE"/>
    <w:rsid w:val="00213340"/>
    <w:rsid w:val="00213434"/>
    <w:rsid w:val="002138F0"/>
    <w:rsid w:val="002139E4"/>
    <w:rsid w:val="002139F0"/>
    <w:rsid w:val="00213A71"/>
    <w:rsid w:val="00213A7E"/>
    <w:rsid w:val="00213BAA"/>
    <w:rsid w:val="00213BD5"/>
    <w:rsid w:val="00213D6D"/>
    <w:rsid w:val="00213D81"/>
    <w:rsid w:val="00214076"/>
    <w:rsid w:val="002140A3"/>
    <w:rsid w:val="002140E6"/>
    <w:rsid w:val="00214412"/>
    <w:rsid w:val="002144A3"/>
    <w:rsid w:val="0021460F"/>
    <w:rsid w:val="00214660"/>
    <w:rsid w:val="0021473F"/>
    <w:rsid w:val="00214E1D"/>
    <w:rsid w:val="002151EF"/>
    <w:rsid w:val="00215361"/>
    <w:rsid w:val="002153C4"/>
    <w:rsid w:val="00215461"/>
    <w:rsid w:val="002155B2"/>
    <w:rsid w:val="002155D7"/>
    <w:rsid w:val="002155DA"/>
    <w:rsid w:val="002156A7"/>
    <w:rsid w:val="00215794"/>
    <w:rsid w:val="002157BF"/>
    <w:rsid w:val="00215874"/>
    <w:rsid w:val="0021596C"/>
    <w:rsid w:val="00215A2B"/>
    <w:rsid w:val="00215B75"/>
    <w:rsid w:val="00215C0D"/>
    <w:rsid w:val="00215C70"/>
    <w:rsid w:val="002160F4"/>
    <w:rsid w:val="002161F3"/>
    <w:rsid w:val="002162FD"/>
    <w:rsid w:val="002164AC"/>
    <w:rsid w:val="0021650A"/>
    <w:rsid w:val="00216511"/>
    <w:rsid w:val="002165BC"/>
    <w:rsid w:val="0021660D"/>
    <w:rsid w:val="00216830"/>
    <w:rsid w:val="0021687D"/>
    <w:rsid w:val="002169C4"/>
    <w:rsid w:val="002169CA"/>
    <w:rsid w:val="002169D2"/>
    <w:rsid w:val="00216A4C"/>
    <w:rsid w:val="00216A57"/>
    <w:rsid w:val="00216B50"/>
    <w:rsid w:val="00216CE9"/>
    <w:rsid w:val="00216DEC"/>
    <w:rsid w:val="00217055"/>
    <w:rsid w:val="00217200"/>
    <w:rsid w:val="00217228"/>
    <w:rsid w:val="00217436"/>
    <w:rsid w:val="002175D3"/>
    <w:rsid w:val="002176D2"/>
    <w:rsid w:val="002178A8"/>
    <w:rsid w:val="00217ABB"/>
    <w:rsid w:val="00217D8D"/>
    <w:rsid w:val="00217E71"/>
    <w:rsid w:val="00217FA4"/>
    <w:rsid w:val="00217FB9"/>
    <w:rsid w:val="002200B3"/>
    <w:rsid w:val="002200B7"/>
    <w:rsid w:val="0022024C"/>
    <w:rsid w:val="002202F3"/>
    <w:rsid w:val="0022030D"/>
    <w:rsid w:val="002204D9"/>
    <w:rsid w:val="00220626"/>
    <w:rsid w:val="0022075F"/>
    <w:rsid w:val="00220829"/>
    <w:rsid w:val="002209AD"/>
    <w:rsid w:val="00220A6E"/>
    <w:rsid w:val="00220AB2"/>
    <w:rsid w:val="00220D4E"/>
    <w:rsid w:val="00220E37"/>
    <w:rsid w:val="0022139B"/>
    <w:rsid w:val="0022169B"/>
    <w:rsid w:val="0022177B"/>
    <w:rsid w:val="0022186F"/>
    <w:rsid w:val="002218E1"/>
    <w:rsid w:val="00221BDA"/>
    <w:rsid w:val="00221CC5"/>
    <w:rsid w:val="00221DB6"/>
    <w:rsid w:val="00222101"/>
    <w:rsid w:val="00222211"/>
    <w:rsid w:val="0022226B"/>
    <w:rsid w:val="00222463"/>
    <w:rsid w:val="00222532"/>
    <w:rsid w:val="00222553"/>
    <w:rsid w:val="002226E5"/>
    <w:rsid w:val="00222705"/>
    <w:rsid w:val="002227EE"/>
    <w:rsid w:val="00222818"/>
    <w:rsid w:val="00222843"/>
    <w:rsid w:val="00222889"/>
    <w:rsid w:val="00222939"/>
    <w:rsid w:val="0022297C"/>
    <w:rsid w:val="00222AA4"/>
    <w:rsid w:val="00222AB8"/>
    <w:rsid w:val="00222C7E"/>
    <w:rsid w:val="00222DA6"/>
    <w:rsid w:val="00223143"/>
    <w:rsid w:val="00223185"/>
    <w:rsid w:val="002231B0"/>
    <w:rsid w:val="002231C0"/>
    <w:rsid w:val="002235EF"/>
    <w:rsid w:val="00223626"/>
    <w:rsid w:val="00223771"/>
    <w:rsid w:val="00223898"/>
    <w:rsid w:val="00223923"/>
    <w:rsid w:val="002239E6"/>
    <w:rsid w:val="002239E9"/>
    <w:rsid w:val="00223A6E"/>
    <w:rsid w:val="00223BA8"/>
    <w:rsid w:val="00223C2B"/>
    <w:rsid w:val="00223F3A"/>
    <w:rsid w:val="0022411A"/>
    <w:rsid w:val="00224362"/>
    <w:rsid w:val="00224378"/>
    <w:rsid w:val="0022452F"/>
    <w:rsid w:val="0022470E"/>
    <w:rsid w:val="0022488B"/>
    <w:rsid w:val="00224B85"/>
    <w:rsid w:val="00224BDD"/>
    <w:rsid w:val="00224C2F"/>
    <w:rsid w:val="00224D72"/>
    <w:rsid w:val="00224D9A"/>
    <w:rsid w:val="00224DAB"/>
    <w:rsid w:val="00224F62"/>
    <w:rsid w:val="0022514B"/>
    <w:rsid w:val="002251FF"/>
    <w:rsid w:val="0022530A"/>
    <w:rsid w:val="002253C8"/>
    <w:rsid w:val="00225493"/>
    <w:rsid w:val="00225672"/>
    <w:rsid w:val="00225775"/>
    <w:rsid w:val="0022585F"/>
    <w:rsid w:val="00225A02"/>
    <w:rsid w:val="00225A39"/>
    <w:rsid w:val="00225B11"/>
    <w:rsid w:val="00225D21"/>
    <w:rsid w:val="00225DB5"/>
    <w:rsid w:val="00225E18"/>
    <w:rsid w:val="00225E39"/>
    <w:rsid w:val="00225FAE"/>
    <w:rsid w:val="00226228"/>
    <w:rsid w:val="002264F5"/>
    <w:rsid w:val="00226710"/>
    <w:rsid w:val="00226958"/>
    <w:rsid w:val="00226C31"/>
    <w:rsid w:val="00226C58"/>
    <w:rsid w:val="00226C68"/>
    <w:rsid w:val="00226C69"/>
    <w:rsid w:val="00226C92"/>
    <w:rsid w:val="00226D7B"/>
    <w:rsid w:val="00226DD2"/>
    <w:rsid w:val="0022704E"/>
    <w:rsid w:val="00227062"/>
    <w:rsid w:val="002271E2"/>
    <w:rsid w:val="002272F2"/>
    <w:rsid w:val="00227369"/>
    <w:rsid w:val="0022754C"/>
    <w:rsid w:val="00227684"/>
    <w:rsid w:val="0022779E"/>
    <w:rsid w:val="002278C2"/>
    <w:rsid w:val="00227A69"/>
    <w:rsid w:val="00227C64"/>
    <w:rsid w:val="00230050"/>
    <w:rsid w:val="002305EB"/>
    <w:rsid w:val="0023063D"/>
    <w:rsid w:val="0023067C"/>
    <w:rsid w:val="002306FF"/>
    <w:rsid w:val="00230748"/>
    <w:rsid w:val="0023081B"/>
    <w:rsid w:val="00230829"/>
    <w:rsid w:val="00230883"/>
    <w:rsid w:val="002309F5"/>
    <w:rsid w:val="002309FA"/>
    <w:rsid w:val="00230AD0"/>
    <w:rsid w:val="00230B9E"/>
    <w:rsid w:val="00230CB7"/>
    <w:rsid w:val="00230DD6"/>
    <w:rsid w:val="00230E04"/>
    <w:rsid w:val="00230E18"/>
    <w:rsid w:val="00230E56"/>
    <w:rsid w:val="00230F1E"/>
    <w:rsid w:val="002310DC"/>
    <w:rsid w:val="00231225"/>
    <w:rsid w:val="002312EB"/>
    <w:rsid w:val="00231355"/>
    <w:rsid w:val="00231458"/>
    <w:rsid w:val="0023146D"/>
    <w:rsid w:val="002314BF"/>
    <w:rsid w:val="00231607"/>
    <w:rsid w:val="002316BD"/>
    <w:rsid w:val="00231726"/>
    <w:rsid w:val="00231825"/>
    <w:rsid w:val="00231A45"/>
    <w:rsid w:val="00231B84"/>
    <w:rsid w:val="00231BFA"/>
    <w:rsid w:val="00231C5A"/>
    <w:rsid w:val="002321F1"/>
    <w:rsid w:val="00232264"/>
    <w:rsid w:val="002328E9"/>
    <w:rsid w:val="0023290E"/>
    <w:rsid w:val="00232A41"/>
    <w:rsid w:val="00232A84"/>
    <w:rsid w:val="00232B2F"/>
    <w:rsid w:val="00232B86"/>
    <w:rsid w:val="00232C6A"/>
    <w:rsid w:val="00232C97"/>
    <w:rsid w:val="00232CE1"/>
    <w:rsid w:val="00232DAC"/>
    <w:rsid w:val="00232F4F"/>
    <w:rsid w:val="00233432"/>
    <w:rsid w:val="002334CD"/>
    <w:rsid w:val="00233820"/>
    <w:rsid w:val="0023392D"/>
    <w:rsid w:val="0023392E"/>
    <w:rsid w:val="002339D3"/>
    <w:rsid w:val="00233A3C"/>
    <w:rsid w:val="00233BCC"/>
    <w:rsid w:val="00233CF8"/>
    <w:rsid w:val="00233ED6"/>
    <w:rsid w:val="00233F8F"/>
    <w:rsid w:val="002341C6"/>
    <w:rsid w:val="00234432"/>
    <w:rsid w:val="002344D0"/>
    <w:rsid w:val="002345E3"/>
    <w:rsid w:val="00234653"/>
    <w:rsid w:val="0023468F"/>
    <w:rsid w:val="0023471E"/>
    <w:rsid w:val="00234762"/>
    <w:rsid w:val="00234858"/>
    <w:rsid w:val="00234868"/>
    <w:rsid w:val="002348CA"/>
    <w:rsid w:val="002349EB"/>
    <w:rsid w:val="00234B20"/>
    <w:rsid w:val="00234B21"/>
    <w:rsid w:val="00234BE7"/>
    <w:rsid w:val="00234F0E"/>
    <w:rsid w:val="0023502C"/>
    <w:rsid w:val="0023508B"/>
    <w:rsid w:val="002350B8"/>
    <w:rsid w:val="00235331"/>
    <w:rsid w:val="00235449"/>
    <w:rsid w:val="002354B0"/>
    <w:rsid w:val="00235505"/>
    <w:rsid w:val="00235531"/>
    <w:rsid w:val="002355D7"/>
    <w:rsid w:val="00235C30"/>
    <w:rsid w:val="00235CA2"/>
    <w:rsid w:val="00235DAB"/>
    <w:rsid w:val="00235EF5"/>
    <w:rsid w:val="00235F25"/>
    <w:rsid w:val="00235FBC"/>
    <w:rsid w:val="0023615E"/>
    <w:rsid w:val="002363CD"/>
    <w:rsid w:val="00236517"/>
    <w:rsid w:val="00236605"/>
    <w:rsid w:val="00236705"/>
    <w:rsid w:val="002367B7"/>
    <w:rsid w:val="002367D6"/>
    <w:rsid w:val="0023692B"/>
    <w:rsid w:val="0023696B"/>
    <w:rsid w:val="002369D8"/>
    <w:rsid w:val="00236B0C"/>
    <w:rsid w:val="00236C0B"/>
    <w:rsid w:val="00236DCF"/>
    <w:rsid w:val="00236F2B"/>
    <w:rsid w:val="00237056"/>
    <w:rsid w:val="0023726C"/>
    <w:rsid w:val="00237535"/>
    <w:rsid w:val="00237555"/>
    <w:rsid w:val="002375FD"/>
    <w:rsid w:val="00237616"/>
    <w:rsid w:val="002379D4"/>
    <w:rsid w:val="00237A64"/>
    <w:rsid w:val="00237CE9"/>
    <w:rsid w:val="00237CFA"/>
    <w:rsid w:val="0024003B"/>
    <w:rsid w:val="00240067"/>
    <w:rsid w:val="002403A0"/>
    <w:rsid w:val="002403BB"/>
    <w:rsid w:val="002403C7"/>
    <w:rsid w:val="00240548"/>
    <w:rsid w:val="002405AF"/>
    <w:rsid w:val="0024075B"/>
    <w:rsid w:val="002408A5"/>
    <w:rsid w:val="002408C2"/>
    <w:rsid w:val="002408E9"/>
    <w:rsid w:val="00240A09"/>
    <w:rsid w:val="00240AF1"/>
    <w:rsid w:val="00240B4A"/>
    <w:rsid w:val="00240D5C"/>
    <w:rsid w:val="00240DA9"/>
    <w:rsid w:val="00240DBB"/>
    <w:rsid w:val="00240DD6"/>
    <w:rsid w:val="00240E68"/>
    <w:rsid w:val="0024103C"/>
    <w:rsid w:val="00241147"/>
    <w:rsid w:val="002411A3"/>
    <w:rsid w:val="0024129A"/>
    <w:rsid w:val="0024132B"/>
    <w:rsid w:val="00241379"/>
    <w:rsid w:val="0024149C"/>
    <w:rsid w:val="002416B5"/>
    <w:rsid w:val="002416DF"/>
    <w:rsid w:val="002417B4"/>
    <w:rsid w:val="002417C1"/>
    <w:rsid w:val="002417E9"/>
    <w:rsid w:val="0024180D"/>
    <w:rsid w:val="00241DAF"/>
    <w:rsid w:val="00242029"/>
    <w:rsid w:val="002421BB"/>
    <w:rsid w:val="0024223D"/>
    <w:rsid w:val="0024233B"/>
    <w:rsid w:val="002423C0"/>
    <w:rsid w:val="00242422"/>
    <w:rsid w:val="0024246E"/>
    <w:rsid w:val="00242728"/>
    <w:rsid w:val="00242735"/>
    <w:rsid w:val="002427CE"/>
    <w:rsid w:val="00242896"/>
    <w:rsid w:val="0024294F"/>
    <w:rsid w:val="00242A63"/>
    <w:rsid w:val="00242B24"/>
    <w:rsid w:val="00242B71"/>
    <w:rsid w:val="00242B94"/>
    <w:rsid w:val="00242BF2"/>
    <w:rsid w:val="00242C14"/>
    <w:rsid w:val="00242CAB"/>
    <w:rsid w:val="00242DCE"/>
    <w:rsid w:val="00242DFB"/>
    <w:rsid w:val="00242FE3"/>
    <w:rsid w:val="0024304B"/>
    <w:rsid w:val="0024322B"/>
    <w:rsid w:val="00243258"/>
    <w:rsid w:val="00243267"/>
    <w:rsid w:val="0024337B"/>
    <w:rsid w:val="0024356A"/>
    <w:rsid w:val="002435C9"/>
    <w:rsid w:val="002435EB"/>
    <w:rsid w:val="00243A1E"/>
    <w:rsid w:val="00243C25"/>
    <w:rsid w:val="00243CA9"/>
    <w:rsid w:val="00243CCF"/>
    <w:rsid w:val="00243DD4"/>
    <w:rsid w:val="00243DFE"/>
    <w:rsid w:val="00243F08"/>
    <w:rsid w:val="00243FC3"/>
    <w:rsid w:val="00243FFD"/>
    <w:rsid w:val="00244005"/>
    <w:rsid w:val="00244068"/>
    <w:rsid w:val="002440B5"/>
    <w:rsid w:val="00244188"/>
    <w:rsid w:val="002441AF"/>
    <w:rsid w:val="00244576"/>
    <w:rsid w:val="0024471F"/>
    <w:rsid w:val="002448A7"/>
    <w:rsid w:val="002448D3"/>
    <w:rsid w:val="00244A03"/>
    <w:rsid w:val="00244A16"/>
    <w:rsid w:val="00244B33"/>
    <w:rsid w:val="00244C90"/>
    <w:rsid w:val="00244DC2"/>
    <w:rsid w:val="00244DDE"/>
    <w:rsid w:val="00244E26"/>
    <w:rsid w:val="00244E5A"/>
    <w:rsid w:val="00244E96"/>
    <w:rsid w:val="00244EC6"/>
    <w:rsid w:val="00244F46"/>
    <w:rsid w:val="00244FA5"/>
    <w:rsid w:val="00244FEF"/>
    <w:rsid w:val="00245089"/>
    <w:rsid w:val="002453C8"/>
    <w:rsid w:val="00245493"/>
    <w:rsid w:val="002455E7"/>
    <w:rsid w:val="002457E0"/>
    <w:rsid w:val="00245981"/>
    <w:rsid w:val="002459A9"/>
    <w:rsid w:val="002459DA"/>
    <w:rsid w:val="00245A71"/>
    <w:rsid w:val="00245AC0"/>
    <w:rsid w:val="00245B5C"/>
    <w:rsid w:val="00245B65"/>
    <w:rsid w:val="00245B93"/>
    <w:rsid w:val="00245F19"/>
    <w:rsid w:val="00246264"/>
    <w:rsid w:val="0024627B"/>
    <w:rsid w:val="002463BF"/>
    <w:rsid w:val="00246647"/>
    <w:rsid w:val="00246816"/>
    <w:rsid w:val="00246841"/>
    <w:rsid w:val="0024688D"/>
    <w:rsid w:val="002468B2"/>
    <w:rsid w:val="00246C69"/>
    <w:rsid w:val="00246DDA"/>
    <w:rsid w:val="00246EF7"/>
    <w:rsid w:val="00247243"/>
    <w:rsid w:val="002472E3"/>
    <w:rsid w:val="002473A8"/>
    <w:rsid w:val="0024747C"/>
    <w:rsid w:val="00247498"/>
    <w:rsid w:val="002474CE"/>
    <w:rsid w:val="002478FC"/>
    <w:rsid w:val="00247A75"/>
    <w:rsid w:val="00247CC2"/>
    <w:rsid w:val="00247D8A"/>
    <w:rsid w:val="00247E6A"/>
    <w:rsid w:val="00247F9A"/>
    <w:rsid w:val="00250043"/>
    <w:rsid w:val="00250186"/>
    <w:rsid w:val="002502E4"/>
    <w:rsid w:val="002502ED"/>
    <w:rsid w:val="002504E7"/>
    <w:rsid w:val="00250530"/>
    <w:rsid w:val="0025065A"/>
    <w:rsid w:val="00250764"/>
    <w:rsid w:val="0025090C"/>
    <w:rsid w:val="00250CC0"/>
    <w:rsid w:val="00250E8A"/>
    <w:rsid w:val="00250FA5"/>
    <w:rsid w:val="0025109D"/>
    <w:rsid w:val="00251118"/>
    <w:rsid w:val="002511E2"/>
    <w:rsid w:val="002512BE"/>
    <w:rsid w:val="00251408"/>
    <w:rsid w:val="00251508"/>
    <w:rsid w:val="00251535"/>
    <w:rsid w:val="0025157E"/>
    <w:rsid w:val="002515B9"/>
    <w:rsid w:val="002515FF"/>
    <w:rsid w:val="00251630"/>
    <w:rsid w:val="0025169F"/>
    <w:rsid w:val="002517AE"/>
    <w:rsid w:val="002517FD"/>
    <w:rsid w:val="00251AFF"/>
    <w:rsid w:val="00251C05"/>
    <w:rsid w:val="00251CBA"/>
    <w:rsid w:val="00251D60"/>
    <w:rsid w:val="00251DB4"/>
    <w:rsid w:val="00251EC5"/>
    <w:rsid w:val="0025252B"/>
    <w:rsid w:val="00252531"/>
    <w:rsid w:val="002529C4"/>
    <w:rsid w:val="00252B28"/>
    <w:rsid w:val="00252B43"/>
    <w:rsid w:val="00252B68"/>
    <w:rsid w:val="00252BB4"/>
    <w:rsid w:val="00252C4E"/>
    <w:rsid w:val="00252CDD"/>
    <w:rsid w:val="00252E41"/>
    <w:rsid w:val="00253109"/>
    <w:rsid w:val="002531C2"/>
    <w:rsid w:val="00253435"/>
    <w:rsid w:val="00253461"/>
    <w:rsid w:val="00253481"/>
    <w:rsid w:val="00253555"/>
    <w:rsid w:val="0025361D"/>
    <w:rsid w:val="00253647"/>
    <w:rsid w:val="0025366E"/>
    <w:rsid w:val="00253746"/>
    <w:rsid w:val="002537DF"/>
    <w:rsid w:val="00253957"/>
    <w:rsid w:val="0025398B"/>
    <w:rsid w:val="00253D47"/>
    <w:rsid w:val="00253ECC"/>
    <w:rsid w:val="00253F07"/>
    <w:rsid w:val="0025400E"/>
    <w:rsid w:val="00254218"/>
    <w:rsid w:val="002545ED"/>
    <w:rsid w:val="002545F7"/>
    <w:rsid w:val="0025466D"/>
    <w:rsid w:val="002546BE"/>
    <w:rsid w:val="002546CD"/>
    <w:rsid w:val="00254726"/>
    <w:rsid w:val="002548E9"/>
    <w:rsid w:val="0025491F"/>
    <w:rsid w:val="0025496D"/>
    <w:rsid w:val="00254BA2"/>
    <w:rsid w:val="00254EA3"/>
    <w:rsid w:val="00254EE1"/>
    <w:rsid w:val="00254F45"/>
    <w:rsid w:val="00254FF9"/>
    <w:rsid w:val="00255413"/>
    <w:rsid w:val="002555A6"/>
    <w:rsid w:val="002556B0"/>
    <w:rsid w:val="0025570E"/>
    <w:rsid w:val="00255858"/>
    <w:rsid w:val="00255865"/>
    <w:rsid w:val="00255963"/>
    <w:rsid w:val="00255B58"/>
    <w:rsid w:val="00255BD6"/>
    <w:rsid w:val="00255C4D"/>
    <w:rsid w:val="00255D58"/>
    <w:rsid w:val="00256160"/>
    <w:rsid w:val="002561FB"/>
    <w:rsid w:val="002561FD"/>
    <w:rsid w:val="002562B7"/>
    <w:rsid w:val="0025646C"/>
    <w:rsid w:val="00256551"/>
    <w:rsid w:val="00256587"/>
    <w:rsid w:val="00256596"/>
    <w:rsid w:val="00256795"/>
    <w:rsid w:val="00256982"/>
    <w:rsid w:val="002569C9"/>
    <w:rsid w:val="00256A60"/>
    <w:rsid w:val="00256AB2"/>
    <w:rsid w:val="00256AF6"/>
    <w:rsid w:val="00256B48"/>
    <w:rsid w:val="00256D0A"/>
    <w:rsid w:val="00256F22"/>
    <w:rsid w:val="00256F67"/>
    <w:rsid w:val="00256F93"/>
    <w:rsid w:val="002574B7"/>
    <w:rsid w:val="00257533"/>
    <w:rsid w:val="00257623"/>
    <w:rsid w:val="00257827"/>
    <w:rsid w:val="0025788A"/>
    <w:rsid w:val="00257A37"/>
    <w:rsid w:val="00257AA7"/>
    <w:rsid w:val="00257BDC"/>
    <w:rsid w:val="00257EB3"/>
    <w:rsid w:val="00257EB7"/>
    <w:rsid w:val="0026015B"/>
    <w:rsid w:val="002601F0"/>
    <w:rsid w:val="00260397"/>
    <w:rsid w:val="00260484"/>
    <w:rsid w:val="0026053F"/>
    <w:rsid w:val="0026067F"/>
    <w:rsid w:val="002609BD"/>
    <w:rsid w:val="002609E1"/>
    <w:rsid w:val="00260B65"/>
    <w:rsid w:val="00260B99"/>
    <w:rsid w:val="00260C37"/>
    <w:rsid w:val="00260CE4"/>
    <w:rsid w:val="00260CED"/>
    <w:rsid w:val="00260D4C"/>
    <w:rsid w:val="00260E3E"/>
    <w:rsid w:val="00260F1A"/>
    <w:rsid w:val="0026159B"/>
    <w:rsid w:val="0026159E"/>
    <w:rsid w:val="00261727"/>
    <w:rsid w:val="002617DC"/>
    <w:rsid w:val="002617E1"/>
    <w:rsid w:val="00261823"/>
    <w:rsid w:val="00261912"/>
    <w:rsid w:val="002619B5"/>
    <w:rsid w:val="00261C8B"/>
    <w:rsid w:val="00261E58"/>
    <w:rsid w:val="00261FE2"/>
    <w:rsid w:val="00262047"/>
    <w:rsid w:val="0026212A"/>
    <w:rsid w:val="00262174"/>
    <w:rsid w:val="002621BB"/>
    <w:rsid w:val="002621F8"/>
    <w:rsid w:val="0026239C"/>
    <w:rsid w:val="0026243D"/>
    <w:rsid w:val="00262466"/>
    <w:rsid w:val="0026251E"/>
    <w:rsid w:val="00262825"/>
    <w:rsid w:val="0026287D"/>
    <w:rsid w:val="00262B10"/>
    <w:rsid w:val="00262B94"/>
    <w:rsid w:val="00262C7A"/>
    <w:rsid w:val="00262D34"/>
    <w:rsid w:val="00262D37"/>
    <w:rsid w:val="00262D87"/>
    <w:rsid w:val="00262DBD"/>
    <w:rsid w:val="00262F3E"/>
    <w:rsid w:val="00262F98"/>
    <w:rsid w:val="002630D4"/>
    <w:rsid w:val="002630DC"/>
    <w:rsid w:val="00263118"/>
    <w:rsid w:val="00263204"/>
    <w:rsid w:val="00263408"/>
    <w:rsid w:val="0026344B"/>
    <w:rsid w:val="00263705"/>
    <w:rsid w:val="00263766"/>
    <w:rsid w:val="002639CB"/>
    <w:rsid w:val="00263CC7"/>
    <w:rsid w:val="00263CD6"/>
    <w:rsid w:val="00263E35"/>
    <w:rsid w:val="00264044"/>
    <w:rsid w:val="002640AA"/>
    <w:rsid w:val="002641C5"/>
    <w:rsid w:val="002642A4"/>
    <w:rsid w:val="00264599"/>
    <w:rsid w:val="002647F6"/>
    <w:rsid w:val="0026487B"/>
    <w:rsid w:val="00264AE3"/>
    <w:rsid w:val="00264AFC"/>
    <w:rsid w:val="00264BE9"/>
    <w:rsid w:val="00264C44"/>
    <w:rsid w:val="00264EE1"/>
    <w:rsid w:val="002651F8"/>
    <w:rsid w:val="0026533B"/>
    <w:rsid w:val="002653D7"/>
    <w:rsid w:val="00265432"/>
    <w:rsid w:val="00265663"/>
    <w:rsid w:val="002656DA"/>
    <w:rsid w:val="00265906"/>
    <w:rsid w:val="00265AD0"/>
    <w:rsid w:val="00265BC5"/>
    <w:rsid w:val="00265CB3"/>
    <w:rsid w:val="00265CF1"/>
    <w:rsid w:val="00265EE5"/>
    <w:rsid w:val="00265FDB"/>
    <w:rsid w:val="00266243"/>
    <w:rsid w:val="002662CA"/>
    <w:rsid w:val="002663C5"/>
    <w:rsid w:val="002664C2"/>
    <w:rsid w:val="00266776"/>
    <w:rsid w:val="0026679B"/>
    <w:rsid w:val="0026692F"/>
    <w:rsid w:val="002669FD"/>
    <w:rsid w:val="00266B28"/>
    <w:rsid w:val="00266B8B"/>
    <w:rsid w:val="00266D74"/>
    <w:rsid w:val="0026713C"/>
    <w:rsid w:val="0026718E"/>
    <w:rsid w:val="002672B0"/>
    <w:rsid w:val="00267389"/>
    <w:rsid w:val="002675B7"/>
    <w:rsid w:val="0026775E"/>
    <w:rsid w:val="0026794A"/>
    <w:rsid w:val="00267A46"/>
    <w:rsid w:val="00267A4B"/>
    <w:rsid w:val="00267B22"/>
    <w:rsid w:val="00267B54"/>
    <w:rsid w:val="00267CC3"/>
    <w:rsid w:val="00267E5A"/>
    <w:rsid w:val="002701A3"/>
    <w:rsid w:val="00270224"/>
    <w:rsid w:val="002702A4"/>
    <w:rsid w:val="00270392"/>
    <w:rsid w:val="00270430"/>
    <w:rsid w:val="002705BC"/>
    <w:rsid w:val="0027066F"/>
    <w:rsid w:val="0027068A"/>
    <w:rsid w:val="00270696"/>
    <w:rsid w:val="002706FD"/>
    <w:rsid w:val="00270886"/>
    <w:rsid w:val="002708CA"/>
    <w:rsid w:val="00270B26"/>
    <w:rsid w:val="00270B6F"/>
    <w:rsid w:val="00270BBC"/>
    <w:rsid w:val="00270F2B"/>
    <w:rsid w:val="00270FC0"/>
    <w:rsid w:val="002710B1"/>
    <w:rsid w:val="002710CB"/>
    <w:rsid w:val="00271164"/>
    <w:rsid w:val="00271360"/>
    <w:rsid w:val="00271365"/>
    <w:rsid w:val="002713FC"/>
    <w:rsid w:val="002714E1"/>
    <w:rsid w:val="002714F4"/>
    <w:rsid w:val="002715A6"/>
    <w:rsid w:val="002715DF"/>
    <w:rsid w:val="00271677"/>
    <w:rsid w:val="002717E2"/>
    <w:rsid w:val="00271964"/>
    <w:rsid w:val="00271A7B"/>
    <w:rsid w:val="00271ACC"/>
    <w:rsid w:val="00271DEA"/>
    <w:rsid w:val="00271FC3"/>
    <w:rsid w:val="00271FEF"/>
    <w:rsid w:val="00272159"/>
    <w:rsid w:val="0027215B"/>
    <w:rsid w:val="00272295"/>
    <w:rsid w:val="002723B1"/>
    <w:rsid w:val="00272654"/>
    <w:rsid w:val="0027282E"/>
    <w:rsid w:val="002728C3"/>
    <w:rsid w:val="0027294E"/>
    <w:rsid w:val="0027296C"/>
    <w:rsid w:val="00272A50"/>
    <w:rsid w:val="00272C81"/>
    <w:rsid w:val="00272CB3"/>
    <w:rsid w:val="00272F1D"/>
    <w:rsid w:val="00273152"/>
    <w:rsid w:val="00273223"/>
    <w:rsid w:val="002734AC"/>
    <w:rsid w:val="0027359B"/>
    <w:rsid w:val="002736CD"/>
    <w:rsid w:val="0027378D"/>
    <w:rsid w:val="00273803"/>
    <w:rsid w:val="002739F3"/>
    <w:rsid w:val="00273AA3"/>
    <w:rsid w:val="00273B65"/>
    <w:rsid w:val="00273F34"/>
    <w:rsid w:val="00273F7A"/>
    <w:rsid w:val="0027402B"/>
    <w:rsid w:val="0027427A"/>
    <w:rsid w:val="002742AE"/>
    <w:rsid w:val="002743D0"/>
    <w:rsid w:val="002745ED"/>
    <w:rsid w:val="00274860"/>
    <w:rsid w:val="0027487C"/>
    <w:rsid w:val="00274A1A"/>
    <w:rsid w:val="00274A76"/>
    <w:rsid w:val="00274AB3"/>
    <w:rsid w:val="00274F15"/>
    <w:rsid w:val="00274FD7"/>
    <w:rsid w:val="00275034"/>
    <w:rsid w:val="00275100"/>
    <w:rsid w:val="002751FC"/>
    <w:rsid w:val="00275281"/>
    <w:rsid w:val="0027541B"/>
    <w:rsid w:val="002754F0"/>
    <w:rsid w:val="0027556A"/>
    <w:rsid w:val="002757BB"/>
    <w:rsid w:val="002758A1"/>
    <w:rsid w:val="00275D6B"/>
    <w:rsid w:val="00275F78"/>
    <w:rsid w:val="0027642B"/>
    <w:rsid w:val="002766CD"/>
    <w:rsid w:val="00276787"/>
    <w:rsid w:val="0027679B"/>
    <w:rsid w:val="002768DD"/>
    <w:rsid w:val="00276929"/>
    <w:rsid w:val="002769B4"/>
    <w:rsid w:val="00276AFA"/>
    <w:rsid w:val="00276BA9"/>
    <w:rsid w:val="00276C4D"/>
    <w:rsid w:val="00276C53"/>
    <w:rsid w:val="00276CC1"/>
    <w:rsid w:val="00276D85"/>
    <w:rsid w:val="00276FAB"/>
    <w:rsid w:val="0027720D"/>
    <w:rsid w:val="002772DF"/>
    <w:rsid w:val="00277356"/>
    <w:rsid w:val="00277460"/>
    <w:rsid w:val="0027748E"/>
    <w:rsid w:val="002774A5"/>
    <w:rsid w:val="002775A3"/>
    <w:rsid w:val="002775CA"/>
    <w:rsid w:val="002775E3"/>
    <w:rsid w:val="002775FA"/>
    <w:rsid w:val="00277701"/>
    <w:rsid w:val="00277718"/>
    <w:rsid w:val="00277882"/>
    <w:rsid w:val="00277B00"/>
    <w:rsid w:val="00277BEB"/>
    <w:rsid w:val="00277E32"/>
    <w:rsid w:val="00280153"/>
    <w:rsid w:val="002801D9"/>
    <w:rsid w:val="0028024D"/>
    <w:rsid w:val="002804CA"/>
    <w:rsid w:val="00280546"/>
    <w:rsid w:val="00280680"/>
    <w:rsid w:val="002806FF"/>
    <w:rsid w:val="00280742"/>
    <w:rsid w:val="0028078E"/>
    <w:rsid w:val="00280A64"/>
    <w:rsid w:val="00280AB2"/>
    <w:rsid w:val="00280B70"/>
    <w:rsid w:val="00280E1C"/>
    <w:rsid w:val="00281007"/>
    <w:rsid w:val="0028104B"/>
    <w:rsid w:val="00281063"/>
    <w:rsid w:val="0028115C"/>
    <w:rsid w:val="002811DE"/>
    <w:rsid w:val="0028124D"/>
    <w:rsid w:val="0028139F"/>
    <w:rsid w:val="00281493"/>
    <w:rsid w:val="002815D1"/>
    <w:rsid w:val="0028183C"/>
    <w:rsid w:val="00281A77"/>
    <w:rsid w:val="00281AF3"/>
    <w:rsid w:val="00281B3A"/>
    <w:rsid w:val="00281CB9"/>
    <w:rsid w:val="00281E14"/>
    <w:rsid w:val="00281ECE"/>
    <w:rsid w:val="00282007"/>
    <w:rsid w:val="002820BD"/>
    <w:rsid w:val="00282113"/>
    <w:rsid w:val="0028219C"/>
    <w:rsid w:val="00282229"/>
    <w:rsid w:val="002822A0"/>
    <w:rsid w:val="00282399"/>
    <w:rsid w:val="002823AE"/>
    <w:rsid w:val="002823E2"/>
    <w:rsid w:val="002824FE"/>
    <w:rsid w:val="002825CA"/>
    <w:rsid w:val="0028271C"/>
    <w:rsid w:val="0028277C"/>
    <w:rsid w:val="002827ED"/>
    <w:rsid w:val="002828AA"/>
    <w:rsid w:val="00282929"/>
    <w:rsid w:val="00282A6E"/>
    <w:rsid w:val="00282CE8"/>
    <w:rsid w:val="00282D84"/>
    <w:rsid w:val="00282E92"/>
    <w:rsid w:val="00282ECA"/>
    <w:rsid w:val="00282F2A"/>
    <w:rsid w:val="00282FA4"/>
    <w:rsid w:val="00282FF2"/>
    <w:rsid w:val="00283005"/>
    <w:rsid w:val="002831A8"/>
    <w:rsid w:val="002832EB"/>
    <w:rsid w:val="002834D9"/>
    <w:rsid w:val="00283508"/>
    <w:rsid w:val="00283576"/>
    <w:rsid w:val="002835FD"/>
    <w:rsid w:val="00283704"/>
    <w:rsid w:val="002839A9"/>
    <w:rsid w:val="00283B69"/>
    <w:rsid w:val="00283C28"/>
    <w:rsid w:val="00283C2A"/>
    <w:rsid w:val="00283CE3"/>
    <w:rsid w:val="00283CF1"/>
    <w:rsid w:val="00283F8F"/>
    <w:rsid w:val="00283FEF"/>
    <w:rsid w:val="0028401C"/>
    <w:rsid w:val="00284093"/>
    <w:rsid w:val="002842CC"/>
    <w:rsid w:val="002842E1"/>
    <w:rsid w:val="002843C6"/>
    <w:rsid w:val="00284610"/>
    <w:rsid w:val="00284712"/>
    <w:rsid w:val="0028488F"/>
    <w:rsid w:val="0028494E"/>
    <w:rsid w:val="00284B29"/>
    <w:rsid w:val="00284BB1"/>
    <w:rsid w:val="00284C7A"/>
    <w:rsid w:val="0028512C"/>
    <w:rsid w:val="0028569B"/>
    <w:rsid w:val="002858FB"/>
    <w:rsid w:val="00285A16"/>
    <w:rsid w:val="00285EA1"/>
    <w:rsid w:val="0028604D"/>
    <w:rsid w:val="0028626D"/>
    <w:rsid w:val="002866D1"/>
    <w:rsid w:val="00286873"/>
    <w:rsid w:val="0028697C"/>
    <w:rsid w:val="00286AA9"/>
    <w:rsid w:val="00286B06"/>
    <w:rsid w:val="00286B94"/>
    <w:rsid w:val="00286BCB"/>
    <w:rsid w:val="00286F01"/>
    <w:rsid w:val="00286FA4"/>
    <w:rsid w:val="00287224"/>
    <w:rsid w:val="0028746A"/>
    <w:rsid w:val="002874C5"/>
    <w:rsid w:val="00287577"/>
    <w:rsid w:val="0028765C"/>
    <w:rsid w:val="00287801"/>
    <w:rsid w:val="00287852"/>
    <w:rsid w:val="0028787B"/>
    <w:rsid w:val="00287A85"/>
    <w:rsid w:val="00290009"/>
    <w:rsid w:val="0029042F"/>
    <w:rsid w:val="0029055E"/>
    <w:rsid w:val="0029064B"/>
    <w:rsid w:val="0029079F"/>
    <w:rsid w:val="002907EE"/>
    <w:rsid w:val="00290823"/>
    <w:rsid w:val="00290A03"/>
    <w:rsid w:val="00290E1C"/>
    <w:rsid w:val="00290F22"/>
    <w:rsid w:val="00290F6B"/>
    <w:rsid w:val="00291028"/>
    <w:rsid w:val="002910C3"/>
    <w:rsid w:val="00291107"/>
    <w:rsid w:val="00291173"/>
    <w:rsid w:val="002912DC"/>
    <w:rsid w:val="002913E4"/>
    <w:rsid w:val="00291629"/>
    <w:rsid w:val="0029164E"/>
    <w:rsid w:val="00291AB7"/>
    <w:rsid w:val="00291AE4"/>
    <w:rsid w:val="00291B05"/>
    <w:rsid w:val="00291D3F"/>
    <w:rsid w:val="00291DEF"/>
    <w:rsid w:val="00291DF7"/>
    <w:rsid w:val="00291DFF"/>
    <w:rsid w:val="00291E59"/>
    <w:rsid w:val="00291E87"/>
    <w:rsid w:val="00291EA2"/>
    <w:rsid w:val="00292002"/>
    <w:rsid w:val="0029202F"/>
    <w:rsid w:val="00292118"/>
    <w:rsid w:val="00292275"/>
    <w:rsid w:val="002922C8"/>
    <w:rsid w:val="002922E5"/>
    <w:rsid w:val="00292458"/>
    <w:rsid w:val="0029251A"/>
    <w:rsid w:val="00292525"/>
    <w:rsid w:val="00292557"/>
    <w:rsid w:val="0029275E"/>
    <w:rsid w:val="0029279E"/>
    <w:rsid w:val="00292847"/>
    <w:rsid w:val="00292884"/>
    <w:rsid w:val="00292BAC"/>
    <w:rsid w:val="00292BE3"/>
    <w:rsid w:val="00292CF5"/>
    <w:rsid w:val="00293115"/>
    <w:rsid w:val="00293153"/>
    <w:rsid w:val="002931BA"/>
    <w:rsid w:val="0029340E"/>
    <w:rsid w:val="002935C7"/>
    <w:rsid w:val="002935E7"/>
    <w:rsid w:val="00293660"/>
    <w:rsid w:val="00293A21"/>
    <w:rsid w:val="00293B88"/>
    <w:rsid w:val="00293B9C"/>
    <w:rsid w:val="00293CEA"/>
    <w:rsid w:val="00294049"/>
    <w:rsid w:val="00294102"/>
    <w:rsid w:val="002941DF"/>
    <w:rsid w:val="00294225"/>
    <w:rsid w:val="0029426E"/>
    <w:rsid w:val="002942E5"/>
    <w:rsid w:val="002942EF"/>
    <w:rsid w:val="00294434"/>
    <w:rsid w:val="002944A5"/>
    <w:rsid w:val="00294892"/>
    <w:rsid w:val="00294DB1"/>
    <w:rsid w:val="00294DDF"/>
    <w:rsid w:val="00294EC4"/>
    <w:rsid w:val="00294F44"/>
    <w:rsid w:val="00294FE3"/>
    <w:rsid w:val="00294FE8"/>
    <w:rsid w:val="0029521E"/>
    <w:rsid w:val="002953EB"/>
    <w:rsid w:val="00295509"/>
    <w:rsid w:val="00295655"/>
    <w:rsid w:val="0029576C"/>
    <w:rsid w:val="002957D8"/>
    <w:rsid w:val="00295996"/>
    <w:rsid w:val="002959CA"/>
    <w:rsid w:val="002959D2"/>
    <w:rsid w:val="00295A9B"/>
    <w:rsid w:val="00295B00"/>
    <w:rsid w:val="00295B99"/>
    <w:rsid w:val="00295EE0"/>
    <w:rsid w:val="00295FA5"/>
    <w:rsid w:val="00296118"/>
    <w:rsid w:val="00296120"/>
    <w:rsid w:val="00296187"/>
    <w:rsid w:val="002961E4"/>
    <w:rsid w:val="002964F6"/>
    <w:rsid w:val="002965EB"/>
    <w:rsid w:val="00296758"/>
    <w:rsid w:val="002968BC"/>
    <w:rsid w:val="002968C7"/>
    <w:rsid w:val="0029695E"/>
    <w:rsid w:val="00296BA6"/>
    <w:rsid w:val="00296C59"/>
    <w:rsid w:val="00296C66"/>
    <w:rsid w:val="00296C78"/>
    <w:rsid w:val="00296D0B"/>
    <w:rsid w:val="00296E9B"/>
    <w:rsid w:val="00296FB7"/>
    <w:rsid w:val="0029705C"/>
    <w:rsid w:val="002972EB"/>
    <w:rsid w:val="002973A9"/>
    <w:rsid w:val="00297590"/>
    <w:rsid w:val="0029772B"/>
    <w:rsid w:val="002977FF"/>
    <w:rsid w:val="0029786E"/>
    <w:rsid w:val="002978AE"/>
    <w:rsid w:val="00297969"/>
    <w:rsid w:val="00297996"/>
    <w:rsid w:val="002979BF"/>
    <w:rsid w:val="00297A10"/>
    <w:rsid w:val="00297B7B"/>
    <w:rsid w:val="00297E07"/>
    <w:rsid w:val="00297ED5"/>
    <w:rsid w:val="00297FF8"/>
    <w:rsid w:val="002A02C6"/>
    <w:rsid w:val="002A02D6"/>
    <w:rsid w:val="002A04A6"/>
    <w:rsid w:val="002A0774"/>
    <w:rsid w:val="002A07B4"/>
    <w:rsid w:val="002A08C9"/>
    <w:rsid w:val="002A0B6A"/>
    <w:rsid w:val="002A0B6F"/>
    <w:rsid w:val="002A0C35"/>
    <w:rsid w:val="002A0DA0"/>
    <w:rsid w:val="002A0E35"/>
    <w:rsid w:val="002A0F25"/>
    <w:rsid w:val="002A0FDF"/>
    <w:rsid w:val="002A12AD"/>
    <w:rsid w:val="002A13DE"/>
    <w:rsid w:val="002A149A"/>
    <w:rsid w:val="002A14E4"/>
    <w:rsid w:val="002A1528"/>
    <w:rsid w:val="002A160B"/>
    <w:rsid w:val="002A16D3"/>
    <w:rsid w:val="002A16E1"/>
    <w:rsid w:val="002A176C"/>
    <w:rsid w:val="002A1794"/>
    <w:rsid w:val="002A1799"/>
    <w:rsid w:val="002A1B1C"/>
    <w:rsid w:val="002A1BCE"/>
    <w:rsid w:val="002A1CDB"/>
    <w:rsid w:val="002A1F21"/>
    <w:rsid w:val="002A2007"/>
    <w:rsid w:val="002A22E2"/>
    <w:rsid w:val="002A2353"/>
    <w:rsid w:val="002A2396"/>
    <w:rsid w:val="002A2508"/>
    <w:rsid w:val="002A2680"/>
    <w:rsid w:val="002A2866"/>
    <w:rsid w:val="002A2883"/>
    <w:rsid w:val="002A28D5"/>
    <w:rsid w:val="002A2975"/>
    <w:rsid w:val="002A29A7"/>
    <w:rsid w:val="002A2A10"/>
    <w:rsid w:val="002A2A2E"/>
    <w:rsid w:val="002A2A59"/>
    <w:rsid w:val="002A2C8D"/>
    <w:rsid w:val="002A2C9D"/>
    <w:rsid w:val="002A2D66"/>
    <w:rsid w:val="002A2E04"/>
    <w:rsid w:val="002A2E3F"/>
    <w:rsid w:val="002A2EE1"/>
    <w:rsid w:val="002A2F6B"/>
    <w:rsid w:val="002A2FCA"/>
    <w:rsid w:val="002A316F"/>
    <w:rsid w:val="002A32DA"/>
    <w:rsid w:val="002A32ED"/>
    <w:rsid w:val="002A3752"/>
    <w:rsid w:val="002A3C20"/>
    <w:rsid w:val="002A3CBC"/>
    <w:rsid w:val="002A3CD8"/>
    <w:rsid w:val="002A3D8D"/>
    <w:rsid w:val="002A3E91"/>
    <w:rsid w:val="002A41D7"/>
    <w:rsid w:val="002A4208"/>
    <w:rsid w:val="002A43EF"/>
    <w:rsid w:val="002A442E"/>
    <w:rsid w:val="002A4525"/>
    <w:rsid w:val="002A45AC"/>
    <w:rsid w:val="002A45DD"/>
    <w:rsid w:val="002A465D"/>
    <w:rsid w:val="002A469E"/>
    <w:rsid w:val="002A46B0"/>
    <w:rsid w:val="002A47BD"/>
    <w:rsid w:val="002A485A"/>
    <w:rsid w:val="002A4934"/>
    <w:rsid w:val="002A49BE"/>
    <w:rsid w:val="002A4B99"/>
    <w:rsid w:val="002A4CDE"/>
    <w:rsid w:val="002A4CE9"/>
    <w:rsid w:val="002A4DB5"/>
    <w:rsid w:val="002A4DF6"/>
    <w:rsid w:val="002A4EB9"/>
    <w:rsid w:val="002A4F76"/>
    <w:rsid w:val="002A4FF3"/>
    <w:rsid w:val="002A50E4"/>
    <w:rsid w:val="002A528D"/>
    <w:rsid w:val="002A52CA"/>
    <w:rsid w:val="002A5570"/>
    <w:rsid w:val="002A55BD"/>
    <w:rsid w:val="002A5976"/>
    <w:rsid w:val="002A5B31"/>
    <w:rsid w:val="002A5DDF"/>
    <w:rsid w:val="002A5FAE"/>
    <w:rsid w:val="002A6255"/>
    <w:rsid w:val="002A6399"/>
    <w:rsid w:val="002A6663"/>
    <w:rsid w:val="002A67C4"/>
    <w:rsid w:val="002A67F8"/>
    <w:rsid w:val="002A6826"/>
    <w:rsid w:val="002A6926"/>
    <w:rsid w:val="002A6935"/>
    <w:rsid w:val="002A69DC"/>
    <w:rsid w:val="002A6BF7"/>
    <w:rsid w:val="002A6C87"/>
    <w:rsid w:val="002A6D31"/>
    <w:rsid w:val="002A72AD"/>
    <w:rsid w:val="002A7360"/>
    <w:rsid w:val="002A739D"/>
    <w:rsid w:val="002A7436"/>
    <w:rsid w:val="002A746B"/>
    <w:rsid w:val="002A7488"/>
    <w:rsid w:val="002A7690"/>
    <w:rsid w:val="002A774E"/>
    <w:rsid w:val="002A77CB"/>
    <w:rsid w:val="002A782E"/>
    <w:rsid w:val="002A78BE"/>
    <w:rsid w:val="002A7AEE"/>
    <w:rsid w:val="002A7BBB"/>
    <w:rsid w:val="002A7CD4"/>
    <w:rsid w:val="002A7CF4"/>
    <w:rsid w:val="002A7F09"/>
    <w:rsid w:val="002A7F3C"/>
    <w:rsid w:val="002A7F73"/>
    <w:rsid w:val="002A8E71"/>
    <w:rsid w:val="002B00FD"/>
    <w:rsid w:val="002B031F"/>
    <w:rsid w:val="002B03CE"/>
    <w:rsid w:val="002B04B5"/>
    <w:rsid w:val="002B0579"/>
    <w:rsid w:val="002B05A3"/>
    <w:rsid w:val="002B06B3"/>
    <w:rsid w:val="002B06D5"/>
    <w:rsid w:val="002B06F6"/>
    <w:rsid w:val="002B098D"/>
    <w:rsid w:val="002B0BE7"/>
    <w:rsid w:val="002B0C98"/>
    <w:rsid w:val="002B0D0A"/>
    <w:rsid w:val="002B0F1A"/>
    <w:rsid w:val="002B0F8E"/>
    <w:rsid w:val="002B1007"/>
    <w:rsid w:val="002B10CB"/>
    <w:rsid w:val="002B124E"/>
    <w:rsid w:val="002B126A"/>
    <w:rsid w:val="002B1270"/>
    <w:rsid w:val="002B12BC"/>
    <w:rsid w:val="002B153D"/>
    <w:rsid w:val="002B15F7"/>
    <w:rsid w:val="002B168B"/>
    <w:rsid w:val="002B17FD"/>
    <w:rsid w:val="002B186B"/>
    <w:rsid w:val="002B1AB8"/>
    <w:rsid w:val="002B1C11"/>
    <w:rsid w:val="002B1D68"/>
    <w:rsid w:val="002B1D81"/>
    <w:rsid w:val="002B1DBE"/>
    <w:rsid w:val="002B1DD3"/>
    <w:rsid w:val="002B1E6A"/>
    <w:rsid w:val="002B1E98"/>
    <w:rsid w:val="002B1EF9"/>
    <w:rsid w:val="002B1F59"/>
    <w:rsid w:val="002B20F4"/>
    <w:rsid w:val="002B2146"/>
    <w:rsid w:val="002B2326"/>
    <w:rsid w:val="002B2543"/>
    <w:rsid w:val="002B2782"/>
    <w:rsid w:val="002B2910"/>
    <w:rsid w:val="002B2A0C"/>
    <w:rsid w:val="002B2A68"/>
    <w:rsid w:val="002B2AFB"/>
    <w:rsid w:val="002B2DEA"/>
    <w:rsid w:val="002B2E1E"/>
    <w:rsid w:val="002B2F23"/>
    <w:rsid w:val="002B2FF7"/>
    <w:rsid w:val="002B3055"/>
    <w:rsid w:val="002B3257"/>
    <w:rsid w:val="002B33D5"/>
    <w:rsid w:val="002B33E6"/>
    <w:rsid w:val="002B3476"/>
    <w:rsid w:val="002B355F"/>
    <w:rsid w:val="002B359C"/>
    <w:rsid w:val="002B372C"/>
    <w:rsid w:val="002B374E"/>
    <w:rsid w:val="002B384E"/>
    <w:rsid w:val="002B38BB"/>
    <w:rsid w:val="002B38EB"/>
    <w:rsid w:val="002B3A75"/>
    <w:rsid w:val="002B3C32"/>
    <w:rsid w:val="002B3E83"/>
    <w:rsid w:val="002B3EA4"/>
    <w:rsid w:val="002B3EA6"/>
    <w:rsid w:val="002B3FCB"/>
    <w:rsid w:val="002B409E"/>
    <w:rsid w:val="002B40A1"/>
    <w:rsid w:val="002B40D3"/>
    <w:rsid w:val="002B4101"/>
    <w:rsid w:val="002B417A"/>
    <w:rsid w:val="002B41E7"/>
    <w:rsid w:val="002B4353"/>
    <w:rsid w:val="002B45D8"/>
    <w:rsid w:val="002B45EA"/>
    <w:rsid w:val="002B46EC"/>
    <w:rsid w:val="002B48DE"/>
    <w:rsid w:val="002B4A7D"/>
    <w:rsid w:val="002B4B5A"/>
    <w:rsid w:val="002B4BC8"/>
    <w:rsid w:val="002B4C71"/>
    <w:rsid w:val="002B4D29"/>
    <w:rsid w:val="002B4E5B"/>
    <w:rsid w:val="002B4ECF"/>
    <w:rsid w:val="002B4ED7"/>
    <w:rsid w:val="002B5011"/>
    <w:rsid w:val="002B50D7"/>
    <w:rsid w:val="002B50F1"/>
    <w:rsid w:val="002B5381"/>
    <w:rsid w:val="002B53FA"/>
    <w:rsid w:val="002B5586"/>
    <w:rsid w:val="002B55F3"/>
    <w:rsid w:val="002B57AD"/>
    <w:rsid w:val="002B58C6"/>
    <w:rsid w:val="002B5973"/>
    <w:rsid w:val="002B5978"/>
    <w:rsid w:val="002B59F8"/>
    <w:rsid w:val="002B5B51"/>
    <w:rsid w:val="002B5D18"/>
    <w:rsid w:val="002B5D4A"/>
    <w:rsid w:val="002B602A"/>
    <w:rsid w:val="002B6195"/>
    <w:rsid w:val="002B6235"/>
    <w:rsid w:val="002B62A6"/>
    <w:rsid w:val="002B6470"/>
    <w:rsid w:val="002B6590"/>
    <w:rsid w:val="002B6711"/>
    <w:rsid w:val="002B6938"/>
    <w:rsid w:val="002B6A0E"/>
    <w:rsid w:val="002B6ADF"/>
    <w:rsid w:val="002B6B57"/>
    <w:rsid w:val="002B6C52"/>
    <w:rsid w:val="002B6D96"/>
    <w:rsid w:val="002B6F71"/>
    <w:rsid w:val="002B702C"/>
    <w:rsid w:val="002B712F"/>
    <w:rsid w:val="002B7282"/>
    <w:rsid w:val="002B7465"/>
    <w:rsid w:val="002B755B"/>
    <w:rsid w:val="002B75E4"/>
    <w:rsid w:val="002B77A8"/>
    <w:rsid w:val="002B7977"/>
    <w:rsid w:val="002B7B6C"/>
    <w:rsid w:val="002B7C87"/>
    <w:rsid w:val="002B7CB5"/>
    <w:rsid w:val="002B7D29"/>
    <w:rsid w:val="002B7D3D"/>
    <w:rsid w:val="002B7D68"/>
    <w:rsid w:val="002B7D6A"/>
    <w:rsid w:val="002B7D97"/>
    <w:rsid w:val="002B7E49"/>
    <w:rsid w:val="002C015E"/>
    <w:rsid w:val="002C017C"/>
    <w:rsid w:val="002C024D"/>
    <w:rsid w:val="002C07D0"/>
    <w:rsid w:val="002C0833"/>
    <w:rsid w:val="002C0849"/>
    <w:rsid w:val="002C0B50"/>
    <w:rsid w:val="002C0B71"/>
    <w:rsid w:val="002C0C8B"/>
    <w:rsid w:val="002C0D03"/>
    <w:rsid w:val="002C0D75"/>
    <w:rsid w:val="002C0E33"/>
    <w:rsid w:val="002C1209"/>
    <w:rsid w:val="002C155B"/>
    <w:rsid w:val="002C15C1"/>
    <w:rsid w:val="002C1702"/>
    <w:rsid w:val="002C17AD"/>
    <w:rsid w:val="002C18A3"/>
    <w:rsid w:val="002C1A7A"/>
    <w:rsid w:val="002C1AF4"/>
    <w:rsid w:val="002C1B47"/>
    <w:rsid w:val="002C1D32"/>
    <w:rsid w:val="002C1FA6"/>
    <w:rsid w:val="002C2310"/>
    <w:rsid w:val="002C2445"/>
    <w:rsid w:val="002C25CF"/>
    <w:rsid w:val="002C2706"/>
    <w:rsid w:val="002C28D3"/>
    <w:rsid w:val="002C2938"/>
    <w:rsid w:val="002C2A74"/>
    <w:rsid w:val="002C2B0D"/>
    <w:rsid w:val="002C2B10"/>
    <w:rsid w:val="002C2DCE"/>
    <w:rsid w:val="002C2F15"/>
    <w:rsid w:val="002C329C"/>
    <w:rsid w:val="002C33DD"/>
    <w:rsid w:val="002C3472"/>
    <w:rsid w:val="002C34EC"/>
    <w:rsid w:val="002C3547"/>
    <w:rsid w:val="002C35BE"/>
    <w:rsid w:val="002C36AB"/>
    <w:rsid w:val="002C36CB"/>
    <w:rsid w:val="002C38E6"/>
    <w:rsid w:val="002C3A7F"/>
    <w:rsid w:val="002C3B3E"/>
    <w:rsid w:val="002C3CE1"/>
    <w:rsid w:val="002C3D25"/>
    <w:rsid w:val="002C3D45"/>
    <w:rsid w:val="002C3EB8"/>
    <w:rsid w:val="002C3EFF"/>
    <w:rsid w:val="002C4078"/>
    <w:rsid w:val="002C413F"/>
    <w:rsid w:val="002C4324"/>
    <w:rsid w:val="002C434C"/>
    <w:rsid w:val="002C44C2"/>
    <w:rsid w:val="002C468E"/>
    <w:rsid w:val="002C4771"/>
    <w:rsid w:val="002C477C"/>
    <w:rsid w:val="002C4783"/>
    <w:rsid w:val="002C4CA2"/>
    <w:rsid w:val="002C4E36"/>
    <w:rsid w:val="002C4F7D"/>
    <w:rsid w:val="002C4FEE"/>
    <w:rsid w:val="002C511C"/>
    <w:rsid w:val="002C518F"/>
    <w:rsid w:val="002C52C2"/>
    <w:rsid w:val="002C54A1"/>
    <w:rsid w:val="002C55C2"/>
    <w:rsid w:val="002C5642"/>
    <w:rsid w:val="002C5767"/>
    <w:rsid w:val="002C5849"/>
    <w:rsid w:val="002C5A8A"/>
    <w:rsid w:val="002C5AB1"/>
    <w:rsid w:val="002C5DC6"/>
    <w:rsid w:val="002C5E03"/>
    <w:rsid w:val="002C5E38"/>
    <w:rsid w:val="002C5F20"/>
    <w:rsid w:val="002C626D"/>
    <w:rsid w:val="002C62D5"/>
    <w:rsid w:val="002C63F3"/>
    <w:rsid w:val="002C64ED"/>
    <w:rsid w:val="002C6527"/>
    <w:rsid w:val="002C6623"/>
    <w:rsid w:val="002C665F"/>
    <w:rsid w:val="002C6678"/>
    <w:rsid w:val="002C6682"/>
    <w:rsid w:val="002C6846"/>
    <w:rsid w:val="002C6852"/>
    <w:rsid w:val="002C6B49"/>
    <w:rsid w:val="002C6D9A"/>
    <w:rsid w:val="002C6DA5"/>
    <w:rsid w:val="002C707F"/>
    <w:rsid w:val="002C70B3"/>
    <w:rsid w:val="002C716C"/>
    <w:rsid w:val="002C71C4"/>
    <w:rsid w:val="002C7583"/>
    <w:rsid w:val="002C7636"/>
    <w:rsid w:val="002C7668"/>
    <w:rsid w:val="002C773B"/>
    <w:rsid w:val="002C7760"/>
    <w:rsid w:val="002C776C"/>
    <w:rsid w:val="002C7B24"/>
    <w:rsid w:val="002C7B4A"/>
    <w:rsid w:val="002C7D6A"/>
    <w:rsid w:val="002C7F9F"/>
    <w:rsid w:val="002D0058"/>
    <w:rsid w:val="002D0083"/>
    <w:rsid w:val="002D0206"/>
    <w:rsid w:val="002D0664"/>
    <w:rsid w:val="002D0688"/>
    <w:rsid w:val="002D075B"/>
    <w:rsid w:val="002D07F0"/>
    <w:rsid w:val="002D09CA"/>
    <w:rsid w:val="002D0A4E"/>
    <w:rsid w:val="002D0BBF"/>
    <w:rsid w:val="002D0D41"/>
    <w:rsid w:val="002D0DE6"/>
    <w:rsid w:val="002D0DF2"/>
    <w:rsid w:val="002D0E60"/>
    <w:rsid w:val="002D11AA"/>
    <w:rsid w:val="002D11BD"/>
    <w:rsid w:val="002D14DC"/>
    <w:rsid w:val="002D1780"/>
    <w:rsid w:val="002D199E"/>
    <w:rsid w:val="002D1BEB"/>
    <w:rsid w:val="002D1DFB"/>
    <w:rsid w:val="002D1ED7"/>
    <w:rsid w:val="002D1FEC"/>
    <w:rsid w:val="002D21AB"/>
    <w:rsid w:val="002D240A"/>
    <w:rsid w:val="002D240B"/>
    <w:rsid w:val="002D2561"/>
    <w:rsid w:val="002D25E4"/>
    <w:rsid w:val="002D2658"/>
    <w:rsid w:val="002D28D5"/>
    <w:rsid w:val="002D295F"/>
    <w:rsid w:val="002D29E8"/>
    <w:rsid w:val="002D2C0F"/>
    <w:rsid w:val="002D2CD5"/>
    <w:rsid w:val="002D2DAD"/>
    <w:rsid w:val="002D2EF6"/>
    <w:rsid w:val="002D313B"/>
    <w:rsid w:val="002D3290"/>
    <w:rsid w:val="002D337E"/>
    <w:rsid w:val="002D3397"/>
    <w:rsid w:val="002D3479"/>
    <w:rsid w:val="002D3521"/>
    <w:rsid w:val="002D3609"/>
    <w:rsid w:val="002D36A6"/>
    <w:rsid w:val="002D36F9"/>
    <w:rsid w:val="002D37FB"/>
    <w:rsid w:val="002D3A43"/>
    <w:rsid w:val="002D3E61"/>
    <w:rsid w:val="002D3FE6"/>
    <w:rsid w:val="002D408B"/>
    <w:rsid w:val="002D40EC"/>
    <w:rsid w:val="002D412E"/>
    <w:rsid w:val="002D413E"/>
    <w:rsid w:val="002D416F"/>
    <w:rsid w:val="002D4264"/>
    <w:rsid w:val="002D44E8"/>
    <w:rsid w:val="002D45AA"/>
    <w:rsid w:val="002D4743"/>
    <w:rsid w:val="002D47DA"/>
    <w:rsid w:val="002D4945"/>
    <w:rsid w:val="002D4952"/>
    <w:rsid w:val="002D4983"/>
    <w:rsid w:val="002D4BF2"/>
    <w:rsid w:val="002D4FDA"/>
    <w:rsid w:val="002D50C6"/>
    <w:rsid w:val="002D5199"/>
    <w:rsid w:val="002D526E"/>
    <w:rsid w:val="002D5326"/>
    <w:rsid w:val="002D5504"/>
    <w:rsid w:val="002D5815"/>
    <w:rsid w:val="002D5A96"/>
    <w:rsid w:val="002D5B7A"/>
    <w:rsid w:val="002D5BFF"/>
    <w:rsid w:val="002D5C78"/>
    <w:rsid w:val="002D5C9F"/>
    <w:rsid w:val="002D5D7E"/>
    <w:rsid w:val="002D5EB5"/>
    <w:rsid w:val="002D5ED4"/>
    <w:rsid w:val="002D5FBE"/>
    <w:rsid w:val="002D5FE9"/>
    <w:rsid w:val="002D60B1"/>
    <w:rsid w:val="002D62A4"/>
    <w:rsid w:val="002D62FA"/>
    <w:rsid w:val="002D639D"/>
    <w:rsid w:val="002D6900"/>
    <w:rsid w:val="002D6A76"/>
    <w:rsid w:val="002D6BE8"/>
    <w:rsid w:val="002D6D2D"/>
    <w:rsid w:val="002D6EA0"/>
    <w:rsid w:val="002D7069"/>
    <w:rsid w:val="002D712F"/>
    <w:rsid w:val="002D7179"/>
    <w:rsid w:val="002D7262"/>
    <w:rsid w:val="002D73C6"/>
    <w:rsid w:val="002D73F1"/>
    <w:rsid w:val="002D76D3"/>
    <w:rsid w:val="002D79E2"/>
    <w:rsid w:val="002D79E3"/>
    <w:rsid w:val="002D7A25"/>
    <w:rsid w:val="002D7B55"/>
    <w:rsid w:val="002D7EA7"/>
    <w:rsid w:val="002E0055"/>
    <w:rsid w:val="002E0190"/>
    <w:rsid w:val="002E057C"/>
    <w:rsid w:val="002E0632"/>
    <w:rsid w:val="002E06CA"/>
    <w:rsid w:val="002E07F8"/>
    <w:rsid w:val="002E08AE"/>
    <w:rsid w:val="002E0A49"/>
    <w:rsid w:val="002E0B77"/>
    <w:rsid w:val="002E0C01"/>
    <w:rsid w:val="002E0D18"/>
    <w:rsid w:val="002E0E5C"/>
    <w:rsid w:val="002E0FD2"/>
    <w:rsid w:val="002E112E"/>
    <w:rsid w:val="002E1407"/>
    <w:rsid w:val="002E1548"/>
    <w:rsid w:val="002E15D4"/>
    <w:rsid w:val="002E161B"/>
    <w:rsid w:val="002E1651"/>
    <w:rsid w:val="002E1732"/>
    <w:rsid w:val="002E1A59"/>
    <w:rsid w:val="002E1C0B"/>
    <w:rsid w:val="002E1C32"/>
    <w:rsid w:val="002E1F88"/>
    <w:rsid w:val="002E242C"/>
    <w:rsid w:val="002E2484"/>
    <w:rsid w:val="002E24F8"/>
    <w:rsid w:val="002E25E5"/>
    <w:rsid w:val="002E2702"/>
    <w:rsid w:val="002E2858"/>
    <w:rsid w:val="002E28A5"/>
    <w:rsid w:val="002E2A0C"/>
    <w:rsid w:val="002E2BB9"/>
    <w:rsid w:val="002E2C84"/>
    <w:rsid w:val="002E2DB9"/>
    <w:rsid w:val="002E2E65"/>
    <w:rsid w:val="002E2FAC"/>
    <w:rsid w:val="002E31D1"/>
    <w:rsid w:val="002E32AB"/>
    <w:rsid w:val="002E32DB"/>
    <w:rsid w:val="002E343B"/>
    <w:rsid w:val="002E3850"/>
    <w:rsid w:val="002E389D"/>
    <w:rsid w:val="002E39C7"/>
    <w:rsid w:val="002E3A03"/>
    <w:rsid w:val="002E3A7B"/>
    <w:rsid w:val="002E3C48"/>
    <w:rsid w:val="002E3DB7"/>
    <w:rsid w:val="002E3EB7"/>
    <w:rsid w:val="002E3F6C"/>
    <w:rsid w:val="002E40AE"/>
    <w:rsid w:val="002E411A"/>
    <w:rsid w:val="002E423C"/>
    <w:rsid w:val="002E42CA"/>
    <w:rsid w:val="002E45F9"/>
    <w:rsid w:val="002E492D"/>
    <w:rsid w:val="002E49BC"/>
    <w:rsid w:val="002E49D9"/>
    <w:rsid w:val="002E4A32"/>
    <w:rsid w:val="002E4A9D"/>
    <w:rsid w:val="002E4B35"/>
    <w:rsid w:val="002E4C51"/>
    <w:rsid w:val="002E4CDD"/>
    <w:rsid w:val="002E4F1E"/>
    <w:rsid w:val="002E503C"/>
    <w:rsid w:val="002E51A7"/>
    <w:rsid w:val="002E52F3"/>
    <w:rsid w:val="002E54A5"/>
    <w:rsid w:val="002E5559"/>
    <w:rsid w:val="002E55A3"/>
    <w:rsid w:val="002E565E"/>
    <w:rsid w:val="002E567A"/>
    <w:rsid w:val="002E575D"/>
    <w:rsid w:val="002E576F"/>
    <w:rsid w:val="002E59AF"/>
    <w:rsid w:val="002E5B1B"/>
    <w:rsid w:val="002E5C53"/>
    <w:rsid w:val="002E5C5D"/>
    <w:rsid w:val="002E5C71"/>
    <w:rsid w:val="002E5C7F"/>
    <w:rsid w:val="002E5D16"/>
    <w:rsid w:val="002E5DA2"/>
    <w:rsid w:val="002E628B"/>
    <w:rsid w:val="002E62BF"/>
    <w:rsid w:val="002E657A"/>
    <w:rsid w:val="002E6657"/>
    <w:rsid w:val="002E66F7"/>
    <w:rsid w:val="002E6747"/>
    <w:rsid w:val="002E67AF"/>
    <w:rsid w:val="002E699E"/>
    <w:rsid w:val="002E6C76"/>
    <w:rsid w:val="002E6D0E"/>
    <w:rsid w:val="002E6DB6"/>
    <w:rsid w:val="002E6DE6"/>
    <w:rsid w:val="002E6EF1"/>
    <w:rsid w:val="002E70E5"/>
    <w:rsid w:val="002E7320"/>
    <w:rsid w:val="002E73BC"/>
    <w:rsid w:val="002E7411"/>
    <w:rsid w:val="002E7430"/>
    <w:rsid w:val="002E7494"/>
    <w:rsid w:val="002E7572"/>
    <w:rsid w:val="002E76D3"/>
    <w:rsid w:val="002E7835"/>
    <w:rsid w:val="002E7917"/>
    <w:rsid w:val="002E799E"/>
    <w:rsid w:val="002E79C7"/>
    <w:rsid w:val="002E79DF"/>
    <w:rsid w:val="002E7AA9"/>
    <w:rsid w:val="002E7C09"/>
    <w:rsid w:val="002E7C9B"/>
    <w:rsid w:val="002E7EDF"/>
    <w:rsid w:val="002F0060"/>
    <w:rsid w:val="002F02B3"/>
    <w:rsid w:val="002F03D1"/>
    <w:rsid w:val="002F062C"/>
    <w:rsid w:val="002F067A"/>
    <w:rsid w:val="002F06A8"/>
    <w:rsid w:val="002F089F"/>
    <w:rsid w:val="002F0A1C"/>
    <w:rsid w:val="002F0A2D"/>
    <w:rsid w:val="002F0BD4"/>
    <w:rsid w:val="002F0C3F"/>
    <w:rsid w:val="002F0D60"/>
    <w:rsid w:val="002F0DF4"/>
    <w:rsid w:val="002F108D"/>
    <w:rsid w:val="002F117F"/>
    <w:rsid w:val="002F1213"/>
    <w:rsid w:val="002F1232"/>
    <w:rsid w:val="002F12CB"/>
    <w:rsid w:val="002F15F9"/>
    <w:rsid w:val="002F166F"/>
    <w:rsid w:val="002F16A7"/>
    <w:rsid w:val="002F1712"/>
    <w:rsid w:val="002F17C9"/>
    <w:rsid w:val="002F1806"/>
    <w:rsid w:val="002F19C8"/>
    <w:rsid w:val="002F1A55"/>
    <w:rsid w:val="002F1AB8"/>
    <w:rsid w:val="002F1AE6"/>
    <w:rsid w:val="002F1B4E"/>
    <w:rsid w:val="002F1B7B"/>
    <w:rsid w:val="002F1DFB"/>
    <w:rsid w:val="002F1EC8"/>
    <w:rsid w:val="002F1F04"/>
    <w:rsid w:val="002F1F41"/>
    <w:rsid w:val="002F1FD1"/>
    <w:rsid w:val="002F200D"/>
    <w:rsid w:val="002F204E"/>
    <w:rsid w:val="002F2153"/>
    <w:rsid w:val="002F219D"/>
    <w:rsid w:val="002F22C6"/>
    <w:rsid w:val="002F22EC"/>
    <w:rsid w:val="002F25E9"/>
    <w:rsid w:val="002F26A3"/>
    <w:rsid w:val="002F26D2"/>
    <w:rsid w:val="002F26DF"/>
    <w:rsid w:val="002F27F0"/>
    <w:rsid w:val="002F2974"/>
    <w:rsid w:val="002F2A3E"/>
    <w:rsid w:val="002F2C9D"/>
    <w:rsid w:val="002F2D30"/>
    <w:rsid w:val="002F2E93"/>
    <w:rsid w:val="002F3119"/>
    <w:rsid w:val="002F324D"/>
    <w:rsid w:val="002F3305"/>
    <w:rsid w:val="002F331D"/>
    <w:rsid w:val="002F3336"/>
    <w:rsid w:val="002F345B"/>
    <w:rsid w:val="002F35E1"/>
    <w:rsid w:val="002F3720"/>
    <w:rsid w:val="002F3812"/>
    <w:rsid w:val="002F3AFD"/>
    <w:rsid w:val="002F3C75"/>
    <w:rsid w:val="002F3C95"/>
    <w:rsid w:val="002F3D96"/>
    <w:rsid w:val="002F3DC4"/>
    <w:rsid w:val="002F3E0A"/>
    <w:rsid w:val="002F3FC2"/>
    <w:rsid w:val="002F4071"/>
    <w:rsid w:val="002F40DA"/>
    <w:rsid w:val="002F42F2"/>
    <w:rsid w:val="002F4381"/>
    <w:rsid w:val="002F43D1"/>
    <w:rsid w:val="002F443A"/>
    <w:rsid w:val="002F4539"/>
    <w:rsid w:val="002F457F"/>
    <w:rsid w:val="002F459A"/>
    <w:rsid w:val="002F45FB"/>
    <w:rsid w:val="002F465E"/>
    <w:rsid w:val="002F4B67"/>
    <w:rsid w:val="002F4BC2"/>
    <w:rsid w:val="002F4C56"/>
    <w:rsid w:val="002F4D3A"/>
    <w:rsid w:val="002F4DED"/>
    <w:rsid w:val="002F4E67"/>
    <w:rsid w:val="002F4E9A"/>
    <w:rsid w:val="002F4FC0"/>
    <w:rsid w:val="002F4FC4"/>
    <w:rsid w:val="002F5297"/>
    <w:rsid w:val="002F52F0"/>
    <w:rsid w:val="002F5360"/>
    <w:rsid w:val="002F53FA"/>
    <w:rsid w:val="002F5404"/>
    <w:rsid w:val="002F5433"/>
    <w:rsid w:val="002F5525"/>
    <w:rsid w:val="002F5807"/>
    <w:rsid w:val="002F5849"/>
    <w:rsid w:val="002F5882"/>
    <w:rsid w:val="002F5C74"/>
    <w:rsid w:val="002F5E22"/>
    <w:rsid w:val="002F5E81"/>
    <w:rsid w:val="002F5EB4"/>
    <w:rsid w:val="002F5F4F"/>
    <w:rsid w:val="002F60C3"/>
    <w:rsid w:val="002F6556"/>
    <w:rsid w:val="002F6568"/>
    <w:rsid w:val="002F6628"/>
    <w:rsid w:val="002F6665"/>
    <w:rsid w:val="002F67B6"/>
    <w:rsid w:val="002F68D8"/>
    <w:rsid w:val="002F6A59"/>
    <w:rsid w:val="002F6AC1"/>
    <w:rsid w:val="002F6B01"/>
    <w:rsid w:val="002F6B64"/>
    <w:rsid w:val="002F6C68"/>
    <w:rsid w:val="002F6C87"/>
    <w:rsid w:val="002F6CEF"/>
    <w:rsid w:val="002F6D21"/>
    <w:rsid w:val="002F6D88"/>
    <w:rsid w:val="002F7081"/>
    <w:rsid w:val="002F7089"/>
    <w:rsid w:val="002F72A3"/>
    <w:rsid w:val="002F7414"/>
    <w:rsid w:val="002F7696"/>
    <w:rsid w:val="002F76CE"/>
    <w:rsid w:val="002F76D5"/>
    <w:rsid w:val="002F772A"/>
    <w:rsid w:val="002F779D"/>
    <w:rsid w:val="002F77A4"/>
    <w:rsid w:val="002F77B6"/>
    <w:rsid w:val="002F77F7"/>
    <w:rsid w:val="002F78FD"/>
    <w:rsid w:val="002F7903"/>
    <w:rsid w:val="002F7927"/>
    <w:rsid w:val="002F7A44"/>
    <w:rsid w:val="002F7A96"/>
    <w:rsid w:val="002F7AF7"/>
    <w:rsid w:val="002F7BCD"/>
    <w:rsid w:val="002F7BDE"/>
    <w:rsid w:val="002F7D4B"/>
    <w:rsid w:val="002F7E98"/>
    <w:rsid w:val="002F7ED4"/>
    <w:rsid w:val="002F7FAB"/>
    <w:rsid w:val="0030011B"/>
    <w:rsid w:val="00300147"/>
    <w:rsid w:val="003001A7"/>
    <w:rsid w:val="003002FD"/>
    <w:rsid w:val="003004D3"/>
    <w:rsid w:val="00300529"/>
    <w:rsid w:val="00300616"/>
    <w:rsid w:val="0030071E"/>
    <w:rsid w:val="00300A80"/>
    <w:rsid w:val="00300AE2"/>
    <w:rsid w:val="00300B9A"/>
    <w:rsid w:val="00300D6D"/>
    <w:rsid w:val="0030109A"/>
    <w:rsid w:val="00301126"/>
    <w:rsid w:val="00301172"/>
    <w:rsid w:val="003011B9"/>
    <w:rsid w:val="00301503"/>
    <w:rsid w:val="00301670"/>
    <w:rsid w:val="00301713"/>
    <w:rsid w:val="003017EA"/>
    <w:rsid w:val="00301978"/>
    <w:rsid w:val="003019D3"/>
    <w:rsid w:val="00301C93"/>
    <w:rsid w:val="00301C9B"/>
    <w:rsid w:val="00301E05"/>
    <w:rsid w:val="00301E0F"/>
    <w:rsid w:val="00301E4E"/>
    <w:rsid w:val="00301E72"/>
    <w:rsid w:val="00301EE5"/>
    <w:rsid w:val="00302153"/>
    <w:rsid w:val="0030220C"/>
    <w:rsid w:val="00302256"/>
    <w:rsid w:val="00302343"/>
    <w:rsid w:val="003023FA"/>
    <w:rsid w:val="0030244B"/>
    <w:rsid w:val="0030259A"/>
    <w:rsid w:val="00302664"/>
    <w:rsid w:val="00302698"/>
    <w:rsid w:val="00302717"/>
    <w:rsid w:val="003027D2"/>
    <w:rsid w:val="00302A7E"/>
    <w:rsid w:val="00302B5A"/>
    <w:rsid w:val="00302CD4"/>
    <w:rsid w:val="00302EB2"/>
    <w:rsid w:val="00302F14"/>
    <w:rsid w:val="00302F7D"/>
    <w:rsid w:val="00302FE3"/>
    <w:rsid w:val="00303043"/>
    <w:rsid w:val="003030BC"/>
    <w:rsid w:val="003030BE"/>
    <w:rsid w:val="003031D2"/>
    <w:rsid w:val="003031D7"/>
    <w:rsid w:val="0030323F"/>
    <w:rsid w:val="003032DA"/>
    <w:rsid w:val="00303333"/>
    <w:rsid w:val="00303360"/>
    <w:rsid w:val="003033CF"/>
    <w:rsid w:val="003034D8"/>
    <w:rsid w:val="00303542"/>
    <w:rsid w:val="003036AA"/>
    <w:rsid w:val="003038A4"/>
    <w:rsid w:val="003038C7"/>
    <w:rsid w:val="00303CD8"/>
    <w:rsid w:val="00303D8F"/>
    <w:rsid w:val="00303DA9"/>
    <w:rsid w:val="00303DC4"/>
    <w:rsid w:val="00303FA7"/>
    <w:rsid w:val="00304210"/>
    <w:rsid w:val="003043D7"/>
    <w:rsid w:val="0030452F"/>
    <w:rsid w:val="0030455D"/>
    <w:rsid w:val="003046E3"/>
    <w:rsid w:val="003047B3"/>
    <w:rsid w:val="003047EE"/>
    <w:rsid w:val="00304C4E"/>
    <w:rsid w:val="00304CF6"/>
    <w:rsid w:val="00304F7D"/>
    <w:rsid w:val="003051AF"/>
    <w:rsid w:val="0030525B"/>
    <w:rsid w:val="0030531A"/>
    <w:rsid w:val="0030534D"/>
    <w:rsid w:val="003055BE"/>
    <w:rsid w:val="00305694"/>
    <w:rsid w:val="00305697"/>
    <w:rsid w:val="003056D8"/>
    <w:rsid w:val="003056EE"/>
    <w:rsid w:val="00305BA2"/>
    <w:rsid w:val="00305C6D"/>
    <w:rsid w:val="00305DE7"/>
    <w:rsid w:val="00306011"/>
    <w:rsid w:val="00306110"/>
    <w:rsid w:val="003061E3"/>
    <w:rsid w:val="003062BF"/>
    <w:rsid w:val="003063FA"/>
    <w:rsid w:val="0030640F"/>
    <w:rsid w:val="00306503"/>
    <w:rsid w:val="0030650F"/>
    <w:rsid w:val="0030652A"/>
    <w:rsid w:val="00306552"/>
    <w:rsid w:val="0030676E"/>
    <w:rsid w:val="0030685C"/>
    <w:rsid w:val="00306935"/>
    <w:rsid w:val="0030699E"/>
    <w:rsid w:val="00306A0E"/>
    <w:rsid w:val="00306AE9"/>
    <w:rsid w:val="00306D4B"/>
    <w:rsid w:val="00306DC3"/>
    <w:rsid w:val="003071DC"/>
    <w:rsid w:val="0030731A"/>
    <w:rsid w:val="00307340"/>
    <w:rsid w:val="0030738A"/>
    <w:rsid w:val="00307471"/>
    <w:rsid w:val="003074E1"/>
    <w:rsid w:val="003076CA"/>
    <w:rsid w:val="00307834"/>
    <w:rsid w:val="00307AE2"/>
    <w:rsid w:val="00307B27"/>
    <w:rsid w:val="00307C1A"/>
    <w:rsid w:val="00307D29"/>
    <w:rsid w:val="00307D99"/>
    <w:rsid w:val="00307E29"/>
    <w:rsid w:val="00307F4C"/>
    <w:rsid w:val="00307F68"/>
    <w:rsid w:val="00307FAA"/>
    <w:rsid w:val="00307FFA"/>
    <w:rsid w:val="003100D8"/>
    <w:rsid w:val="003100EC"/>
    <w:rsid w:val="003101D2"/>
    <w:rsid w:val="0031035E"/>
    <w:rsid w:val="003103CA"/>
    <w:rsid w:val="00310556"/>
    <w:rsid w:val="00310723"/>
    <w:rsid w:val="0031077C"/>
    <w:rsid w:val="00310835"/>
    <w:rsid w:val="00310877"/>
    <w:rsid w:val="00310958"/>
    <w:rsid w:val="00310969"/>
    <w:rsid w:val="003109D2"/>
    <w:rsid w:val="00310CC8"/>
    <w:rsid w:val="00310D2B"/>
    <w:rsid w:val="00310D43"/>
    <w:rsid w:val="00310EC3"/>
    <w:rsid w:val="00310EF0"/>
    <w:rsid w:val="00310F48"/>
    <w:rsid w:val="003110A8"/>
    <w:rsid w:val="003110FD"/>
    <w:rsid w:val="00311278"/>
    <w:rsid w:val="0031127A"/>
    <w:rsid w:val="003112EA"/>
    <w:rsid w:val="0031137D"/>
    <w:rsid w:val="00311483"/>
    <w:rsid w:val="003114CB"/>
    <w:rsid w:val="003115A4"/>
    <w:rsid w:val="00311613"/>
    <w:rsid w:val="003117AC"/>
    <w:rsid w:val="00311905"/>
    <w:rsid w:val="00311A07"/>
    <w:rsid w:val="00311BB0"/>
    <w:rsid w:val="00311CC4"/>
    <w:rsid w:val="00311D0D"/>
    <w:rsid w:val="00311D2F"/>
    <w:rsid w:val="00311E46"/>
    <w:rsid w:val="00311F41"/>
    <w:rsid w:val="003121A2"/>
    <w:rsid w:val="00312257"/>
    <w:rsid w:val="003123E1"/>
    <w:rsid w:val="003124A7"/>
    <w:rsid w:val="003124F0"/>
    <w:rsid w:val="00312531"/>
    <w:rsid w:val="00312533"/>
    <w:rsid w:val="003126E6"/>
    <w:rsid w:val="00312BCB"/>
    <w:rsid w:val="00312F00"/>
    <w:rsid w:val="00312F74"/>
    <w:rsid w:val="00313032"/>
    <w:rsid w:val="0031305C"/>
    <w:rsid w:val="00313284"/>
    <w:rsid w:val="0031336B"/>
    <w:rsid w:val="003133CD"/>
    <w:rsid w:val="003133F2"/>
    <w:rsid w:val="0031344D"/>
    <w:rsid w:val="0031345E"/>
    <w:rsid w:val="003134B3"/>
    <w:rsid w:val="00313604"/>
    <w:rsid w:val="003136A3"/>
    <w:rsid w:val="0031380B"/>
    <w:rsid w:val="0031385F"/>
    <w:rsid w:val="00313A41"/>
    <w:rsid w:val="00313B4A"/>
    <w:rsid w:val="00313B4E"/>
    <w:rsid w:val="00313BC6"/>
    <w:rsid w:val="00313CC8"/>
    <w:rsid w:val="00313D87"/>
    <w:rsid w:val="00313E1F"/>
    <w:rsid w:val="00313E51"/>
    <w:rsid w:val="00313E60"/>
    <w:rsid w:val="00313E8D"/>
    <w:rsid w:val="00313F08"/>
    <w:rsid w:val="00313F3B"/>
    <w:rsid w:val="00313F8F"/>
    <w:rsid w:val="0031406A"/>
    <w:rsid w:val="003141A8"/>
    <w:rsid w:val="00314420"/>
    <w:rsid w:val="0031442B"/>
    <w:rsid w:val="00314575"/>
    <w:rsid w:val="00314590"/>
    <w:rsid w:val="00314634"/>
    <w:rsid w:val="00314675"/>
    <w:rsid w:val="003146BA"/>
    <w:rsid w:val="0031473C"/>
    <w:rsid w:val="00314787"/>
    <w:rsid w:val="0031479C"/>
    <w:rsid w:val="003147B3"/>
    <w:rsid w:val="00314974"/>
    <w:rsid w:val="00314D99"/>
    <w:rsid w:val="00315150"/>
    <w:rsid w:val="00315191"/>
    <w:rsid w:val="0031528A"/>
    <w:rsid w:val="00315382"/>
    <w:rsid w:val="0031549D"/>
    <w:rsid w:val="0031549E"/>
    <w:rsid w:val="003154AF"/>
    <w:rsid w:val="00315510"/>
    <w:rsid w:val="00315516"/>
    <w:rsid w:val="0031563C"/>
    <w:rsid w:val="0031568F"/>
    <w:rsid w:val="00315715"/>
    <w:rsid w:val="003157BF"/>
    <w:rsid w:val="0031581E"/>
    <w:rsid w:val="00315A18"/>
    <w:rsid w:val="00315A3E"/>
    <w:rsid w:val="00315A97"/>
    <w:rsid w:val="00315C68"/>
    <w:rsid w:val="00315CA3"/>
    <w:rsid w:val="00315CE4"/>
    <w:rsid w:val="00315D6E"/>
    <w:rsid w:val="00315E8A"/>
    <w:rsid w:val="00315EEA"/>
    <w:rsid w:val="00315F4C"/>
    <w:rsid w:val="00316090"/>
    <w:rsid w:val="003160B0"/>
    <w:rsid w:val="00316148"/>
    <w:rsid w:val="0031615C"/>
    <w:rsid w:val="003161B8"/>
    <w:rsid w:val="003161C8"/>
    <w:rsid w:val="003161EC"/>
    <w:rsid w:val="003162A2"/>
    <w:rsid w:val="0031647D"/>
    <w:rsid w:val="003165AD"/>
    <w:rsid w:val="003166C8"/>
    <w:rsid w:val="003166EE"/>
    <w:rsid w:val="0031675C"/>
    <w:rsid w:val="003167A8"/>
    <w:rsid w:val="003167DD"/>
    <w:rsid w:val="0031698D"/>
    <w:rsid w:val="003169F1"/>
    <w:rsid w:val="00316A10"/>
    <w:rsid w:val="00316A26"/>
    <w:rsid w:val="00316AAA"/>
    <w:rsid w:val="00316B79"/>
    <w:rsid w:val="00316B9E"/>
    <w:rsid w:val="00316BDD"/>
    <w:rsid w:val="00316C33"/>
    <w:rsid w:val="00316CB7"/>
    <w:rsid w:val="00316CDA"/>
    <w:rsid w:val="00316DE1"/>
    <w:rsid w:val="0031703F"/>
    <w:rsid w:val="00317072"/>
    <w:rsid w:val="0031709D"/>
    <w:rsid w:val="0031716D"/>
    <w:rsid w:val="0031721A"/>
    <w:rsid w:val="003173DD"/>
    <w:rsid w:val="00317445"/>
    <w:rsid w:val="003175CD"/>
    <w:rsid w:val="00317668"/>
    <w:rsid w:val="003177AA"/>
    <w:rsid w:val="003177CF"/>
    <w:rsid w:val="0031788F"/>
    <w:rsid w:val="003178B1"/>
    <w:rsid w:val="00317916"/>
    <w:rsid w:val="00317929"/>
    <w:rsid w:val="0031798E"/>
    <w:rsid w:val="00317A8A"/>
    <w:rsid w:val="00317BC5"/>
    <w:rsid w:val="00317D3D"/>
    <w:rsid w:val="00317D87"/>
    <w:rsid w:val="00317E20"/>
    <w:rsid w:val="00317E37"/>
    <w:rsid w:val="0032014A"/>
    <w:rsid w:val="003201B3"/>
    <w:rsid w:val="00320234"/>
    <w:rsid w:val="003203C0"/>
    <w:rsid w:val="00320440"/>
    <w:rsid w:val="003206D2"/>
    <w:rsid w:val="0032075D"/>
    <w:rsid w:val="003208F5"/>
    <w:rsid w:val="00320A44"/>
    <w:rsid w:val="00320A95"/>
    <w:rsid w:val="00320BB8"/>
    <w:rsid w:val="00320BC5"/>
    <w:rsid w:val="00320F31"/>
    <w:rsid w:val="0032113C"/>
    <w:rsid w:val="00321224"/>
    <w:rsid w:val="003212AB"/>
    <w:rsid w:val="00321316"/>
    <w:rsid w:val="003213E0"/>
    <w:rsid w:val="003217B6"/>
    <w:rsid w:val="00321A7C"/>
    <w:rsid w:val="00321B81"/>
    <w:rsid w:val="00321DCF"/>
    <w:rsid w:val="00321DE8"/>
    <w:rsid w:val="00321F76"/>
    <w:rsid w:val="00322056"/>
    <w:rsid w:val="003220E0"/>
    <w:rsid w:val="00322103"/>
    <w:rsid w:val="0032215B"/>
    <w:rsid w:val="003221B3"/>
    <w:rsid w:val="003222ED"/>
    <w:rsid w:val="003223E6"/>
    <w:rsid w:val="0032243F"/>
    <w:rsid w:val="0032245E"/>
    <w:rsid w:val="003224B9"/>
    <w:rsid w:val="003225DC"/>
    <w:rsid w:val="003225F6"/>
    <w:rsid w:val="00322672"/>
    <w:rsid w:val="003226F7"/>
    <w:rsid w:val="0032293A"/>
    <w:rsid w:val="00322AAF"/>
    <w:rsid w:val="00322BE7"/>
    <w:rsid w:val="00322E6F"/>
    <w:rsid w:val="00322EB0"/>
    <w:rsid w:val="00322F4F"/>
    <w:rsid w:val="003232BB"/>
    <w:rsid w:val="00323355"/>
    <w:rsid w:val="003234B0"/>
    <w:rsid w:val="003234F6"/>
    <w:rsid w:val="00323780"/>
    <w:rsid w:val="003238CF"/>
    <w:rsid w:val="00323A8D"/>
    <w:rsid w:val="00323B47"/>
    <w:rsid w:val="00323CA0"/>
    <w:rsid w:val="00323FC4"/>
    <w:rsid w:val="0032425B"/>
    <w:rsid w:val="003243B3"/>
    <w:rsid w:val="003244E6"/>
    <w:rsid w:val="0032464D"/>
    <w:rsid w:val="00324CAE"/>
    <w:rsid w:val="00324D2A"/>
    <w:rsid w:val="0032509A"/>
    <w:rsid w:val="003250E9"/>
    <w:rsid w:val="00325406"/>
    <w:rsid w:val="00325483"/>
    <w:rsid w:val="0032556B"/>
    <w:rsid w:val="00325647"/>
    <w:rsid w:val="00325712"/>
    <w:rsid w:val="00325765"/>
    <w:rsid w:val="00325807"/>
    <w:rsid w:val="00325813"/>
    <w:rsid w:val="00325858"/>
    <w:rsid w:val="003258D5"/>
    <w:rsid w:val="003259C3"/>
    <w:rsid w:val="00325A17"/>
    <w:rsid w:val="00325A70"/>
    <w:rsid w:val="00325A84"/>
    <w:rsid w:val="00325B90"/>
    <w:rsid w:val="00325B9A"/>
    <w:rsid w:val="00325D08"/>
    <w:rsid w:val="00325E6C"/>
    <w:rsid w:val="00325F23"/>
    <w:rsid w:val="00325F39"/>
    <w:rsid w:val="00326039"/>
    <w:rsid w:val="00326171"/>
    <w:rsid w:val="003261B4"/>
    <w:rsid w:val="003262C8"/>
    <w:rsid w:val="003263EF"/>
    <w:rsid w:val="00326515"/>
    <w:rsid w:val="00326766"/>
    <w:rsid w:val="003267F0"/>
    <w:rsid w:val="00326823"/>
    <w:rsid w:val="0032686E"/>
    <w:rsid w:val="003268C4"/>
    <w:rsid w:val="00326AE2"/>
    <w:rsid w:val="00326AF5"/>
    <w:rsid w:val="00326B4B"/>
    <w:rsid w:val="00326B7C"/>
    <w:rsid w:val="00326B89"/>
    <w:rsid w:val="00326BB1"/>
    <w:rsid w:val="00326BC4"/>
    <w:rsid w:val="00326C14"/>
    <w:rsid w:val="00326CD0"/>
    <w:rsid w:val="00326D67"/>
    <w:rsid w:val="00326E10"/>
    <w:rsid w:val="003270D1"/>
    <w:rsid w:val="0032710D"/>
    <w:rsid w:val="003271E7"/>
    <w:rsid w:val="00327228"/>
    <w:rsid w:val="0032739F"/>
    <w:rsid w:val="003274EA"/>
    <w:rsid w:val="00327546"/>
    <w:rsid w:val="00327656"/>
    <w:rsid w:val="00327775"/>
    <w:rsid w:val="003278EB"/>
    <w:rsid w:val="0032790D"/>
    <w:rsid w:val="00327934"/>
    <w:rsid w:val="00327B07"/>
    <w:rsid w:val="00327B12"/>
    <w:rsid w:val="00327B74"/>
    <w:rsid w:val="00327C25"/>
    <w:rsid w:val="00327CEC"/>
    <w:rsid w:val="00327D07"/>
    <w:rsid w:val="00327E00"/>
    <w:rsid w:val="00327F39"/>
    <w:rsid w:val="00327F3E"/>
    <w:rsid w:val="00330119"/>
    <w:rsid w:val="00330192"/>
    <w:rsid w:val="003302F4"/>
    <w:rsid w:val="003303E2"/>
    <w:rsid w:val="00330414"/>
    <w:rsid w:val="003305B4"/>
    <w:rsid w:val="00330622"/>
    <w:rsid w:val="003306E9"/>
    <w:rsid w:val="00330817"/>
    <w:rsid w:val="003308B3"/>
    <w:rsid w:val="003308C9"/>
    <w:rsid w:val="00330955"/>
    <w:rsid w:val="0033098C"/>
    <w:rsid w:val="00330AF0"/>
    <w:rsid w:val="00330BE4"/>
    <w:rsid w:val="00330F30"/>
    <w:rsid w:val="00330FAA"/>
    <w:rsid w:val="00330FC7"/>
    <w:rsid w:val="00331095"/>
    <w:rsid w:val="003310CC"/>
    <w:rsid w:val="003310F0"/>
    <w:rsid w:val="0033115A"/>
    <w:rsid w:val="003311A8"/>
    <w:rsid w:val="003312DA"/>
    <w:rsid w:val="00331503"/>
    <w:rsid w:val="0033159E"/>
    <w:rsid w:val="003315B0"/>
    <w:rsid w:val="0033184E"/>
    <w:rsid w:val="003318D9"/>
    <w:rsid w:val="00331B37"/>
    <w:rsid w:val="00331C78"/>
    <w:rsid w:val="00331CF3"/>
    <w:rsid w:val="00331FFD"/>
    <w:rsid w:val="003321D3"/>
    <w:rsid w:val="00332213"/>
    <w:rsid w:val="00332465"/>
    <w:rsid w:val="003325FE"/>
    <w:rsid w:val="0033262A"/>
    <w:rsid w:val="0033266B"/>
    <w:rsid w:val="003326AE"/>
    <w:rsid w:val="003327CB"/>
    <w:rsid w:val="00332BD3"/>
    <w:rsid w:val="00332BF7"/>
    <w:rsid w:val="00332D64"/>
    <w:rsid w:val="00332FA7"/>
    <w:rsid w:val="003330E8"/>
    <w:rsid w:val="00333138"/>
    <w:rsid w:val="0033321D"/>
    <w:rsid w:val="0033325A"/>
    <w:rsid w:val="00333481"/>
    <w:rsid w:val="0033348A"/>
    <w:rsid w:val="003335A3"/>
    <w:rsid w:val="00333635"/>
    <w:rsid w:val="00333905"/>
    <w:rsid w:val="00333A2B"/>
    <w:rsid w:val="00333AAC"/>
    <w:rsid w:val="00333B06"/>
    <w:rsid w:val="00333C76"/>
    <w:rsid w:val="00333E57"/>
    <w:rsid w:val="00333E5B"/>
    <w:rsid w:val="00333E95"/>
    <w:rsid w:val="00333F9C"/>
    <w:rsid w:val="00333FA8"/>
    <w:rsid w:val="0033422E"/>
    <w:rsid w:val="00334699"/>
    <w:rsid w:val="003346EA"/>
    <w:rsid w:val="00334795"/>
    <w:rsid w:val="0033490C"/>
    <w:rsid w:val="0033495C"/>
    <w:rsid w:val="003349BA"/>
    <w:rsid w:val="00334A92"/>
    <w:rsid w:val="00334AD8"/>
    <w:rsid w:val="00334F7E"/>
    <w:rsid w:val="00334F9F"/>
    <w:rsid w:val="00335038"/>
    <w:rsid w:val="0033519F"/>
    <w:rsid w:val="00335352"/>
    <w:rsid w:val="0033537D"/>
    <w:rsid w:val="003354B8"/>
    <w:rsid w:val="00335687"/>
    <w:rsid w:val="003356BE"/>
    <w:rsid w:val="003356F8"/>
    <w:rsid w:val="00335774"/>
    <w:rsid w:val="0033583E"/>
    <w:rsid w:val="003358C6"/>
    <w:rsid w:val="003358D3"/>
    <w:rsid w:val="00335A41"/>
    <w:rsid w:val="00335A5B"/>
    <w:rsid w:val="00335AA5"/>
    <w:rsid w:val="00335D0E"/>
    <w:rsid w:val="00335EF9"/>
    <w:rsid w:val="00336175"/>
    <w:rsid w:val="00336219"/>
    <w:rsid w:val="0033649F"/>
    <w:rsid w:val="00336562"/>
    <w:rsid w:val="003366DE"/>
    <w:rsid w:val="003368CA"/>
    <w:rsid w:val="00336A31"/>
    <w:rsid w:val="00336AB9"/>
    <w:rsid w:val="00336D80"/>
    <w:rsid w:val="00336E81"/>
    <w:rsid w:val="00336EB6"/>
    <w:rsid w:val="00336EF6"/>
    <w:rsid w:val="00337114"/>
    <w:rsid w:val="00337155"/>
    <w:rsid w:val="0033758B"/>
    <w:rsid w:val="00337763"/>
    <w:rsid w:val="00337814"/>
    <w:rsid w:val="00337A3B"/>
    <w:rsid w:val="00337A87"/>
    <w:rsid w:val="00337AA9"/>
    <w:rsid w:val="00337B2A"/>
    <w:rsid w:val="00337D11"/>
    <w:rsid w:val="00337DBB"/>
    <w:rsid w:val="00340005"/>
    <w:rsid w:val="003401AE"/>
    <w:rsid w:val="0034038D"/>
    <w:rsid w:val="0034045E"/>
    <w:rsid w:val="00340560"/>
    <w:rsid w:val="00340612"/>
    <w:rsid w:val="00340672"/>
    <w:rsid w:val="00340A4B"/>
    <w:rsid w:val="00340A54"/>
    <w:rsid w:val="00340B18"/>
    <w:rsid w:val="00340B98"/>
    <w:rsid w:val="00340BFA"/>
    <w:rsid w:val="00340DAE"/>
    <w:rsid w:val="00340E2A"/>
    <w:rsid w:val="00340EEF"/>
    <w:rsid w:val="00340F2E"/>
    <w:rsid w:val="003412DE"/>
    <w:rsid w:val="00341759"/>
    <w:rsid w:val="003417A5"/>
    <w:rsid w:val="00341823"/>
    <w:rsid w:val="0034192D"/>
    <w:rsid w:val="00341D85"/>
    <w:rsid w:val="0034205A"/>
    <w:rsid w:val="00342144"/>
    <w:rsid w:val="00342311"/>
    <w:rsid w:val="00342448"/>
    <w:rsid w:val="003424A9"/>
    <w:rsid w:val="003426E3"/>
    <w:rsid w:val="00342807"/>
    <w:rsid w:val="00342A19"/>
    <w:rsid w:val="00342A55"/>
    <w:rsid w:val="00342B02"/>
    <w:rsid w:val="00343017"/>
    <w:rsid w:val="00343066"/>
    <w:rsid w:val="00343110"/>
    <w:rsid w:val="00343173"/>
    <w:rsid w:val="0034322A"/>
    <w:rsid w:val="003432F5"/>
    <w:rsid w:val="0034340D"/>
    <w:rsid w:val="00343441"/>
    <w:rsid w:val="0034392D"/>
    <w:rsid w:val="00343961"/>
    <w:rsid w:val="0034396D"/>
    <w:rsid w:val="0034397D"/>
    <w:rsid w:val="00343A32"/>
    <w:rsid w:val="00343AC5"/>
    <w:rsid w:val="00343BCE"/>
    <w:rsid w:val="00343BE9"/>
    <w:rsid w:val="00343CE5"/>
    <w:rsid w:val="00343DE2"/>
    <w:rsid w:val="00343E1D"/>
    <w:rsid w:val="00343EBF"/>
    <w:rsid w:val="00343F31"/>
    <w:rsid w:val="00343FF0"/>
    <w:rsid w:val="003442E8"/>
    <w:rsid w:val="003443EC"/>
    <w:rsid w:val="003446E6"/>
    <w:rsid w:val="0034488A"/>
    <w:rsid w:val="00344B04"/>
    <w:rsid w:val="00344B41"/>
    <w:rsid w:val="00344DAA"/>
    <w:rsid w:val="00344EB7"/>
    <w:rsid w:val="00344F42"/>
    <w:rsid w:val="00344FD7"/>
    <w:rsid w:val="0034502A"/>
    <w:rsid w:val="003451A8"/>
    <w:rsid w:val="00345225"/>
    <w:rsid w:val="00345226"/>
    <w:rsid w:val="00345242"/>
    <w:rsid w:val="003452EC"/>
    <w:rsid w:val="00345312"/>
    <w:rsid w:val="00345447"/>
    <w:rsid w:val="00345505"/>
    <w:rsid w:val="00345631"/>
    <w:rsid w:val="0034573C"/>
    <w:rsid w:val="003457DD"/>
    <w:rsid w:val="00345ABB"/>
    <w:rsid w:val="00345C73"/>
    <w:rsid w:val="00345CBA"/>
    <w:rsid w:val="00345DE4"/>
    <w:rsid w:val="00345E8F"/>
    <w:rsid w:val="00346020"/>
    <w:rsid w:val="00346067"/>
    <w:rsid w:val="003460B2"/>
    <w:rsid w:val="003460C6"/>
    <w:rsid w:val="003462A8"/>
    <w:rsid w:val="003464D4"/>
    <w:rsid w:val="0034657C"/>
    <w:rsid w:val="003466BE"/>
    <w:rsid w:val="0034679D"/>
    <w:rsid w:val="00346956"/>
    <w:rsid w:val="00346A11"/>
    <w:rsid w:val="00346A8D"/>
    <w:rsid w:val="00346B34"/>
    <w:rsid w:val="00346BC3"/>
    <w:rsid w:val="00346C49"/>
    <w:rsid w:val="00346C90"/>
    <w:rsid w:val="00346EDF"/>
    <w:rsid w:val="00347037"/>
    <w:rsid w:val="00347085"/>
    <w:rsid w:val="003471CB"/>
    <w:rsid w:val="003471DF"/>
    <w:rsid w:val="00347429"/>
    <w:rsid w:val="00347447"/>
    <w:rsid w:val="00347552"/>
    <w:rsid w:val="0034759C"/>
    <w:rsid w:val="003476CA"/>
    <w:rsid w:val="003476F5"/>
    <w:rsid w:val="003476F9"/>
    <w:rsid w:val="00347807"/>
    <w:rsid w:val="00347BED"/>
    <w:rsid w:val="00347C50"/>
    <w:rsid w:val="00347DFE"/>
    <w:rsid w:val="00347EBC"/>
    <w:rsid w:val="00347F19"/>
    <w:rsid w:val="00347F23"/>
    <w:rsid w:val="00347FB8"/>
    <w:rsid w:val="003500E4"/>
    <w:rsid w:val="003501C5"/>
    <w:rsid w:val="003501E9"/>
    <w:rsid w:val="00350202"/>
    <w:rsid w:val="00350213"/>
    <w:rsid w:val="003504E6"/>
    <w:rsid w:val="00350784"/>
    <w:rsid w:val="00350A9E"/>
    <w:rsid w:val="00350BA5"/>
    <w:rsid w:val="00350D8D"/>
    <w:rsid w:val="00350ECC"/>
    <w:rsid w:val="00350F29"/>
    <w:rsid w:val="00350F3D"/>
    <w:rsid w:val="00350F7C"/>
    <w:rsid w:val="00350FC9"/>
    <w:rsid w:val="003510C1"/>
    <w:rsid w:val="0035130D"/>
    <w:rsid w:val="003514A9"/>
    <w:rsid w:val="003514E4"/>
    <w:rsid w:val="003515A6"/>
    <w:rsid w:val="003515AA"/>
    <w:rsid w:val="00351822"/>
    <w:rsid w:val="0035186E"/>
    <w:rsid w:val="00351935"/>
    <w:rsid w:val="00351A54"/>
    <w:rsid w:val="00351D13"/>
    <w:rsid w:val="00351D97"/>
    <w:rsid w:val="0035201F"/>
    <w:rsid w:val="00352149"/>
    <w:rsid w:val="003522CE"/>
    <w:rsid w:val="0035253A"/>
    <w:rsid w:val="003527FF"/>
    <w:rsid w:val="003528B9"/>
    <w:rsid w:val="003529ED"/>
    <w:rsid w:val="00352B44"/>
    <w:rsid w:val="00352C93"/>
    <w:rsid w:val="00352E98"/>
    <w:rsid w:val="00352F6B"/>
    <w:rsid w:val="0035301F"/>
    <w:rsid w:val="00353271"/>
    <w:rsid w:val="003533D5"/>
    <w:rsid w:val="00353480"/>
    <w:rsid w:val="003534C4"/>
    <w:rsid w:val="0035366E"/>
    <w:rsid w:val="003538C3"/>
    <w:rsid w:val="00353979"/>
    <w:rsid w:val="00353BBE"/>
    <w:rsid w:val="00353BFD"/>
    <w:rsid w:val="00353C7F"/>
    <w:rsid w:val="00353DE7"/>
    <w:rsid w:val="00353E8C"/>
    <w:rsid w:val="00353EE7"/>
    <w:rsid w:val="00353F3D"/>
    <w:rsid w:val="00354012"/>
    <w:rsid w:val="00354174"/>
    <w:rsid w:val="0035424E"/>
    <w:rsid w:val="00354344"/>
    <w:rsid w:val="00354532"/>
    <w:rsid w:val="00354768"/>
    <w:rsid w:val="00354785"/>
    <w:rsid w:val="0035490A"/>
    <w:rsid w:val="00354912"/>
    <w:rsid w:val="003549E1"/>
    <w:rsid w:val="00354AB5"/>
    <w:rsid w:val="00354C23"/>
    <w:rsid w:val="00354CC8"/>
    <w:rsid w:val="00354DAC"/>
    <w:rsid w:val="00354E6E"/>
    <w:rsid w:val="00354ECB"/>
    <w:rsid w:val="00355205"/>
    <w:rsid w:val="00355304"/>
    <w:rsid w:val="00355382"/>
    <w:rsid w:val="003553C2"/>
    <w:rsid w:val="003556F6"/>
    <w:rsid w:val="00355835"/>
    <w:rsid w:val="00355A40"/>
    <w:rsid w:val="00355BD1"/>
    <w:rsid w:val="00355BD8"/>
    <w:rsid w:val="00355C5C"/>
    <w:rsid w:val="00355CCF"/>
    <w:rsid w:val="00355D79"/>
    <w:rsid w:val="00355F90"/>
    <w:rsid w:val="0035605E"/>
    <w:rsid w:val="003560A6"/>
    <w:rsid w:val="00356404"/>
    <w:rsid w:val="003565B3"/>
    <w:rsid w:val="00356739"/>
    <w:rsid w:val="00356778"/>
    <w:rsid w:val="003567A9"/>
    <w:rsid w:val="0035689E"/>
    <w:rsid w:val="003568DE"/>
    <w:rsid w:val="00356B8E"/>
    <w:rsid w:val="00356C16"/>
    <w:rsid w:val="00356C69"/>
    <w:rsid w:val="00356CB0"/>
    <w:rsid w:val="00356E12"/>
    <w:rsid w:val="00356ED5"/>
    <w:rsid w:val="0035720F"/>
    <w:rsid w:val="00357228"/>
    <w:rsid w:val="0035726E"/>
    <w:rsid w:val="003572EF"/>
    <w:rsid w:val="00357332"/>
    <w:rsid w:val="003575B3"/>
    <w:rsid w:val="003576CE"/>
    <w:rsid w:val="003577E0"/>
    <w:rsid w:val="00357A59"/>
    <w:rsid w:val="00357BAA"/>
    <w:rsid w:val="00357CEA"/>
    <w:rsid w:val="00357E58"/>
    <w:rsid w:val="00360099"/>
    <w:rsid w:val="0036011A"/>
    <w:rsid w:val="003601D6"/>
    <w:rsid w:val="003603E7"/>
    <w:rsid w:val="00360559"/>
    <w:rsid w:val="003605B7"/>
    <w:rsid w:val="00360730"/>
    <w:rsid w:val="003607CF"/>
    <w:rsid w:val="00360898"/>
    <w:rsid w:val="003609C9"/>
    <w:rsid w:val="00360A70"/>
    <w:rsid w:val="00360B34"/>
    <w:rsid w:val="00360C0F"/>
    <w:rsid w:val="00360D71"/>
    <w:rsid w:val="00360FC9"/>
    <w:rsid w:val="0036104D"/>
    <w:rsid w:val="00361139"/>
    <w:rsid w:val="003611AB"/>
    <w:rsid w:val="0036120C"/>
    <w:rsid w:val="003613F7"/>
    <w:rsid w:val="003614FA"/>
    <w:rsid w:val="00361780"/>
    <w:rsid w:val="00361A00"/>
    <w:rsid w:val="00361B7B"/>
    <w:rsid w:val="00361D62"/>
    <w:rsid w:val="00361DDB"/>
    <w:rsid w:val="00361E34"/>
    <w:rsid w:val="00361E97"/>
    <w:rsid w:val="00361EA2"/>
    <w:rsid w:val="00361FAA"/>
    <w:rsid w:val="00362154"/>
    <w:rsid w:val="003625D7"/>
    <w:rsid w:val="003626A9"/>
    <w:rsid w:val="00362773"/>
    <w:rsid w:val="003629ED"/>
    <w:rsid w:val="00362AF7"/>
    <w:rsid w:val="00362B99"/>
    <w:rsid w:val="00362C79"/>
    <w:rsid w:val="00362E57"/>
    <w:rsid w:val="00362E81"/>
    <w:rsid w:val="00362E87"/>
    <w:rsid w:val="00362E94"/>
    <w:rsid w:val="00362F4B"/>
    <w:rsid w:val="00363222"/>
    <w:rsid w:val="0036333E"/>
    <w:rsid w:val="00363728"/>
    <w:rsid w:val="00363B64"/>
    <w:rsid w:val="00363D26"/>
    <w:rsid w:val="00363D29"/>
    <w:rsid w:val="00363EA4"/>
    <w:rsid w:val="00363F36"/>
    <w:rsid w:val="00363F82"/>
    <w:rsid w:val="00363FB5"/>
    <w:rsid w:val="00364388"/>
    <w:rsid w:val="003643CF"/>
    <w:rsid w:val="00364540"/>
    <w:rsid w:val="003646DF"/>
    <w:rsid w:val="0036473F"/>
    <w:rsid w:val="0036482A"/>
    <w:rsid w:val="003648D3"/>
    <w:rsid w:val="00364920"/>
    <w:rsid w:val="00364A32"/>
    <w:rsid w:val="00364AB7"/>
    <w:rsid w:val="00364B4D"/>
    <w:rsid w:val="00364B71"/>
    <w:rsid w:val="00364ECC"/>
    <w:rsid w:val="00364F0D"/>
    <w:rsid w:val="00364F88"/>
    <w:rsid w:val="00364F8F"/>
    <w:rsid w:val="00364F94"/>
    <w:rsid w:val="00365051"/>
    <w:rsid w:val="0036506F"/>
    <w:rsid w:val="003652D6"/>
    <w:rsid w:val="0036541B"/>
    <w:rsid w:val="00365518"/>
    <w:rsid w:val="003658D8"/>
    <w:rsid w:val="00365B7F"/>
    <w:rsid w:val="00365BCC"/>
    <w:rsid w:val="00365CA4"/>
    <w:rsid w:val="00365DC7"/>
    <w:rsid w:val="00365DCE"/>
    <w:rsid w:val="00365E7F"/>
    <w:rsid w:val="00365F4C"/>
    <w:rsid w:val="00365FB0"/>
    <w:rsid w:val="00365FB4"/>
    <w:rsid w:val="0036608D"/>
    <w:rsid w:val="00366239"/>
    <w:rsid w:val="00366286"/>
    <w:rsid w:val="00366444"/>
    <w:rsid w:val="00366622"/>
    <w:rsid w:val="00366776"/>
    <w:rsid w:val="00366831"/>
    <w:rsid w:val="003668D2"/>
    <w:rsid w:val="00366A7E"/>
    <w:rsid w:val="00366B5A"/>
    <w:rsid w:val="0036710E"/>
    <w:rsid w:val="00367178"/>
    <w:rsid w:val="003674D0"/>
    <w:rsid w:val="003675AD"/>
    <w:rsid w:val="00367609"/>
    <w:rsid w:val="00367926"/>
    <w:rsid w:val="00367BDE"/>
    <w:rsid w:val="00367E42"/>
    <w:rsid w:val="00367ECC"/>
    <w:rsid w:val="00367F42"/>
    <w:rsid w:val="00367F4A"/>
    <w:rsid w:val="0037007A"/>
    <w:rsid w:val="00370303"/>
    <w:rsid w:val="0037045D"/>
    <w:rsid w:val="0037057A"/>
    <w:rsid w:val="003706B5"/>
    <w:rsid w:val="003707C0"/>
    <w:rsid w:val="00370892"/>
    <w:rsid w:val="003708F2"/>
    <w:rsid w:val="003709E3"/>
    <w:rsid w:val="00370B32"/>
    <w:rsid w:val="00370DA6"/>
    <w:rsid w:val="00370E69"/>
    <w:rsid w:val="00370EAB"/>
    <w:rsid w:val="0037104E"/>
    <w:rsid w:val="003712EC"/>
    <w:rsid w:val="003714E4"/>
    <w:rsid w:val="003715AC"/>
    <w:rsid w:val="003715BB"/>
    <w:rsid w:val="0037164E"/>
    <w:rsid w:val="003719B7"/>
    <w:rsid w:val="003719CF"/>
    <w:rsid w:val="00371B1C"/>
    <w:rsid w:val="00371D5E"/>
    <w:rsid w:val="00371DD7"/>
    <w:rsid w:val="00371F64"/>
    <w:rsid w:val="003720D5"/>
    <w:rsid w:val="00372189"/>
    <w:rsid w:val="00372335"/>
    <w:rsid w:val="003723E1"/>
    <w:rsid w:val="00372426"/>
    <w:rsid w:val="0037274D"/>
    <w:rsid w:val="003727AA"/>
    <w:rsid w:val="003727D5"/>
    <w:rsid w:val="00372830"/>
    <w:rsid w:val="00372839"/>
    <w:rsid w:val="00372A89"/>
    <w:rsid w:val="00372BFA"/>
    <w:rsid w:val="00372DA0"/>
    <w:rsid w:val="00372EF0"/>
    <w:rsid w:val="00372F08"/>
    <w:rsid w:val="00372FB8"/>
    <w:rsid w:val="003730EA"/>
    <w:rsid w:val="003731A2"/>
    <w:rsid w:val="0037340C"/>
    <w:rsid w:val="00373415"/>
    <w:rsid w:val="003734ED"/>
    <w:rsid w:val="0037388C"/>
    <w:rsid w:val="00373A24"/>
    <w:rsid w:val="00373A9F"/>
    <w:rsid w:val="00373B16"/>
    <w:rsid w:val="00373C4B"/>
    <w:rsid w:val="00373D8F"/>
    <w:rsid w:val="00373FA0"/>
    <w:rsid w:val="003740C1"/>
    <w:rsid w:val="00374156"/>
    <w:rsid w:val="00374221"/>
    <w:rsid w:val="00374303"/>
    <w:rsid w:val="0037431A"/>
    <w:rsid w:val="0037438B"/>
    <w:rsid w:val="003743DC"/>
    <w:rsid w:val="003743ED"/>
    <w:rsid w:val="0037450C"/>
    <w:rsid w:val="00374576"/>
    <w:rsid w:val="00374707"/>
    <w:rsid w:val="0037472A"/>
    <w:rsid w:val="00374842"/>
    <w:rsid w:val="003748B2"/>
    <w:rsid w:val="00374931"/>
    <w:rsid w:val="00374A3A"/>
    <w:rsid w:val="00374A93"/>
    <w:rsid w:val="00374B4D"/>
    <w:rsid w:val="00374B6C"/>
    <w:rsid w:val="00374C02"/>
    <w:rsid w:val="00374C1A"/>
    <w:rsid w:val="00374DAC"/>
    <w:rsid w:val="00374DB3"/>
    <w:rsid w:val="00375069"/>
    <w:rsid w:val="003750CF"/>
    <w:rsid w:val="003750EB"/>
    <w:rsid w:val="003751B1"/>
    <w:rsid w:val="003751F1"/>
    <w:rsid w:val="00375347"/>
    <w:rsid w:val="0037549E"/>
    <w:rsid w:val="003755C6"/>
    <w:rsid w:val="003756C5"/>
    <w:rsid w:val="00375941"/>
    <w:rsid w:val="00375AA1"/>
    <w:rsid w:val="00375B67"/>
    <w:rsid w:val="00375DA2"/>
    <w:rsid w:val="00375DEE"/>
    <w:rsid w:val="00375E67"/>
    <w:rsid w:val="00375EAE"/>
    <w:rsid w:val="00375F42"/>
    <w:rsid w:val="00375FEC"/>
    <w:rsid w:val="00376047"/>
    <w:rsid w:val="003761B0"/>
    <w:rsid w:val="003762CB"/>
    <w:rsid w:val="003762F1"/>
    <w:rsid w:val="00376548"/>
    <w:rsid w:val="003766A2"/>
    <w:rsid w:val="003766FD"/>
    <w:rsid w:val="003767F0"/>
    <w:rsid w:val="003769F3"/>
    <w:rsid w:val="00376AC0"/>
    <w:rsid w:val="00376AE0"/>
    <w:rsid w:val="00376C11"/>
    <w:rsid w:val="00376C36"/>
    <w:rsid w:val="00376C43"/>
    <w:rsid w:val="00376C44"/>
    <w:rsid w:val="00376D73"/>
    <w:rsid w:val="00376FFA"/>
    <w:rsid w:val="00377086"/>
    <w:rsid w:val="003770C4"/>
    <w:rsid w:val="003770FF"/>
    <w:rsid w:val="0037719B"/>
    <w:rsid w:val="003771EB"/>
    <w:rsid w:val="0037720E"/>
    <w:rsid w:val="00377526"/>
    <w:rsid w:val="00377528"/>
    <w:rsid w:val="003775A4"/>
    <w:rsid w:val="003776DC"/>
    <w:rsid w:val="00377941"/>
    <w:rsid w:val="00377A07"/>
    <w:rsid w:val="00377AFD"/>
    <w:rsid w:val="00377B87"/>
    <w:rsid w:val="00377BBE"/>
    <w:rsid w:val="00377C15"/>
    <w:rsid w:val="00377C9E"/>
    <w:rsid w:val="00377F42"/>
    <w:rsid w:val="0038006F"/>
    <w:rsid w:val="003800AD"/>
    <w:rsid w:val="003801BE"/>
    <w:rsid w:val="00380217"/>
    <w:rsid w:val="0038022E"/>
    <w:rsid w:val="003802A2"/>
    <w:rsid w:val="0038033B"/>
    <w:rsid w:val="003803D2"/>
    <w:rsid w:val="003805D3"/>
    <w:rsid w:val="003806C1"/>
    <w:rsid w:val="0038075D"/>
    <w:rsid w:val="003807B1"/>
    <w:rsid w:val="00380891"/>
    <w:rsid w:val="00380936"/>
    <w:rsid w:val="003809F5"/>
    <w:rsid w:val="00380C4E"/>
    <w:rsid w:val="00380D01"/>
    <w:rsid w:val="00380FA3"/>
    <w:rsid w:val="0038118E"/>
    <w:rsid w:val="00381299"/>
    <w:rsid w:val="00381320"/>
    <w:rsid w:val="003814F5"/>
    <w:rsid w:val="00381536"/>
    <w:rsid w:val="003815B6"/>
    <w:rsid w:val="0038168B"/>
    <w:rsid w:val="003816B6"/>
    <w:rsid w:val="0038176D"/>
    <w:rsid w:val="003818F8"/>
    <w:rsid w:val="00381946"/>
    <w:rsid w:val="0038196D"/>
    <w:rsid w:val="00381996"/>
    <w:rsid w:val="00381A04"/>
    <w:rsid w:val="00381A8D"/>
    <w:rsid w:val="00381A9E"/>
    <w:rsid w:val="00381C8B"/>
    <w:rsid w:val="00381D2B"/>
    <w:rsid w:val="00381E29"/>
    <w:rsid w:val="00382120"/>
    <w:rsid w:val="003821B1"/>
    <w:rsid w:val="00382374"/>
    <w:rsid w:val="0038255E"/>
    <w:rsid w:val="0038257B"/>
    <w:rsid w:val="00382625"/>
    <w:rsid w:val="00382663"/>
    <w:rsid w:val="003828AC"/>
    <w:rsid w:val="003828F1"/>
    <w:rsid w:val="00382AB0"/>
    <w:rsid w:val="00382AFA"/>
    <w:rsid w:val="00382B8F"/>
    <w:rsid w:val="00382CD7"/>
    <w:rsid w:val="00382DF7"/>
    <w:rsid w:val="003830F6"/>
    <w:rsid w:val="00383194"/>
    <w:rsid w:val="003834CD"/>
    <w:rsid w:val="0038354A"/>
    <w:rsid w:val="0038374C"/>
    <w:rsid w:val="00383B6E"/>
    <w:rsid w:val="00383D30"/>
    <w:rsid w:val="00383D90"/>
    <w:rsid w:val="00383DA0"/>
    <w:rsid w:val="00383ED4"/>
    <w:rsid w:val="00383FCB"/>
    <w:rsid w:val="003840B6"/>
    <w:rsid w:val="003840DA"/>
    <w:rsid w:val="0038460B"/>
    <w:rsid w:val="00384700"/>
    <w:rsid w:val="00384A9F"/>
    <w:rsid w:val="00384AF3"/>
    <w:rsid w:val="00384C0A"/>
    <w:rsid w:val="00384F09"/>
    <w:rsid w:val="00384F15"/>
    <w:rsid w:val="00384FB1"/>
    <w:rsid w:val="003852FC"/>
    <w:rsid w:val="00385507"/>
    <w:rsid w:val="003855DA"/>
    <w:rsid w:val="0038560A"/>
    <w:rsid w:val="00385668"/>
    <w:rsid w:val="00385749"/>
    <w:rsid w:val="003858EA"/>
    <w:rsid w:val="00385924"/>
    <w:rsid w:val="00385B06"/>
    <w:rsid w:val="00385C15"/>
    <w:rsid w:val="00385C67"/>
    <w:rsid w:val="00385DA4"/>
    <w:rsid w:val="00385F0D"/>
    <w:rsid w:val="00385F1F"/>
    <w:rsid w:val="00385F54"/>
    <w:rsid w:val="00386151"/>
    <w:rsid w:val="00386168"/>
    <w:rsid w:val="00386180"/>
    <w:rsid w:val="003861D6"/>
    <w:rsid w:val="00386476"/>
    <w:rsid w:val="003864F1"/>
    <w:rsid w:val="00386556"/>
    <w:rsid w:val="003865D6"/>
    <w:rsid w:val="003865F8"/>
    <w:rsid w:val="003868BC"/>
    <w:rsid w:val="0038697C"/>
    <w:rsid w:val="00386A14"/>
    <w:rsid w:val="00386D8C"/>
    <w:rsid w:val="00386DE2"/>
    <w:rsid w:val="00386DE7"/>
    <w:rsid w:val="00386E02"/>
    <w:rsid w:val="00386ED3"/>
    <w:rsid w:val="00386ED7"/>
    <w:rsid w:val="0038702E"/>
    <w:rsid w:val="0038711C"/>
    <w:rsid w:val="00387611"/>
    <w:rsid w:val="003876B7"/>
    <w:rsid w:val="00387799"/>
    <w:rsid w:val="00387831"/>
    <w:rsid w:val="003878D9"/>
    <w:rsid w:val="00387900"/>
    <w:rsid w:val="00387943"/>
    <w:rsid w:val="00387944"/>
    <w:rsid w:val="00387B63"/>
    <w:rsid w:val="00387CCA"/>
    <w:rsid w:val="00387DBB"/>
    <w:rsid w:val="00387EAD"/>
    <w:rsid w:val="00387F47"/>
    <w:rsid w:val="00387F4D"/>
    <w:rsid w:val="0039003A"/>
    <w:rsid w:val="0039006C"/>
    <w:rsid w:val="003900D8"/>
    <w:rsid w:val="00390169"/>
    <w:rsid w:val="0039019C"/>
    <w:rsid w:val="003902A6"/>
    <w:rsid w:val="003902B6"/>
    <w:rsid w:val="003902C7"/>
    <w:rsid w:val="00390312"/>
    <w:rsid w:val="00390461"/>
    <w:rsid w:val="003904A0"/>
    <w:rsid w:val="00390653"/>
    <w:rsid w:val="00390679"/>
    <w:rsid w:val="00390684"/>
    <w:rsid w:val="0039069F"/>
    <w:rsid w:val="003907EB"/>
    <w:rsid w:val="0039084D"/>
    <w:rsid w:val="0039095F"/>
    <w:rsid w:val="0039098E"/>
    <w:rsid w:val="00390BF6"/>
    <w:rsid w:val="00390C56"/>
    <w:rsid w:val="00390E00"/>
    <w:rsid w:val="00390E5B"/>
    <w:rsid w:val="00390E6D"/>
    <w:rsid w:val="00390EED"/>
    <w:rsid w:val="00390EF3"/>
    <w:rsid w:val="00391024"/>
    <w:rsid w:val="00391156"/>
    <w:rsid w:val="003913C1"/>
    <w:rsid w:val="0039163B"/>
    <w:rsid w:val="00391812"/>
    <w:rsid w:val="00391845"/>
    <w:rsid w:val="0039199B"/>
    <w:rsid w:val="00391A60"/>
    <w:rsid w:val="00391ABB"/>
    <w:rsid w:val="00391B57"/>
    <w:rsid w:val="00391D1D"/>
    <w:rsid w:val="00391F94"/>
    <w:rsid w:val="00392176"/>
    <w:rsid w:val="003921A1"/>
    <w:rsid w:val="003921AC"/>
    <w:rsid w:val="00392415"/>
    <w:rsid w:val="0039258F"/>
    <w:rsid w:val="00392625"/>
    <w:rsid w:val="0039272C"/>
    <w:rsid w:val="00392993"/>
    <w:rsid w:val="00392B4E"/>
    <w:rsid w:val="00392C3B"/>
    <w:rsid w:val="00392C47"/>
    <w:rsid w:val="00392D2D"/>
    <w:rsid w:val="003930CA"/>
    <w:rsid w:val="003932B0"/>
    <w:rsid w:val="003934E7"/>
    <w:rsid w:val="00393501"/>
    <w:rsid w:val="003936A1"/>
    <w:rsid w:val="00393875"/>
    <w:rsid w:val="00393AB8"/>
    <w:rsid w:val="00393ABC"/>
    <w:rsid w:val="00393ADC"/>
    <w:rsid w:val="00393B4D"/>
    <w:rsid w:val="00393BCB"/>
    <w:rsid w:val="00393BE2"/>
    <w:rsid w:val="00393C8C"/>
    <w:rsid w:val="00393CC4"/>
    <w:rsid w:val="00393D54"/>
    <w:rsid w:val="00393EC3"/>
    <w:rsid w:val="00393F3A"/>
    <w:rsid w:val="00393FCC"/>
    <w:rsid w:val="003940F0"/>
    <w:rsid w:val="00394114"/>
    <w:rsid w:val="00394268"/>
    <w:rsid w:val="00394599"/>
    <w:rsid w:val="00394778"/>
    <w:rsid w:val="00394A3D"/>
    <w:rsid w:val="00394A70"/>
    <w:rsid w:val="00394B23"/>
    <w:rsid w:val="00394B94"/>
    <w:rsid w:val="00394CD2"/>
    <w:rsid w:val="00394D43"/>
    <w:rsid w:val="0039501E"/>
    <w:rsid w:val="00395064"/>
    <w:rsid w:val="0039557E"/>
    <w:rsid w:val="00395601"/>
    <w:rsid w:val="00395644"/>
    <w:rsid w:val="0039578D"/>
    <w:rsid w:val="00395791"/>
    <w:rsid w:val="0039593B"/>
    <w:rsid w:val="00395BD4"/>
    <w:rsid w:val="00395BFF"/>
    <w:rsid w:val="00395C0B"/>
    <w:rsid w:val="00395C34"/>
    <w:rsid w:val="00395DBC"/>
    <w:rsid w:val="00395DCF"/>
    <w:rsid w:val="00395E98"/>
    <w:rsid w:val="00395F2A"/>
    <w:rsid w:val="00396026"/>
    <w:rsid w:val="00396063"/>
    <w:rsid w:val="00396134"/>
    <w:rsid w:val="00396216"/>
    <w:rsid w:val="00396278"/>
    <w:rsid w:val="003963E1"/>
    <w:rsid w:val="0039640D"/>
    <w:rsid w:val="00396485"/>
    <w:rsid w:val="003965B6"/>
    <w:rsid w:val="003966B4"/>
    <w:rsid w:val="003966E7"/>
    <w:rsid w:val="00396749"/>
    <w:rsid w:val="0039694D"/>
    <w:rsid w:val="003969D5"/>
    <w:rsid w:val="00396A9F"/>
    <w:rsid w:val="00396ADF"/>
    <w:rsid w:val="00396D6F"/>
    <w:rsid w:val="003971CF"/>
    <w:rsid w:val="0039736B"/>
    <w:rsid w:val="00397471"/>
    <w:rsid w:val="003975A0"/>
    <w:rsid w:val="003976F9"/>
    <w:rsid w:val="00397730"/>
    <w:rsid w:val="0039797A"/>
    <w:rsid w:val="00397A80"/>
    <w:rsid w:val="00397AAF"/>
    <w:rsid w:val="00397AB2"/>
    <w:rsid w:val="00397B51"/>
    <w:rsid w:val="00397C00"/>
    <w:rsid w:val="00397C72"/>
    <w:rsid w:val="00397E63"/>
    <w:rsid w:val="003A003F"/>
    <w:rsid w:val="003A0288"/>
    <w:rsid w:val="003A0694"/>
    <w:rsid w:val="003A076F"/>
    <w:rsid w:val="003A07FB"/>
    <w:rsid w:val="003A08E3"/>
    <w:rsid w:val="003A0A2A"/>
    <w:rsid w:val="003A0A9B"/>
    <w:rsid w:val="003A0AE2"/>
    <w:rsid w:val="003A0B90"/>
    <w:rsid w:val="003A0C7F"/>
    <w:rsid w:val="003A0C93"/>
    <w:rsid w:val="003A0E03"/>
    <w:rsid w:val="003A0E98"/>
    <w:rsid w:val="003A11FB"/>
    <w:rsid w:val="003A15A6"/>
    <w:rsid w:val="003A15B7"/>
    <w:rsid w:val="003A169F"/>
    <w:rsid w:val="003A1757"/>
    <w:rsid w:val="003A17D6"/>
    <w:rsid w:val="003A1BE1"/>
    <w:rsid w:val="003A1C15"/>
    <w:rsid w:val="003A1CCD"/>
    <w:rsid w:val="003A1F22"/>
    <w:rsid w:val="003A1F35"/>
    <w:rsid w:val="003A1F5F"/>
    <w:rsid w:val="003A1F73"/>
    <w:rsid w:val="003A1FE1"/>
    <w:rsid w:val="003A217F"/>
    <w:rsid w:val="003A21F4"/>
    <w:rsid w:val="003A264A"/>
    <w:rsid w:val="003A267E"/>
    <w:rsid w:val="003A26F7"/>
    <w:rsid w:val="003A275D"/>
    <w:rsid w:val="003A2802"/>
    <w:rsid w:val="003A2917"/>
    <w:rsid w:val="003A2AC1"/>
    <w:rsid w:val="003A2C87"/>
    <w:rsid w:val="003A2CC7"/>
    <w:rsid w:val="003A2E5D"/>
    <w:rsid w:val="003A2E62"/>
    <w:rsid w:val="003A2E70"/>
    <w:rsid w:val="003A2EB3"/>
    <w:rsid w:val="003A2F40"/>
    <w:rsid w:val="003A3216"/>
    <w:rsid w:val="003A33E5"/>
    <w:rsid w:val="003A33E8"/>
    <w:rsid w:val="003A350C"/>
    <w:rsid w:val="003A3575"/>
    <w:rsid w:val="003A3624"/>
    <w:rsid w:val="003A3632"/>
    <w:rsid w:val="003A3706"/>
    <w:rsid w:val="003A37BD"/>
    <w:rsid w:val="003A39D6"/>
    <w:rsid w:val="003A3A3C"/>
    <w:rsid w:val="003A3B90"/>
    <w:rsid w:val="003A3C36"/>
    <w:rsid w:val="003A3C6F"/>
    <w:rsid w:val="003A3CA5"/>
    <w:rsid w:val="003A3E4D"/>
    <w:rsid w:val="003A3E88"/>
    <w:rsid w:val="003A42C6"/>
    <w:rsid w:val="003A4313"/>
    <w:rsid w:val="003A463E"/>
    <w:rsid w:val="003A47C3"/>
    <w:rsid w:val="003A48CE"/>
    <w:rsid w:val="003A48D8"/>
    <w:rsid w:val="003A4AB0"/>
    <w:rsid w:val="003A4B55"/>
    <w:rsid w:val="003A4CA0"/>
    <w:rsid w:val="003A4D0D"/>
    <w:rsid w:val="003A4D17"/>
    <w:rsid w:val="003A4DED"/>
    <w:rsid w:val="003A4F0B"/>
    <w:rsid w:val="003A4F82"/>
    <w:rsid w:val="003A4F8E"/>
    <w:rsid w:val="003A51DA"/>
    <w:rsid w:val="003A528C"/>
    <w:rsid w:val="003A54AF"/>
    <w:rsid w:val="003A54C0"/>
    <w:rsid w:val="003A5534"/>
    <w:rsid w:val="003A55E3"/>
    <w:rsid w:val="003A566C"/>
    <w:rsid w:val="003A585E"/>
    <w:rsid w:val="003A58EC"/>
    <w:rsid w:val="003A5A01"/>
    <w:rsid w:val="003A5A1F"/>
    <w:rsid w:val="003A5A7E"/>
    <w:rsid w:val="003A5B9E"/>
    <w:rsid w:val="003A5BDF"/>
    <w:rsid w:val="003A5CC0"/>
    <w:rsid w:val="003A5DB4"/>
    <w:rsid w:val="003A5E92"/>
    <w:rsid w:val="003A5E96"/>
    <w:rsid w:val="003A5F32"/>
    <w:rsid w:val="003A60CE"/>
    <w:rsid w:val="003A6106"/>
    <w:rsid w:val="003A6133"/>
    <w:rsid w:val="003A6303"/>
    <w:rsid w:val="003A6660"/>
    <w:rsid w:val="003A68F7"/>
    <w:rsid w:val="003A6A03"/>
    <w:rsid w:val="003A6AF2"/>
    <w:rsid w:val="003A6B40"/>
    <w:rsid w:val="003A6BC3"/>
    <w:rsid w:val="003A6BE7"/>
    <w:rsid w:val="003A6BFD"/>
    <w:rsid w:val="003A6CDB"/>
    <w:rsid w:val="003A7234"/>
    <w:rsid w:val="003A72DB"/>
    <w:rsid w:val="003A736C"/>
    <w:rsid w:val="003A741C"/>
    <w:rsid w:val="003A749C"/>
    <w:rsid w:val="003A7723"/>
    <w:rsid w:val="003A780F"/>
    <w:rsid w:val="003A7A87"/>
    <w:rsid w:val="003A7B25"/>
    <w:rsid w:val="003A7E30"/>
    <w:rsid w:val="003A7E4B"/>
    <w:rsid w:val="003A7F10"/>
    <w:rsid w:val="003B006F"/>
    <w:rsid w:val="003B023C"/>
    <w:rsid w:val="003B037C"/>
    <w:rsid w:val="003B03AB"/>
    <w:rsid w:val="003B048E"/>
    <w:rsid w:val="003B0506"/>
    <w:rsid w:val="003B051E"/>
    <w:rsid w:val="003B0564"/>
    <w:rsid w:val="003B0826"/>
    <w:rsid w:val="003B0879"/>
    <w:rsid w:val="003B08CD"/>
    <w:rsid w:val="003B0A71"/>
    <w:rsid w:val="003B0C98"/>
    <w:rsid w:val="003B0D16"/>
    <w:rsid w:val="003B0EAB"/>
    <w:rsid w:val="003B0EE5"/>
    <w:rsid w:val="003B0F00"/>
    <w:rsid w:val="003B11E2"/>
    <w:rsid w:val="003B12AD"/>
    <w:rsid w:val="003B147F"/>
    <w:rsid w:val="003B15C5"/>
    <w:rsid w:val="003B16AF"/>
    <w:rsid w:val="003B16B9"/>
    <w:rsid w:val="003B1841"/>
    <w:rsid w:val="003B1923"/>
    <w:rsid w:val="003B1A7F"/>
    <w:rsid w:val="003B1CE8"/>
    <w:rsid w:val="003B1D6A"/>
    <w:rsid w:val="003B1DFE"/>
    <w:rsid w:val="003B1E06"/>
    <w:rsid w:val="003B1EE5"/>
    <w:rsid w:val="003B1F17"/>
    <w:rsid w:val="003B1F21"/>
    <w:rsid w:val="003B1F26"/>
    <w:rsid w:val="003B1F2A"/>
    <w:rsid w:val="003B1F64"/>
    <w:rsid w:val="003B2089"/>
    <w:rsid w:val="003B2148"/>
    <w:rsid w:val="003B21FE"/>
    <w:rsid w:val="003B2229"/>
    <w:rsid w:val="003B2532"/>
    <w:rsid w:val="003B25AD"/>
    <w:rsid w:val="003B2646"/>
    <w:rsid w:val="003B2670"/>
    <w:rsid w:val="003B294F"/>
    <w:rsid w:val="003B2B36"/>
    <w:rsid w:val="003B2BD0"/>
    <w:rsid w:val="003B2BD7"/>
    <w:rsid w:val="003B2C7C"/>
    <w:rsid w:val="003B2CB2"/>
    <w:rsid w:val="003B2DA5"/>
    <w:rsid w:val="003B2FCC"/>
    <w:rsid w:val="003B2FDD"/>
    <w:rsid w:val="003B3246"/>
    <w:rsid w:val="003B3485"/>
    <w:rsid w:val="003B3487"/>
    <w:rsid w:val="003B3894"/>
    <w:rsid w:val="003B38B5"/>
    <w:rsid w:val="003B39F4"/>
    <w:rsid w:val="003B3A26"/>
    <w:rsid w:val="003B3C00"/>
    <w:rsid w:val="003B3C07"/>
    <w:rsid w:val="003B3D2B"/>
    <w:rsid w:val="003B3E08"/>
    <w:rsid w:val="003B3FB4"/>
    <w:rsid w:val="003B4252"/>
    <w:rsid w:val="003B425C"/>
    <w:rsid w:val="003B4330"/>
    <w:rsid w:val="003B4337"/>
    <w:rsid w:val="003B43D8"/>
    <w:rsid w:val="003B447F"/>
    <w:rsid w:val="003B456F"/>
    <w:rsid w:val="003B4714"/>
    <w:rsid w:val="003B475A"/>
    <w:rsid w:val="003B4785"/>
    <w:rsid w:val="003B47AB"/>
    <w:rsid w:val="003B48DB"/>
    <w:rsid w:val="003B4954"/>
    <w:rsid w:val="003B49E8"/>
    <w:rsid w:val="003B4DA8"/>
    <w:rsid w:val="003B51C5"/>
    <w:rsid w:val="003B529A"/>
    <w:rsid w:val="003B53AF"/>
    <w:rsid w:val="003B53FD"/>
    <w:rsid w:val="003B56FF"/>
    <w:rsid w:val="003B597B"/>
    <w:rsid w:val="003B5AFE"/>
    <w:rsid w:val="003B5BBD"/>
    <w:rsid w:val="003B5C9F"/>
    <w:rsid w:val="003B5DE0"/>
    <w:rsid w:val="003B5EA2"/>
    <w:rsid w:val="003B5FD9"/>
    <w:rsid w:val="003B61A7"/>
    <w:rsid w:val="003B629E"/>
    <w:rsid w:val="003B63C8"/>
    <w:rsid w:val="003B65CB"/>
    <w:rsid w:val="003B66F8"/>
    <w:rsid w:val="003B6747"/>
    <w:rsid w:val="003B6773"/>
    <w:rsid w:val="003B68C8"/>
    <w:rsid w:val="003B6911"/>
    <w:rsid w:val="003B692E"/>
    <w:rsid w:val="003B6939"/>
    <w:rsid w:val="003B6C06"/>
    <w:rsid w:val="003B6C30"/>
    <w:rsid w:val="003B6FF4"/>
    <w:rsid w:val="003B6FF6"/>
    <w:rsid w:val="003B6FFB"/>
    <w:rsid w:val="003B7150"/>
    <w:rsid w:val="003B7154"/>
    <w:rsid w:val="003B7301"/>
    <w:rsid w:val="003B738E"/>
    <w:rsid w:val="003B7642"/>
    <w:rsid w:val="003B76FF"/>
    <w:rsid w:val="003B7730"/>
    <w:rsid w:val="003B7B17"/>
    <w:rsid w:val="003B7CE1"/>
    <w:rsid w:val="003B7DF8"/>
    <w:rsid w:val="003B7E26"/>
    <w:rsid w:val="003B7E87"/>
    <w:rsid w:val="003B7EFE"/>
    <w:rsid w:val="003B7F15"/>
    <w:rsid w:val="003C01AF"/>
    <w:rsid w:val="003C02A8"/>
    <w:rsid w:val="003C036F"/>
    <w:rsid w:val="003C0451"/>
    <w:rsid w:val="003C047E"/>
    <w:rsid w:val="003C07AB"/>
    <w:rsid w:val="003C07B6"/>
    <w:rsid w:val="003C07BD"/>
    <w:rsid w:val="003C0813"/>
    <w:rsid w:val="003C08F8"/>
    <w:rsid w:val="003C0B10"/>
    <w:rsid w:val="003C0B7D"/>
    <w:rsid w:val="003C0DD0"/>
    <w:rsid w:val="003C0DDB"/>
    <w:rsid w:val="003C0E13"/>
    <w:rsid w:val="003C0F07"/>
    <w:rsid w:val="003C0F63"/>
    <w:rsid w:val="003C0FE5"/>
    <w:rsid w:val="003C11C4"/>
    <w:rsid w:val="003C1252"/>
    <w:rsid w:val="003C141B"/>
    <w:rsid w:val="003C14B8"/>
    <w:rsid w:val="003C14CE"/>
    <w:rsid w:val="003C1555"/>
    <w:rsid w:val="003C1575"/>
    <w:rsid w:val="003C16B9"/>
    <w:rsid w:val="003C16BA"/>
    <w:rsid w:val="003C1802"/>
    <w:rsid w:val="003C1A84"/>
    <w:rsid w:val="003C1B99"/>
    <w:rsid w:val="003C1EC6"/>
    <w:rsid w:val="003C1F60"/>
    <w:rsid w:val="003C20A1"/>
    <w:rsid w:val="003C2191"/>
    <w:rsid w:val="003C229C"/>
    <w:rsid w:val="003C2407"/>
    <w:rsid w:val="003C2445"/>
    <w:rsid w:val="003C250C"/>
    <w:rsid w:val="003C254C"/>
    <w:rsid w:val="003C2695"/>
    <w:rsid w:val="003C2792"/>
    <w:rsid w:val="003C27D6"/>
    <w:rsid w:val="003C2953"/>
    <w:rsid w:val="003C2A5E"/>
    <w:rsid w:val="003C2AFB"/>
    <w:rsid w:val="003C2B36"/>
    <w:rsid w:val="003C2BB5"/>
    <w:rsid w:val="003C2C27"/>
    <w:rsid w:val="003C2C6C"/>
    <w:rsid w:val="003C2CA6"/>
    <w:rsid w:val="003C2CCB"/>
    <w:rsid w:val="003C2F24"/>
    <w:rsid w:val="003C2F94"/>
    <w:rsid w:val="003C3035"/>
    <w:rsid w:val="003C30F3"/>
    <w:rsid w:val="003C33D7"/>
    <w:rsid w:val="003C3411"/>
    <w:rsid w:val="003C3434"/>
    <w:rsid w:val="003C3439"/>
    <w:rsid w:val="003C346D"/>
    <w:rsid w:val="003C34A4"/>
    <w:rsid w:val="003C3522"/>
    <w:rsid w:val="003C3545"/>
    <w:rsid w:val="003C35FA"/>
    <w:rsid w:val="003C3649"/>
    <w:rsid w:val="003C3998"/>
    <w:rsid w:val="003C39E9"/>
    <w:rsid w:val="003C3A3C"/>
    <w:rsid w:val="003C3A84"/>
    <w:rsid w:val="003C3B17"/>
    <w:rsid w:val="003C3C30"/>
    <w:rsid w:val="003C3FA4"/>
    <w:rsid w:val="003C40F9"/>
    <w:rsid w:val="003C4130"/>
    <w:rsid w:val="003C4331"/>
    <w:rsid w:val="003C4406"/>
    <w:rsid w:val="003C466F"/>
    <w:rsid w:val="003C478B"/>
    <w:rsid w:val="003C4A7C"/>
    <w:rsid w:val="003C4AAB"/>
    <w:rsid w:val="003C4B4F"/>
    <w:rsid w:val="003C4BBF"/>
    <w:rsid w:val="003C4BC4"/>
    <w:rsid w:val="003C526B"/>
    <w:rsid w:val="003C52FE"/>
    <w:rsid w:val="003C5389"/>
    <w:rsid w:val="003C5593"/>
    <w:rsid w:val="003C581B"/>
    <w:rsid w:val="003C589E"/>
    <w:rsid w:val="003C5910"/>
    <w:rsid w:val="003C5A1C"/>
    <w:rsid w:val="003C5D00"/>
    <w:rsid w:val="003C5E3F"/>
    <w:rsid w:val="003C5F46"/>
    <w:rsid w:val="003C60E4"/>
    <w:rsid w:val="003C62EE"/>
    <w:rsid w:val="003C65FB"/>
    <w:rsid w:val="003C660E"/>
    <w:rsid w:val="003C68CC"/>
    <w:rsid w:val="003C6A70"/>
    <w:rsid w:val="003C6D69"/>
    <w:rsid w:val="003C6D6A"/>
    <w:rsid w:val="003C6DBE"/>
    <w:rsid w:val="003C6EC0"/>
    <w:rsid w:val="003C6F78"/>
    <w:rsid w:val="003C70AB"/>
    <w:rsid w:val="003C7340"/>
    <w:rsid w:val="003C74EE"/>
    <w:rsid w:val="003C74F3"/>
    <w:rsid w:val="003C7555"/>
    <w:rsid w:val="003C7564"/>
    <w:rsid w:val="003C7776"/>
    <w:rsid w:val="003C793A"/>
    <w:rsid w:val="003C7BB6"/>
    <w:rsid w:val="003C7C6C"/>
    <w:rsid w:val="003C7C75"/>
    <w:rsid w:val="003C7D6D"/>
    <w:rsid w:val="003C7DAB"/>
    <w:rsid w:val="003C7DBA"/>
    <w:rsid w:val="003C7EBE"/>
    <w:rsid w:val="003C7FF9"/>
    <w:rsid w:val="003D00A5"/>
    <w:rsid w:val="003D013A"/>
    <w:rsid w:val="003D01B1"/>
    <w:rsid w:val="003D0577"/>
    <w:rsid w:val="003D05FB"/>
    <w:rsid w:val="003D0613"/>
    <w:rsid w:val="003D07A0"/>
    <w:rsid w:val="003D086B"/>
    <w:rsid w:val="003D08FC"/>
    <w:rsid w:val="003D092F"/>
    <w:rsid w:val="003D0946"/>
    <w:rsid w:val="003D0A88"/>
    <w:rsid w:val="003D0AEA"/>
    <w:rsid w:val="003D0E38"/>
    <w:rsid w:val="003D105D"/>
    <w:rsid w:val="003D117A"/>
    <w:rsid w:val="003D11AD"/>
    <w:rsid w:val="003D13AF"/>
    <w:rsid w:val="003D1595"/>
    <w:rsid w:val="003D15C7"/>
    <w:rsid w:val="003D170B"/>
    <w:rsid w:val="003D1745"/>
    <w:rsid w:val="003D174E"/>
    <w:rsid w:val="003D1797"/>
    <w:rsid w:val="003D17AD"/>
    <w:rsid w:val="003D19A3"/>
    <w:rsid w:val="003D1C57"/>
    <w:rsid w:val="003D1C95"/>
    <w:rsid w:val="003D1E59"/>
    <w:rsid w:val="003D1EB6"/>
    <w:rsid w:val="003D1F6B"/>
    <w:rsid w:val="003D2116"/>
    <w:rsid w:val="003D2637"/>
    <w:rsid w:val="003D2792"/>
    <w:rsid w:val="003D2807"/>
    <w:rsid w:val="003D2997"/>
    <w:rsid w:val="003D29AC"/>
    <w:rsid w:val="003D2AF4"/>
    <w:rsid w:val="003D2DA1"/>
    <w:rsid w:val="003D2E0B"/>
    <w:rsid w:val="003D2E45"/>
    <w:rsid w:val="003D2E99"/>
    <w:rsid w:val="003D2ECD"/>
    <w:rsid w:val="003D2F47"/>
    <w:rsid w:val="003D30AB"/>
    <w:rsid w:val="003D3202"/>
    <w:rsid w:val="003D3276"/>
    <w:rsid w:val="003D32B2"/>
    <w:rsid w:val="003D33A0"/>
    <w:rsid w:val="003D35D3"/>
    <w:rsid w:val="003D37CB"/>
    <w:rsid w:val="003D3853"/>
    <w:rsid w:val="003D38DD"/>
    <w:rsid w:val="003D3B39"/>
    <w:rsid w:val="003D3BC9"/>
    <w:rsid w:val="003D3E82"/>
    <w:rsid w:val="003D3EBC"/>
    <w:rsid w:val="003D3EFC"/>
    <w:rsid w:val="003D3FBC"/>
    <w:rsid w:val="003D4011"/>
    <w:rsid w:val="003D4475"/>
    <w:rsid w:val="003D44FB"/>
    <w:rsid w:val="003D45FE"/>
    <w:rsid w:val="003D4884"/>
    <w:rsid w:val="003D494E"/>
    <w:rsid w:val="003D496A"/>
    <w:rsid w:val="003D4982"/>
    <w:rsid w:val="003D4C70"/>
    <w:rsid w:val="003D4D9C"/>
    <w:rsid w:val="003D4F3A"/>
    <w:rsid w:val="003D4F3D"/>
    <w:rsid w:val="003D4F8E"/>
    <w:rsid w:val="003D510E"/>
    <w:rsid w:val="003D5189"/>
    <w:rsid w:val="003D51FF"/>
    <w:rsid w:val="003D52BA"/>
    <w:rsid w:val="003D53F5"/>
    <w:rsid w:val="003D5549"/>
    <w:rsid w:val="003D55F6"/>
    <w:rsid w:val="003D565E"/>
    <w:rsid w:val="003D5785"/>
    <w:rsid w:val="003D5840"/>
    <w:rsid w:val="003D58B0"/>
    <w:rsid w:val="003D5A06"/>
    <w:rsid w:val="003D5B68"/>
    <w:rsid w:val="003D5C48"/>
    <w:rsid w:val="003D5C79"/>
    <w:rsid w:val="003D5D55"/>
    <w:rsid w:val="003D5D87"/>
    <w:rsid w:val="003D5E8B"/>
    <w:rsid w:val="003D5F01"/>
    <w:rsid w:val="003D5F67"/>
    <w:rsid w:val="003D60BB"/>
    <w:rsid w:val="003D6162"/>
    <w:rsid w:val="003D617F"/>
    <w:rsid w:val="003D618B"/>
    <w:rsid w:val="003D6234"/>
    <w:rsid w:val="003D62B4"/>
    <w:rsid w:val="003D631A"/>
    <w:rsid w:val="003D6511"/>
    <w:rsid w:val="003D6624"/>
    <w:rsid w:val="003D669B"/>
    <w:rsid w:val="003D68E1"/>
    <w:rsid w:val="003D6983"/>
    <w:rsid w:val="003D69DB"/>
    <w:rsid w:val="003D6ACF"/>
    <w:rsid w:val="003D6AFC"/>
    <w:rsid w:val="003D6CFE"/>
    <w:rsid w:val="003D6DDF"/>
    <w:rsid w:val="003D6EC4"/>
    <w:rsid w:val="003D6F6D"/>
    <w:rsid w:val="003D707B"/>
    <w:rsid w:val="003D721D"/>
    <w:rsid w:val="003D72FD"/>
    <w:rsid w:val="003D73F4"/>
    <w:rsid w:val="003D747F"/>
    <w:rsid w:val="003D7567"/>
    <w:rsid w:val="003D75D6"/>
    <w:rsid w:val="003D7645"/>
    <w:rsid w:val="003D7A00"/>
    <w:rsid w:val="003D7BB6"/>
    <w:rsid w:val="003D7CE9"/>
    <w:rsid w:val="003D7E74"/>
    <w:rsid w:val="003D7EFF"/>
    <w:rsid w:val="003E05C4"/>
    <w:rsid w:val="003E05F9"/>
    <w:rsid w:val="003E066F"/>
    <w:rsid w:val="003E0829"/>
    <w:rsid w:val="003E08FD"/>
    <w:rsid w:val="003E0964"/>
    <w:rsid w:val="003E0996"/>
    <w:rsid w:val="003E0C78"/>
    <w:rsid w:val="003E0C92"/>
    <w:rsid w:val="003E0DEB"/>
    <w:rsid w:val="003E0ED7"/>
    <w:rsid w:val="003E1117"/>
    <w:rsid w:val="003E114B"/>
    <w:rsid w:val="003E116E"/>
    <w:rsid w:val="003E1228"/>
    <w:rsid w:val="003E1246"/>
    <w:rsid w:val="003E12FA"/>
    <w:rsid w:val="003E142C"/>
    <w:rsid w:val="003E149F"/>
    <w:rsid w:val="003E15FB"/>
    <w:rsid w:val="003E16CD"/>
    <w:rsid w:val="003E17E4"/>
    <w:rsid w:val="003E180F"/>
    <w:rsid w:val="003E189D"/>
    <w:rsid w:val="003E1BAC"/>
    <w:rsid w:val="003E1DC2"/>
    <w:rsid w:val="003E1EC5"/>
    <w:rsid w:val="003E20C4"/>
    <w:rsid w:val="003E216C"/>
    <w:rsid w:val="003E2495"/>
    <w:rsid w:val="003E26C7"/>
    <w:rsid w:val="003E26F0"/>
    <w:rsid w:val="003E2768"/>
    <w:rsid w:val="003E2889"/>
    <w:rsid w:val="003E28FD"/>
    <w:rsid w:val="003E2C14"/>
    <w:rsid w:val="003E2EAA"/>
    <w:rsid w:val="003E2F9D"/>
    <w:rsid w:val="003E3110"/>
    <w:rsid w:val="003E313A"/>
    <w:rsid w:val="003E31C8"/>
    <w:rsid w:val="003E32C1"/>
    <w:rsid w:val="003E33AA"/>
    <w:rsid w:val="003E35D8"/>
    <w:rsid w:val="003E38D1"/>
    <w:rsid w:val="003E3999"/>
    <w:rsid w:val="003E3AAC"/>
    <w:rsid w:val="003E3AE0"/>
    <w:rsid w:val="003E3B20"/>
    <w:rsid w:val="003E3C05"/>
    <w:rsid w:val="003E3D7E"/>
    <w:rsid w:val="003E3EC7"/>
    <w:rsid w:val="003E3FEA"/>
    <w:rsid w:val="003E412B"/>
    <w:rsid w:val="003E423C"/>
    <w:rsid w:val="003E43D8"/>
    <w:rsid w:val="003E43F4"/>
    <w:rsid w:val="003E4468"/>
    <w:rsid w:val="003E4580"/>
    <w:rsid w:val="003E4A46"/>
    <w:rsid w:val="003E4A60"/>
    <w:rsid w:val="003E4B1F"/>
    <w:rsid w:val="003E4BCE"/>
    <w:rsid w:val="003E4D55"/>
    <w:rsid w:val="003E5022"/>
    <w:rsid w:val="003E5295"/>
    <w:rsid w:val="003E5334"/>
    <w:rsid w:val="003E5348"/>
    <w:rsid w:val="003E5483"/>
    <w:rsid w:val="003E54F7"/>
    <w:rsid w:val="003E57AC"/>
    <w:rsid w:val="003E5EBB"/>
    <w:rsid w:val="003E5F6C"/>
    <w:rsid w:val="003E5FD4"/>
    <w:rsid w:val="003E60EC"/>
    <w:rsid w:val="003E638F"/>
    <w:rsid w:val="003E64D8"/>
    <w:rsid w:val="003E663D"/>
    <w:rsid w:val="003E664E"/>
    <w:rsid w:val="003E688B"/>
    <w:rsid w:val="003E6912"/>
    <w:rsid w:val="003E6966"/>
    <w:rsid w:val="003E6A40"/>
    <w:rsid w:val="003E6A83"/>
    <w:rsid w:val="003E6AD5"/>
    <w:rsid w:val="003E6B7E"/>
    <w:rsid w:val="003E6D69"/>
    <w:rsid w:val="003E6DA8"/>
    <w:rsid w:val="003E6E53"/>
    <w:rsid w:val="003E6F15"/>
    <w:rsid w:val="003E7020"/>
    <w:rsid w:val="003E7171"/>
    <w:rsid w:val="003E719B"/>
    <w:rsid w:val="003E7245"/>
    <w:rsid w:val="003E736C"/>
    <w:rsid w:val="003E74AC"/>
    <w:rsid w:val="003E7567"/>
    <w:rsid w:val="003E77DF"/>
    <w:rsid w:val="003E7973"/>
    <w:rsid w:val="003E7984"/>
    <w:rsid w:val="003E7A21"/>
    <w:rsid w:val="003E7AA5"/>
    <w:rsid w:val="003E7BCB"/>
    <w:rsid w:val="003E7C0F"/>
    <w:rsid w:val="003E7C3B"/>
    <w:rsid w:val="003E7DF8"/>
    <w:rsid w:val="003E7F91"/>
    <w:rsid w:val="003F0025"/>
    <w:rsid w:val="003F00CE"/>
    <w:rsid w:val="003F0102"/>
    <w:rsid w:val="003F0105"/>
    <w:rsid w:val="003F010D"/>
    <w:rsid w:val="003F0143"/>
    <w:rsid w:val="003F0358"/>
    <w:rsid w:val="003F0401"/>
    <w:rsid w:val="003F0575"/>
    <w:rsid w:val="003F0705"/>
    <w:rsid w:val="003F0732"/>
    <w:rsid w:val="003F076A"/>
    <w:rsid w:val="003F0AFF"/>
    <w:rsid w:val="003F0C58"/>
    <w:rsid w:val="003F0C83"/>
    <w:rsid w:val="003F0D07"/>
    <w:rsid w:val="003F0F87"/>
    <w:rsid w:val="003F0FAF"/>
    <w:rsid w:val="003F0FD6"/>
    <w:rsid w:val="003F1090"/>
    <w:rsid w:val="003F1129"/>
    <w:rsid w:val="003F117C"/>
    <w:rsid w:val="003F11DC"/>
    <w:rsid w:val="003F1399"/>
    <w:rsid w:val="003F151F"/>
    <w:rsid w:val="003F15C9"/>
    <w:rsid w:val="003F1695"/>
    <w:rsid w:val="003F1702"/>
    <w:rsid w:val="003F1718"/>
    <w:rsid w:val="003F188F"/>
    <w:rsid w:val="003F192E"/>
    <w:rsid w:val="003F194A"/>
    <w:rsid w:val="003F1996"/>
    <w:rsid w:val="003F19C1"/>
    <w:rsid w:val="003F1CC1"/>
    <w:rsid w:val="003F1D23"/>
    <w:rsid w:val="003F2014"/>
    <w:rsid w:val="003F2214"/>
    <w:rsid w:val="003F227E"/>
    <w:rsid w:val="003F22AD"/>
    <w:rsid w:val="003F2393"/>
    <w:rsid w:val="003F23F1"/>
    <w:rsid w:val="003F2689"/>
    <w:rsid w:val="003F26AA"/>
    <w:rsid w:val="003F2775"/>
    <w:rsid w:val="003F27EB"/>
    <w:rsid w:val="003F28DF"/>
    <w:rsid w:val="003F2A02"/>
    <w:rsid w:val="003F2B43"/>
    <w:rsid w:val="003F2BFF"/>
    <w:rsid w:val="003F2D7E"/>
    <w:rsid w:val="003F2E75"/>
    <w:rsid w:val="003F2EF2"/>
    <w:rsid w:val="003F2F3F"/>
    <w:rsid w:val="003F31E1"/>
    <w:rsid w:val="003F332E"/>
    <w:rsid w:val="003F363E"/>
    <w:rsid w:val="003F369A"/>
    <w:rsid w:val="003F371D"/>
    <w:rsid w:val="003F377F"/>
    <w:rsid w:val="003F3891"/>
    <w:rsid w:val="003F399F"/>
    <w:rsid w:val="003F39CF"/>
    <w:rsid w:val="003F39E7"/>
    <w:rsid w:val="003F3A9E"/>
    <w:rsid w:val="003F3AF4"/>
    <w:rsid w:val="003F3C53"/>
    <w:rsid w:val="003F3E86"/>
    <w:rsid w:val="003F3EBC"/>
    <w:rsid w:val="003F40BD"/>
    <w:rsid w:val="003F4332"/>
    <w:rsid w:val="003F464A"/>
    <w:rsid w:val="003F4823"/>
    <w:rsid w:val="003F4CDE"/>
    <w:rsid w:val="003F4DF0"/>
    <w:rsid w:val="003F4E74"/>
    <w:rsid w:val="003F4E92"/>
    <w:rsid w:val="003F4F2F"/>
    <w:rsid w:val="003F509C"/>
    <w:rsid w:val="003F51D9"/>
    <w:rsid w:val="003F5370"/>
    <w:rsid w:val="003F53A6"/>
    <w:rsid w:val="003F5440"/>
    <w:rsid w:val="003F561F"/>
    <w:rsid w:val="003F5700"/>
    <w:rsid w:val="003F57B1"/>
    <w:rsid w:val="003F5828"/>
    <w:rsid w:val="003F5860"/>
    <w:rsid w:val="003F587E"/>
    <w:rsid w:val="003F58B0"/>
    <w:rsid w:val="003F58F1"/>
    <w:rsid w:val="003F58F7"/>
    <w:rsid w:val="003F5947"/>
    <w:rsid w:val="003F5AE0"/>
    <w:rsid w:val="003F5E02"/>
    <w:rsid w:val="003F61B1"/>
    <w:rsid w:val="003F6495"/>
    <w:rsid w:val="003F67AE"/>
    <w:rsid w:val="003F67FC"/>
    <w:rsid w:val="003F693F"/>
    <w:rsid w:val="003F6A4D"/>
    <w:rsid w:val="003F6C98"/>
    <w:rsid w:val="003F6E8E"/>
    <w:rsid w:val="003F7177"/>
    <w:rsid w:val="003F729B"/>
    <w:rsid w:val="003F731C"/>
    <w:rsid w:val="003F73FA"/>
    <w:rsid w:val="003F7446"/>
    <w:rsid w:val="003F7456"/>
    <w:rsid w:val="003F750F"/>
    <w:rsid w:val="003F751B"/>
    <w:rsid w:val="003F7523"/>
    <w:rsid w:val="003F7666"/>
    <w:rsid w:val="003F7725"/>
    <w:rsid w:val="003F78BA"/>
    <w:rsid w:val="003F793C"/>
    <w:rsid w:val="003F797C"/>
    <w:rsid w:val="003F7A7E"/>
    <w:rsid w:val="003F7AB0"/>
    <w:rsid w:val="003F7AE6"/>
    <w:rsid w:val="003F7B37"/>
    <w:rsid w:val="003F7BA5"/>
    <w:rsid w:val="003F7CA3"/>
    <w:rsid w:val="003F7CA5"/>
    <w:rsid w:val="003F7CF7"/>
    <w:rsid w:val="003F7EA9"/>
    <w:rsid w:val="003F7F0A"/>
    <w:rsid w:val="003F7F45"/>
    <w:rsid w:val="003F7F5A"/>
    <w:rsid w:val="003F7FB2"/>
    <w:rsid w:val="0040012E"/>
    <w:rsid w:val="0040017A"/>
    <w:rsid w:val="0040021C"/>
    <w:rsid w:val="00400274"/>
    <w:rsid w:val="0040039A"/>
    <w:rsid w:val="0040063A"/>
    <w:rsid w:val="0040072D"/>
    <w:rsid w:val="0040075B"/>
    <w:rsid w:val="00400760"/>
    <w:rsid w:val="00400866"/>
    <w:rsid w:val="004008A0"/>
    <w:rsid w:val="0040095A"/>
    <w:rsid w:val="0040098E"/>
    <w:rsid w:val="00400990"/>
    <w:rsid w:val="004009E3"/>
    <w:rsid w:val="00400D7F"/>
    <w:rsid w:val="00400DB6"/>
    <w:rsid w:val="00400E02"/>
    <w:rsid w:val="00400F62"/>
    <w:rsid w:val="00400FBB"/>
    <w:rsid w:val="00400FDB"/>
    <w:rsid w:val="00400FF0"/>
    <w:rsid w:val="00401020"/>
    <w:rsid w:val="00401056"/>
    <w:rsid w:val="004010F3"/>
    <w:rsid w:val="004015B7"/>
    <w:rsid w:val="004015CF"/>
    <w:rsid w:val="0040179D"/>
    <w:rsid w:val="004017ED"/>
    <w:rsid w:val="0040181D"/>
    <w:rsid w:val="004018E6"/>
    <w:rsid w:val="004019A0"/>
    <w:rsid w:val="00401B2E"/>
    <w:rsid w:val="00401C25"/>
    <w:rsid w:val="00401CB3"/>
    <w:rsid w:val="00401DA8"/>
    <w:rsid w:val="004021F3"/>
    <w:rsid w:val="00402213"/>
    <w:rsid w:val="0040224B"/>
    <w:rsid w:val="0040226C"/>
    <w:rsid w:val="0040240C"/>
    <w:rsid w:val="0040277E"/>
    <w:rsid w:val="004027DE"/>
    <w:rsid w:val="00402874"/>
    <w:rsid w:val="004028AA"/>
    <w:rsid w:val="00402915"/>
    <w:rsid w:val="00402995"/>
    <w:rsid w:val="00402A25"/>
    <w:rsid w:val="00402B4E"/>
    <w:rsid w:val="00402C90"/>
    <w:rsid w:val="00402D1B"/>
    <w:rsid w:val="00402E8E"/>
    <w:rsid w:val="00402F91"/>
    <w:rsid w:val="00402FFF"/>
    <w:rsid w:val="00403011"/>
    <w:rsid w:val="00403012"/>
    <w:rsid w:val="0040303A"/>
    <w:rsid w:val="004030DD"/>
    <w:rsid w:val="00403185"/>
    <w:rsid w:val="00403230"/>
    <w:rsid w:val="004035A2"/>
    <w:rsid w:val="00403601"/>
    <w:rsid w:val="0040361D"/>
    <w:rsid w:val="00403686"/>
    <w:rsid w:val="0040378C"/>
    <w:rsid w:val="004039F8"/>
    <w:rsid w:val="00403A68"/>
    <w:rsid w:val="00403A8E"/>
    <w:rsid w:val="00403D92"/>
    <w:rsid w:val="00403DD6"/>
    <w:rsid w:val="00403EB7"/>
    <w:rsid w:val="00403EFD"/>
    <w:rsid w:val="00403F39"/>
    <w:rsid w:val="00404103"/>
    <w:rsid w:val="00404411"/>
    <w:rsid w:val="004044A4"/>
    <w:rsid w:val="0040467E"/>
    <w:rsid w:val="0040487F"/>
    <w:rsid w:val="00404BD9"/>
    <w:rsid w:val="00404C79"/>
    <w:rsid w:val="00404CB8"/>
    <w:rsid w:val="00404CD4"/>
    <w:rsid w:val="00404D5A"/>
    <w:rsid w:val="00405121"/>
    <w:rsid w:val="00405240"/>
    <w:rsid w:val="004052BC"/>
    <w:rsid w:val="004052FA"/>
    <w:rsid w:val="0040536A"/>
    <w:rsid w:val="0040544E"/>
    <w:rsid w:val="00405647"/>
    <w:rsid w:val="004056DA"/>
    <w:rsid w:val="004057E7"/>
    <w:rsid w:val="00405811"/>
    <w:rsid w:val="00405900"/>
    <w:rsid w:val="00405952"/>
    <w:rsid w:val="004059F8"/>
    <w:rsid w:val="00405B72"/>
    <w:rsid w:val="00405CE3"/>
    <w:rsid w:val="00405EA8"/>
    <w:rsid w:val="0040603E"/>
    <w:rsid w:val="00406185"/>
    <w:rsid w:val="004061CE"/>
    <w:rsid w:val="00406236"/>
    <w:rsid w:val="0040626A"/>
    <w:rsid w:val="004062C6"/>
    <w:rsid w:val="004062C8"/>
    <w:rsid w:val="00406413"/>
    <w:rsid w:val="00406502"/>
    <w:rsid w:val="00406541"/>
    <w:rsid w:val="00406709"/>
    <w:rsid w:val="0040699F"/>
    <w:rsid w:val="004069F7"/>
    <w:rsid w:val="00406A2B"/>
    <w:rsid w:val="00406B55"/>
    <w:rsid w:val="00406B5C"/>
    <w:rsid w:val="00406BBF"/>
    <w:rsid w:val="00406C5B"/>
    <w:rsid w:val="00406CD0"/>
    <w:rsid w:val="00406EB7"/>
    <w:rsid w:val="004071E8"/>
    <w:rsid w:val="00407205"/>
    <w:rsid w:val="004073B7"/>
    <w:rsid w:val="004073DD"/>
    <w:rsid w:val="00407906"/>
    <w:rsid w:val="0040796D"/>
    <w:rsid w:val="00407A1B"/>
    <w:rsid w:val="00407A26"/>
    <w:rsid w:val="00407BF3"/>
    <w:rsid w:val="00407C3B"/>
    <w:rsid w:val="00407C66"/>
    <w:rsid w:val="00407CBB"/>
    <w:rsid w:val="00407D54"/>
    <w:rsid w:val="00407EB1"/>
    <w:rsid w:val="004101A3"/>
    <w:rsid w:val="004102B7"/>
    <w:rsid w:val="004103D2"/>
    <w:rsid w:val="00410494"/>
    <w:rsid w:val="00410545"/>
    <w:rsid w:val="0041062B"/>
    <w:rsid w:val="004107E6"/>
    <w:rsid w:val="0041089B"/>
    <w:rsid w:val="004108A0"/>
    <w:rsid w:val="004109D2"/>
    <w:rsid w:val="00410A70"/>
    <w:rsid w:val="00410ACD"/>
    <w:rsid w:val="00410BE5"/>
    <w:rsid w:val="00410CA0"/>
    <w:rsid w:val="00410D0B"/>
    <w:rsid w:val="00410D73"/>
    <w:rsid w:val="00410D82"/>
    <w:rsid w:val="00410E6E"/>
    <w:rsid w:val="00410EEA"/>
    <w:rsid w:val="00411129"/>
    <w:rsid w:val="004111D4"/>
    <w:rsid w:val="00411209"/>
    <w:rsid w:val="0041125C"/>
    <w:rsid w:val="0041134E"/>
    <w:rsid w:val="004113AA"/>
    <w:rsid w:val="00411439"/>
    <w:rsid w:val="004114ED"/>
    <w:rsid w:val="004115D2"/>
    <w:rsid w:val="004116FF"/>
    <w:rsid w:val="0041195B"/>
    <w:rsid w:val="0041196E"/>
    <w:rsid w:val="004119F6"/>
    <w:rsid w:val="00411AB7"/>
    <w:rsid w:val="00411B04"/>
    <w:rsid w:val="00411B6E"/>
    <w:rsid w:val="00411D8D"/>
    <w:rsid w:val="00411E12"/>
    <w:rsid w:val="00411F18"/>
    <w:rsid w:val="0041206D"/>
    <w:rsid w:val="00412194"/>
    <w:rsid w:val="004121BA"/>
    <w:rsid w:val="0041222E"/>
    <w:rsid w:val="004122E9"/>
    <w:rsid w:val="0041239E"/>
    <w:rsid w:val="004124E9"/>
    <w:rsid w:val="0041261B"/>
    <w:rsid w:val="0041261D"/>
    <w:rsid w:val="00412781"/>
    <w:rsid w:val="004129C7"/>
    <w:rsid w:val="00412B0E"/>
    <w:rsid w:val="00412B25"/>
    <w:rsid w:val="00412B94"/>
    <w:rsid w:val="00412CCD"/>
    <w:rsid w:val="00412DAB"/>
    <w:rsid w:val="00412FA7"/>
    <w:rsid w:val="00412FEA"/>
    <w:rsid w:val="00413169"/>
    <w:rsid w:val="0041363C"/>
    <w:rsid w:val="004136F6"/>
    <w:rsid w:val="004137B6"/>
    <w:rsid w:val="004137FD"/>
    <w:rsid w:val="00413833"/>
    <w:rsid w:val="00413916"/>
    <w:rsid w:val="00413968"/>
    <w:rsid w:val="00413A19"/>
    <w:rsid w:val="00413A4B"/>
    <w:rsid w:val="00413C67"/>
    <w:rsid w:val="00413CB9"/>
    <w:rsid w:val="00413D9C"/>
    <w:rsid w:val="00413DDE"/>
    <w:rsid w:val="00413E49"/>
    <w:rsid w:val="00414029"/>
    <w:rsid w:val="00414172"/>
    <w:rsid w:val="004141D8"/>
    <w:rsid w:val="004142AE"/>
    <w:rsid w:val="004142F0"/>
    <w:rsid w:val="004143F6"/>
    <w:rsid w:val="00414428"/>
    <w:rsid w:val="0041452C"/>
    <w:rsid w:val="0041459D"/>
    <w:rsid w:val="00414685"/>
    <w:rsid w:val="004146B9"/>
    <w:rsid w:val="004147D4"/>
    <w:rsid w:val="00414894"/>
    <w:rsid w:val="004148A2"/>
    <w:rsid w:val="004148B5"/>
    <w:rsid w:val="00414990"/>
    <w:rsid w:val="00414AA1"/>
    <w:rsid w:val="00414BA8"/>
    <w:rsid w:val="00414C12"/>
    <w:rsid w:val="00414EC1"/>
    <w:rsid w:val="00414EED"/>
    <w:rsid w:val="00414FA9"/>
    <w:rsid w:val="00415148"/>
    <w:rsid w:val="004151F2"/>
    <w:rsid w:val="00415263"/>
    <w:rsid w:val="004152E4"/>
    <w:rsid w:val="00415310"/>
    <w:rsid w:val="00415316"/>
    <w:rsid w:val="00415370"/>
    <w:rsid w:val="0041547A"/>
    <w:rsid w:val="0041557F"/>
    <w:rsid w:val="004156D7"/>
    <w:rsid w:val="0041572E"/>
    <w:rsid w:val="00415993"/>
    <w:rsid w:val="00415B15"/>
    <w:rsid w:val="00415B3B"/>
    <w:rsid w:val="00415C9A"/>
    <w:rsid w:val="00415CE4"/>
    <w:rsid w:val="00415D84"/>
    <w:rsid w:val="00415E5A"/>
    <w:rsid w:val="00416120"/>
    <w:rsid w:val="0041656E"/>
    <w:rsid w:val="004165DD"/>
    <w:rsid w:val="0041669E"/>
    <w:rsid w:val="00416797"/>
    <w:rsid w:val="00416873"/>
    <w:rsid w:val="00416995"/>
    <w:rsid w:val="00416A11"/>
    <w:rsid w:val="00416F8F"/>
    <w:rsid w:val="00416FC2"/>
    <w:rsid w:val="00417299"/>
    <w:rsid w:val="00417301"/>
    <w:rsid w:val="0041770F"/>
    <w:rsid w:val="00417777"/>
    <w:rsid w:val="0041792B"/>
    <w:rsid w:val="004179A7"/>
    <w:rsid w:val="00417C24"/>
    <w:rsid w:val="00417E53"/>
    <w:rsid w:val="00417F52"/>
    <w:rsid w:val="00417F6C"/>
    <w:rsid w:val="00420011"/>
    <w:rsid w:val="0042011D"/>
    <w:rsid w:val="00420169"/>
    <w:rsid w:val="004203D4"/>
    <w:rsid w:val="0042042A"/>
    <w:rsid w:val="00420498"/>
    <w:rsid w:val="004205C4"/>
    <w:rsid w:val="004207DF"/>
    <w:rsid w:val="0042085B"/>
    <w:rsid w:val="0042092A"/>
    <w:rsid w:val="00420AB6"/>
    <w:rsid w:val="00420BA2"/>
    <w:rsid w:val="00420C42"/>
    <w:rsid w:val="00420CE7"/>
    <w:rsid w:val="004212FF"/>
    <w:rsid w:val="00421494"/>
    <w:rsid w:val="0042156F"/>
    <w:rsid w:val="00421715"/>
    <w:rsid w:val="004217F6"/>
    <w:rsid w:val="0042185E"/>
    <w:rsid w:val="004218C4"/>
    <w:rsid w:val="004218E3"/>
    <w:rsid w:val="00421920"/>
    <w:rsid w:val="00421CB7"/>
    <w:rsid w:val="00421E86"/>
    <w:rsid w:val="00422048"/>
    <w:rsid w:val="0042215D"/>
    <w:rsid w:val="004221CF"/>
    <w:rsid w:val="0042221A"/>
    <w:rsid w:val="0042228E"/>
    <w:rsid w:val="004222C0"/>
    <w:rsid w:val="004222F4"/>
    <w:rsid w:val="004223F3"/>
    <w:rsid w:val="0042243F"/>
    <w:rsid w:val="004225A5"/>
    <w:rsid w:val="004225AA"/>
    <w:rsid w:val="004225C3"/>
    <w:rsid w:val="004225D2"/>
    <w:rsid w:val="004226A9"/>
    <w:rsid w:val="004226F6"/>
    <w:rsid w:val="00422871"/>
    <w:rsid w:val="0042293C"/>
    <w:rsid w:val="004229EB"/>
    <w:rsid w:val="00422AF7"/>
    <w:rsid w:val="00422C5D"/>
    <w:rsid w:val="00422CC7"/>
    <w:rsid w:val="00422DE6"/>
    <w:rsid w:val="00422E03"/>
    <w:rsid w:val="00422E36"/>
    <w:rsid w:val="00422EDC"/>
    <w:rsid w:val="00423173"/>
    <w:rsid w:val="00423309"/>
    <w:rsid w:val="0042337B"/>
    <w:rsid w:val="004234E1"/>
    <w:rsid w:val="00423576"/>
    <w:rsid w:val="004235CC"/>
    <w:rsid w:val="0042365F"/>
    <w:rsid w:val="00423663"/>
    <w:rsid w:val="0042385F"/>
    <w:rsid w:val="004238B4"/>
    <w:rsid w:val="004238CC"/>
    <w:rsid w:val="004238EC"/>
    <w:rsid w:val="00423AE5"/>
    <w:rsid w:val="00423B69"/>
    <w:rsid w:val="00423CE3"/>
    <w:rsid w:val="00423CED"/>
    <w:rsid w:val="00423E53"/>
    <w:rsid w:val="00423E76"/>
    <w:rsid w:val="00423EA7"/>
    <w:rsid w:val="00423ECF"/>
    <w:rsid w:val="0042416A"/>
    <w:rsid w:val="0042416B"/>
    <w:rsid w:val="004241FD"/>
    <w:rsid w:val="00424254"/>
    <w:rsid w:val="0042477A"/>
    <w:rsid w:val="00424A75"/>
    <w:rsid w:val="00424A80"/>
    <w:rsid w:val="00424A88"/>
    <w:rsid w:val="00424B57"/>
    <w:rsid w:val="00424B62"/>
    <w:rsid w:val="00424B99"/>
    <w:rsid w:val="00424D3B"/>
    <w:rsid w:val="00424D44"/>
    <w:rsid w:val="00424E00"/>
    <w:rsid w:val="00424F13"/>
    <w:rsid w:val="004251F8"/>
    <w:rsid w:val="00425374"/>
    <w:rsid w:val="00425643"/>
    <w:rsid w:val="004256BB"/>
    <w:rsid w:val="004256D7"/>
    <w:rsid w:val="00425731"/>
    <w:rsid w:val="0042574F"/>
    <w:rsid w:val="004257B0"/>
    <w:rsid w:val="00425874"/>
    <w:rsid w:val="0042598E"/>
    <w:rsid w:val="00425A91"/>
    <w:rsid w:val="00425CF1"/>
    <w:rsid w:val="00425D01"/>
    <w:rsid w:val="00425D66"/>
    <w:rsid w:val="00425DDE"/>
    <w:rsid w:val="00425E04"/>
    <w:rsid w:val="00425F00"/>
    <w:rsid w:val="00425F9C"/>
    <w:rsid w:val="0042621D"/>
    <w:rsid w:val="004264C0"/>
    <w:rsid w:val="004264D2"/>
    <w:rsid w:val="00426569"/>
    <w:rsid w:val="0042656A"/>
    <w:rsid w:val="004265DB"/>
    <w:rsid w:val="0042660F"/>
    <w:rsid w:val="004267FD"/>
    <w:rsid w:val="004267FF"/>
    <w:rsid w:val="0042681D"/>
    <w:rsid w:val="004268F1"/>
    <w:rsid w:val="004269DD"/>
    <w:rsid w:val="00426A92"/>
    <w:rsid w:val="00426AEA"/>
    <w:rsid w:val="00426D48"/>
    <w:rsid w:val="00426D71"/>
    <w:rsid w:val="00426DA7"/>
    <w:rsid w:val="00426DCE"/>
    <w:rsid w:val="00426E79"/>
    <w:rsid w:val="00426ED5"/>
    <w:rsid w:val="00426F1B"/>
    <w:rsid w:val="0042703E"/>
    <w:rsid w:val="004272CD"/>
    <w:rsid w:val="004273EA"/>
    <w:rsid w:val="004275A3"/>
    <w:rsid w:val="004275E5"/>
    <w:rsid w:val="004277BD"/>
    <w:rsid w:val="004278A8"/>
    <w:rsid w:val="004278D1"/>
    <w:rsid w:val="00427976"/>
    <w:rsid w:val="00427ACD"/>
    <w:rsid w:val="00427B7B"/>
    <w:rsid w:val="00427CBD"/>
    <w:rsid w:val="00427CE6"/>
    <w:rsid w:val="00427D6D"/>
    <w:rsid w:val="00427F4C"/>
    <w:rsid w:val="00430070"/>
    <w:rsid w:val="00430293"/>
    <w:rsid w:val="00430385"/>
    <w:rsid w:val="004304B8"/>
    <w:rsid w:val="00430663"/>
    <w:rsid w:val="0043083D"/>
    <w:rsid w:val="00430AFA"/>
    <w:rsid w:val="00430AFD"/>
    <w:rsid w:val="00430BE4"/>
    <w:rsid w:val="00430C9A"/>
    <w:rsid w:val="00430E3D"/>
    <w:rsid w:val="00430F32"/>
    <w:rsid w:val="00430F7D"/>
    <w:rsid w:val="00430F7E"/>
    <w:rsid w:val="00430F86"/>
    <w:rsid w:val="00431061"/>
    <w:rsid w:val="004314AE"/>
    <w:rsid w:val="004314C7"/>
    <w:rsid w:val="004314CC"/>
    <w:rsid w:val="00431526"/>
    <w:rsid w:val="004316B1"/>
    <w:rsid w:val="00431750"/>
    <w:rsid w:val="00431818"/>
    <w:rsid w:val="00431B47"/>
    <w:rsid w:val="00431CBF"/>
    <w:rsid w:val="00431CC9"/>
    <w:rsid w:val="00431EFC"/>
    <w:rsid w:val="00431F23"/>
    <w:rsid w:val="00431F7E"/>
    <w:rsid w:val="00431FC6"/>
    <w:rsid w:val="004323D1"/>
    <w:rsid w:val="004324FF"/>
    <w:rsid w:val="00432506"/>
    <w:rsid w:val="004326D8"/>
    <w:rsid w:val="004327D7"/>
    <w:rsid w:val="004327EE"/>
    <w:rsid w:val="00432805"/>
    <w:rsid w:val="0043293C"/>
    <w:rsid w:val="0043299B"/>
    <w:rsid w:val="00432A97"/>
    <w:rsid w:val="00432B1F"/>
    <w:rsid w:val="00432E23"/>
    <w:rsid w:val="00432E27"/>
    <w:rsid w:val="00432E64"/>
    <w:rsid w:val="00432F46"/>
    <w:rsid w:val="00432FE2"/>
    <w:rsid w:val="0043322A"/>
    <w:rsid w:val="00433424"/>
    <w:rsid w:val="004334C7"/>
    <w:rsid w:val="004335BA"/>
    <w:rsid w:val="00433902"/>
    <w:rsid w:val="0043395E"/>
    <w:rsid w:val="0043397C"/>
    <w:rsid w:val="0043397F"/>
    <w:rsid w:val="004339D5"/>
    <w:rsid w:val="00433B83"/>
    <w:rsid w:val="00433C63"/>
    <w:rsid w:val="00433CF4"/>
    <w:rsid w:val="00433DCD"/>
    <w:rsid w:val="00433ECD"/>
    <w:rsid w:val="00433F8D"/>
    <w:rsid w:val="004340E9"/>
    <w:rsid w:val="00434134"/>
    <w:rsid w:val="0043434C"/>
    <w:rsid w:val="004343F7"/>
    <w:rsid w:val="0043459B"/>
    <w:rsid w:val="00434603"/>
    <w:rsid w:val="004347B2"/>
    <w:rsid w:val="004347CC"/>
    <w:rsid w:val="00434A61"/>
    <w:rsid w:val="00434A97"/>
    <w:rsid w:val="00434AC1"/>
    <w:rsid w:val="00434ADF"/>
    <w:rsid w:val="00434C58"/>
    <w:rsid w:val="00434CA4"/>
    <w:rsid w:val="0043509A"/>
    <w:rsid w:val="004350F7"/>
    <w:rsid w:val="004352B4"/>
    <w:rsid w:val="00435346"/>
    <w:rsid w:val="0043534C"/>
    <w:rsid w:val="00435366"/>
    <w:rsid w:val="004353BB"/>
    <w:rsid w:val="004353D0"/>
    <w:rsid w:val="0043541D"/>
    <w:rsid w:val="00435634"/>
    <w:rsid w:val="00435678"/>
    <w:rsid w:val="00435816"/>
    <w:rsid w:val="00435863"/>
    <w:rsid w:val="004358A2"/>
    <w:rsid w:val="00435911"/>
    <w:rsid w:val="00435937"/>
    <w:rsid w:val="00435983"/>
    <w:rsid w:val="00435998"/>
    <w:rsid w:val="00435A23"/>
    <w:rsid w:val="00435B2B"/>
    <w:rsid w:val="00435B6C"/>
    <w:rsid w:val="00435BA2"/>
    <w:rsid w:val="00435DD6"/>
    <w:rsid w:val="00435EE2"/>
    <w:rsid w:val="00435F13"/>
    <w:rsid w:val="00436070"/>
    <w:rsid w:val="004361FA"/>
    <w:rsid w:val="00436216"/>
    <w:rsid w:val="00436520"/>
    <w:rsid w:val="004366AF"/>
    <w:rsid w:val="00436717"/>
    <w:rsid w:val="0043684F"/>
    <w:rsid w:val="00436866"/>
    <w:rsid w:val="00436954"/>
    <w:rsid w:val="00436ABC"/>
    <w:rsid w:val="00436B2E"/>
    <w:rsid w:val="00436BA3"/>
    <w:rsid w:val="00436C10"/>
    <w:rsid w:val="00436EEE"/>
    <w:rsid w:val="00436F59"/>
    <w:rsid w:val="00437287"/>
    <w:rsid w:val="00437378"/>
    <w:rsid w:val="004373D7"/>
    <w:rsid w:val="00437423"/>
    <w:rsid w:val="0043743D"/>
    <w:rsid w:val="00437481"/>
    <w:rsid w:val="00437766"/>
    <w:rsid w:val="0043787F"/>
    <w:rsid w:val="00437905"/>
    <w:rsid w:val="00437921"/>
    <w:rsid w:val="00437C1B"/>
    <w:rsid w:val="00437C5B"/>
    <w:rsid w:val="00437DC0"/>
    <w:rsid w:val="00437DDC"/>
    <w:rsid w:val="00437E22"/>
    <w:rsid w:val="00437E47"/>
    <w:rsid w:val="00437F06"/>
    <w:rsid w:val="00437F16"/>
    <w:rsid w:val="00437F1C"/>
    <w:rsid w:val="004400AE"/>
    <w:rsid w:val="004401F6"/>
    <w:rsid w:val="004403A9"/>
    <w:rsid w:val="004404B6"/>
    <w:rsid w:val="00440504"/>
    <w:rsid w:val="004405CE"/>
    <w:rsid w:val="004405D2"/>
    <w:rsid w:val="004405DC"/>
    <w:rsid w:val="004405FF"/>
    <w:rsid w:val="0044061A"/>
    <w:rsid w:val="004406DE"/>
    <w:rsid w:val="0044080F"/>
    <w:rsid w:val="00440819"/>
    <w:rsid w:val="004408F5"/>
    <w:rsid w:val="00440B21"/>
    <w:rsid w:val="00440E88"/>
    <w:rsid w:val="00440F06"/>
    <w:rsid w:val="00440FB9"/>
    <w:rsid w:val="00440FE4"/>
    <w:rsid w:val="004410EE"/>
    <w:rsid w:val="00441224"/>
    <w:rsid w:val="004412C3"/>
    <w:rsid w:val="004412EB"/>
    <w:rsid w:val="004413A2"/>
    <w:rsid w:val="00441479"/>
    <w:rsid w:val="004416F5"/>
    <w:rsid w:val="00441818"/>
    <w:rsid w:val="0044181B"/>
    <w:rsid w:val="00441C4F"/>
    <w:rsid w:val="00441CC8"/>
    <w:rsid w:val="00441D2E"/>
    <w:rsid w:val="00441DB0"/>
    <w:rsid w:val="00441ED7"/>
    <w:rsid w:val="00442034"/>
    <w:rsid w:val="0044215E"/>
    <w:rsid w:val="004421A9"/>
    <w:rsid w:val="004421CA"/>
    <w:rsid w:val="0044220D"/>
    <w:rsid w:val="004424E0"/>
    <w:rsid w:val="0044278F"/>
    <w:rsid w:val="00442942"/>
    <w:rsid w:val="004429A6"/>
    <w:rsid w:val="00442AC1"/>
    <w:rsid w:val="00442D9E"/>
    <w:rsid w:val="00442E9C"/>
    <w:rsid w:val="00442EED"/>
    <w:rsid w:val="00442EF6"/>
    <w:rsid w:val="00442F4E"/>
    <w:rsid w:val="00443314"/>
    <w:rsid w:val="00443552"/>
    <w:rsid w:val="004435DA"/>
    <w:rsid w:val="004435EB"/>
    <w:rsid w:val="0044361A"/>
    <w:rsid w:val="0044374F"/>
    <w:rsid w:val="00443764"/>
    <w:rsid w:val="0044379D"/>
    <w:rsid w:val="004437D8"/>
    <w:rsid w:val="004438B1"/>
    <w:rsid w:val="004438E8"/>
    <w:rsid w:val="00443A96"/>
    <w:rsid w:val="00443AA9"/>
    <w:rsid w:val="00443D87"/>
    <w:rsid w:val="00443DDE"/>
    <w:rsid w:val="00443E9B"/>
    <w:rsid w:val="00443F6C"/>
    <w:rsid w:val="00443FBC"/>
    <w:rsid w:val="004440C1"/>
    <w:rsid w:val="004441F4"/>
    <w:rsid w:val="004442A8"/>
    <w:rsid w:val="0044433F"/>
    <w:rsid w:val="00444581"/>
    <w:rsid w:val="004445A1"/>
    <w:rsid w:val="004445D0"/>
    <w:rsid w:val="004447EA"/>
    <w:rsid w:val="00444969"/>
    <w:rsid w:val="004449B6"/>
    <w:rsid w:val="00444ADA"/>
    <w:rsid w:val="00444B3D"/>
    <w:rsid w:val="00444C5A"/>
    <w:rsid w:val="00444D0F"/>
    <w:rsid w:val="00444EA8"/>
    <w:rsid w:val="00444EC0"/>
    <w:rsid w:val="00444F47"/>
    <w:rsid w:val="00444FA2"/>
    <w:rsid w:val="004450E9"/>
    <w:rsid w:val="004451E4"/>
    <w:rsid w:val="00445210"/>
    <w:rsid w:val="00445236"/>
    <w:rsid w:val="00445256"/>
    <w:rsid w:val="004456FD"/>
    <w:rsid w:val="00445718"/>
    <w:rsid w:val="00445794"/>
    <w:rsid w:val="004457A8"/>
    <w:rsid w:val="00445A39"/>
    <w:rsid w:val="00445A9E"/>
    <w:rsid w:val="00445AEB"/>
    <w:rsid w:val="00445B61"/>
    <w:rsid w:val="00445BE2"/>
    <w:rsid w:val="00445DA1"/>
    <w:rsid w:val="00445E6D"/>
    <w:rsid w:val="00446002"/>
    <w:rsid w:val="00446028"/>
    <w:rsid w:val="0044603D"/>
    <w:rsid w:val="00446055"/>
    <w:rsid w:val="004463D9"/>
    <w:rsid w:val="00446680"/>
    <w:rsid w:val="004469D6"/>
    <w:rsid w:val="00446B3C"/>
    <w:rsid w:val="00446B41"/>
    <w:rsid w:val="00446E76"/>
    <w:rsid w:val="00446F06"/>
    <w:rsid w:val="00446FF8"/>
    <w:rsid w:val="0044703F"/>
    <w:rsid w:val="004470FE"/>
    <w:rsid w:val="00447144"/>
    <w:rsid w:val="004473E7"/>
    <w:rsid w:val="004475C5"/>
    <w:rsid w:val="00447646"/>
    <w:rsid w:val="00447647"/>
    <w:rsid w:val="00447AD7"/>
    <w:rsid w:val="00447C09"/>
    <w:rsid w:val="00447CD8"/>
    <w:rsid w:val="00447CF4"/>
    <w:rsid w:val="00447D90"/>
    <w:rsid w:val="00447DC8"/>
    <w:rsid w:val="00447F06"/>
    <w:rsid w:val="00447F24"/>
    <w:rsid w:val="0045008D"/>
    <w:rsid w:val="004500C0"/>
    <w:rsid w:val="004500FA"/>
    <w:rsid w:val="004501D3"/>
    <w:rsid w:val="00450350"/>
    <w:rsid w:val="004506A5"/>
    <w:rsid w:val="0045070C"/>
    <w:rsid w:val="00450762"/>
    <w:rsid w:val="004508FE"/>
    <w:rsid w:val="00450973"/>
    <w:rsid w:val="00450AA5"/>
    <w:rsid w:val="00450B95"/>
    <w:rsid w:val="00450BC6"/>
    <w:rsid w:val="00450D88"/>
    <w:rsid w:val="00450F95"/>
    <w:rsid w:val="00450FA2"/>
    <w:rsid w:val="00450FA6"/>
    <w:rsid w:val="004510E6"/>
    <w:rsid w:val="004512CE"/>
    <w:rsid w:val="0045136E"/>
    <w:rsid w:val="00451554"/>
    <w:rsid w:val="00451585"/>
    <w:rsid w:val="0045161B"/>
    <w:rsid w:val="004516B0"/>
    <w:rsid w:val="004517D9"/>
    <w:rsid w:val="004517F4"/>
    <w:rsid w:val="00451918"/>
    <w:rsid w:val="00451987"/>
    <w:rsid w:val="004519B0"/>
    <w:rsid w:val="00451AE4"/>
    <w:rsid w:val="00451B1C"/>
    <w:rsid w:val="00451B87"/>
    <w:rsid w:val="00451BD8"/>
    <w:rsid w:val="00451DF4"/>
    <w:rsid w:val="00451E39"/>
    <w:rsid w:val="00451E48"/>
    <w:rsid w:val="004521AC"/>
    <w:rsid w:val="004522AF"/>
    <w:rsid w:val="00452397"/>
    <w:rsid w:val="0045244B"/>
    <w:rsid w:val="00452476"/>
    <w:rsid w:val="00452571"/>
    <w:rsid w:val="004525EC"/>
    <w:rsid w:val="00452714"/>
    <w:rsid w:val="0045280E"/>
    <w:rsid w:val="0045285E"/>
    <w:rsid w:val="00452866"/>
    <w:rsid w:val="0045288D"/>
    <w:rsid w:val="004529E5"/>
    <w:rsid w:val="00452C34"/>
    <w:rsid w:val="00452C8C"/>
    <w:rsid w:val="00452E32"/>
    <w:rsid w:val="00452E54"/>
    <w:rsid w:val="00452F6B"/>
    <w:rsid w:val="00453027"/>
    <w:rsid w:val="00453044"/>
    <w:rsid w:val="00453058"/>
    <w:rsid w:val="004530BA"/>
    <w:rsid w:val="0045315A"/>
    <w:rsid w:val="004532C5"/>
    <w:rsid w:val="004535AD"/>
    <w:rsid w:val="00453627"/>
    <w:rsid w:val="00453752"/>
    <w:rsid w:val="004537F2"/>
    <w:rsid w:val="004537F7"/>
    <w:rsid w:val="00453814"/>
    <w:rsid w:val="004538D4"/>
    <w:rsid w:val="00453AE3"/>
    <w:rsid w:val="00453C50"/>
    <w:rsid w:val="00453C53"/>
    <w:rsid w:val="00453E0C"/>
    <w:rsid w:val="00453EAB"/>
    <w:rsid w:val="00453F7A"/>
    <w:rsid w:val="004540D5"/>
    <w:rsid w:val="004540F9"/>
    <w:rsid w:val="00454147"/>
    <w:rsid w:val="004543B4"/>
    <w:rsid w:val="00454469"/>
    <w:rsid w:val="004546A6"/>
    <w:rsid w:val="00454765"/>
    <w:rsid w:val="00454798"/>
    <w:rsid w:val="004547B0"/>
    <w:rsid w:val="00454842"/>
    <w:rsid w:val="004549F0"/>
    <w:rsid w:val="00454A1A"/>
    <w:rsid w:val="00454AF0"/>
    <w:rsid w:val="00454DBE"/>
    <w:rsid w:val="004552A9"/>
    <w:rsid w:val="004552CF"/>
    <w:rsid w:val="0045548B"/>
    <w:rsid w:val="00455540"/>
    <w:rsid w:val="00455622"/>
    <w:rsid w:val="00455759"/>
    <w:rsid w:val="00455787"/>
    <w:rsid w:val="004557BC"/>
    <w:rsid w:val="00455890"/>
    <w:rsid w:val="004559FC"/>
    <w:rsid w:val="00455CF3"/>
    <w:rsid w:val="00455E68"/>
    <w:rsid w:val="00455FC7"/>
    <w:rsid w:val="00455FD3"/>
    <w:rsid w:val="00456068"/>
    <w:rsid w:val="004560E5"/>
    <w:rsid w:val="00456105"/>
    <w:rsid w:val="004561D2"/>
    <w:rsid w:val="004561FD"/>
    <w:rsid w:val="0045633A"/>
    <w:rsid w:val="0045636E"/>
    <w:rsid w:val="00456409"/>
    <w:rsid w:val="004564C7"/>
    <w:rsid w:val="00456596"/>
    <w:rsid w:val="00456646"/>
    <w:rsid w:val="004568E2"/>
    <w:rsid w:val="004568F1"/>
    <w:rsid w:val="004569C9"/>
    <w:rsid w:val="00456AB1"/>
    <w:rsid w:val="00456B52"/>
    <w:rsid w:val="00456C50"/>
    <w:rsid w:val="00456C98"/>
    <w:rsid w:val="00457050"/>
    <w:rsid w:val="0045729C"/>
    <w:rsid w:val="00457316"/>
    <w:rsid w:val="004573FC"/>
    <w:rsid w:val="00457688"/>
    <w:rsid w:val="0045771C"/>
    <w:rsid w:val="0045778E"/>
    <w:rsid w:val="00457862"/>
    <w:rsid w:val="00457D57"/>
    <w:rsid w:val="00457E39"/>
    <w:rsid w:val="00457E8C"/>
    <w:rsid w:val="00457FC2"/>
    <w:rsid w:val="00457FF7"/>
    <w:rsid w:val="004601E1"/>
    <w:rsid w:val="00460354"/>
    <w:rsid w:val="004603BF"/>
    <w:rsid w:val="0046043E"/>
    <w:rsid w:val="00460493"/>
    <w:rsid w:val="0046059C"/>
    <w:rsid w:val="004606FF"/>
    <w:rsid w:val="00460724"/>
    <w:rsid w:val="00460765"/>
    <w:rsid w:val="0046085E"/>
    <w:rsid w:val="004609B5"/>
    <w:rsid w:val="00460A28"/>
    <w:rsid w:val="00460D16"/>
    <w:rsid w:val="00460D21"/>
    <w:rsid w:val="00460D4C"/>
    <w:rsid w:val="00461264"/>
    <w:rsid w:val="00461327"/>
    <w:rsid w:val="004614C9"/>
    <w:rsid w:val="00461582"/>
    <w:rsid w:val="0046158D"/>
    <w:rsid w:val="00461789"/>
    <w:rsid w:val="0046195F"/>
    <w:rsid w:val="00461960"/>
    <w:rsid w:val="004619A9"/>
    <w:rsid w:val="00461A1C"/>
    <w:rsid w:val="00461A9E"/>
    <w:rsid w:val="00461C66"/>
    <w:rsid w:val="00461CAF"/>
    <w:rsid w:val="00461D06"/>
    <w:rsid w:val="00461D8E"/>
    <w:rsid w:val="00461F02"/>
    <w:rsid w:val="00462055"/>
    <w:rsid w:val="00462289"/>
    <w:rsid w:val="004622C7"/>
    <w:rsid w:val="00462333"/>
    <w:rsid w:val="004624B9"/>
    <w:rsid w:val="004626AE"/>
    <w:rsid w:val="00462738"/>
    <w:rsid w:val="00462B1B"/>
    <w:rsid w:val="00462D47"/>
    <w:rsid w:val="00462E01"/>
    <w:rsid w:val="00462E59"/>
    <w:rsid w:val="00462E9D"/>
    <w:rsid w:val="00463206"/>
    <w:rsid w:val="004633E1"/>
    <w:rsid w:val="004633F9"/>
    <w:rsid w:val="0046352A"/>
    <w:rsid w:val="0046357A"/>
    <w:rsid w:val="004635EB"/>
    <w:rsid w:val="004636D9"/>
    <w:rsid w:val="0046371F"/>
    <w:rsid w:val="0046384D"/>
    <w:rsid w:val="004638E6"/>
    <w:rsid w:val="00463D56"/>
    <w:rsid w:val="00463DF6"/>
    <w:rsid w:val="00463E5F"/>
    <w:rsid w:val="004641E7"/>
    <w:rsid w:val="004643A4"/>
    <w:rsid w:val="00464457"/>
    <w:rsid w:val="00464480"/>
    <w:rsid w:val="0046467A"/>
    <w:rsid w:val="0046468D"/>
    <w:rsid w:val="004646A1"/>
    <w:rsid w:val="00464913"/>
    <w:rsid w:val="00464922"/>
    <w:rsid w:val="00464C9E"/>
    <w:rsid w:val="00464F24"/>
    <w:rsid w:val="00464FC1"/>
    <w:rsid w:val="004650F9"/>
    <w:rsid w:val="00465158"/>
    <w:rsid w:val="004651C5"/>
    <w:rsid w:val="0046524E"/>
    <w:rsid w:val="00465277"/>
    <w:rsid w:val="004652E6"/>
    <w:rsid w:val="004652ED"/>
    <w:rsid w:val="004653FF"/>
    <w:rsid w:val="004654C7"/>
    <w:rsid w:val="004654E6"/>
    <w:rsid w:val="00465555"/>
    <w:rsid w:val="004655A8"/>
    <w:rsid w:val="004655FA"/>
    <w:rsid w:val="00465730"/>
    <w:rsid w:val="00465846"/>
    <w:rsid w:val="0046590F"/>
    <w:rsid w:val="00465910"/>
    <w:rsid w:val="00465AD0"/>
    <w:rsid w:val="00465B8A"/>
    <w:rsid w:val="00465E6F"/>
    <w:rsid w:val="00466066"/>
    <w:rsid w:val="0046615C"/>
    <w:rsid w:val="0046621E"/>
    <w:rsid w:val="0046626D"/>
    <w:rsid w:val="00466373"/>
    <w:rsid w:val="00466796"/>
    <w:rsid w:val="004667E6"/>
    <w:rsid w:val="00466833"/>
    <w:rsid w:val="004669E8"/>
    <w:rsid w:val="004669FF"/>
    <w:rsid w:val="00466AB5"/>
    <w:rsid w:val="00466C0B"/>
    <w:rsid w:val="00466D0C"/>
    <w:rsid w:val="00466D45"/>
    <w:rsid w:val="00466D6F"/>
    <w:rsid w:val="00466E0C"/>
    <w:rsid w:val="00466E3A"/>
    <w:rsid w:val="00466E4F"/>
    <w:rsid w:val="00466F49"/>
    <w:rsid w:val="00467169"/>
    <w:rsid w:val="00467213"/>
    <w:rsid w:val="00467252"/>
    <w:rsid w:val="0046728C"/>
    <w:rsid w:val="00467399"/>
    <w:rsid w:val="00467412"/>
    <w:rsid w:val="00467433"/>
    <w:rsid w:val="00467486"/>
    <w:rsid w:val="00467524"/>
    <w:rsid w:val="00467565"/>
    <w:rsid w:val="004679F1"/>
    <w:rsid w:val="00467AF0"/>
    <w:rsid w:val="00467E2F"/>
    <w:rsid w:val="00467E96"/>
    <w:rsid w:val="00467F8E"/>
    <w:rsid w:val="00470086"/>
    <w:rsid w:val="00470087"/>
    <w:rsid w:val="00470192"/>
    <w:rsid w:val="00470284"/>
    <w:rsid w:val="004702AC"/>
    <w:rsid w:val="004702EC"/>
    <w:rsid w:val="0047047E"/>
    <w:rsid w:val="00470680"/>
    <w:rsid w:val="0047085F"/>
    <w:rsid w:val="004708CE"/>
    <w:rsid w:val="004709AC"/>
    <w:rsid w:val="00470D9C"/>
    <w:rsid w:val="00470EF8"/>
    <w:rsid w:val="00470FDE"/>
    <w:rsid w:val="00471009"/>
    <w:rsid w:val="004711D4"/>
    <w:rsid w:val="004711D7"/>
    <w:rsid w:val="00471307"/>
    <w:rsid w:val="0047138D"/>
    <w:rsid w:val="004714B9"/>
    <w:rsid w:val="004715DF"/>
    <w:rsid w:val="00471625"/>
    <w:rsid w:val="0047187C"/>
    <w:rsid w:val="004718DC"/>
    <w:rsid w:val="0047197A"/>
    <w:rsid w:val="004719FE"/>
    <w:rsid w:val="00471B2A"/>
    <w:rsid w:val="00471CDC"/>
    <w:rsid w:val="00472107"/>
    <w:rsid w:val="0047227B"/>
    <w:rsid w:val="004722E4"/>
    <w:rsid w:val="00472305"/>
    <w:rsid w:val="00472467"/>
    <w:rsid w:val="0047252A"/>
    <w:rsid w:val="0047252D"/>
    <w:rsid w:val="00472578"/>
    <w:rsid w:val="00472A95"/>
    <w:rsid w:val="00472BFD"/>
    <w:rsid w:val="00472C5D"/>
    <w:rsid w:val="00472D9C"/>
    <w:rsid w:val="00472DA7"/>
    <w:rsid w:val="00472EA1"/>
    <w:rsid w:val="00473162"/>
    <w:rsid w:val="00473282"/>
    <w:rsid w:val="004732B9"/>
    <w:rsid w:val="0047342A"/>
    <w:rsid w:val="00473447"/>
    <w:rsid w:val="004734E8"/>
    <w:rsid w:val="004735B9"/>
    <w:rsid w:val="0047382D"/>
    <w:rsid w:val="004739C2"/>
    <w:rsid w:val="00473A8B"/>
    <w:rsid w:val="00473A92"/>
    <w:rsid w:val="00473B6C"/>
    <w:rsid w:val="00473B8E"/>
    <w:rsid w:val="00473CE5"/>
    <w:rsid w:val="00473DAA"/>
    <w:rsid w:val="00473FA0"/>
    <w:rsid w:val="00474086"/>
    <w:rsid w:val="00474121"/>
    <w:rsid w:val="00474162"/>
    <w:rsid w:val="004742BE"/>
    <w:rsid w:val="0047431E"/>
    <w:rsid w:val="004743F7"/>
    <w:rsid w:val="00474441"/>
    <w:rsid w:val="00474484"/>
    <w:rsid w:val="004744CF"/>
    <w:rsid w:val="0047480F"/>
    <w:rsid w:val="0047483A"/>
    <w:rsid w:val="00474B96"/>
    <w:rsid w:val="00474CAA"/>
    <w:rsid w:val="00474CC8"/>
    <w:rsid w:val="00474E40"/>
    <w:rsid w:val="00474E96"/>
    <w:rsid w:val="00474F87"/>
    <w:rsid w:val="004750DA"/>
    <w:rsid w:val="00475158"/>
    <w:rsid w:val="00475239"/>
    <w:rsid w:val="00475289"/>
    <w:rsid w:val="00475325"/>
    <w:rsid w:val="0047544B"/>
    <w:rsid w:val="0047546B"/>
    <w:rsid w:val="0047547F"/>
    <w:rsid w:val="00475491"/>
    <w:rsid w:val="0047553F"/>
    <w:rsid w:val="004755D6"/>
    <w:rsid w:val="0047571B"/>
    <w:rsid w:val="0047573B"/>
    <w:rsid w:val="004757AC"/>
    <w:rsid w:val="0047585F"/>
    <w:rsid w:val="0047599F"/>
    <w:rsid w:val="004759A6"/>
    <w:rsid w:val="004759AE"/>
    <w:rsid w:val="004759F5"/>
    <w:rsid w:val="00475A96"/>
    <w:rsid w:val="00475B57"/>
    <w:rsid w:val="00475C2B"/>
    <w:rsid w:val="00475CF9"/>
    <w:rsid w:val="00475E38"/>
    <w:rsid w:val="00475EE0"/>
    <w:rsid w:val="004760AB"/>
    <w:rsid w:val="004761A8"/>
    <w:rsid w:val="00476235"/>
    <w:rsid w:val="00476265"/>
    <w:rsid w:val="0047632A"/>
    <w:rsid w:val="004763D0"/>
    <w:rsid w:val="004765BB"/>
    <w:rsid w:val="00476729"/>
    <w:rsid w:val="0047678B"/>
    <w:rsid w:val="00476934"/>
    <w:rsid w:val="00476A98"/>
    <w:rsid w:val="00476BB0"/>
    <w:rsid w:val="00476C06"/>
    <w:rsid w:val="00476C47"/>
    <w:rsid w:val="00476D89"/>
    <w:rsid w:val="00476D9A"/>
    <w:rsid w:val="00476D9C"/>
    <w:rsid w:val="00476E43"/>
    <w:rsid w:val="00476EB5"/>
    <w:rsid w:val="00476F20"/>
    <w:rsid w:val="00476F4A"/>
    <w:rsid w:val="00476FFF"/>
    <w:rsid w:val="00477014"/>
    <w:rsid w:val="00477214"/>
    <w:rsid w:val="004772E3"/>
    <w:rsid w:val="004774F7"/>
    <w:rsid w:val="004774FD"/>
    <w:rsid w:val="0047767D"/>
    <w:rsid w:val="004776BC"/>
    <w:rsid w:val="00477792"/>
    <w:rsid w:val="00477819"/>
    <w:rsid w:val="00477993"/>
    <w:rsid w:val="004779CA"/>
    <w:rsid w:val="00477A24"/>
    <w:rsid w:val="00477A80"/>
    <w:rsid w:val="00477AB8"/>
    <w:rsid w:val="00477BC7"/>
    <w:rsid w:val="00477C4F"/>
    <w:rsid w:val="00477D40"/>
    <w:rsid w:val="00477E70"/>
    <w:rsid w:val="00477F39"/>
    <w:rsid w:val="00480034"/>
    <w:rsid w:val="004801AA"/>
    <w:rsid w:val="004801CE"/>
    <w:rsid w:val="0048044B"/>
    <w:rsid w:val="004804FB"/>
    <w:rsid w:val="00480558"/>
    <w:rsid w:val="0048085E"/>
    <w:rsid w:val="00480939"/>
    <w:rsid w:val="00480B8A"/>
    <w:rsid w:val="00480D05"/>
    <w:rsid w:val="00480F2A"/>
    <w:rsid w:val="0048109A"/>
    <w:rsid w:val="004810ED"/>
    <w:rsid w:val="004812CB"/>
    <w:rsid w:val="004813C8"/>
    <w:rsid w:val="00481414"/>
    <w:rsid w:val="0048155E"/>
    <w:rsid w:val="00481775"/>
    <w:rsid w:val="004817FD"/>
    <w:rsid w:val="00481818"/>
    <w:rsid w:val="00481825"/>
    <w:rsid w:val="00481835"/>
    <w:rsid w:val="00481871"/>
    <w:rsid w:val="0048197A"/>
    <w:rsid w:val="00481A4D"/>
    <w:rsid w:val="00481B13"/>
    <w:rsid w:val="00481C52"/>
    <w:rsid w:val="00481C70"/>
    <w:rsid w:val="00481E23"/>
    <w:rsid w:val="00481E93"/>
    <w:rsid w:val="00481EA2"/>
    <w:rsid w:val="00481FCE"/>
    <w:rsid w:val="00482029"/>
    <w:rsid w:val="00482106"/>
    <w:rsid w:val="00482180"/>
    <w:rsid w:val="00482192"/>
    <w:rsid w:val="004821B8"/>
    <w:rsid w:val="004821E1"/>
    <w:rsid w:val="0048220F"/>
    <w:rsid w:val="00482611"/>
    <w:rsid w:val="0048276C"/>
    <w:rsid w:val="00482832"/>
    <w:rsid w:val="004828A3"/>
    <w:rsid w:val="00482CF4"/>
    <w:rsid w:val="00482D6E"/>
    <w:rsid w:val="00482DC4"/>
    <w:rsid w:val="00482E26"/>
    <w:rsid w:val="00482E9F"/>
    <w:rsid w:val="00482ED2"/>
    <w:rsid w:val="00482F38"/>
    <w:rsid w:val="00483015"/>
    <w:rsid w:val="0048311E"/>
    <w:rsid w:val="00483328"/>
    <w:rsid w:val="00483357"/>
    <w:rsid w:val="004836C4"/>
    <w:rsid w:val="0048392B"/>
    <w:rsid w:val="0048399E"/>
    <w:rsid w:val="004839A2"/>
    <w:rsid w:val="00483A6A"/>
    <w:rsid w:val="00483CF9"/>
    <w:rsid w:val="00483D70"/>
    <w:rsid w:val="00483E46"/>
    <w:rsid w:val="00483EAE"/>
    <w:rsid w:val="00483ECA"/>
    <w:rsid w:val="0048402A"/>
    <w:rsid w:val="00484179"/>
    <w:rsid w:val="004841D9"/>
    <w:rsid w:val="00484361"/>
    <w:rsid w:val="0048443D"/>
    <w:rsid w:val="00484446"/>
    <w:rsid w:val="00484499"/>
    <w:rsid w:val="00484651"/>
    <w:rsid w:val="0048468E"/>
    <w:rsid w:val="00484698"/>
    <w:rsid w:val="0048469A"/>
    <w:rsid w:val="004846BF"/>
    <w:rsid w:val="0048470A"/>
    <w:rsid w:val="00484724"/>
    <w:rsid w:val="00484872"/>
    <w:rsid w:val="00484891"/>
    <w:rsid w:val="00484899"/>
    <w:rsid w:val="00484AC9"/>
    <w:rsid w:val="00484ACC"/>
    <w:rsid w:val="00484B73"/>
    <w:rsid w:val="00484CE3"/>
    <w:rsid w:val="00484E24"/>
    <w:rsid w:val="00484E6F"/>
    <w:rsid w:val="00485207"/>
    <w:rsid w:val="00485491"/>
    <w:rsid w:val="004854C6"/>
    <w:rsid w:val="004855DF"/>
    <w:rsid w:val="0048561A"/>
    <w:rsid w:val="004856C9"/>
    <w:rsid w:val="0048573A"/>
    <w:rsid w:val="00485795"/>
    <w:rsid w:val="004857F4"/>
    <w:rsid w:val="0048593C"/>
    <w:rsid w:val="00485967"/>
    <w:rsid w:val="004859FB"/>
    <w:rsid w:val="00485A76"/>
    <w:rsid w:val="00485AA6"/>
    <w:rsid w:val="00485B40"/>
    <w:rsid w:val="00485DA2"/>
    <w:rsid w:val="00485DA5"/>
    <w:rsid w:val="00485E20"/>
    <w:rsid w:val="00485E2F"/>
    <w:rsid w:val="0048610C"/>
    <w:rsid w:val="0048619E"/>
    <w:rsid w:val="004861D6"/>
    <w:rsid w:val="004862C0"/>
    <w:rsid w:val="00486520"/>
    <w:rsid w:val="0048657E"/>
    <w:rsid w:val="004865A3"/>
    <w:rsid w:val="004867E9"/>
    <w:rsid w:val="004868FE"/>
    <w:rsid w:val="00486931"/>
    <w:rsid w:val="004869C1"/>
    <w:rsid w:val="00486A54"/>
    <w:rsid w:val="00486B76"/>
    <w:rsid w:val="00486D37"/>
    <w:rsid w:val="00486DFF"/>
    <w:rsid w:val="00486E2B"/>
    <w:rsid w:val="00486E3D"/>
    <w:rsid w:val="00486F4A"/>
    <w:rsid w:val="004873FD"/>
    <w:rsid w:val="004874BB"/>
    <w:rsid w:val="0048767D"/>
    <w:rsid w:val="00487697"/>
    <w:rsid w:val="0048788B"/>
    <w:rsid w:val="004878AC"/>
    <w:rsid w:val="00487A10"/>
    <w:rsid w:val="00487A85"/>
    <w:rsid w:val="00487A88"/>
    <w:rsid w:val="00487B22"/>
    <w:rsid w:val="00487F8A"/>
    <w:rsid w:val="00490037"/>
    <w:rsid w:val="00490067"/>
    <w:rsid w:val="00490263"/>
    <w:rsid w:val="004902D0"/>
    <w:rsid w:val="00490389"/>
    <w:rsid w:val="0049041C"/>
    <w:rsid w:val="004905B6"/>
    <w:rsid w:val="00490645"/>
    <w:rsid w:val="00490697"/>
    <w:rsid w:val="004906B6"/>
    <w:rsid w:val="004906BC"/>
    <w:rsid w:val="00490783"/>
    <w:rsid w:val="00490915"/>
    <w:rsid w:val="0049098C"/>
    <w:rsid w:val="004909B2"/>
    <w:rsid w:val="004909C2"/>
    <w:rsid w:val="00490C4D"/>
    <w:rsid w:val="00490D64"/>
    <w:rsid w:val="00490F14"/>
    <w:rsid w:val="00491061"/>
    <w:rsid w:val="0049118E"/>
    <w:rsid w:val="0049120A"/>
    <w:rsid w:val="00491292"/>
    <w:rsid w:val="004912FD"/>
    <w:rsid w:val="00491308"/>
    <w:rsid w:val="00491355"/>
    <w:rsid w:val="00491423"/>
    <w:rsid w:val="004914E8"/>
    <w:rsid w:val="0049167D"/>
    <w:rsid w:val="004916E5"/>
    <w:rsid w:val="00491720"/>
    <w:rsid w:val="0049190B"/>
    <w:rsid w:val="0049195A"/>
    <w:rsid w:val="00491BEB"/>
    <w:rsid w:val="00491C9A"/>
    <w:rsid w:val="00491E08"/>
    <w:rsid w:val="00491EA7"/>
    <w:rsid w:val="00492044"/>
    <w:rsid w:val="00492047"/>
    <w:rsid w:val="00492071"/>
    <w:rsid w:val="004920CC"/>
    <w:rsid w:val="00492121"/>
    <w:rsid w:val="0049239E"/>
    <w:rsid w:val="004923C8"/>
    <w:rsid w:val="004926F3"/>
    <w:rsid w:val="00492762"/>
    <w:rsid w:val="0049285E"/>
    <w:rsid w:val="0049295E"/>
    <w:rsid w:val="00492B00"/>
    <w:rsid w:val="00492B02"/>
    <w:rsid w:val="00492C47"/>
    <w:rsid w:val="00492D5C"/>
    <w:rsid w:val="00492D8D"/>
    <w:rsid w:val="00492DB8"/>
    <w:rsid w:val="00492F92"/>
    <w:rsid w:val="00492FE5"/>
    <w:rsid w:val="00493036"/>
    <w:rsid w:val="0049317E"/>
    <w:rsid w:val="004931E9"/>
    <w:rsid w:val="004933BA"/>
    <w:rsid w:val="00493457"/>
    <w:rsid w:val="0049348C"/>
    <w:rsid w:val="004934CD"/>
    <w:rsid w:val="00493540"/>
    <w:rsid w:val="00493745"/>
    <w:rsid w:val="00493749"/>
    <w:rsid w:val="00493871"/>
    <w:rsid w:val="00493926"/>
    <w:rsid w:val="00493BC5"/>
    <w:rsid w:val="00493DC9"/>
    <w:rsid w:val="00493E3F"/>
    <w:rsid w:val="00493EDE"/>
    <w:rsid w:val="00493EEC"/>
    <w:rsid w:val="00493EFC"/>
    <w:rsid w:val="00493F91"/>
    <w:rsid w:val="00493FD4"/>
    <w:rsid w:val="00494086"/>
    <w:rsid w:val="0049418D"/>
    <w:rsid w:val="00494239"/>
    <w:rsid w:val="00494241"/>
    <w:rsid w:val="004942C8"/>
    <w:rsid w:val="004944F9"/>
    <w:rsid w:val="00494598"/>
    <w:rsid w:val="00494790"/>
    <w:rsid w:val="0049487D"/>
    <w:rsid w:val="00494889"/>
    <w:rsid w:val="004948A1"/>
    <w:rsid w:val="0049490D"/>
    <w:rsid w:val="00494B3A"/>
    <w:rsid w:val="00494B7F"/>
    <w:rsid w:val="00494CA0"/>
    <w:rsid w:val="00494D66"/>
    <w:rsid w:val="00494E72"/>
    <w:rsid w:val="00494EAE"/>
    <w:rsid w:val="004953BB"/>
    <w:rsid w:val="00495457"/>
    <w:rsid w:val="00495504"/>
    <w:rsid w:val="004957AF"/>
    <w:rsid w:val="0049590D"/>
    <w:rsid w:val="004959D2"/>
    <w:rsid w:val="00495B73"/>
    <w:rsid w:val="00495C00"/>
    <w:rsid w:val="00495D50"/>
    <w:rsid w:val="00495E00"/>
    <w:rsid w:val="00495FFC"/>
    <w:rsid w:val="00496062"/>
    <w:rsid w:val="004964E4"/>
    <w:rsid w:val="0049658F"/>
    <w:rsid w:val="00496791"/>
    <w:rsid w:val="0049686F"/>
    <w:rsid w:val="00496A08"/>
    <w:rsid w:val="00496A17"/>
    <w:rsid w:val="00496BE2"/>
    <w:rsid w:val="00496BE5"/>
    <w:rsid w:val="00496C01"/>
    <w:rsid w:val="00496CB8"/>
    <w:rsid w:val="00496E58"/>
    <w:rsid w:val="00496E66"/>
    <w:rsid w:val="00496FAC"/>
    <w:rsid w:val="0049706D"/>
    <w:rsid w:val="00497226"/>
    <w:rsid w:val="004973E6"/>
    <w:rsid w:val="004974B7"/>
    <w:rsid w:val="0049762F"/>
    <w:rsid w:val="004978E7"/>
    <w:rsid w:val="00497ADF"/>
    <w:rsid w:val="00497B89"/>
    <w:rsid w:val="00497B98"/>
    <w:rsid w:val="00497BD0"/>
    <w:rsid w:val="00497E07"/>
    <w:rsid w:val="00497ED2"/>
    <w:rsid w:val="00497F24"/>
    <w:rsid w:val="004A0440"/>
    <w:rsid w:val="004A06D6"/>
    <w:rsid w:val="004A0760"/>
    <w:rsid w:val="004A07B4"/>
    <w:rsid w:val="004A0822"/>
    <w:rsid w:val="004A0ADA"/>
    <w:rsid w:val="004A0D1C"/>
    <w:rsid w:val="004A0E88"/>
    <w:rsid w:val="004A0ED0"/>
    <w:rsid w:val="004A0F6C"/>
    <w:rsid w:val="004A107A"/>
    <w:rsid w:val="004A11D9"/>
    <w:rsid w:val="004A1381"/>
    <w:rsid w:val="004A13B7"/>
    <w:rsid w:val="004A147C"/>
    <w:rsid w:val="004A157C"/>
    <w:rsid w:val="004A1F01"/>
    <w:rsid w:val="004A2053"/>
    <w:rsid w:val="004A2088"/>
    <w:rsid w:val="004A20BC"/>
    <w:rsid w:val="004A216D"/>
    <w:rsid w:val="004A21E5"/>
    <w:rsid w:val="004A21E6"/>
    <w:rsid w:val="004A2204"/>
    <w:rsid w:val="004A243B"/>
    <w:rsid w:val="004A243F"/>
    <w:rsid w:val="004A2454"/>
    <w:rsid w:val="004A24F6"/>
    <w:rsid w:val="004A25FB"/>
    <w:rsid w:val="004A26BE"/>
    <w:rsid w:val="004A26F5"/>
    <w:rsid w:val="004A27A0"/>
    <w:rsid w:val="004A27B8"/>
    <w:rsid w:val="004A27EF"/>
    <w:rsid w:val="004A2835"/>
    <w:rsid w:val="004A298C"/>
    <w:rsid w:val="004A29D4"/>
    <w:rsid w:val="004A2B51"/>
    <w:rsid w:val="004A2CF1"/>
    <w:rsid w:val="004A2DE8"/>
    <w:rsid w:val="004A317A"/>
    <w:rsid w:val="004A31B9"/>
    <w:rsid w:val="004A3249"/>
    <w:rsid w:val="004A3273"/>
    <w:rsid w:val="004A3290"/>
    <w:rsid w:val="004A33A8"/>
    <w:rsid w:val="004A3511"/>
    <w:rsid w:val="004A3512"/>
    <w:rsid w:val="004A364C"/>
    <w:rsid w:val="004A3665"/>
    <w:rsid w:val="004A37A2"/>
    <w:rsid w:val="004A3871"/>
    <w:rsid w:val="004A3980"/>
    <w:rsid w:val="004A3ECB"/>
    <w:rsid w:val="004A3F39"/>
    <w:rsid w:val="004A3F79"/>
    <w:rsid w:val="004A4042"/>
    <w:rsid w:val="004A429A"/>
    <w:rsid w:val="004A43A0"/>
    <w:rsid w:val="004A44D7"/>
    <w:rsid w:val="004A45A9"/>
    <w:rsid w:val="004A45EA"/>
    <w:rsid w:val="004A4687"/>
    <w:rsid w:val="004A4AC9"/>
    <w:rsid w:val="004A4DB0"/>
    <w:rsid w:val="004A5070"/>
    <w:rsid w:val="004A5519"/>
    <w:rsid w:val="004A5538"/>
    <w:rsid w:val="004A555E"/>
    <w:rsid w:val="004A5600"/>
    <w:rsid w:val="004A5748"/>
    <w:rsid w:val="004A5875"/>
    <w:rsid w:val="004A5951"/>
    <w:rsid w:val="004A5AB0"/>
    <w:rsid w:val="004A5B5D"/>
    <w:rsid w:val="004A5BD0"/>
    <w:rsid w:val="004A5E15"/>
    <w:rsid w:val="004A5E72"/>
    <w:rsid w:val="004A5F31"/>
    <w:rsid w:val="004A6004"/>
    <w:rsid w:val="004A6151"/>
    <w:rsid w:val="004A619F"/>
    <w:rsid w:val="004A61FF"/>
    <w:rsid w:val="004A623B"/>
    <w:rsid w:val="004A625F"/>
    <w:rsid w:val="004A642D"/>
    <w:rsid w:val="004A649B"/>
    <w:rsid w:val="004A64F2"/>
    <w:rsid w:val="004A67F3"/>
    <w:rsid w:val="004A6952"/>
    <w:rsid w:val="004A6A66"/>
    <w:rsid w:val="004A6B13"/>
    <w:rsid w:val="004A6BC7"/>
    <w:rsid w:val="004A6DEC"/>
    <w:rsid w:val="004A6E94"/>
    <w:rsid w:val="004A6EA7"/>
    <w:rsid w:val="004A6EBD"/>
    <w:rsid w:val="004A72C4"/>
    <w:rsid w:val="004A7414"/>
    <w:rsid w:val="004A7490"/>
    <w:rsid w:val="004A758C"/>
    <w:rsid w:val="004A784B"/>
    <w:rsid w:val="004A7933"/>
    <w:rsid w:val="004A7D22"/>
    <w:rsid w:val="004B00D4"/>
    <w:rsid w:val="004B0233"/>
    <w:rsid w:val="004B0352"/>
    <w:rsid w:val="004B058D"/>
    <w:rsid w:val="004B05F1"/>
    <w:rsid w:val="004B0678"/>
    <w:rsid w:val="004B09C3"/>
    <w:rsid w:val="004B0A6F"/>
    <w:rsid w:val="004B0C82"/>
    <w:rsid w:val="004B0D90"/>
    <w:rsid w:val="004B0FFF"/>
    <w:rsid w:val="004B1014"/>
    <w:rsid w:val="004B111D"/>
    <w:rsid w:val="004B111F"/>
    <w:rsid w:val="004B11A0"/>
    <w:rsid w:val="004B1448"/>
    <w:rsid w:val="004B161F"/>
    <w:rsid w:val="004B193F"/>
    <w:rsid w:val="004B1C53"/>
    <w:rsid w:val="004B1CFD"/>
    <w:rsid w:val="004B1DBF"/>
    <w:rsid w:val="004B1FEC"/>
    <w:rsid w:val="004B20F9"/>
    <w:rsid w:val="004B2558"/>
    <w:rsid w:val="004B2608"/>
    <w:rsid w:val="004B2617"/>
    <w:rsid w:val="004B2702"/>
    <w:rsid w:val="004B27A4"/>
    <w:rsid w:val="004B2819"/>
    <w:rsid w:val="004B2999"/>
    <w:rsid w:val="004B2A2B"/>
    <w:rsid w:val="004B2ADD"/>
    <w:rsid w:val="004B2BA3"/>
    <w:rsid w:val="004B30F1"/>
    <w:rsid w:val="004B353B"/>
    <w:rsid w:val="004B3543"/>
    <w:rsid w:val="004B3651"/>
    <w:rsid w:val="004B36A4"/>
    <w:rsid w:val="004B3780"/>
    <w:rsid w:val="004B37BE"/>
    <w:rsid w:val="004B395D"/>
    <w:rsid w:val="004B39BE"/>
    <w:rsid w:val="004B3B8E"/>
    <w:rsid w:val="004B3BF0"/>
    <w:rsid w:val="004B3C80"/>
    <w:rsid w:val="004B3F7E"/>
    <w:rsid w:val="004B4297"/>
    <w:rsid w:val="004B45BD"/>
    <w:rsid w:val="004B4610"/>
    <w:rsid w:val="004B465B"/>
    <w:rsid w:val="004B4665"/>
    <w:rsid w:val="004B469C"/>
    <w:rsid w:val="004B47F9"/>
    <w:rsid w:val="004B4DA0"/>
    <w:rsid w:val="004B4E7A"/>
    <w:rsid w:val="004B4E81"/>
    <w:rsid w:val="004B4F1A"/>
    <w:rsid w:val="004B4F46"/>
    <w:rsid w:val="004B508D"/>
    <w:rsid w:val="004B55DE"/>
    <w:rsid w:val="004B5680"/>
    <w:rsid w:val="004B56B2"/>
    <w:rsid w:val="004B56F2"/>
    <w:rsid w:val="004B5776"/>
    <w:rsid w:val="004B5854"/>
    <w:rsid w:val="004B586F"/>
    <w:rsid w:val="004B58FB"/>
    <w:rsid w:val="004B5921"/>
    <w:rsid w:val="004B5B74"/>
    <w:rsid w:val="004B5D4B"/>
    <w:rsid w:val="004B6084"/>
    <w:rsid w:val="004B60E6"/>
    <w:rsid w:val="004B6165"/>
    <w:rsid w:val="004B61B5"/>
    <w:rsid w:val="004B6261"/>
    <w:rsid w:val="004B6453"/>
    <w:rsid w:val="004B6563"/>
    <w:rsid w:val="004B6762"/>
    <w:rsid w:val="004B682A"/>
    <w:rsid w:val="004B6850"/>
    <w:rsid w:val="004B693C"/>
    <w:rsid w:val="004B6AAF"/>
    <w:rsid w:val="004B6B70"/>
    <w:rsid w:val="004B6BDF"/>
    <w:rsid w:val="004B6CCC"/>
    <w:rsid w:val="004B6D8C"/>
    <w:rsid w:val="004B6DC8"/>
    <w:rsid w:val="004B6FD2"/>
    <w:rsid w:val="004B700D"/>
    <w:rsid w:val="004B7059"/>
    <w:rsid w:val="004B7081"/>
    <w:rsid w:val="004B70CF"/>
    <w:rsid w:val="004B7293"/>
    <w:rsid w:val="004B73D9"/>
    <w:rsid w:val="004B7401"/>
    <w:rsid w:val="004B7487"/>
    <w:rsid w:val="004B74CD"/>
    <w:rsid w:val="004B753B"/>
    <w:rsid w:val="004B761E"/>
    <w:rsid w:val="004B786A"/>
    <w:rsid w:val="004B7882"/>
    <w:rsid w:val="004B7B40"/>
    <w:rsid w:val="004B7F45"/>
    <w:rsid w:val="004B7FDB"/>
    <w:rsid w:val="004C0065"/>
    <w:rsid w:val="004C02AE"/>
    <w:rsid w:val="004C034F"/>
    <w:rsid w:val="004C03AE"/>
    <w:rsid w:val="004C0523"/>
    <w:rsid w:val="004C0787"/>
    <w:rsid w:val="004C078A"/>
    <w:rsid w:val="004C07A8"/>
    <w:rsid w:val="004C088E"/>
    <w:rsid w:val="004C098C"/>
    <w:rsid w:val="004C0B4D"/>
    <w:rsid w:val="004C0C44"/>
    <w:rsid w:val="004C0E9B"/>
    <w:rsid w:val="004C0FA9"/>
    <w:rsid w:val="004C0FED"/>
    <w:rsid w:val="004C12B7"/>
    <w:rsid w:val="004C144F"/>
    <w:rsid w:val="004C14EC"/>
    <w:rsid w:val="004C1569"/>
    <w:rsid w:val="004C160F"/>
    <w:rsid w:val="004C176B"/>
    <w:rsid w:val="004C18B9"/>
    <w:rsid w:val="004C18E9"/>
    <w:rsid w:val="004C1B01"/>
    <w:rsid w:val="004C1C28"/>
    <w:rsid w:val="004C1D07"/>
    <w:rsid w:val="004C1E0C"/>
    <w:rsid w:val="004C1E4B"/>
    <w:rsid w:val="004C1EB4"/>
    <w:rsid w:val="004C1EDB"/>
    <w:rsid w:val="004C1F13"/>
    <w:rsid w:val="004C203F"/>
    <w:rsid w:val="004C206B"/>
    <w:rsid w:val="004C20E3"/>
    <w:rsid w:val="004C213D"/>
    <w:rsid w:val="004C22AD"/>
    <w:rsid w:val="004C230B"/>
    <w:rsid w:val="004C23CA"/>
    <w:rsid w:val="004C25E9"/>
    <w:rsid w:val="004C26F1"/>
    <w:rsid w:val="004C2AB7"/>
    <w:rsid w:val="004C2C50"/>
    <w:rsid w:val="004C2DC9"/>
    <w:rsid w:val="004C2DEE"/>
    <w:rsid w:val="004C306E"/>
    <w:rsid w:val="004C3164"/>
    <w:rsid w:val="004C337E"/>
    <w:rsid w:val="004C338D"/>
    <w:rsid w:val="004C3474"/>
    <w:rsid w:val="004C365C"/>
    <w:rsid w:val="004C3889"/>
    <w:rsid w:val="004C38C1"/>
    <w:rsid w:val="004C38E1"/>
    <w:rsid w:val="004C38F5"/>
    <w:rsid w:val="004C39F3"/>
    <w:rsid w:val="004C3AC8"/>
    <w:rsid w:val="004C3AFA"/>
    <w:rsid w:val="004C3B6E"/>
    <w:rsid w:val="004C3DE5"/>
    <w:rsid w:val="004C3FA3"/>
    <w:rsid w:val="004C40E6"/>
    <w:rsid w:val="004C410B"/>
    <w:rsid w:val="004C4123"/>
    <w:rsid w:val="004C4266"/>
    <w:rsid w:val="004C42BA"/>
    <w:rsid w:val="004C42EF"/>
    <w:rsid w:val="004C45C2"/>
    <w:rsid w:val="004C4684"/>
    <w:rsid w:val="004C4857"/>
    <w:rsid w:val="004C49E9"/>
    <w:rsid w:val="004C4A18"/>
    <w:rsid w:val="004C4BE0"/>
    <w:rsid w:val="004C4D14"/>
    <w:rsid w:val="004C4E9C"/>
    <w:rsid w:val="004C4ECE"/>
    <w:rsid w:val="004C4EE0"/>
    <w:rsid w:val="004C5011"/>
    <w:rsid w:val="004C518C"/>
    <w:rsid w:val="004C526D"/>
    <w:rsid w:val="004C52E9"/>
    <w:rsid w:val="004C551F"/>
    <w:rsid w:val="004C5538"/>
    <w:rsid w:val="004C56C1"/>
    <w:rsid w:val="004C58BC"/>
    <w:rsid w:val="004C5A74"/>
    <w:rsid w:val="004C5AC2"/>
    <w:rsid w:val="004C5B4A"/>
    <w:rsid w:val="004C5C67"/>
    <w:rsid w:val="004C5D62"/>
    <w:rsid w:val="004C5D64"/>
    <w:rsid w:val="004C5D9F"/>
    <w:rsid w:val="004C5DD1"/>
    <w:rsid w:val="004C5E54"/>
    <w:rsid w:val="004C6016"/>
    <w:rsid w:val="004C60D0"/>
    <w:rsid w:val="004C634B"/>
    <w:rsid w:val="004C649D"/>
    <w:rsid w:val="004C666F"/>
    <w:rsid w:val="004C66E3"/>
    <w:rsid w:val="004C67E8"/>
    <w:rsid w:val="004C681C"/>
    <w:rsid w:val="004C6B61"/>
    <w:rsid w:val="004C6C4F"/>
    <w:rsid w:val="004C6CFE"/>
    <w:rsid w:val="004C6D14"/>
    <w:rsid w:val="004C6D3A"/>
    <w:rsid w:val="004C6D52"/>
    <w:rsid w:val="004C6E1E"/>
    <w:rsid w:val="004C6E23"/>
    <w:rsid w:val="004C6F81"/>
    <w:rsid w:val="004C7007"/>
    <w:rsid w:val="004C7098"/>
    <w:rsid w:val="004C72B0"/>
    <w:rsid w:val="004C7373"/>
    <w:rsid w:val="004C73A1"/>
    <w:rsid w:val="004C7865"/>
    <w:rsid w:val="004C7893"/>
    <w:rsid w:val="004C78F6"/>
    <w:rsid w:val="004C795E"/>
    <w:rsid w:val="004C79D7"/>
    <w:rsid w:val="004C7BAA"/>
    <w:rsid w:val="004C7EB4"/>
    <w:rsid w:val="004C7F06"/>
    <w:rsid w:val="004C7F3E"/>
    <w:rsid w:val="004D0057"/>
    <w:rsid w:val="004D0205"/>
    <w:rsid w:val="004D0294"/>
    <w:rsid w:val="004D035C"/>
    <w:rsid w:val="004D03EB"/>
    <w:rsid w:val="004D03F3"/>
    <w:rsid w:val="004D04C6"/>
    <w:rsid w:val="004D05B2"/>
    <w:rsid w:val="004D07FA"/>
    <w:rsid w:val="004D0815"/>
    <w:rsid w:val="004D0960"/>
    <w:rsid w:val="004D09A2"/>
    <w:rsid w:val="004D09B1"/>
    <w:rsid w:val="004D0A43"/>
    <w:rsid w:val="004D0BFB"/>
    <w:rsid w:val="004D0CFA"/>
    <w:rsid w:val="004D0D2A"/>
    <w:rsid w:val="004D0D6B"/>
    <w:rsid w:val="004D0D98"/>
    <w:rsid w:val="004D0ED8"/>
    <w:rsid w:val="004D10C8"/>
    <w:rsid w:val="004D1139"/>
    <w:rsid w:val="004D1192"/>
    <w:rsid w:val="004D11C3"/>
    <w:rsid w:val="004D1324"/>
    <w:rsid w:val="004D1391"/>
    <w:rsid w:val="004D1460"/>
    <w:rsid w:val="004D1560"/>
    <w:rsid w:val="004D18B3"/>
    <w:rsid w:val="004D1926"/>
    <w:rsid w:val="004D1976"/>
    <w:rsid w:val="004D1981"/>
    <w:rsid w:val="004D1A5D"/>
    <w:rsid w:val="004D1B32"/>
    <w:rsid w:val="004D1EB2"/>
    <w:rsid w:val="004D2322"/>
    <w:rsid w:val="004D2419"/>
    <w:rsid w:val="004D24A9"/>
    <w:rsid w:val="004D28D7"/>
    <w:rsid w:val="004D2992"/>
    <w:rsid w:val="004D29B2"/>
    <w:rsid w:val="004D2B03"/>
    <w:rsid w:val="004D2BFA"/>
    <w:rsid w:val="004D2DE4"/>
    <w:rsid w:val="004D2EB4"/>
    <w:rsid w:val="004D2F05"/>
    <w:rsid w:val="004D2FAD"/>
    <w:rsid w:val="004D3091"/>
    <w:rsid w:val="004D346A"/>
    <w:rsid w:val="004D3507"/>
    <w:rsid w:val="004D359A"/>
    <w:rsid w:val="004D3604"/>
    <w:rsid w:val="004D36C1"/>
    <w:rsid w:val="004D376C"/>
    <w:rsid w:val="004D377D"/>
    <w:rsid w:val="004D3790"/>
    <w:rsid w:val="004D390C"/>
    <w:rsid w:val="004D3A3F"/>
    <w:rsid w:val="004D3B79"/>
    <w:rsid w:val="004D3C5A"/>
    <w:rsid w:val="004D40A8"/>
    <w:rsid w:val="004D40B8"/>
    <w:rsid w:val="004D4107"/>
    <w:rsid w:val="004D4315"/>
    <w:rsid w:val="004D449D"/>
    <w:rsid w:val="004D4526"/>
    <w:rsid w:val="004D4561"/>
    <w:rsid w:val="004D4630"/>
    <w:rsid w:val="004D477C"/>
    <w:rsid w:val="004D4886"/>
    <w:rsid w:val="004D48EE"/>
    <w:rsid w:val="004D4900"/>
    <w:rsid w:val="004D4BD2"/>
    <w:rsid w:val="004D4C47"/>
    <w:rsid w:val="004D4D64"/>
    <w:rsid w:val="004D4D84"/>
    <w:rsid w:val="004D50DB"/>
    <w:rsid w:val="004D520F"/>
    <w:rsid w:val="004D52C2"/>
    <w:rsid w:val="004D5366"/>
    <w:rsid w:val="004D56E0"/>
    <w:rsid w:val="004D577B"/>
    <w:rsid w:val="004D57AE"/>
    <w:rsid w:val="004D58E7"/>
    <w:rsid w:val="004D58E8"/>
    <w:rsid w:val="004D5C83"/>
    <w:rsid w:val="004D5D03"/>
    <w:rsid w:val="004D5DC1"/>
    <w:rsid w:val="004D5DE5"/>
    <w:rsid w:val="004D5F3D"/>
    <w:rsid w:val="004D62C1"/>
    <w:rsid w:val="004D6808"/>
    <w:rsid w:val="004D6B00"/>
    <w:rsid w:val="004D6B57"/>
    <w:rsid w:val="004D6B5E"/>
    <w:rsid w:val="004D6BFF"/>
    <w:rsid w:val="004D6C3C"/>
    <w:rsid w:val="004D6D01"/>
    <w:rsid w:val="004D6E4D"/>
    <w:rsid w:val="004D7213"/>
    <w:rsid w:val="004D7308"/>
    <w:rsid w:val="004D73E0"/>
    <w:rsid w:val="004D7400"/>
    <w:rsid w:val="004D7436"/>
    <w:rsid w:val="004D762A"/>
    <w:rsid w:val="004D76F7"/>
    <w:rsid w:val="004D7792"/>
    <w:rsid w:val="004D78DA"/>
    <w:rsid w:val="004D7953"/>
    <w:rsid w:val="004D7B4C"/>
    <w:rsid w:val="004D7C89"/>
    <w:rsid w:val="004D7DF1"/>
    <w:rsid w:val="004D7E7F"/>
    <w:rsid w:val="004D7F10"/>
    <w:rsid w:val="004E0066"/>
    <w:rsid w:val="004E00D3"/>
    <w:rsid w:val="004E026A"/>
    <w:rsid w:val="004E0335"/>
    <w:rsid w:val="004E0389"/>
    <w:rsid w:val="004E05D2"/>
    <w:rsid w:val="004E068A"/>
    <w:rsid w:val="004E069A"/>
    <w:rsid w:val="004E08EC"/>
    <w:rsid w:val="004E0BB5"/>
    <w:rsid w:val="004E0D42"/>
    <w:rsid w:val="004E124D"/>
    <w:rsid w:val="004E1277"/>
    <w:rsid w:val="004E12EB"/>
    <w:rsid w:val="004E13D6"/>
    <w:rsid w:val="004E1612"/>
    <w:rsid w:val="004E1678"/>
    <w:rsid w:val="004E1764"/>
    <w:rsid w:val="004E17E9"/>
    <w:rsid w:val="004E187B"/>
    <w:rsid w:val="004E18E7"/>
    <w:rsid w:val="004E1BFB"/>
    <w:rsid w:val="004E1C82"/>
    <w:rsid w:val="004E1CFF"/>
    <w:rsid w:val="004E2345"/>
    <w:rsid w:val="004E2440"/>
    <w:rsid w:val="004E251B"/>
    <w:rsid w:val="004E2A08"/>
    <w:rsid w:val="004E2A3A"/>
    <w:rsid w:val="004E2B2E"/>
    <w:rsid w:val="004E2B7A"/>
    <w:rsid w:val="004E2B91"/>
    <w:rsid w:val="004E2B93"/>
    <w:rsid w:val="004E2D05"/>
    <w:rsid w:val="004E2D29"/>
    <w:rsid w:val="004E2DB1"/>
    <w:rsid w:val="004E2DDA"/>
    <w:rsid w:val="004E2E7D"/>
    <w:rsid w:val="004E2E9B"/>
    <w:rsid w:val="004E313E"/>
    <w:rsid w:val="004E31C1"/>
    <w:rsid w:val="004E34E9"/>
    <w:rsid w:val="004E34F8"/>
    <w:rsid w:val="004E353B"/>
    <w:rsid w:val="004E3585"/>
    <w:rsid w:val="004E36C0"/>
    <w:rsid w:val="004E37C6"/>
    <w:rsid w:val="004E38BC"/>
    <w:rsid w:val="004E3942"/>
    <w:rsid w:val="004E3F9D"/>
    <w:rsid w:val="004E4022"/>
    <w:rsid w:val="004E4064"/>
    <w:rsid w:val="004E40DF"/>
    <w:rsid w:val="004E4167"/>
    <w:rsid w:val="004E4273"/>
    <w:rsid w:val="004E434A"/>
    <w:rsid w:val="004E4554"/>
    <w:rsid w:val="004E4A14"/>
    <w:rsid w:val="004E4B6B"/>
    <w:rsid w:val="004E4E52"/>
    <w:rsid w:val="004E5058"/>
    <w:rsid w:val="004E50C7"/>
    <w:rsid w:val="004E5478"/>
    <w:rsid w:val="004E55AC"/>
    <w:rsid w:val="004E5615"/>
    <w:rsid w:val="004E5981"/>
    <w:rsid w:val="004E5AC0"/>
    <w:rsid w:val="004E5D20"/>
    <w:rsid w:val="004E5DB1"/>
    <w:rsid w:val="004E5DB8"/>
    <w:rsid w:val="004E5E99"/>
    <w:rsid w:val="004E613F"/>
    <w:rsid w:val="004E62CB"/>
    <w:rsid w:val="004E6386"/>
    <w:rsid w:val="004E644F"/>
    <w:rsid w:val="004E6510"/>
    <w:rsid w:val="004E6667"/>
    <w:rsid w:val="004E6852"/>
    <w:rsid w:val="004E696B"/>
    <w:rsid w:val="004E69A5"/>
    <w:rsid w:val="004E6A3D"/>
    <w:rsid w:val="004E6A9F"/>
    <w:rsid w:val="004E6AED"/>
    <w:rsid w:val="004E6CD1"/>
    <w:rsid w:val="004E6E20"/>
    <w:rsid w:val="004E7002"/>
    <w:rsid w:val="004E722B"/>
    <w:rsid w:val="004E73AF"/>
    <w:rsid w:val="004E74B1"/>
    <w:rsid w:val="004E7594"/>
    <w:rsid w:val="004E76D4"/>
    <w:rsid w:val="004E787F"/>
    <w:rsid w:val="004E7932"/>
    <w:rsid w:val="004E79DD"/>
    <w:rsid w:val="004E7A69"/>
    <w:rsid w:val="004E7AEB"/>
    <w:rsid w:val="004E7B7F"/>
    <w:rsid w:val="004E7C2C"/>
    <w:rsid w:val="004E7C99"/>
    <w:rsid w:val="004E7D7F"/>
    <w:rsid w:val="004E7F14"/>
    <w:rsid w:val="004E7FF0"/>
    <w:rsid w:val="004F0021"/>
    <w:rsid w:val="004F02DD"/>
    <w:rsid w:val="004F03A1"/>
    <w:rsid w:val="004F06C1"/>
    <w:rsid w:val="004F06DA"/>
    <w:rsid w:val="004F08A5"/>
    <w:rsid w:val="004F0915"/>
    <w:rsid w:val="004F09BE"/>
    <w:rsid w:val="004F0C3E"/>
    <w:rsid w:val="004F0C64"/>
    <w:rsid w:val="004F0F16"/>
    <w:rsid w:val="004F1039"/>
    <w:rsid w:val="004F112B"/>
    <w:rsid w:val="004F12D8"/>
    <w:rsid w:val="004F138C"/>
    <w:rsid w:val="004F13E5"/>
    <w:rsid w:val="004F13F1"/>
    <w:rsid w:val="004F1418"/>
    <w:rsid w:val="004F1462"/>
    <w:rsid w:val="004F1481"/>
    <w:rsid w:val="004F1725"/>
    <w:rsid w:val="004F1819"/>
    <w:rsid w:val="004F1943"/>
    <w:rsid w:val="004F1950"/>
    <w:rsid w:val="004F196F"/>
    <w:rsid w:val="004F1C8D"/>
    <w:rsid w:val="004F1D35"/>
    <w:rsid w:val="004F1E6E"/>
    <w:rsid w:val="004F1EB8"/>
    <w:rsid w:val="004F1F99"/>
    <w:rsid w:val="004F2034"/>
    <w:rsid w:val="004F2084"/>
    <w:rsid w:val="004F215D"/>
    <w:rsid w:val="004F22FC"/>
    <w:rsid w:val="004F233A"/>
    <w:rsid w:val="004F2641"/>
    <w:rsid w:val="004F2649"/>
    <w:rsid w:val="004F2685"/>
    <w:rsid w:val="004F269C"/>
    <w:rsid w:val="004F27DE"/>
    <w:rsid w:val="004F2D42"/>
    <w:rsid w:val="004F2E0E"/>
    <w:rsid w:val="004F2E56"/>
    <w:rsid w:val="004F2ECB"/>
    <w:rsid w:val="004F2F1B"/>
    <w:rsid w:val="004F2F46"/>
    <w:rsid w:val="004F3050"/>
    <w:rsid w:val="004F3166"/>
    <w:rsid w:val="004F3276"/>
    <w:rsid w:val="004F34B7"/>
    <w:rsid w:val="004F359C"/>
    <w:rsid w:val="004F361A"/>
    <w:rsid w:val="004F374D"/>
    <w:rsid w:val="004F3810"/>
    <w:rsid w:val="004F3866"/>
    <w:rsid w:val="004F3972"/>
    <w:rsid w:val="004F3CFF"/>
    <w:rsid w:val="004F3E38"/>
    <w:rsid w:val="004F4188"/>
    <w:rsid w:val="004F41F6"/>
    <w:rsid w:val="004F4375"/>
    <w:rsid w:val="004F43EE"/>
    <w:rsid w:val="004F4465"/>
    <w:rsid w:val="004F4525"/>
    <w:rsid w:val="004F456E"/>
    <w:rsid w:val="004F45EF"/>
    <w:rsid w:val="004F468B"/>
    <w:rsid w:val="004F4693"/>
    <w:rsid w:val="004F469F"/>
    <w:rsid w:val="004F46A5"/>
    <w:rsid w:val="004F4738"/>
    <w:rsid w:val="004F4B1C"/>
    <w:rsid w:val="004F4B33"/>
    <w:rsid w:val="004F4C39"/>
    <w:rsid w:val="004F4D04"/>
    <w:rsid w:val="004F4DB4"/>
    <w:rsid w:val="004F4DD0"/>
    <w:rsid w:val="004F4F14"/>
    <w:rsid w:val="004F4F8E"/>
    <w:rsid w:val="004F509A"/>
    <w:rsid w:val="004F50B5"/>
    <w:rsid w:val="004F50CC"/>
    <w:rsid w:val="004F518C"/>
    <w:rsid w:val="004F51A3"/>
    <w:rsid w:val="004F52DD"/>
    <w:rsid w:val="004F530C"/>
    <w:rsid w:val="004F53F4"/>
    <w:rsid w:val="004F559D"/>
    <w:rsid w:val="004F55D9"/>
    <w:rsid w:val="004F56C2"/>
    <w:rsid w:val="004F577B"/>
    <w:rsid w:val="004F578C"/>
    <w:rsid w:val="004F57B6"/>
    <w:rsid w:val="004F57D4"/>
    <w:rsid w:val="004F5CCF"/>
    <w:rsid w:val="004F5CFF"/>
    <w:rsid w:val="004F5D88"/>
    <w:rsid w:val="004F5F3E"/>
    <w:rsid w:val="004F5F59"/>
    <w:rsid w:val="004F5F95"/>
    <w:rsid w:val="004F611D"/>
    <w:rsid w:val="004F63E8"/>
    <w:rsid w:val="004F64E9"/>
    <w:rsid w:val="004F64F3"/>
    <w:rsid w:val="004F653E"/>
    <w:rsid w:val="004F65F3"/>
    <w:rsid w:val="004F6618"/>
    <w:rsid w:val="004F6911"/>
    <w:rsid w:val="004F6CB0"/>
    <w:rsid w:val="004F6F12"/>
    <w:rsid w:val="004F6FFF"/>
    <w:rsid w:val="004F7027"/>
    <w:rsid w:val="004F7209"/>
    <w:rsid w:val="004F7338"/>
    <w:rsid w:val="004F73BC"/>
    <w:rsid w:val="004F755B"/>
    <w:rsid w:val="004F7595"/>
    <w:rsid w:val="004F76E1"/>
    <w:rsid w:val="004F78D9"/>
    <w:rsid w:val="004F7904"/>
    <w:rsid w:val="004F790B"/>
    <w:rsid w:val="004F7950"/>
    <w:rsid w:val="004F7980"/>
    <w:rsid w:val="004F7A51"/>
    <w:rsid w:val="004F7C17"/>
    <w:rsid w:val="004F7C2A"/>
    <w:rsid w:val="004F7C30"/>
    <w:rsid w:val="004F7D75"/>
    <w:rsid w:val="004F7E2E"/>
    <w:rsid w:val="004F7ED0"/>
    <w:rsid w:val="004F7F27"/>
    <w:rsid w:val="005000E8"/>
    <w:rsid w:val="005001E8"/>
    <w:rsid w:val="005001F6"/>
    <w:rsid w:val="00500219"/>
    <w:rsid w:val="0050048F"/>
    <w:rsid w:val="005005D1"/>
    <w:rsid w:val="005007AB"/>
    <w:rsid w:val="00500AD1"/>
    <w:rsid w:val="00500BD0"/>
    <w:rsid w:val="00500C15"/>
    <w:rsid w:val="00500C1D"/>
    <w:rsid w:val="00500C7A"/>
    <w:rsid w:val="00500DB3"/>
    <w:rsid w:val="00500F96"/>
    <w:rsid w:val="00501169"/>
    <w:rsid w:val="00501318"/>
    <w:rsid w:val="005013D3"/>
    <w:rsid w:val="005013E0"/>
    <w:rsid w:val="0050172D"/>
    <w:rsid w:val="00501852"/>
    <w:rsid w:val="00501921"/>
    <w:rsid w:val="00501AA9"/>
    <w:rsid w:val="00501AF4"/>
    <w:rsid w:val="00501B45"/>
    <w:rsid w:val="00501BDD"/>
    <w:rsid w:val="00501BE6"/>
    <w:rsid w:val="00501CB9"/>
    <w:rsid w:val="00501DC1"/>
    <w:rsid w:val="00501F63"/>
    <w:rsid w:val="00501FCC"/>
    <w:rsid w:val="00502085"/>
    <w:rsid w:val="0050219F"/>
    <w:rsid w:val="00502285"/>
    <w:rsid w:val="005025E6"/>
    <w:rsid w:val="00502782"/>
    <w:rsid w:val="0050292A"/>
    <w:rsid w:val="00502A62"/>
    <w:rsid w:val="00502B95"/>
    <w:rsid w:val="00502C30"/>
    <w:rsid w:val="00502CC1"/>
    <w:rsid w:val="00502DEA"/>
    <w:rsid w:val="00503090"/>
    <w:rsid w:val="005031D4"/>
    <w:rsid w:val="00503376"/>
    <w:rsid w:val="0050350D"/>
    <w:rsid w:val="005036AD"/>
    <w:rsid w:val="005036DF"/>
    <w:rsid w:val="0050379D"/>
    <w:rsid w:val="0050388F"/>
    <w:rsid w:val="005038B5"/>
    <w:rsid w:val="005039A6"/>
    <w:rsid w:val="00503A22"/>
    <w:rsid w:val="00503A69"/>
    <w:rsid w:val="00503CD1"/>
    <w:rsid w:val="00503D62"/>
    <w:rsid w:val="00504063"/>
    <w:rsid w:val="00504083"/>
    <w:rsid w:val="005040B0"/>
    <w:rsid w:val="00504191"/>
    <w:rsid w:val="00504299"/>
    <w:rsid w:val="005043B8"/>
    <w:rsid w:val="005048D5"/>
    <w:rsid w:val="005048E7"/>
    <w:rsid w:val="0050494B"/>
    <w:rsid w:val="00504970"/>
    <w:rsid w:val="00504A02"/>
    <w:rsid w:val="00504AE2"/>
    <w:rsid w:val="00504C0E"/>
    <w:rsid w:val="00504C35"/>
    <w:rsid w:val="00504C4A"/>
    <w:rsid w:val="00504EC4"/>
    <w:rsid w:val="00505435"/>
    <w:rsid w:val="00505524"/>
    <w:rsid w:val="005055B6"/>
    <w:rsid w:val="005055CB"/>
    <w:rsid w:val="005055F2"/>
    <w:rsid w:val="005057E2"/>
    <w:rsid w:val="00505863"/>
    <w:rsid w:val="00505A20"/>
    <w:rsid w:val="00505A3F"/>
    <w:rsid w:val="00505E0D"/>
    <w:rsid w:val="00505F0A"/>
    <w:rsid w:val="00505FE4"/>
    <w:rsid w:val="005060B4"/>
    <w:rsid w:val="0050614F"/>
    <w:rsid w:val="005063A5"/>
    <w:rsid w:val="0050649C"/>
    <w:rsid w:val="0050652C"/>
    <w:rsid w:val="005069BA"/>
    <w:rsid w:val="00506A4C"/>
    <w:rsid w:val="00506D36"/>
    <w:rsid w:val="00506F54"/>
    <w:rsid w:val="00506F9C"/>
    <w:rsid w:val="0050716C"/>
    <w:rsid w:val="0050731C"/>
    <w:rsid w:val="0050749C"/>
    <w:rsid w:val="005074E7"/>
    <w:rsid w:val="005075D3"/>
    <w:rsid w:val="005075F3"/>
    <w:rsid w:val="00507907"/>
    <w:rsid w:val="00507A1E"/>
    <w:rsid w:val="00507A98"/>
    <w:rsid w:val="00507BDF"/>
    <w:rsid w:val="00507C18"/>
    <w:rsid w:val="00507CCC"/>
    <w:rsid w:val="00507E26"/>
    <w:rsid w:val="00507E29"/>
    <w:rsid w:val="00507FBC"/>
    <w:rsid w:val="005102CE"/>
    <w:rsid w:val="00510345"/>
    <w:rsid w:val="0051058E"/>
    <w:rsid w:val="0051073F"/>
    <w:rsid w:val="005107A2"/>
    <w:rsid w:val="005107DD"/>
    <w:rsid w:val="00510822"/>
    <w:rsid w:val="00510856"/>
    <w:rsid w:val="00510A64"/>
    <w:rsid w:val="00510DAE"/>
    <w:rsid w:val="00510E31"/>
    <w:rsid w:val="00510F8D"/>
    <w:rsid w:val="00511478"/>
    <w:rsid w:val="005115D4"/>
    <w:rsid w:val="00511613"/>
    <w:rsid w:val="0051188A"/>
    <w:rsid w:val="005118E2"/>
    <w:rsid w:val="00511953"/>
    <w:rsid w:val="00511974"/>
    <w:rsid w:val="00511AE7"/>
    <w:rsid w:val="00511CB0"/>
    <w:rsid w:val="00511D3E"/>
    <w:rsid w:val="00511E6A"/>
    <w:rsid w:val="00511E6F"/>
    <w:rsid w:val="00511F56"/>
    <w:rsid w:val="0051206D"/>
    <w:rsid w:val="005122F7"/>
    <w:rsid w:val="0051232C"/>
    <w:rsid w:val="005123C7"/>
    <w:rsid w:val="005123F7"/>
    <w:rsid w:val="00512502"/>
    <w:rsid w:val="0051261C"/>
    <w:rsid w:val="005126F7"/>
    <w:rsid w:val="005127D3"/>
    <w:rsid w:val="005127D6"/>
    <w:rsid w:val="00512818"/>
    <w:rsid w:val="00512AA6"/>
    <w:rsid w:val="00512B1E"/>
    <w:rsid w:val="00512B71"/>
    <w:rsid w:val="00512E24"/>
    <w:rsid w:val="00512F01"/>
    <w:rsid w:val="00513113"/>
    <w:rsid w:val="00513347"/>
    <w:rsid w:val="0051345C"/>
    <w:rsid w:val="005134F1"/>
    <w:rsid w:val="00513560"/>
    <w:rsid w:val="005135F0"/>
    <w:rsid w:val="0051398D"/>
    <w:rsid w:val="00513A08"/>
    <w:rsid w:val="00513A7C"/>
    <w:rsid w:val="00513B64"/>
    <w:rsid w:val="00513BAE"/>
    <w:rsid w:val="00513BC6"/>
    <w:rsid w:val="00513CC4"/>
    <w:rsid w:val="00513D63"/>
    <w:rsid w:val="00513DF8"/>
    <w:rsid w:val="00513F84"/>
    <w:rsid w:val="00514066"/>
    <w:rsid w:val="00514155"/>
    <w:rsid w:val="00514169"/>
    <w:rsid w:val="0051429E"/>
    <w:rsid w:val="005144B6"/>
    <w:rsid w:val="00514514"/>
    <w:rsid w:val="0051454B"/>
    <w:rsid w:val="0051458A"/>
    <w:rsid w:val="0051468D"/>
    <w:rsid w:val="005147DC"/>
    <w:rsid w:val="00514A74"/>
    <w:rsid w:val="00514AD8"/>
    <w:rsid w:val="00514BFA"/>
    <w:rsid w:val="00514C31"/>
    <w:rsid w:val="00514CDA"/>
    <w:rsid w:val="00514DB6"/>
    <w:rsid w:val="00514ED5"/>
    <w:rsid w:val="005151E9"/>
    <w:rsid w:val="005152A8"/>
    <w:rsid w:val="005153F3"/>
    <w:rsid w:val="0051563C"/>
    <w:rsid w:val="00515790"/>
    <w:rsid w:val="005157D8"/>
    <w:rsid w:val="005157DF"/>
    <w:rsid w:val="005158D6"/>
    <w:rsid w:val="00515D6E"/>
    <w:rsid w:val="00515F2A"/>
    <w:rsid w:val="00516226"/>
    <w:rsid w:val="005163A5"/>
    <w:rsid w:val="0051656F"/>
    <w:rsid w:val="0051661E"/>
    <w:rsid w:val="005169AB"/>
    <w:rsid w:val="005169EE"/>
    <w:rsid w:val="00516A87"/>
    <w:rsid w:val="00516AE4"/>
    <w:rsid w:val="00516DA9"/>
    <w:rsid w:val="0051703B"/>
    <w:rsid w:val="00517346"/>
    <w:rsid w:val="005173D4"/>
    <w:rsid w:val="0051755E"/>
    <w:rsid w:val="005176BA"/>
    <w:rsid w:val="0051795A"/>
    <w:rsid w:val="00517989"/>
    <w:rsid w:val="0051799A"/>
    <w:rsid w:val="00517D5F"/>
    <w:rsid w:val="00517D8A"/>
    <w:rsid w:val="00517F16"/>
    <w:rsid w:val="00517FA0"/>
    <w:rsid w:val="005200E3"/>
    <w:rsid w:val="00520112"/>
    <w:rsid w:val="005201A3"/>
    <w:rsid w:val="0052025E"/>
    <w:rsid w:val="00520482"/>
    <w:rsid w:val="00520732"/>
    <w:rsid w:val="0052075F"/>
    <w:rsid w:val="005207FF"/>
    <w:rsid w:val="00520815"/>
    <w:rsid w:val="005209F9"/>
    <w:rsid w:val="00520A5C"/>
    <w:rsid w:val="00520C6F"/>
    <w:rsid w:val="00520D71"/>
    <w:rsid w:val="005211D8"/>
    <w:rsid w:val="00521209"/>
    <w:rsid w:val="0052142A"/>
    <w:rsid w:val="0052150F"/>
    <w:rsid w:val="00521817"/>
    <w:rsid w:val="00521BBD"/>
    <w:rsid w:val="00521BE9"/>
    <w:rsid w:val="00521C29"/>
    <w:rsid w:val="00521C30"/>
    <w:rsid w:val="00521E00"/>
    <w:rsid w:val="00521E73"/>
    <w:rsid w:val="00521F2A"/>
    <w:rsid w:val="0052204B"/>
    <w:rsid w:val="0052208B"/>
    <w:rsid w:val="005221CA"/>
    <w:rsid w:val="005222FF"/>
    <w:rsid w:val="00522393"/>
    <w:rsid w:val="00522431"/>
    <w:rsid w:val="00522529"/>
    <w:rsid w:val="0052257F"/>
    <w:rsid w:val="00522730"/>
    <w:rsid w:val="0052275F"/>
    <w:rsid w:val="00522815"/>
    <w:rsid w:val="0052288B"/>
    <w:rsid w:val="00522953"/>
    <w:rsid w:val="00522A13"/>
    <w:rsid w:val="00522EC1"/>
    <w:rsid w:val="00522FD2"/>
    <w:rsid w:val="00523016"/>
    <w:rsid w:val="005231B4"/>
    <w:rsid w:val="00523460"/>
    <w:rsid w:val="00523727"/>
    <w:rsid w:val="0052376D"/>
    <w:rsid w:val="00523936"/>
    <w:rsid w:val="00523B71"/>
    <w:rsid w:val="00523BB6"/>
    <w:rsid w:val="00523D98"/>
    <w:rsid w:val="00523F22"/>
    <w:rsid w:val="00523FC2"/>
    <w:rsid w:val="005240D3"/>
    <w:rsid w:val="005240F5"/>
    <w:rsid w:val="0052413B"/>
    <w:rsid w:val="00524185"/>
    <w:rsid w:val="005241C5"/>
    <w:rsid w:val="00524206"/>
    <w:rsid w:val="00524458"/>
    <w:rsid w:val="00524511"/>
    <w:rsid w:val="0052499C"/>
    <w:rsid w:val="00524A63"/>
    <w:rsid w:val="00524B0A"/>
    <w:rsid w:val="00524BE4"/>
    <w:rsid w:val="00524E5E"/>
    <w:rsid w:val="00524FB5"/>
    <w:rsid w:val="00524FDB"/>
    <w:rsid w:val="005250DF"/>
    <w:rsid w:val="0052521E"/>
    <w:rsid w:val="005252CC"/>
    <w:rsid w:val="00525346"/>
    <w:rsid w:val="00525425"/>
    <w:rsid w:val="00525590"/>
    <w:rsid w:val="005255E3"/>
    <w:rsid w:val="005256BA"/>
    <w:rsid w:val="005256C8"/>
    <w:rsid w:val="00525C05"/>
    <w:rsid w:val="00525E8C"/>
    <w:rsid w:val="00525EBF"/>
    <w:rsid w:val="00525F26"/>
    <w:rsid w:val="0052606A"/>
    <w:rsid w:val="00526185"/>
    <w:rsid w:val="0052635B"/>
    <w:rsid w:val="00526426"/>
    <w:rsid w:val="005264BC"/>
    <w:rsid w:val="00526576"/>
    <w:rsid w:val="0052657B"/>
    <w:rsid w:val="005265CE"/>
    <w:rsid w:val="005265F7"/>
    <w:rsid w:val="0052668F"/>
    <w:rsid w:val="0052669C"/>
    <w:rsid w:val="005266F3"/>
    <w:rsid w:val="00526742"/>
    <w:rsid w:val="00526780"/>
    <w:rsid w:val="005267D5"/>
    <w:rsid w:val="0052683A"/>
    <w:rsid w:val="00526843"/>
    <w:rsid w:val="00526AA5"/>
    <w:rsid w:val="00526E2C"/>
    <w:rsid w:val="00527006"/>
    <w:rsid w:val="0052708E"/>
    <w:rsid w:val="00527176"/>
    <w:rsid w:val="005271EB"/>
    <w:rsid w:val="00527291"/>
    <w:rsid w:val="005274F2"/>
    <w:rsid w:val="005275A7"/>
    <w:rsid w:val="005276AA"/>
    <w:rsid w:val="00527825"/>
    <w:rsid w:val="0052792C"/>
    <w:rsid w:val="00527B6B"/>
    <w:rsid w:val="00527B71"/>
    <w:rsid w:val="00527C28"/>
    <w:rsid w:val="00527D86"/>
    <w:rsid w:val="0053005E"/>
    <w:rsid w:val="00530182"/>
    <w:rsid w:val="00530193"/>
    <w:rsid w:val="005301D1"/>
    <w:rsid w:val="00530360"/>
    <w:rsid w:val="00530381"/>
    <w:rsid w:val="00530496"/>
    <w:rsid w:val="00530563"/>
    <w:rsid w:val="005305C3"/>
    <w:rsid w:val="005305CB"/>
    <w:rsid w:val="00530696"/>
    <w:rsid w:val="005309AD"/>
    <w:rsid w:val="00530AA4"/>
    <w:rsid w:val="00530AFD"/>
    <w:rsid w:val="00530F76"/>
    <w:rsid w:val="00531218"/>
    <w:rsid w:val="00531834"/>
    <w:rsid w:val="005318AC"/>
    <w:rsid w:val="0053192E"/>
    <w:rsid w:val="005319C5"/>
    <w:rsid w:val="00531A81"/>
    <w:rsid w:val="00531B73"/>
    <w:rsid w:val="00531B96"/>
    <w:rsid w:val="00531BA3"/>
    <w:rsid w:val="00531C78"/>
    <w:rsid w:val="00531CCC"/>
    <w:rsid w:val="00531EC3"/>
    <w:rsid w:val="00531EEF"/>
    <w:rsid w:val="00531F10"/>
    <w:rsid w:val="00531FD5"/>
    <w:rsid w:val="00531FE8"/>
    <w:rsid w:val="00532027"/>
    <w:rsid w:val="00532123"/>
    <w:rsid w:val="005321A4"/>
    <w:rsid w:val="005321C3"/>
    <w:rsid w:val="005327A9"/>
    <w:rsid w:val="00532817"/>
    <w:rsid w:val="0053287D"/>
    <w:rsid w:val="005328D2"/>
    <w:rsid w:val="00532A92"/>
    <w:rsid w:val="00532AC7"/>
    <w:rsid w:val="00532AFA"/>
    <w:rsid w:val="00532BFD"/>
    <w:rsid w:val="00532C31"/>
    <w:rsid w:val="00532DEC"/>
    <w:rsid w:val="00532FB7"/>
    <w:rsid w:val="00533239"/>
    <w:rsid w:val="00533688"/>
    <w:rsid w:val="00533788"/>
    <w:rsid w:val="0053378A"/>
    <w:rsid w:val="005337B3"/>
    <w:rsid w:val="00533A2F"/>
    <w:rsid w:val="00533B1F"/>
    <w:rsid w:val="00533BA6"/>
    <w:rsid w:val="00534075"/>
    <w:rsid w:val="00534148"/>
    <w:rsid w:val="005341A2"/>
    <w:rsid w:val="005343AD"/>
    <w:rsid w:val="0053440B"/>
    <w:rsid w:val="00534707"/>
    <w:rsid w:val="005347E6"/>
    <w:rsid w:val="00534AF3"/>
    <w:rsid w:val="00534BA4"/>
    <w:rsid w:val="00534C7D"/>
    <w:rsid w:val="00534CFF"/>
    <w:rsid w:val="00534D1B"/>
    <w:rsid w:val="00534F69"/>
    <w:rsid w:val="00534F7E"/>
    <w:rsid w:val="00534FAF"/>
    <w:rsid w:val="005350E2"/>
    <w:rsid w:val="00535104"/>
    <w:rsid w:val="0053514A"/>
    <w:rsid w:val="00535237"/>
    <w:rsid w:val="005353F2"/>
    <w:rsid w:val="00535438"/>
    <w:rsid w:val="00535548"/>
    <w:rsid w:val="00535591"/>
    <w:rsid w:val="005355C6"/>
    <w:rsid w:val="00535613"/>
    <w:rsid w:val="00535698"/>
    <w:rsid w:val="005357C7"/>
    <w:rsid w:val="0053599C"/>
    <w:rsid w:val="005359C8"/>
    <w:rsid w:val="00535AB0"/>
    <w:rsid w:val="00535C1F"/>
    <w:rsid w:val="00535FF6"/>
    <w:rsid w:val="005362D9"/>
    <w:rsid w:val="00536351"/>
    <w:rsid w:val="0053637C"/>
    <w:rsid w:val="00536447"/>
    <w:rsid w:val="005364D6"/>
    <w:rsid w:val="00536568"/>
    <w:rsid w:val="0053667A"/>
    <w:rsid w:val="005366D5"/>
    <w:rsid w:val="00536738"/>
    <w:rsid w:val="00536999"/>
    <w:rsid w:val="005369F4"/>
    <w:rsid w:val="00536B0B"/>
    <w:rsid w:val="00536C61"/>
    <w:rsid w:val="00536D26"/>
    <w:rsid w:val="00536EAB"/>
    <w:rsid w:val="00536EC8"/>
    <w:rsid w:val="00536F95"/>
    <w:rsid w:val="00537156"/>
    <w:rsid w:val="00537203"/>
    <w:rsid w:val="0053728F"/>
    <w:rsid w:val="005373C9"/>
    <w:rsid w:val="00537488"/>
    <w:rsid w:val="00537495"/>
    <w:rsid w:val="005375CA"/>
    <w:rsid w:val="00537645"/>
    <w:rsid w:val="0053767C"/>
    <w:rsid w:val="00537712"/>
    <w:rsid w:val="00537756"/>
    <w:rsid w:val="00537767"/>
    <w:rsid w:val="005378D8"/>
    <w:rsid w:val="00537970"/>
    <w:rsid w:val="005379BA"/>
    <w:rsid w:val="005379BD"/>
    <w:rsid w:val="00537A85"/>
    <w:rsid w:val="00537BED"/>
    <w:rsid w:val="00537C01"/>
    <w:rsid w:val="00537D7A"/>
    <w:rsid w:val="00537EDB"/>
    <w:rsid w:val="00537FF8"/>
    <w:rsid w:val="00540023"/>
    <w:rsid w:val="00540068"/>
    <w:rsid w:val="0054016E"/>
    <w:rsid w:val="005402A2"/>
    <w:rsid w:val="0054030B"/>
    <w:rsid w:val="0054047F"/>
    <w:rsid w:val="00540544"/>
    <w:rsid w:val="00540658"/>
    <w:rsid w:val="0054098A"/>
    <w:rsid w:val="0054098B"/>
    <w:rsid w:val="00540A45"/>
    <w:rsid w:val="00540A66"/>
    <w:rsid w:val="00540C44"/>
    <w:rsid w:val="00540E07"/>
    <w:rsid w:val="00540FBA"/>
    <w:rsid w:val="0054104B"/>
    <w:rsid w:val="0054105A"/>
    <w:rsid w:val="005412EE"/>
    <w:rsid w:val="00541573"/>
    <w:rsid w:val="00541593"/>
    <w:rsid w:val="00541697"/>
    <w:rsid w:val="005417B6"/>
    <w:rsid w:val="00541A45"/>
    <w:rsid w:val="00541D66"/>
    <w:rsid w:val="00541D82"/>
    <w:rsid w:val="005421B4"/>
    <w:rsid w:val="00542334"/>
    <w:rsid w:val="005427CA"/>
    <w:rsid w:val="00542A94"/>
    <w:rsid w:val="00542B8B"/>
    <w:rsid w:val="00542E3A"/>
    <w:rsid w:val="00542F0B"/>
    <w:rsid w:val="0054308F"/>
    <w:rsid w:val="00543124"/>
    <w:rsid w:val="005431E7"/>
    <w:rsid w:val="00543272"/>
    <w:rsid w:val="005433CF"/>
    <w:rsid w:val="00543590"/>
    <w:rsid w:val="00543744"/>
    <w:rsid w:val="0054379D"/>
    <w:rsid w:val="005437FB"/>
    <w:rsid w:val="0054388B"/>
    <w:rsid w:val="0054389A"/>
    <w:rsid w:val="00543C09"/>
    <w:rsid w:val="00543C9B"/>
    <w:rsid w:val="00543D40"/>
    <w:rsid w:val="00543ED1"/>
    <w:rsid w:val="00543F62"/>
    <w:rsid w:val="00543F6D"/>
    <w:rsid w:val="00544078"/>
    <w:rsid w:val="00544170"/>
    <w:rsid w:val="005441BB"/>
    <w:rsid w:val="005442DA"/>
    <w:rsid w:val="005442F2"/>
    <w:rsid w:val="0054449B"/>
    <w:rsid w:val="00544675"/>
    <w:rsid w:val="005446DA"/>
    <w:rsid w:val="005446EB"/>
    <w:rsid w:val="005447A7"/>
    <w:rsid w:val="00544B27"/>
    <w:rsid w:val="00544C35"/>
    <w:rsid w:val="00544D01"/>
    <w:rsid w:val="00544EEE"/>
    <w:rsid w:val="00545036"/>
    <w:rsid w:val="005450BE"/>
    <w:rsid w:val="005451B5"/>
    <w:rsid w:val="00545507"/>
    <w:rsid w:val="00545543"/>
    <w:rsid w:val="0054573A"/>
    <w:rsid w:val="0054576A"/>
    <w:rsid w:val="005458FB"/>
    <w:rsid w:val="00545AD0"/>
    <w:rsid w:val="00545B69"/>
    <w:rsid w:val="00545D58"/>
    <w:rsid w:val="0054612E"/>
    <w:rsid w:val="0054626C"/>
    <w:rsid w:val="00546292"/>
    <w:rsid w:val="005462B4"/>
    <w:rsid w:val="00546324"/>
    <w:rsid w:val="00546389"/>
    <w:rsid w:val="005464D3"/>
    <w:rsid w:val="005467B0"/>
    <w:rsid w:val="00546908"/>
    <w:rsid w:val="00546AFC"/>
    <w:rsid w:val="00546E92"/>
    <w:rsid w:val="00546F84"/>
    <w:rsid w:val="00547089"/>
    <w:rsid w:val="0054714C"/>
    <w:rsid w:val="005471F5"/>
    <w:rsid w:val="005473BF"/>
    <w:rsid w:val="005473DC"/>
    <w:rsid w:val="00547494"/>
    <w:rsid w:val="0054762A"/>
    <w:rsid w:val="0054763A"/>
    <w:rsid w:val="00547825"/>
    <w:rsid w:val="00547883"/>
    <w:rsid w:val="00547B40"/>
    <w:rsid w:val="00547B6D"/>
    <w:rsid w:val="00547B83"/>
    <w:rsid w:val="00547C57"/>
    <w:rsid w:val="00547CCA"/>
    <w:rsid w:val="00547CD0"/>
    <w:rsid w:val="00547DAB"/>
    <w:rsid w:val="00547E4A"/>
    <w:rsid w:val="00547E53"/>
    <w:rsid w:val="00547E54"/>
    <w:rsid w:val="00547FF9"/>
    <w:rsid w:val="0054DBF7"/>
    <w:rsid w:val="00550472"/>
    <w:rsid w:val="00550583"/>
    <w:rsid w:val="005505A1"/>
    <w:rsid w:val="00550606"/>
    <w:rsid w:val="00550635"/>
    <w:rsid w:val="00550846"/>
    <w:rsid w:val="005508BE"/>
    <w:rsid w:val="005508E3"/>
    <w:rsid w:val="00550935"/>
    <w:rsid w:val="00550B5C"/>
    <w:rsid w:val="00550BDD"/>
    <w:rsid w:val="00550BE2"/>
    <w:rsid w:val="00550CFC"/>
    <w:rsid w:val="00550DE5"/>
    <w:rsid w:val="00550F9E"/>
    <w:rsid w:val="00550FF0"/>
    <w:rsid w:val="00551059"/>
    <w:rsid w:val="005511A3"/>
    <w:rsid w:val="005511FC"/>
    <w:rsid w:val="00551277"/>
    <w:rsid w:val="005512DA"/>
    <w:rsid w:val="00551379"/>
    <w:rsid w:val="00551427"/>
    <w:rsid w:val="00551C80"/>
    <w:rsid w:val="00551D40"/>
    <w:rsid w:val="00551E75"/>
    <w:rsid w:val="00551EFB"/>
    <w:rsid w:val="00551F3A"/>
    <w:rsid w:val="0055215D"/>
    <w:rsid w:val="005521EE"/>
    <w:rsid w:val="00552281"/>
    <w:rsid w:val="0055229B"/>
    <w:rsid w:val="0055244A"/>
    <w:rsid w:val="0055271E"/>
    <w:rsid w:val="0055272A"/>
    <w:rsid w:val="005528E5"/>
    <w:rsid w:val="0055297C"/>
    <w:rsid w:val="00552BB2"/>
    <w:rsid w:val="00552BB4"/>
    <w:rsid w:val="00552BC5"/>
    <w:rsid w:val="00552C02"/>
    <w:rsid w:val="00552CB0"/>
    <w:rsid w:val="00552E5B"/>
    <w:rsid w:val="00552E64"/>
    <w:rsid w:val="00552ED8"/>
    <w:rsid w:val="00553041"/>
    <w:rsid w:val="0055333D"/>
    <w:rsid w:val="0055334D"/>
    <w:rsid w:val="00553360"/>
    <w:rsid w:val="005537B3"/>
    <w:rsid w:val="00553E14"/>
    <w:rsid w:val="00553F75"/>
    <w:rsid w:val="00553FBB"/>
    <w:rsid w:val="005544CF"/>
    <w:rsid w:val="00554536"/>
    <w:rsid w:val="00554548"/>
    <w:rsid w:val="00554774"/>
    <w:rsid w:val="00554A4D"/>
    <w:rsid w:val="00554B0A"/>
    <w:rsid w:val="00554B1A"/>
    <w:rsid w:val="00554C10"/>
    <w:rsid w:val="00554D0D"/>
    <w:rsid w:val="00554DB9"/>
    <w:rsid w:val="00554F59"/>
    <w:rsid w:val="0055505B"/>
    <w:rsid w:val="005550DD"/>
    <w:rsid w:val="005551B0"/>
    <w:rsid w:val="00555202"/>
    <w:rsid w:val="00555212"/>
    <w:rsid w:val="00555727"/>
    <w:rsid w:val="00555766"/>
    <w:rsid w:val="00555987"/>
    <w:rsid w:val="00555AE8"/>
    <w:rsid w:val="00555B61"/>
    <w:rsid w:val="00555C71"/>
    <w:rsid w:val="00555CBF"/>
    <w:rsid w:val="00555D12"/>
    <w:rsid w:val="00555D3C"/>
    <w:rsid w:val="00555DD5"/>
    <w:rsid w:val="00555EF8"/>
    <w:rsid w:val="00555FF4"/>
    <w:rsid w:val="0055649E"/>
    <w:rsid w:val="00556614"/>
    <w:rsid w:val="00556775"/>
    <w:rsid w:val="00556870"/>
    <w:rsid w:val="00556897"/>
    <w:rsid w:val="005568C8"/>
    <w:rsid w:val="00556A56"/>
    <w:rsid w:val="00556AA5"/>
    <w:rsid w:val="00556B65"/>
    <w:rsid w:val="00556B73"/>
    <w:rsid w:val="00556C94"/>
    <w:rsid w:val="00556EF1"/>
    <w:rsid w:val="0055712D"/>
    <w:rsid w:val="0055712E"/>
    <w:rsid w:val="0055724A"/>
    <w:rsid w:val="005572B2"/>
    <w:rsid w:val="00557479"/>
    <w:rsid w:val="00557567"/>
    <w:rsid w:val="00557685"/>
    <w:rsid w:val="005576FC"/>
    <w:rsid w:val="0055774E"/>
    <w:rsid w:val="00557780"/>
    <w:rsid w:val="00557923"/>
    <w:rsid w:val="0055793A"/>
    <w:rsid w:val="00557A62"/>
    <w:rsid w:val="00557BDB"/>
    <w:rsid w:val="00557CB9"/>
    <w:rsid w:val="00557CD2"/>
    <w:rsid w:val="00557CF5"/>
    <w:rsid w:val="00557FF7"/>
    <w:rsid w:val="00560003"/>
    <w:rsid w:val="00560032"/>
    <w:rsid w:val="0056028C"/>
    <w:rsid w:val="00560350"/>
    <w:rsid w:val="005604EC"/>
    <w:rsid w:val="0056059C"/>
    <w:rsid w:val="0056059E"/>
    <w:rsid w:val="0056075D"/>
    <w:rsid w:val="0056077D"/>
    <w:rsid w:val="00560873"/>
    <w:rsid w:val="00560AAE"/>
    <w:rsid w:val="00560AD2"/>
    <w:rsid w:val="00560B6B"/>
    <w:rsid w:val="00560C7C"/>
    <w:rsid w:val="00560C99"/>
    <w:rsid w:val="00560CEC"/>
    <w:rsid w:val="00560D37"/>
    <w:rsid w:val="00560D9A"/>
    <w:rsid w:val="00560DB9"/>
    <w:rsid w:val="00560E2D"/>
    <w:rsid w:val="005611B2"/>
    <w:rsid w:val="00561261"/>
    <w:rsid w:val="0056128B"/>
    <w:rsid w:val="00561506"/>
    <w:rsid w:val="00561726"/>
    <w:rsid w:val="00561B07"/>
    <w:rsid w:val="00561B9A"/>
    <w:rsid w:val="00561D23"/>
    <w:rsid w:val="00561EF3"/>
    <w:rsid w:val="00561FDC"/>
    <w:rsid w:val="00562136"/>
    <w:rsid w:val="00562156"/>
    <w:rsid w:val="005621EF"/>
    <w:rsid w:val="0056231D"/>
    <w:rsid w:val="005624CF"/>
    <w:rsid w:val="00562700"/>
    <w:rsid w:val="00562726"/>
    <w:rsid w:val="00562867"/>
    <w:rsid w:val="00562A41"/>
    <w:rsid w:val="00562B0A"/>
    <w:rsid w:val="00562B3D"/>
    <w:rsid w:val="00562BED"/>
    <w:rsid w:val="00562C72"/>
    <w:rsid w:val="00562CAD"/>
    <w:rsid w:val="0056304A"/>
    <w:rsid w:val="005632B8"/>
    <w:rsid w:val="00563798"/>
    <w:rsid w:val="00563A72"/>
    <w:rsid w:val="00563CA2"/>
    <w:rsid w:val="00563CA8"/>
    <w:rsid w:val="00563CDD"/>
    <w:rsid w:val="00563E53"/>
    <w:rsid w:val="00563FDB"/>
    <w:rsid w:val="005640D5"/>
    <w:rsid w:val="005643FA"/>
    <w:rsid w:val="00564409"/>
    <w:rsid w:val="0056440C"/>
    <w:rsid w:val="005648FC"/>
    <w:rsid w:val="0056492A"/>
    <w:rsid w:val="00564B0E"/>
    <w:rsid w:val="00564D11"/>
    <w:rsid w:val="00564D7E"/>
    <w:rsid w:val="00564ECD"/>
    <w:rsid w:val="00564EFB"/>
    <w:rsid w:val="00564F07"/>
    <w:rsid w:val="00565098"/>
    <w:rsid w:val="00565138"/>
    <w:rsid w:val="0056538C"/>
    <w:rsid w:val="005654C5"/>
    <w:rsid w:val="00565502"/>
    <w:rsid w:val="005655B9"/>
    <w:rsid w:val="005657C1"/>
    <w:rsid w:val="00565A2C"/>
    <w:rsid w:val="00565BDC"/>
    <w:rsid w:val="00565E8B"/>
    <w:rsid w:val="00565FEF"/>
    <w:rsid w:val="0056614F"/>
    <w:rsid w:val="0056618A"/>
    <w:rsid w:val="005661D0"/>
    <w:rsid w:val="0056632A"/>
    <w:rsid w:val="005663AB"/>
    <w:rsid w:val="005663BA"/>
    <w:rsid w:val="00566406"/>
    <w:rsid w:val="0056643A"/>
    <w:rsid w:val="005664BC"/>
    <w:rsid w:val="005664E8"/>
    <w:rsid w:val="00566764"/>
    <w:rsid w:val="00566789"/>
    <w:rsid w:val="005668BA"/>
    <w:rsid w:val="005669D6"/>
    <w:rsid w:val="00566A01"/>
    <w:rsid w:val="00566A39"/>
    <w:rsid w:val="00566A99"/>
    <w:rsid w:val="00566ABF"/>
    <w:rsid w:val="00566AD3"/>
    <w:rsid w:val="00566B4D"/>
    <w:rsid w:val="00566D20"/>
    <w:rsid w:val="00566D71"/>
    <w:rsid w:val="005670B9"/>
    <w:rsid w:val="005670E7"/>
    <w:rsid w:val="0056711A"/>
    <w:rsid w:val="005671AF"/>
    <w:rsid w:val="005671C9"/>
    <w:rsid w:val="0056726E"/>
    <w:rsid w:val="0056730C"/>
    <w:rsid w:val="005673A5"/>
    <w:rsid w:val="005673FA"/>
    <w:rsid w:val="0056741D"/>
    <w:rsid w:val="005674D8"/>
    <w:rsid w:val="00567850"/>
    <w:rsid w:val="0056785C"/>
    <w:rsid w:val="00567985"/>
    <w:rsid w:val="00567AC4"/>
    <w:rsid w:val="00567C06"/>
    <w:rsid w:val="00567CC4"/>
    <w:rsid w:val="00567D69"/>
    <w:rsid w:val="00567DE0"/>
    <w:rsid w:val="00567E36"/>
    <w:rsid w:val="00567F7B"/>
    <w:rsid w:val="005701E8"/>
    <w:rsid w:val="0057021A"/>
    <w:rsid w:val="0057027E"/>
    <w:rsid w:val="00570386"/>
    <w:rsid w:val="005704AA"/>
    <w:rsid w:val="005704BB"/>
    <w:rsid w:val="0057060E"/>
    <w:rsid w:val="005706D7"/>
    <w:rsid w:val="00570736"/>
    <w:rsid w:val="00570759"/>
    <w:rsid w:val="00570789"/>
    <w:rsid w:val="00570794"/>
    <w:rsid w:val="00570861"/>
    <w:rsid w:val="00570BB4"/>
    <w:rsid w:val="00570BB6"/>
    <w:rsid w:val="00570C11"/>
    <w:rsid w:val="00570C3F"/>
    <w:rsid w:val="00570C4C"/>
    <w:rsid w:val="00570CE8"/>
    <w:rsid w:val="00570D8C"/>
    <w:rsid w:val="00570DB5"/>
    <w:rsid w:val="00571006"/>
    <w:rsid w:val="005710E0"/>
    <w:rsid w:val="00571101"/>
    <w:rsid w:val="00571169"/>
    <w:rsid w:val="0057123B"/>
    <w:rsid w:val="0057126F"/>
    <w:rsid w:val="00571324"/>
    <w:rsid w:val="00571546"/>
    <w:rsid w:val="005716F6"/>
    <w:rsid w:val="005716F7"/>
    <w:rsid w:val="00571759"/>
    <w:rsid w:val="00571765"/>
    <w:rsid w:val="005717EC"/>
    <w:rsid w:val="00571817"/>
    <w:rsid w:val="00571825"/>
    <w:rsid w:val="005718B2"/>
    <w:rsid w:val="00571A1B"/>
    <w:rsid w:val="00571AC5"/>
    <w:rsid w:val="00571BAC"/>
    <w:rsid w:val="00571C64"/>
    <w:rsid w:val="00571D14"/>
    <w:rsid w:val="00571D6F"/>
    <w:rsid w:val="00572043"/>
    <w:rsid w:val="00572072"/>
    <w:rsid w:val="0057208C"/>
    <w:rsid w:val="00572184"/>
    <w:rsid w:val="00572197"/>
    <w:rsid w:val="0057226B"/>
    <w:rsid w:val="00572402"/>
    <w:rsid w:val="005724E3"/>
    <w:rsid w:val="005725F4"/>
    <w:rsid w:val="0057278C"/>
    <w:rsid w:val="005727A4"/>
    <w:rsid w:val="005728CA"/>
    <w:rsid w:val="005728F3"/>
    <w:rsid w:val="005729B6"/>
    <w:rsid w:val="00572AE0"/>
    <w:rsid w:val="00572B26"/>
    <w:rsid w:val="00572CC0"/>
    <w:rsid w:val="00572D85"/>
    <w:rsid w:val="00572DFB"/>
    <w:rsid w:val="0057308E"/>
    <w:rsid w:val="005730D3"/>
    <w:rsid w:val="0057344D"/>
    <w:rsid w:val="0057347B"/>
    <w:rsid w:val="005734A8"/>
    <w:rsid w:val="005734AB"/>
    <w:rsid w:val="00573801"/>
    <w:rsid w:val="00573851"/>
    <w:rsid w:val="00573A70"/>
    <w:rsid w:val="00573AE5"/>
    <w:rsid w:val="00573C55"/>
    <w:rsid w:val="00573D2D"/>
    <w:rsid w:val="00573D63"/>
    <w:rsid w:val="00573E4B"/>
    <w:rsid w:val="005740FA"/>
    <w:rsid w:val="0057413B"/>
    <w:rsid w:val="005742C6"/>
    <w:rsid w:val="00574384"/>
    <w:rsid w:val="005743DD"/>
    <w:rsid w:val="00574487"/>
    <w:rsid w:val="0057453C"/>
    <w:rsid w:val="005745B0"/>
    <w:rsid w:val="0057487A"/>
    <w:rsid w:val="00574AB3"/>
    <w:rsid w:val="00574B14"/>
    <w:rsid w:val="00574C40"/>
    <w:rsid w:val="00574D29"/>
    <w:rsid w:val="00574D5D"/>
    <w:rsid w:val="00574F18"/>
    <w:rsid w:val="00574FB1"/>
    <w:rsid w:val="0057501B"/>
    <w:rsid w:val="00575273"/>
    <w:rsid w:val="0057528B"/>
    <w:rsid w:val="005752E6"/>
    <w:rsid w:val="0057541F"/>
    <w:rsid w:val="0057582E"/>
    <w:rsid w:val="00575847"/>
    <w:rsid w:val="0057584A"/>
    <w:rsid w:val="005758E6"/>
    <w:rsid w:val="00575923"/>
    <w:rsid w:val="00575A2D"/>
    <w:rsid w:val="00575A5B"/>
    <w:rsid w:val="00575AC2"/>
    <w:rsid w:val="00575C20"/>
    <w:rsid w:val="00575C84"/>
    <w:rsid w:val="00575E51"/>
    <w:rsid w:val="00575FBF"/>
    <w:rsid w:val="00575FE7"/>
    <w:rsid w:val="005760BC"/>
    <w:rsid w:val="0057629C"/>
    <w:rsid w:val="005762E6"/>
    <w:rsid w:val="00576369"/>
    <w:rsid w:val="00576415"/>
    <w:rsid w:val="00576442"/>
    <w:rsid w:val="00576447"/>
    <w:rsid w:val="005764AC"/>
    <w:rsid w:val="0057682D"/>
    <w:rsid w:val="0057689F"/>
    <w:rsid w:val="00576975"/>
    <w:rsid w:val="005769D2"/>
    <w:rsid w:val="00576A78"/>
    <w:rsid w:val="00576CA3"/>
    <w:rsid w:val="00576CC1"/>
    <w:rsid w:val="00577009"/>
    <w:rsid w:val="005774E7"/>
    <w:rsid w:val="005774F7"/>
    <w:rsid w:val="005774FC"/>
    <w:rsid w:val="00577577"/>
    <w:rsid w:val="00577583"/>
    <w:rsid w:val="00577839"/>
    <w:rsid w:val="00577925"/>
    <w:rsid w:val="0057798D"/>
    <w:rsid w:val="00577A95"/>
    <w:rsid w:val="00577BC6"/>
    <w:rsid w:val="005800FC"/>
    <w:rsid w:val="00580104"/>
    <w:rsid w:val="005803B0"/>
    <w:rsid w:val="00580518"/>
    <w:rsid w:val="00580875"/>
    <w:rsid w:val="005808AA"/>
    <w:rsid w:val="00580A2B"/>
    <w:rsid w:val="00580AA5"/>
    <w:rsid w:val="00580B83"/>
    <w:rsid w:val="00580C63"/>
    <w:rsid w:val="00580D2C"/>
    <w:rsid w:val="00580ED3"/>
    <w:rsid w:val="00580FB2"/>
    <w:rsid w:val="005811DB"/>
    <w:rsid w:val="005812F9"/>
    <w:rsid w:val="00581365"/>
    <w:rsid w:val="0058141B"/>
    <w:rsid w:val="0058142B"/>
    <w:rsid w:val="005814F5"/>
    <w:rsid w:val="0058153A"/>
    <w:rsid w:val="0058159F"/>
    <w:rsid w:val="005816A8"/>
    <w:rsid w:val="00581A9F"/>
    <w:rsid w:val="0058200B"/>
    <w:rsid w:val="005820A3"/>
    <w:rsid w:val="005821B9"/>
    <w:rsid w:val="00582444"/>
    <w:rsid w:val="005826C9"/>
    <w:rsid w:val="005828F0"/>
    <w:rsid w:val="00582932"/>
    <w:rsid w:val="0058297A"/>
    <w:rsid w:val="00582A30"/>
    <w:rsid w:val="00582A41"/>
    <w:rsid w:val="00582A9E"/>
    <w:rsid w:val="00582AB3"/>
    <w:rsid w:val="00582ACA"/>
    <w:rsid w:val="00582BE0"/>
    <w:rsid w:val="00582C38"/>
    <w:rsid w:val="00582CA7"/>
    <w:rsid w:val="00582CCE"/>
    <w:rsid w:val="00582DEE"/>
    <w:rsid w:val="00582E0C"/>
    <w:rsid w:val="00582ED1"/>
    <w:rsid w:val="00582F49"/>
    <w:rsid w:val="00582F59"/>
    <w:rsid w:val="00582F6C"/>
    <w:rsid w:val="0058315A"/>
    <w:rsid w:val="00583395"/>
    <w:rsid w:val="00583439"/>
    <w:rsid w:val="00583692"/>
    <w:rsid w:val="00583783"/>
    <w:rsid w:val="00583884"/>
    <w:rsid w:val="00583929"/>
    <w:rsid w:val="00583AD8"/>
    <w:rsid w:val="00583B51"/>
    <w:rsid w:val="00583D95"/>
    <w:rsid w:val="00583E11"/>
    <w:rsid w:val="00583EA8"/>
    <w:rsid w:val="00583F25"/>
    <w:rsid w:val="00583F9F"/>
    <w:rsid w:val="00584058"/>
    <w:rsid w:val="00584181"/>
    <w:rsid w:val="0058419E"/>
    <w:rsid w:val="00584515"/>
    <w:rsid w:val="005845B3"/>
    <w:rsid w:val="005849D7"/>
    <w:rsid w:val="00584BC5"/>
    <w:rsid w:val="00584C54"/>
    <w:rsid w:val="00584EFC"/>
    <w:rsid w:val="0058501A"/>
    <w:rsid w:val="00585095"/>
    <w:rsid w:val="005853C8"/>
    <w:rsid w:val="005854DF"/>
    <w:rsid w:val="00585581"/>
    <w:rsid w:val="005855B2"/>
    <w:rsid w:val="005857EA"/>
    <w:rsid w:val="00585D0B"/>
    <w:rsid w:val="00585E9C"/>
    <w:rsid w:val="00585F57"/>
    <w:rsid w:val="00585FE0"/>
    <w:rsid w:val="00586040"/>
    <w:rsid w:val="00586174"/>
    <w:rsid w:val="00586270"/>
    <w:rsid w:val="0058636B"/>
    <w:rsid w:val="005863F9"/>
    <w:rsid w:val="005864C3"/>
    <w:rsid w:val="0058655C"/>
    <w:rsid w:val="00586584"/>
    <w:rsid w:val="0058679A"/>
    <w:rsid w:val="00586819"/>
    <w:rsid w:val="00586B6D"/>
    <w:rsid w:val="00586B9A"/>
    <w:rsid w:val="00586BD1"/>
    <w:rsid w:val="00586BE1"/>
    <w:rsid w:val="00586BF6"/>
    <w:rsid w:val="00586C35"/>
    <w:rsid w:val="00586CC1"/>
    <w:rsid w:val="00586D62"/>
    <w:rsid w:val="00586F5C"/>
    <w:rsid w:val="005871F4"/>
    <w:rsid w:val="0058725A"/>
    <w:rsid w:val="0058725C"/>
    <w:rsid w:val="00587416"/>
    <w:rsid w:val="005874B6"/>
    <w:rsid w:val="00587588"/>
    <w:rsid w:val="005877D9"/>
    <w:rsid w:val="005878E5"/>
    <w:rsid w:val="005878F2"/>
    <w:rsid w:val="005879B9"/>
    <w:rsid w:val="00587AE0"/>
    <w:rsid w:val="00587B18"/>
    <w:rsid w:val="00587B32"/>
    <w:rsid w:val="00587C51"/>
    <w:rsid w:val="00587C75"/>
    <w:rsid w:val="00587F8C"/>
    <w:rsid w:val="00590061"/>
    <w:rsid w:val="005901AA"/>
    <w:rsid w:val="005901BE"/>
    <w:rsid w:val="00590238"/>
    <w:rsid w:val="005904B3"/>
    <w:rsid w:val="00590569"/>
    <w:rsid w:val="00590650"/>
    <w:rsid w:val="005906C7"/>
    <w:rsid w:val="0059071B"/>
    <w:rsid w:val="005907C5"/>
    <w:rsid w:val="00590889"/>
    <w:rsid w:val="0059098C"/>
    <w:rsid w:val="00590A92"/>
    <w:rsid w:val="00590AEB"/>
    <w:rsid w:val="00590B8D"/>
    <w:rsid w:val="00590BF7"/>
    <w:rsid w:val="00590CE5"/>
    <w:rsid w:val="00590DC5"/>
    <w:rsid w:val="00590E8A"/>
    <w:rsid w:val="00590EC8"/>
    <w:rsid w:val="00590EEE"/>
    <w:rsid w:val="00590F4B"/>
    <w:rsid w:val="00591124"/>
    <w:rsid w:val="0059166B"/>
    <w:rsid w:val="005916D9"/>
    <w:rsid w:val="005917D5"/>
    <w:rsid w:val="005918EC"/>
    <w:rsid w:val="00591B32"/>
    <w:rsid w:val="00591C4E"/>
    <w:rsid w:val="005920A7"/>
    <w:rsid w:val="005920C3"/>
    <w:rsid w:val="00592108"/>
    <w:rsid w:val="005922DB"/>
    <w:rsid w:val="00592651"/>
    <w:rsid w:val="00592936"/>
    <w:rsid w:val="00592959"/>
    <w:rsid w:val="00592B7C"/>
    <w:rsid w:val="00592C38"/>
    <w:rsid w:val="00592D44"/>
    <w:rsid w:val="00592EB5"/>
    <w:rsid w:val="0059300E"/>
    <w:rsid w:val="00593215"/>
    <w:rsid w:val="005934D8"/>
    <w:rsid w:val="005937D7"/>
    <w:rsid w:val="00593912"/>
    <w:rsid w:val="00593ACB"/>
    <w:rsid w:val="00593C97"/>
    <w:rsid w:val="00593D31"/>
    <w:rsid w:val="00593E2C"/>
    <w:rsid w:val="00593EBD"/>
    <w:rsid w:val="00593F34"/>
    <w:rsid w:val="00594091"/>
    <w:rsid w:val="00594237"/>
    <w:rsid w:val="00594400"/>
    <w:rsid w:val="0059448E"/>
    <w:rsid w:val="005944B0"/>
    <w:rsid w:val="0059450C"/>
    <w:rsid w:val="005945BE"/>
    <w:rsid w:val="0059469B"/>
    <w:rsid w:val="005947A7"/>
    <w:rsid w:val="005947F9"/>
    <w:rsid w:val="00594A2D"/>
    <w:rsid w:val="00594A3C"/>
    <w:rsid w:val="00594A46"/>
    <w:rsid w:val="00594B97"/>
    <w:rsid w:val="00594C16"/>
    <w:rsid w:val="00594C5B"/>
    <w:rsid w:val="00594E4E"/>
    <w:rsid w:val="0059520F"/>
    <w:rsid w:val="00595247"/>
    <w:rsid w:val="005953A2"/>
    <w:rsid w:val="00595835"/>
    <w:rsid w:val="00595903"/>
    <w:rsid w:val="00595A01"/>
    <w:rsid w:val="00595AC1"/>
    <w:rsid w:val="00595AC4"/>
    <w:rsid w:val="00595AF9"/>
    <w:rsid w:val="00595BC2"/>
    <w:rsid w:val="00595F68"/>
    <w:rsid w:val="0059618B"/>
    <w:rsid w:val="0059638C"/>
    <w:rsid w:val="005963FB"/>
    <w:rsid w:val="005969A6"/>
    <w:rsid w:val="00596B19"/>
    <w:rsid w:val="00596C39"/>
    <w:rsid w:val="00596EAF"/>
    <w:rsid w:val="005971B2"/>
    <w:rsid w:val="00597342"/>
    <w:rsid w:val="0059756A"/>
    <w:rsid w:val="005975F4"/>
    <w:rsid w:val="00597819"/>
    <w:rsid w:val="00597885"/>
    <w:rsid w:val="0059797F"/>
    <w:rsid w:val="00597A7C"/>
    <w:rsid w:val="00597AF2"/>
    <w:rsid w:val="00597AF3"/>
    <w:rsid w:val="00597C5D"/>
    <w:rsid w:val="00597CAE"/>
    <w:rsid w:val="00597F15"/>
    <w:rsid w:val="005A00D1"/>
    <w:rsid w:val="005A015B"/>
    <w:rsid w:val="005A0330"/>
    <w:rsid w:val="005A0368"/>
    <w:rsid w:val="005A05B9"/>
    <w:rsid w:val="005A0624"/>
    <w:rsid w:val="005A06A8"/>
    <w:rsid w:val="005A07A4"/>
    <w:rsid w:val="005A07B0"/>
    <w:rsid w:val="005A083C"/>
    <w:rsid w:val="005A08C3"/>
    <w:rsid w:val="005A09BA"/>
    <w:rsid w:val="005A0A65"/>
    <w:rsid w:val="005A0ABC"/>
    <w:rsid w:val="005A0B75"/>
    <w:rsid w:val="005A0BBE"/>
    <w:rsid w:val="005A0C84"/>
    <w:rsid w:val="005A1014"/>
    <w:rsid w:val="005A10D8"/>
    <w:rsid w:val="005A1183"/>
    <w:rsid w:val="005A11E5"/>
    <w:rsid w:val="005A120B"/>
    <w:rsid w:val="005A1290"/>
    <w:rsid w:val="005A15FE"/>
    <w:rsid w:val="005A17A2"/>
    <w:rsid w:val="005A17A8"/>
    <w:rsid w:val="005A17ED"/>
    <w:rsid w:val="005A1ACB"/>
    <w:rsid w:val="005A1B6A"/>
    <w:rsid w:val="005A1BEF"/>
    <w:rsid w:val="005A1CE3"/>
    <w:rsid w:val="005A1EE3"/>
    <w:rsid w:val="005A202F"/>
    <w:rsid w:val="005A2179"/>
    <w:rsid w:val="005A233E"/>
    <w:rsid w:val="005A2421"/>
    <w:rsid w:val="005A2657"/>
    <w:rsid w:val="005A26EF"/>
    <w:rsid w:val="005A272C"/>
    <w:rsid w:val="005A2B2A"/>
    <w:rsid w:val="005A2CE4"/>
    <w:rsid w:val="005A2D1E"/>
    <w:rsid w:val="005A2DD2"/>
    <w:rsid w:val="005A2EEC"/>
    <w:rsid w:val="005A30F3"/>
    <w:rsid w:val="005A33B4"/>
    <w:rsid w:val="005A3546"/>
    <w:rsid w:val="005A354E"/>
    <w:rsid w:val="005A3580"/>
    <w:rsid w:val="005A35C0"/>
    <w:rsid w:val="005A3662"/>
    <w:rsid w:val="005A3971"/>
    <w:rsid w:val="005A3A6C"/>
    <w:rsid w:val="005A3BA1"/>
    <w:rsid w:val="005A3BB9"/>
    <w:rsid w:val="005A3CC5"/>
    <w:rsid w:val="005A3E9B"/>
    <w:rsid w:val="005A3FFA"/>
    <w:rsid w:val="005A4402"/>
    <w:rsid w:val="005A442D"/>
    <w:rsid w:val="005A447D"/>
    <w:rsid w:val="005A47FA"/>
    <w:rsid w:val="005A4854"/>
    <w:rsid w:val="005A489A"/>
    <w:rsid w:val="005A4920"/>
    <w:rsid w:val="005A495C"/>
    <w:rsid w:val="005A4992"/>
    <w:rsid w:val="005A4D1F"/>
    <w:rsid w:val="005A4D44"/>
    <w:rsid w:val="005A4E6A"/>
    <w:rsid w:val="005A4F29"/>
    <w:rsid w:val="005A50A0"/>
    <w:rsid w:val="005A537F"/>
    <w:rsid w:val="005A5381"/>
    <w:rsid w:val="005A53B9"/>
    <w:rsid w:val="005A542B"/>
    <w:rsid w:val="005A54C8"/>
    <w:rsid w:val="005A54CE"/>
    <w:rsid w:val="005A555A"/>
    <w:rsid w:val="005A557B"/>
    <w:rsid w:val="005A58D3"/>
    <w:rsid w:val="005A5A43"/>
    <w:rsid w:val="005A5BB1"/>
    <w:rsid w:val="005A5D8E"/>
    <w:rsid w:val="005A5D98"/>
    <w:rsid w:val="005A62F2"/>
    <w:rsid w:val="005A6319"/>
    <w:rsid w:val="005A675A"/>
    <w:rsid w:val="005A675F"/>
    <w:rsid w:val="005A6790"/>
    <w:rsid w:val="005A6893"/>
    <w:rsid w:val="005A6A03"/>
    <w:rsid w:val="005A6C99"/>
    <w:rsid w:val="005A6CF7"/>
    <w:rsid w:val="005A707B"/>
    <w:rsid w:val="005A70C4"/>
    <w:rsid w:val="005A731D"/>
    <w:rsid w:val="005A7526"/>
    <w:rsid w:val="005A7587"/>
    <w:rsid w:val="005A76B9"/>
    <w:rsid w:val="005A7765"/>
    <w:rsid w:val="005A7979"/>
    <w:rsid w:val="005A7A1F"/>
    <w:rsid w:val="005A7AEC"/>
    <w:rsid w:val="005A7B37"/>
    <w:rsid w:val="005A7B90"/>
    <w:rsid w:val="005A7BBF"/>
    <w:rsid w:val="005A7F71"/>
    <w:rsid w:val="005A7F82"/>
    <w:rsid w:val="005A7FD1"/>
    <w:rsid w:val="005B014C"/>
    <w:rsid w:val="005B0254"/>
    <w:rsid w:val="005B0299"/>
    <w:rsid w:val="005B02EA"/>
    <w:rsid w:val="005B079D"/>
    <w:rsid w:val="005B09F8"/>
    <w:rsid w:val="005B0AC4"/>
    <w:rsid w:val="005B0C27"/>
    <w:rsid w:val="005B0CEF"/>
    <w:rsid w:val="005B0D01"/>
    <w:rsid w:val="005B0D1C"/>
    <w:rsid w:val="005B0E4F"/>
    <w:rsid w:val="005B1046"/>
    <w:rsid w:val="005B10C9"/>
    <w:rsid w:val="005B110F"/>
    <w:rsid w:val="005B11E9"/>
    <w:rsid w:val="005B129B"/>
    <w:rsid w:val="005B136E"/>
    <w:rsid w:val="005B1438"/>
    <w:rsid w:val="005B1510"/>
    <w:rsid w:val="005B1549"/>
    <w:rsid w:val="005B1590"/>
    <w:rsid w:val="005B15D4"/>
    <w:rsid w:val="005B1683"/>
    <w:rsid w:val="005B186A"/>
    <w:rsid w:val="005B1AA7"/>
    <w:rsid w:val="005B1AC6"/>
    <w:rsid w:val="005B1B20"/>
    <w:rsid w:val="005B1B54"/>
    <w:rsid w:val="005B1D38"/>
    <w:rsid w:val="005B1D6B"/>
    <w:rsid w:val="005B1E82"/>
    <w:rsid w:val="005B1EA6"/>
    <w:rsid w:val="005B1EDC"/>
    <w:rsid w:val="005B1F48"/>
    <w:rsid w:val="005B1FFD"/>
    <w:rsid w:val="005B221E"/>
    <w:rsid w:val="005B224B"/>
    <w:rsid w:val="005B2350"/>
    <w:rsid w:val="005B24A2"/>
    <w:rsid w:val="005B24D7"/>
    <w:rsid w:val="005B2505"/>
    <w:rsid w:val="005B25A7"/>
    <w:rsid w:val="005B25F5"/>
    <w:rsid w:val="005B268C"/>
    <w:rsid w:val="005B26E2"/>
    <w:rsid w:val="005B27E9"/>
    <w:rsid w:val="005B29D9"/>
    <w:rsid w:val="005B2A5D"/>
    <w:rsid w:val="005B2AB7"/>
    <w:rsid w:val="005B2BAC"/>
    <w:rsid w:val="005B2C3D"/>
    <w:rsid w:val="005B303D"/>
    <w:rsid w:val="005B3249"/>
    <w:rsid w:val="005B3307"/>
    <w:rsid w:val="005B33E3"/>
    <w:rsid w:val="005B3577"/>
    <w:rsid w:val="005B3598"/>
    <w:rsid w:val="005B37BA"/>
    <w:rsid w:val="005B384E"/>
    <w:rsid w:val="005B384F"/>
    <w:rsid w:val="005B38B2"/>
    <w:rsid w:val="005B399C"/>
    <w:rsid w:val="005B3AC8"/>
    <w:rsid w:val="005B3AEC"/>
    <w:rsid w:val="005B3B96"/>
    <w:rsid w:val="005B3D11"/>
    <w:rsid w:val="005B3D2D"/>
    <w:rsid w:val="005B3D55"/>
    <w:rsid w:val="005B3DDF"/>
    <w:rsid w:val="005B3E69"/>
    <w:rsid w:val="005B3F00"/>
    <w:rsid w:val="005B3FAA"/>
    <w:rsid w:val="005B3FB7"/>
    <w:rsid w:val="005B409A"/>
    <w:rsid w:val="005B4184"/>
    <w:rsid w:val="005B4472"/>
    <w:rsid w:val="005B45A1"/>
    <w:rsid w:val="005B45C4"/>
    <w:rsid w:val="005B45F8"/>
    <w:rsid w:val="005B47BC"/>
    <w:rsid w:val="005B4C5B"/>
    <w:rsid w:val="005B4FE0"/>
    <w:rsid w:val="005B504A"/>
    <w:rsid w:val="005B52BA"/>
    <w:rsid w:val="005B52F8"/>
    <w:rsid w:val="005B5387"/>
    <w:rsid w:val="005B543E"/>
    <w:rsid w:val="005B549E"/>
    <w:rsid w:val="005B5610"/>
    <w:rsid w:val="005B5668"/>
    <w:rsid w:val="005B577C"/>
    <w:rsid w:val="005B57DA"/>
    <w:rsid w:val="005B5882"/>
    <w:rsid w:val="005B5938"/>
    <w:rsid w:val="005B5B77"/>
    <w:rsid w:val="005B5BC8"/>
    <w:rsid w:val="005B5C98"/>
    <w:rsid w:val="005B5CC8"/>
    <w:rsid w:val="005B5D7E"/>
    <w:rsid w:val="005B5DCB"/>
    <w:rsid w:val="005B5E14"/>
    <w:rsid w:val="005B5E5A"/>
    <w:rsid w:val="005B5EDF"/>
    <w:rsid w:val="005B5FBD"/>
    <w:rsid w:val="005B6173"/>
    <w:rsid w:val="005B620F"/>
    <w:rsid w:val="005B6487"/>
    <w:rsid w:val="005B6560"/>
    <w:rsid w:val="005B65D4"/>
    <w:rsid w:val="005B6887"/>
    <w:rsid w:val="005B6A53"/>
    <w:rsid w:val="005B6A7D"/>
    <w:rsid w:val="005B6AAD"/>
    <w:rsid w:val="005B6B61"/>
    <w:rsid w:val="005B6D77"/>
    <w:rsid w:val="005B6DEF"/>
    <w:rsid w:val="005B6E4E"/>
    <w:rsid w:val="005B6E56"/>
    <w:rsid w:val="005B6ECE"/>
    <w:rsid w:val="005B6F0E"/>
    <w:rsid w:val="005B6F92"/>
    <w:rsid w:val="005B6FA2"/>
    <w:rsid w:val="005B713B"/>
    <w:rsid w:val="005B7143"/>
    <w:rsid w:val="005B727B"/>
    <w:rsid w:val="005B7519"/>
    <w:rsid w:val="005B751D"/>
    <w:rsid w:val="005B7648"/>
    <w:rsid w:val="005B772E"/>
    <w:rsid w:val="005B796C"/>
    <w:rsid w:val="005B7C04"/>
    <w:rsid w:val="005B7CA4"/>
    <w:rsid w:val="005B7CF9"/>
    <w:rsid w:val="005B7DD0"/>
    <w:rsid w:val="005B7E3E"/>
    <w:rsid w:val="005B7E54"/>
    <w:rsid w:val="005B7ECA"/>
    <w:rsid w:val="005B7F1E"/>
    <w:rsid w:val="005B7F27"/>
    <w:rsid w:val="005C0000"/>
    <w:rsid w:val="005C0107"/>
    <w:rsid w:val="005C029C"/>
    <w:rsid w:val="005C0372"/>
    <w:rsid w:val="005C06C9"/>
    <w:rsid w:val="005C07D6"/>
    <w:rsid w:val="005C0805"/>
    <w:rsid w:val="005C0990"/>
    <w:rsid w:val="005C0B8C"/>
    <w:rsid w:val="005C0CCA"/>
    <w:rsid w:val="005C0DC4"/>
    <w:rsid w:val="005C0E36"/>
    <w:rsid w:val="005C0FAD"/>
    <w:rsid w:val="005C10BB"/>
    <w:rsid w:val="005C10CC"/>
    <w:rsid w:val="005C13EA"/>
    <w:rsid w:val="005C15FB"/>
    <w:rsid w:val="005C16D7"/>
    <w:rsid w:val="005C16E1"/>
    <w:rsid w:val="005C1775"/>
    <w:rsid w:val="005C17B1"/>
    <w:rsid w:val="005C1805"/>
    <w:rsid w:val="005C1811"/>
    <w:rsid w:val="005C1C01"/>
    <w:rsid w:val="005C1CED"/>
    <w:rsid w:val="005C1F4C"/>
    <w:rsid w:val="005C1FF8"/>
    <w:rsid w:val="005C2060"/>
    <w:rsid w:val="005C20A7"/>
    <w:rsid w:val="005C225A"/>
    <w:rsid w:val="005C22BA"/>
    <w:rsid w:val="005C2473"/>
    <w:rsid w:val="005C2489"/>
    <w:rsid w:val="005C25E5"/>
    <w:rsid w:val="005C2A3B"/>
    <w:rsid w:val="005C2D13"/>
    <w:rsid w:val="005C2D29"/>
    <w:rsid w:val="005C2DD6"/>
    <w:rsid w:val="005C2E3C"/>
    <w:rsid w:val="005C2F02"/>
    <w:rsid w:val="005C2F32"/>
    <w:rsid w:val="005C3059"/>
    <w:rsid w:val="005C30FA"/>
    <w:rsid w:val="005C30FE"/>
    <w:rsid w:val="005C321E"/>
    <w:rsid w:val="005C32AE"/>
    <w:rsid w:val="005C3337"/>
    <w:rsid w:val="005C338B"/>
    <w:rsid w:val="005C338D"/>
    <w:rsid w:val="005C343D"/>
    <w:rsid w:val="005C34B7"/>
    <w:rsid w:val="005C35D7"/>
    <w:rsid w:val="005C39BF"/>
    <w:rsid w:val="005C3A9C"/>
    <w:rsid w:val="005C3C51"/>
    <w:rsid w:val="005C3FD6"/>
    <w:rsid w:val="005C404A"/>
    <w:rsid w:val="005C43A4"/>
    <w:rsid w:val="005C43A9"/>
    <w:rsid w:val="005C4435"/>
    <w:rsid w:val="005C4459"/>
    <w:rsid w:val="005C44C2"/>
    <w:rsid w:val="005C4696"/>
    <w:rsid w:val="005C4930"/>
    <w:rsid w:val="005C49BE"/>
    <w:rsid w:val="005C4A6D"/>
    <w:rsid w:val="005C4B8D"/>
    <w:rsid w:val="005C4C55"/>
    <w:rsid w:val="005C4C6E"/>
    <w:rsid w:val="005C4F8F"/>
    <w:rsid w:val="005C5055"/>
    <w:rsid w:val="005C5059"/>
    <w:rsid w:val="005C5194"/>
    <w:rsid w:val="005C523F"/>
    <w:rsid w:val="005C530E"/>
    <w:rsid w:val="005C533D"/>
    <w:rsid w:val="005C56CF"/>
    <w:rsid w:val="005C56DF"/>
    <w:rsid w:val="005C5963"/>
    <w:rsid w:val="005C5D9A"/>
    <w:rsid w:val="005C5DB3"/>
    <w:rsid w:val="005C5F7D"/>
    <w:rsid w:val="005C5FF9"/>
    <w:rsid w:val="005C6170"/>
    <w:rsid w:val="005C619F"/>
    <w:rsid w:val="005C61BD"/>
    <w:rsid w:val="005C61BE"/>
    <w:rsid w:val="005C62E5"/>
    <w:rsid w:val="005C65DF"/>
    <w:rsid w:val="005C66E6"/>
    <w:rsid w:val="005C6710"/>
    <w:rsid w:val="005C6A26"/>
    <w:rsid w:val="005C6A74"/>
    <w:rsid w:val="005C6A8B"/>
    <w:rsid w:val="005C6AB4"/>
    <w:rsid w:val="005C6B0B"/>
    <w:rsid w:val="005C6BE8"/>
    <w:rsid w:val="005C6E28"/>
    <w:rsid w:val="005C6E81"/>
    <w:rsid w:val="005C6F60"/>
    <w:rsid w:val="005C7177"/>
    <w:rsid w:val="005C73C7"/>
    <w:rsid w:val="005C73F1"/>
    <w:rsid w:val="005C7520"/>
    <w:rsid w:val="005C76D1"/>
    <w:rsid w:val="005C77DC"/>
    <w:rsid w:val="005C7A59"/>
    <w:rsid w:val="005C7A63"/>
    <w:rsid w:val="005C7AC7"/>
    <w:rsid w:val="005C7B7D"/>
    <w:rsid w:val="005C7D46"/>
    <w:rsid w:val="005C7D50"/>
    <w:rsid w:val="005C7E29"/>
    <w:rsid w:val="005C7F1E"/>
    <w:rsid w:val="005C7F41"/>
    <w:rsid w:val="005C7F5B"/>
    <w:rsid w:val="005D00CE"/>
    <w:rsid w:val="005D0584"/>
    <w:rsid w:val="005D0625"/>
    <w:rsid w:val="005D06A5"/>
    <w:rsid w:val="005D06D7"/>
    <w:rsid w:val="005D07DE"/>
    <w:rsid w:val="005D089E"/>
    <w:rsid w:val="005D0AF1"/>
    <w:rsid w:val="005D0BCB"/>
    <w:rsid w:val="005D11A3"/>
    <w:rsid w:val="005D120E"/>
    <w:rsid w:val="005D12A2"/>
    <w:rsid w:val="005D1320"/>
    <w:rsid w:val="005D1434"/>
    <w:rsid w:val="005D155A"/>
    <w:rsid w:val="005D1630"/>
    <w:rsid w:val="005D1706"/>
    <w:rsid w:val="005D1BF1"/>
    <w:rsid w:val="005D1CAA"/>
    <w:rsid w:val="005D21B4"/>
    <w:rsid w:val="005D21CA"/>
    <w:rsid w:val="005D2459"/>
    <w:rsid w:val="005D24BB"/>
    <w:rsid w:val="005D250F"/>
    <w:rsid w:val="005D26FF"/>
    <w:rsid w:val="005D2723"/>
    <w:rsid w:val="005D27D4"/>
    <w:rsid w:val="005D27DF"/>
    <w:rsid w:val="005D2A21"/>
    <w:rsid w:val="005D2DC5"/>
    <w:rsid w:val="005D3033"/>
    <w:rsid w:val="005D30E2"/>
    <w:rsid w:val="005D3334"/>
    <w:rsid w:val="005D350A"/>
    <w:rsid w:val="005D35F3"/>
    <w:rsid w:val="005D362E"/>
    <w:rsid w:val="005D38E5"/>
    <w:rsid w:val="005D397A"/>
    <w:rsid w:val="005D3981"/>
    <w:rsid w:val="005D3FCF"/>
    <w:rsid w:val="005D426C"/>
    <w:rsid w:val="005D42AE"/>
    <w:rsid w:val="005D4321"/>
    <w:rsid w:val="005D43F8"/>
    <w:rsid w:val="005D4685"/>
    <w:rsid w:val="005D47CC"/>
    <w:rsid w:val="005D4872"/>
    <w:rsid w:val="005D497E"/>
    <w:rsid w:val="005D4AD7"/>
    <w:rsid w:val="005D4CEC"/>
    <w:rsid w:val="005D4E3E"/>
    <w:rsid w:val="005D50C2"/>
    <w:rsid w:val="005D50D2"/>
    <w:rsid w:val="005D5141"/>
    <w:rsid w:val="005D5157"/>
    <w:rsid w:val="005D51B5"/>
    <w:rsid w:val="005D5315"/>
    <w:rsid w:val="005D54FE"/>
    <w:rsid w:val="005D5544"/>
    <w:rsid w:val="005D58A7"/>
    <w:rsid w:val="005D5900"/>
    <w:rsid w:val="005D59E8"/>
    <w:rsid w:val="005D5A3E"/>
    <w:rsid w:val="005D5B34"/>
    <w:rsid w:val="005D5BCE"/>
    <w:rsid w:val="005D5C73"/>
    <w:rsid w:val="005D6057"/>
    <w:rsid w:val="005D6141"/>
    <w:rsid w:val="005D629A"/>
    <w:rsid w:val="005D62F5"/>
    <w:rsid w:val="005D646A"/>
    <w:rsid w:val="005D6506"/>
    <w:rsid w:val="005D6710"/>
    <w:rsid w:val="005D67B9"/>
    <w:rsid w:val="005D69E4"/>
    <w:rsid w:val="005D6A68"/>
    <w:rsid w:val="005D6A77"/>
    <w:rsid w:val="005D6B7A"/>
    <w:rsid w:val="005D6DAC"/>
    <w:rsid w:val="005D6E22"/>
    <w:rsid w:val="005D6E41"/>
    <w:rsid w:val="005D6E84"/>
    <w:rsid w:val="005D6EB6"/>
    <w:rsid w:val="005D7002"/>
    <w:rsid w:val="005D7038"/>
    <w:rsid w:val="005D71BB"/>
    <w:rsid w:val="005D72DB"/>
    <w:rsid w:val="005D74E0"/>
    <w:rsid w:val="005D7592"/>
    <w:rsid w:val="005D75A2"/>
    <w:rsid w:val="005D781A"/>
    <w:rsid w:val="005D78B1"/>
    <w:rsid w:val="005D79C7"/>
    <w:rsid w:val="005D7A40"/>
    <w:rsid w:val="005D7C1B"/>
    <w:rsid w:val="005D7CA0"/>
    <w:rsid w:val="005D7E03"/>
    <w:rsid w:val="005D7E7E"/>
    <w:rsid w:val="005D7FB1"/>
    <w:rsid w:val="005D7FDC"/>
    <w:rsid w:val="005E0293"/>
    <w:rsid w:val="005E02C1"/>
    <w:rsid w:val="005E0355"/>
    <w:rsid w:val="005E0360"/>
    <w:rsid w:val="005E0463"/>
    <w:rsid w:val="005E0542"/>
    <w:rsid w:val="005E058A"/>
    <w:rsid w:val="005E05B8"/>
    <w:rsid w:val="005E05BE"/>
    <w:rsid w:val="005E05C6"/>
    <w:rsid w:val="005E063E"/>
    <w:rsid w:val="005E07DB"/>
    <w:rsid w:val="005E09E5"/>
    <w:rsid w:val="005E0CCE"/>
    <w:rsid w:val="005E0D6C"/>
    <w:rsid w:val="005E0E5E"/>
    <w:rsid w:val="005E0FED"/>
    <w:rsid w:val="005E1039"/>
    <w:rsid w:val="005E1291"/>
    <w:rsid w:val="005E132E"/>
    <w:rsid w:val="005E1875"/>
    <w:rsid w:val="005E1991"/>
    <w:rsid w:val="005E1997"/>
    <w:rsid w:val="005E19CD"/>
    <w:rsid w:val="005E1A56"/>
    <w:rsid w:val="005E1B16"/>
    <w:rsid w:val="005E1C88"/>
    <w:rsid w:val="005E1F4C"/>
    <w:rsid w:val="005E1F8D"/>
    <w:rsid w:val="005E2073"/>
    <w:rsid w:val="005E21BB"/>
    <w:rsid w:val="005E22D8"/>
    <w:rsid w:val="005E22FA"/>
    <w:rsid w:val="005E2485"/>
    <w:rsid w:val="005E256D"/>
    <w:rsid w:val="005E25AC"/>
    <w:rsid w:val="005E2A22"/>
    <w:rsid w:val="005E2B13"/>
    <w:rsid w:val="005E2C18"/>
    <w:rsid w:val="005E2C6F"/>
    <w:rsid w:val="005E2D4D"/>
    <w:rsid w:val="005E2E35"/>
    <w:rsid w:val="005E2E55"/>
    <w:rsid w:val="005E2FDC"/>
    <w:rsid w:val="005E306F"/>
    <w:rsid w:val="005E3222"/>
    <w:rsid w:val="005E3225"/>
    <w:rsid w:val="005E3371"/>
    <w:rsid w:val="005E3373"/>
    <w:rsid w:val="005E3610"/>
    <w:rsid w:val="005E37E4"/>
    <w:rsid w:val="005E38A6"/>
    <w:rsid w:val="005E39CC"/>
    <w:rsid w:val="005E3C5D"/>
    <w:rsid w:val="005E3C97"/>
    <w:rsid w:val="005E3CDC"/>
    <w:rsid w:val="005E3D71"/>
    <w:rsid w:val="005E3E93"/>
    <w:rsid w:val="005E3FD4"/>
    <w:rsid w:val="005E4216"/>
    <w:rsid w:val="005E429D"/>
    <w:rsid w:val="005E42AC"/>
    <w:rsid w:val="005E450F"/>
    <w:rsid w:val="005E4555"/>
    <w:rsid w:val="005E455C"/>
    <w:rsid w:val="005E4711"/>
    <w:rsid w:val="005E48F9"/>
    <w:rsid w:val="005E495B"/>
    <w:rsid w:val="005E49AB"/>
    <w:rsid w:val="005E49B9"/>
    <w:rsid w:val="005E4B72"/>
    <w:rsid w:val="005E4B7F"/>
    <w:rsid w:val="005E4C29"/>
    <w:rsid w:val="005E4C97"/>
    <w:rsid w:val="005E4CD8"/>
    <w:rsid w:val="005E4D21"/>
    <w:rsid w:val="005E4E2D"/>
    <w:rsid w:val="005E4E8D"/>
    <w:rsid w:val="005E4ECA"/>
    <w:rsid w:val="005E4EEF"/>
    <w:rsid w:val="005E4F28"/>
    <w:rsid w:val="005E4F60"/>
    <w:rsid w:val="005E5008"/>
    <w:rsid w:val="005E50EE"/>
    <w:rsid w:val="005E513F"/>
    <w:rsid w:val="005E51D3"/>
    <w:rsid w:val="005E5254"/>
    <w:rsid w:val="005E563D"/>
    <w:rsid w:val="005E56D6"/>
    <w:rsid w:val="005E578B"/>
    <w:rsid w:val="005E5A7B"/>
    <w:rsid w:val="005E5BAA"/>
    <w:rsid w:val="005E5BAF"/>
    <w:rsid w:val="005E5BC7"/>
    <w:rsid w:val="005E5CBA"/>
    <w:rsid w:val="005E5F84"/>
    <w:rsid w:val="005E602A"/>
    <w:rsid w:val="005E6043"/>
    <w:rsid w:val="005E6608"/>
    <w:rsid w:val="005E6800"/>
    <w:rsid w:val="005E687B"/>
    <w:rsid w:val="005E6A70"/>
    <w:rsid w:val="005E6C2E"/>
    <w:rsid w:val="005E6C83"/>
    <w:rsid w:val="005E6E69"/>
    <w:rsid w:val="005E6FD6"/>
    <w:rsid w:val="005E7339"/>
    <w:rsid w:val="005E7365"/>
    <w:rsid w:val="005E73AB"/>
    <w:rsid w:val="005E73BB"/>
    <w:rsid w:val="005E7462"/>
    <w:rsid w:val="005E7498"/>
    <w:rsid w:val="005E7523"/>
    <w:rsid w:val="005E7548"/>
    <w:rsid w:val="005E7577"/>
    <w:rsid w:val="005E75BE"/>
    <w:rsid w:val="005E76C1"/>
    <w:rsid w:val="005E7763"/>
    <w:rsid w:val="005E7998"/>
    <w:rsid w:val="005E7A37"/>
    <w:rsid w:val="005E7D20"/>
    <w:rsid w:val="005E7D2F"/>
    <w:rsid w:val="005E7D3C"/>
    <w:rsid w:val="005E7ED9"/>
    <w:rsid w:val="005E7F8F"/>
    <w:rsid w:val="005F0114"/>
    <w:rsid w:val="005F01FF"/>
    <w:rsid w:val="005F04EA"/>
    <w:rsid w:val="005F05E6"/>
    <w:rsid w:val="005F0687"/>
    <w:rsid w:val="005F071C"/>
    <w:rsid w:val="005F0733"/>
    <w:rsid w:val="005F0804"/>
    <w:rsid w:val="005F088B"/>
    <w:rsid w:val="005F0B65"/>
    <w:rsid w:val="005F0CB2"/>
    <w:rsid w:val="005F0D83"/>
    <w:rsid w:val="005F0D99"/>
    <w:rsid w:val="005F0E13"/>
    <w:rsid w:val="005F0FE3"/>
    <w:rsid w:val="005F106F"/>
    <w:rsid w:val="005F1266"/>
    <w:rsid w:val="005F12A1"/>
    <w:rsid w:val="005F1349"/>
    <w:rsid w:val="005F1736"/>
    <w:rsid w:val="005F1781"/>
    <w:rsid w:val="005F1857"/>
    <w:rsid w:val="005F1AAE"/>
    <w:rsid w:val="005F1B41"/>
    <w:rsid w:val="005F1CE1"/>
    <w:rsid w:val="005F1E74"/>
    <w:rsid w:val="005F2014"/>
    <w:rsid w:val="005F2093"/>
    <w:rsid w:val="005F23DD"/>
    <w:rsid w:val="005F23F8"/>
    <w:rsid w:val="005F251A"/>
    <w:rsid w:val="005F2567"/>
    <w:rsid w:val="005F2850"/>
    <w:rsid w:val="005F28B5"/>
    <w:rsid w:val="005F2AC8"/>
    <w:rsid w:val="005F2C33"/>
    <w:rsid w:val="005F2C81"/>
    <w:rsid w:val="005F2D29"/>
    <w:rsid w:val="005F2D50"/>
    <w:rsid w:val="005F30BE"/>
    <w:rsid w:val="005F30C8"/>
    <w:rsid w:val="005F312C"/>
    <w:rsid w:val="005F3367"/>
    <w:rsid w:val="005F338B"/>
    <w:rsid w:val="005F34A1"/>
    <w:rsid w:val="005F363F"/>
    <w:rsid w:val="005F3650"/>
    <w:rsid w:val="005F3668"/>
    <w:rsid w:val="005F3688"/>
    <w:rsid w:val="005F3814"/>
    <w:rsid w:val="005F38D1"/>
    <w:rsid w:val="005F38FD"/>
    <w:rsid w:val="005F393B"/>
    <w:rsid w:val="005F3AD0"/>
    <w:rsid w:val="005F3CC3"/>
    <w:rsid w:val="005F3E26"/>
    <w:rsid w:val="005F3F64"/>
    <w:rsid w:val="005F3F6F"/>
    <w:rsid w:val="005F413B"/>
    <w:rsid w:val="005F42C4"/>
    <w:rsid w:val="005F45F5"/>
    <w:rsid w:val="005F4613"/>
    <w:rsid w:val="005F470E"/>
    <w:rsid w:val="005F496F"/>
    <w:rsid w:val="005F49F6"/>
    <w:rsid w:val="005F4A77"/>
    <w:rsid w:val="005F4A9E"/>
    <w:rsid w:val="005F4C60"/>
    <w:rsid w:val="005F4D50"/>
    <w:rsid w:val="005F4D59"/>
    <w:rsid w:val="005F4D8F"/>
    <w:rsid w:val="005F4E70"/>
    <w:rsid w:val="005F4F08"/>
    <w:rsid w:val="005F4F6B"/>
    <w:rsid w:val="005F4FB9"/>
    <w:rsid w:val="005F50AE"/>
    <w:rsid w:val="005F50B4"/>
    <w:rsid w:val="005F51F6"/>
    <w:rsid w:val="005F5250"/>
    <w:rsid w:val="005F5428"/>
    <w:rsid w:val="005F542B"/>
    <w:rsid w:val="005F553D"/>
    <w:rsid w:val="005F55A3"/>
    <w:rsid w:val="005F571C"/>
    <w:rsid w:val="005F57F2"/>
    <w:rsid w:val="005F5813"/>
    <w:rsid w:val="005F5895"/>
    <w:rsid w:val="005F5943"/>
    <w:rsid w:val="005F5A17"/>
    <w:rsid w:val="005F5A71"/>
    <w:rsid w:val="005F5BC5"/>
    <w:rsid w:val="005F5D55"/>
    <w:rsid w:val="005F5D58"/>
    <w:rsid w:val="005F5DE4"/>
    <w:rsid w:val="005F5F5D"/>
    <w:rsid w:val="005F606C"/>
    <w:rsid w:val="005F61B6"/>
    <w:rsid w:val="005F62B9"/>
    <w:rsid w:val="005F631D"/>
    <w:rsid w:val="005F641D"/>
    <w:rsid w:val="005F65C4"/>
    <w:rsid w:val="005F6653"/>
    <w:rsid w:val="005F679D"/>
    <w:rsid w:val="005F67C3"/>
    <w:rsid w:val="005F686E"/>
    <w:rsid w:val="005F69D0"/>
    <w:rsid w:val="005F6A7E"/>
    <w:rsid w:val="005F6BF7"/>
    <w:rsid w:val="005F6D31"/>
    <w:rsid w:val="005F6E65"/>
    <w:rsid w:val="005F705B"/>
    <w:rsid w:val="005F70B2"/>
    <w:rsid w:val="005F70BB"/>
    <w:rsid w:val="005F7171"/>
    <w:rsid w:val="005F7186"/>
    <w:rsid w:val="005F72A7"/>
    <w:rsid w:val="005F74BE"/>
    <w:rsid w:val="005F75D8"/>
    <w:rsid w:val="005F761D"/>
    <w:rsid w:val="005F77DB"/>
    <w:rsid w:val="005F78FD"/>
    <w:rsid w:val="005F7A63"/>
    <w:rsid w:val="005F7C66"/>
    <w:rsid w:val="005F7CC8"/>
    <w:rsid w:val="005F7E3B"/>
    <w:rsid w:val="005F7F95"/>
    <w:rsid w:val="006004B5"/>
    <w:rsid w:val="00600804"/>
    <w:rsid w:val="00600825"/>
    <w:rsid w:val="00600960"/>
    <w:rsid w:val="00600967"/>
    <w:rsid w:val="00600A46"/>
    <w:rsid w:val="00600D0C"/>
    <w:rsid w:val="00600D3F"/>
    <w:rsid w:val="00600E91"/>
    <w:rsid w:val="00600EA5"/>
    <w:rsid w:val="00600EA8"/>
    <w:rsid w:val="00600FBA"/>
    <w:rsid w:val="006010B9"/>
    <w:rsid w:val="00601133"/>
    <w:rsid w:val="00601213"/>
    <w:rsid w:val="00601269"/>
    <w:rsid w:val="006013EB"/>
    <w:rsid w:val="006014E6"/>
    <w:rsid w:val="0060163C"/>
    <w:rsid w:val="00601702"/>
    <w:rsid w:val="00601795"/>
    <w:rsid w:val="0060185D"/>
    <w:rsid w:val="00601886"/>
    <w:rsid w:val="0060188B"/>
    <w:rsid w:val="0060188C"/>
    <w:rsid w:val="0060196C"/>
    <w:rsid w:val="00601AA4"/>
    <w:rsid w:val="00601B3D"/>
    <w:rsid w:val="00601B9F"/>
    <w:rsid w:val="00601C45"/>
    <w:rsid w:val="00601D83"/>
    <w:rsid w:val="00601DD9"/>
    <w:rsid w:val="0060201F"/>
    <w:rsid w:val="00602025"/>
    <w:rsid w:val="00602143"/>
    <w:rsid w:val="006022EF"/>
    <w:rsid w:val="00602387"/>
    <w:rsid w:val="0060248D"/>
    <w:rsid w:val="00602609"/>
    <w:rsid w:val="006027D7"/>
    <w:rsid w:val="0060286B"/>
    <w:rsid w:val="00602925"/>
    <w:rsid w:val="00602A97"/>
    <w:rsid w:val="00602A99"/>
    <w:rsid w:val="00602B13"/>
    <w:rsid w:val="00602C3F"/>
    <w:rsid w:val="00602D26"/>
    <w:rsid w:val="00602F01"/>
    <w:rsid w:val="006030BF"/>
    <w:rsid w:val="00603107"/>
    <w:rsid w:val="00603253"/>
    <w:rsid w:val="0060334F"/>
    <w:rsid w:val="00603400"/>
    <w:rsid w:val="0060370B"/>
    <w:rsid w:val="006038EB"/>
    <w:rsid w:val="006039DB"/>
    <w:rsid w:val="00603A0B"/>
    <w:rsid w:val="00603AAD"/>
    <w:rsid w:val="00603C07"/>
    <w:rsid w:val="00603C35"/>
    <w:rsid w:val="00603D1E"/>
    <w:rsid w:val="00603D8C"/>
    <w:rsid w:val="00603DEF"/>
    <w:rsid w:val="006040AE"/>
    <w:rsid w:val="00604201"/>
    <w:rsid w:val="0060431A"/>
    <w:rsid w:val="00604349"/>
    <w:rsid w:val="006043AC"/>
    <w:rsid w:val="0060446D"/>
    <w:rsid w:val="006044F5"/>
    <w:rsid w:val="006048B2"/>
    <w:rsid w:val="006048C8"/>
    <w:rsid w:val="00604918"/>
    <w:rsid w:val="00604B4B"/>
    <w:rsid w:val="00604ED3"/>
    <w:rsid w:val="00605044"/>
    <w:rsid w:val="00605050"/>
    <w:rsid w:val="006052BA"/>
    <w:rsid w:val="00605346"/>
    <w:rsid w:val="00605649"/>
    <w:rsid w:val="00605838"/>
    <w:rsid w:val="00605A33"/>
    <w:rsid w:val="00605AFC"/>
    <w:rsid w:val="00605D75"/>
    <w:rsid w:val="0060607F"/>
    <w:rsid w:val="00606081"/>
    <w:rsid w:val="006061B3"/>
    <w:rsid w:val="00606246"/>
    <w:rsid w:val="006062D0"/>
    <w:rsid w:val="00606455"/>
    <w:rsid w:val="00606906"/>
    <w:rsid w:val="00606A57"/>
    <w:rsid w:val="00606A8D"/>
    <w:rsid w:val="00606B7F"/>
    <w:rsid w:val="00606D15"/>
    <w:rsid w:val="00606E08"/>
    <w:rsid w:val="00607015"/>
    <w:rsid w:val="006071CF"/>
    <w:rsid w:val="00607258"/>
    <w:rsid w:val="00607276"/>
    <w:rsid w:val="006072B3"/>
    <w:rsid w:val="006072D2"/>
    <w:rsid w:val="006072DC"/>
    <w:rsid w:val="006072F7"/>
    <w:rsid w:val="00607343"/>
    <w:rsid w:val="006075CB"/>
    <w:rsid w:val="00607652"/>
    <w:rsid w:val="00607662"/>
    <w:rsid w:val="0060767F"/>
    <w:rsid w:val="0060769D"/>
    <w:rsid w:val="0060782B"/>
    <w:rsid w:val="00607917"/>
    <w:rsid w:val="00607A77"/>
    <w:rsid w:val="00607B6F"/>
    <w:rsid w:val="00607CAD"/>
    <w:rsid w:val="00607F54"/>
    <w:rsid w:val="00607F5A"/>
    <w:rsid w:val="0060C212"/>
    <w:rsid w:val="006100FE"/>
    <w:rsid w:val="0061010B"/>
    <w:rsid w:val="006101FD"/>
    <w:rsid w:val="00610225"/>
    <w:rsid w:val="006103B9"/>
    <w:rsid w:val="006104F7"/>
    <w:rsid w:val="00610509"/>
    <w:rsid w:val="006107A7"/>
    <w:rsid w:val="00610C6F"/>
    <w:rsid w:val="00610E51"/>
    <w:rsid w:val="00610F50"/>
    <w:rsid w:val="0061102E"/>
    <w:rsid w:val="006110D3"/>
    <w:rsid w:val="00611686"/>
    <w:rsid w:val="00611892"/>
    <w:rsid w:val="006118F1"/>
    <w:rsid w:val="00611A57"/>
    <w:rsid w:val="00611DD6"/>
    <w:rsid w:val="00611ED2"/>
    <w:rsid w:val="00611FEC"/>
    <w:rsid w:val="0061205C"/>
    <w:rsid w:val="006120C7"/>
    <w:rsid w:val="006124A5"/>
    <w:rsid w:val="00612586"/>
    <w:rsid w:val="006125E3"/>
    <w:rsid w:val="0061265F"/>
    <w:rsid w:val="006126F9"/>
    <w:rsid w:val="006127EA"/>
    <w:rsid w:val="006128A9"/>
    <w:rsid w:val="00612928"/>
    <w:rsid w:val="006129D2"/>
    <w:rsid w:val="00612A23"/>
    <w:rsid w:val="00612AB6"/>
    <w:rsid w:val="00612BBB"/>
    <w:rsid w:val="00612D8B"/>
    <w:rsid w:val="00612D9A"/>
    <w:rsid w:val="00612DBB"/>
    <w:rsid w:val="00612EE6"/>
    <w:rsid w:val="0061308A"/>
    <w:rsid w:val="00613174"/>
    <w:rsid w:val="00613180"/>
    <w:rsid w:val="00613188"/>
    <w:rsid w:val="0061323E"/>
    <w:rsid w:val="006133FF"/>
    <w:rsid w:val="00613792"/>
    <w:rsid w:val="00613A04"/>
    <w:rsid w:val="00613EEB"/>
    <w:rsid w:val="00613FDE"/>
    <w:rsid w:val="00613FFA"/>
    <w:rsid w:val="00614036"/>
    <w:rsid w:val="00614054"/>
    <w:rsid w:val="00614071"/>
    <w:rsid w:val="0061453E"/>
    <w:rsid w:val="00614568"/>
    <w:rsid w:val="00614776"/>
    <w:rsid w:val="00614785"/>
    <w:rsid w:val="00614B97"/>
    <w:rsid w:val="00614D19"/>
    <w:rsid w:val="00614DB1"/>
    <w:rsid w:val="00614E24"/>
    <w:rsid w:val="00614F7B"/>
    <w:rsid w:val="00614FE3"/>
    <w:rsid w:val="006151A9"/>
    <w:rsid w:val="0061524D"/>
    <w:rsid w:val="006155BD"/>
    <w:rsid w:val="006156C9"/>
    <w:rsid w:val="00615903"/>
    <w:rsid w:val="00615AA9"/>
    <w:rsid w:val="00615EA4"/>
    <w:rsid w:val="00615F0D"/>
    <w:rsid w:val="0061609C"/>
    <w:rsid w:val="00616215"/>
    <w:rsid w:val="00616358"/>
    <w:rsid w:val="0061671E"/>
    <w:rsid w:val="0061688B"/>
    <w:rsid w:val="00616BE9"/>
    <w:rsid w:val="00616CC7"/>
    <w:rsid w:val="00616D71"/>
    <w:rsid w:val="00616DEF"/>
    <w:rsid w:val="00616E8A"/>
    <w:rsid w:val="00616F19"/>
    <w:rsid w:val="006171C3"/>
    <w:rsid w:val="006171FD"/>
    <w:rsid w:val="0061729D"/>
    <w:rsid w:val="006173BE"/>
    <w:rsid w:val="006175AF"/>
    <w:rsid w:val="0061768B"/>
    <w:rsid w:val="00617900"/>
    <w:rsid w:val="00617963"/>
    <w:rsid w:val="00617A28"/>
    <w:rsid w:val="00617AEC"/>
    <w:rsid w:val="00617B56"/>
    <w:rsid w:val="00617B59"/>
    <w:rsid w:val="00617EF5"/>
    <w:rsid w:val="00617F82"/>
    <w:rsid w:val="00620045"/>
    <w:rsid w:val="00620065"/>
    <w:rsid w:val="00620114"/>
    <w:rsid w:val="006201FE"/>
    <w:rsid w:val="006202A7"/>
    <w:rsid w:val="0062030B"/>
    <w:rsid w:val="00620387"/>
    <w:rsid w:val="006204D1"/>
    <w:rsid w:val="006205D4"/>
    <w:rsid w:val="00620753"/>
    <w:rsid w:val="00620A8E"/>
    <w:rsid w:val="00620F5B"/>
    <w:rsid w:val="00621003"/>
    <w:rsid w:val="006211FC"/>
    <w:rsid w:val="00621274"/>
    <w:rsid w:val="00621343"/>
    <w:rsid w:val="006215A3"/>
    <w:rsid w:val="006215AA"/>
    <w:rsid w:val="006219D7"/>
    <w:rsid w:val="00621CDD"/>
    <w:rsid w:val="00621CF4"/>
    <w:rsid w:val="00621D1F"/>
    <w:rsid w:val="00621F31"/>
    <w:rsid w:val="00621F7E"/>
    <w:rsid w:val="006220BA"/>
    <w:rsid w:val="0062214B"/>
    <w:rsid w:val="00622259"/>
    <w:rsid w:val="006222D1"/>
    <w:rsid w:val="006223EB"/>
    <w:rsid w:val="006225EA"/>
    <w:rsid w:val="0062295B"/>
    <w:rsid w:val="0062299B"/>
    <w:rsid w:val="00622E1E"/>
    <w:rsid w:val="00622EBC"/>
    <w:rsid w:val="006232BF"/>
    <w:rsid w:val="00623372"/>
    <w:rsid w:val="006236B4"/>
    <w:rsid w:val="0062373E"/>
    <w:rsid w:val="0062385A"/>
    <w:rsid w:val="006238E9"/>
    <w:rsid w:val="00623952"/>
    <w:rsid w:val="00623B1D"/>
    <w:rsid w:val="00623D29"/>
    <w:rsid w:val="00623E1D"/>
    <w:rsid w:val="00623E28"/>
    <w:rsid w:val="00623E93"/>
    <w:rsid w:val="00623F25"/>
    <w:rsid w:val="0062412A"/>
    <w:rsid w:val="00624150"/>
    <w:rsid w:val="00624300"/>
    <w:rsid w:val="00624365"/>
    <w:rsid w:val="00624383"/>
    <w:rsid w:val="00624498"/>
    <w:rsid w:val="006244A9"/>
    <w:rsid w:val="006245AB"/>
    <w:rsid w:val="006245B1"/>
    <w:rsid w:val="00624832"/>
    <w:rsid w:val="00624834"/>
    <w:rsid w:val="006248DF"/>
    <w:rsid w:val="00624AEB"/>
    <w:rsid w:val="00624B06"/>
    <w:rsid w:val="00624BFF"/>
    <w:rsid w:val="00624E85"/>
    <w:rsid w:val="006250D0"/>
    <w:rsid w:val="0062526C"/>
    <w:rsid w:val="0062538E"/>
    <w:rsid w:val="00625435"/>
    <w:rsid w:val="00625649"/>
    <w:rsid w:val="0062571C"/>
    <w:rsid w:val="00625C88"/>
    <w:rsid w:val="00625CF7"/>
    <w:rsid w:val="00625F11"/>
    <w:rsid w:val="0062613B"/>
    <w:rsid w:val="00626353"/>
    <w:rsid w:val="00626364"/>
    <w:rsid w:val="0062640B"/>
    <w:rsid w:val="00626487"/>
    <w:rsid w:val="00626553"/>
    <w:rsid w:val="00626554"/>
    <w:rsid w:val="00626585"/>
    <w:rsid w:val="0062670C"/>
    <w:rsid w:val="00626719"/>
    <w:rsid w:val="006267C2"/>
    <w:rsid w:val="00626803"/>
    <w:rsid w:val="00626828"/>
    <w:rsid w:val="0062691D"/>
    <w:rsid w:val="00626989"/>
    <w:rsid w:val="00626ABA"/>
    <w:rsid w:val="00626BF3"/>
    <w:rsid w:val="00626CDC"/>
    <w:rsid w:val="00626D60"/>
    <w:rsid w:val="00626F3F"/>
    <w:rsid w:val="00626FA9"/>
    <w:rsid w:val="00626FCB"/>
    <w:rsid w:val="006273FA"/>
    <w:rsid w:val="00627464"/>
    <w:rsid w:val="0062749C"/>
    <w:rsid w:val="00627587"/>
    <w:rsid w:val="00627675"/>
    <w:rsid w:val="006276D3"/>
    <w:rsid w:val="00627759"/>
    <w:rsid w:val="00627922"/>
    <w:rsid w:val="0062796D"/>
    <w:rsid w:val="00627C00"/>
    <w:rsid w:val="00627D2E"/>
    <w:rsid w:val="00627D77"/>
    <w:rsid w:val="00627EE9"/>
    <w:rsid w:val="00627F24"/>
    <w:rsid w:val="006300E6"/>
    <w:rsid w:val="006300FD"/>
    <w:rsid w:val="00630490"/>
    <w:rsid w:val="00630565"/>
    <w:rsid w:val="0063069C"/>
    <w:rsid w:val="00630723"/>
    <w:rsid w:val="006307D8"/>
    <w:rsid w:val="006307E3"/>
    <w:rsid w:val="0063080E"/>
    <w:rsid w:val="00630858"/>
    <w:rsid w:val="00630886"/>
    <w:rsid w:val="00630B40"/>
    <w:rsid w:val="00630D7A"/>
    <w:rsid w:val="00630E9E"/>
    <w:rsid w:val="00630EEE"/>
    <w:rsid w:val="00630F07"/>
    <w:rsid w:val="00630FBD"/>
    <w:rsid w:val="00631125"/>
    <w:rsid w:val="00631312"/>
    <w:rsid w:val="00631345"/>
    <w:rsid w:val="00631380"/>
    <w:rsid w:val="00631452"/>
    <w:rsid w:val="006317CC"/>
    <w:rsid w:val="00631909"/>
    <w:rsid w:val="0063191A"/>
    <w:rsid w:val="00631A23"/>
    <w:rsid w:val="00631CBC"/>
    <w:rsid w:val="00631CF5"/>
    <w:rsid w:val="00631EE8"/>
    <w:rsid w:val="00631EFF"/>
    <w:rsid w:val="00631F42"/>
    <w:rsid w:val="006322D1"/>
    <w:rsid w:val="00632310"/>
    <w:rsid w:val="00632397"/>
    <w:rsid w:val="00632455"/>
    <w:rsid w:val="006325BA"/>
    <w:rsid w:val="006329E6"/>
    <w:rsid w:val="00632A29"/>
    <w:rsid w:val="00632BE4"/>
    <w:rsid w:val="00632CA5"/>
    <w:rsid w:val="00632D00"/>
    <w:rsid w:val="00632E5F"/>
    <w:rsid w:val="00632F2E"/>
    <w:rsid w:val="00632F62"/>
    <w:rsid w:val="0063323D"/>
    <w:rsid w:val="00633263"/>
    <w:rsid w:val="00633352"/>
    <w:rsid w:val="006333E1"/>
    <w:rsid w:val="00633530"/>
    <w:rsid w:val="00633624"/>
    <w:rsid w:val="00633740"/>
    <w:rsid w:val="00633773"/>
    <w:rsid w:val="006338F9"/>
    <w:rsid w:val="00633B48"/>
    <w:rsid w:val="00633E19"/>
    <w:rsid w:val="00633E29"/>
    <w:rsid w:val="00633FEC"/>
    <w:rsid w:val="0063411B"/>
    <w:rsid w:val="0063422D"/>
    <w:rsid w:val="006342A0"/>
    <w:rsid w:val="0063453D"/>
    <w:rsid w:val="0063479B"/>
    <w:rsid w:val="00634802"/>
    <w:rsid w:val="0063484B"/>
    <w:rsid w:val="00634946"/>
    <w:rsid w:val="00634999"/>
    <w:rsid w:val="00634A09"/>
    <w:rsid w:val="00634D34"/>
    <w:rsid w:val="00634E64"/>
    <w:rsid w:val="00634F40"/>
    <w:rsid w:val="00635196"/>
    <w:rsid w:val="006351AC"/>
    <w:rsid w:val="00635380"/>
    <w:rsid w:val="006354AB"/>
    <w:rsid w:val="006355AD"/>
    <w:rsid w:val="00635617"/>
    <w:rsid w:val="00635622"/>
    <w:rsid w:val="00635638"/>
    <w:rsid w:val="00635692"/>
    <w:rsid w:val="006356D7"/>
    <w:rsid w:val="006356EE"/>
    <w:rsid w:val="006357C7"/>
    <w:rsid w:val="006358C2"/>
    <w:rsid w:val="00635999"/>
    <w:rsid w:val="00635A6C"/>
    <w:rsid w:val="00635AEA"/>
    <w:rsid w:val="00635B4C"/>
    <w:rsid w:val="00635C4A"/>
    <w:rsid w:val="00635D05"/>
    <w:rsid w:val="00635E79"/>
    <w:rsid w:val="00635EFB"/>
    <w:rsid w:val="00635F4D"/>
    <w:rsid w:val="00635FF5"/>
    <w:rsid w:val="00636060"/>
    <w:rsid w:val="00636470"/>
    <w:rsid w:val="006365A7"/>
    <w:rsid w:val="00636650"/>
    <w:rsid w:val="00636697"/>
    <w:rsid w:val="0063670A"/>
    <w:rsid w:val="0063672A"/>
    <w:rsid w:val="00636A58"/>
    <w:rsid w:val="00636DD4"/>
    <w:rsid w:val="00636F68"/>
    <w:rsid w:val="0063712E"/>
    <w:rsid w:val="00637177"/>
    <w:rsid w:val="006371B6"/>
    <w:rsid w:val="00637232"/>
    <w:rsid w:val="0063727F"/>
    <w:rsid w:val="006372C7"/>
    <w:rsid w:val="00637354"/>
    <w:rsid w:val="00637457"/>
    <w:rsid w:val="00637508"/>
    <w:rsid w:val="0063755A"/>
    <w:rsid w:val="0063756F"/>
    <w:rsid w:val="006376AF"/>
    <w:rsid w:val="00637790"/>
    <w:rsid w:val="0063783C"/>
    <w:rsid w:val="00637874"/>
    <w:rsid w:val="00637921"/>
    <w:rsid w:val="00637939"/>
    <w:rsid w:val="00637B0F"/>
    <w:rsid w:val="00637BEB"/>
    <w:rsid w:val="00637DFD"/>
    <w:rsid w:val="00637E5F"/>
    <w:rsid w:val="00637E6C"/>
    <w:rsid w:val="00637F2F"/>
    <w:rsid w:val="00637FC7"/>
    <w:rsid w:val="00637FD6"/>
    <w:rsid w:val="00640370"/>
    <w:rsid w:val="00640837"/>
    <w:rsid w:val="00640911"/>
    <w:rsid w:val="00640A7A"/>
    <w:rsid w:val="00640B17"/>
    <w:rsid w:val="00640B4D"/>
    <w:rsid w:val="00640C52"/>
    <w:rsid w:val="00640C63"/>
    <w:rsid w:val="00640F2E"/>
    <w:rsid w:val="00640F48"/>
    <w:rsid w:val="00641106"/>
    <w:rsid w:val="00641213"/>
    <w:rsid w:val="00641248"/>
    <w:rsid w:val="006414F1"/>
    <w:rsid w:val="00641862"/>
    <w:rsid w:val="006419CB"/>
    <w:rsid w:val="00641A9C"/>
    <w:rsid w:val="00641D00"/>
    <w:rsid w:val="0064202B"/>
    <w:rsid w:val="00642064"/>
    <w:rsid w:val="00642157"/>
    <w:rsid w:val="0064234E"/>
    <w:rsid w:val="006423C5"/>
    <w:rsid w:val="006425D4"/>
    <w:rsid w:val="006428B0"/>
    <w:rsid w:val="00642987"/>
    <w:rsid w:val="006429EE"/>
    <w:rsid w:val="00642C21"/>
    <w:rsid w:val="00642CA9"/>
    <w:rsid w:val="00642D59"/>
    <w:rsid w:val="00642DC7"/>
    <w:rsid w:val="00642E4B"/>
    <w:rsid w:val="00642ED3"/>
    <w:rsid w:val="00642FCB"/>
    <w:rsid w:val="006433BC"/>
    <w:rsid w:val="00643510"/>
    <w:rsid w:val="00643571"/>
    <w:rsid w:val="00643579"/>
    <w:rsid w:val="00643639"/>
    <w:rsid w:val="00643649"/>
    <w:rsid w:val="0064367A"/>
    <w:rsid w:val="006438C1"/>
    <w:rsid w:val="0064398E"/>
    <w:rsid w:val="00643B2F"/>
    <w:rsid w:val="00643B40"/>
    <w:rsid w:val="00643B5C"/>
    <w:rsid w:val="00643D74"/>
    <w:rsid w:val="00643DBF"/>
    <w:rsid w:val="00643DF5"/>
    <w:rsid w:val="00643E73"/>
    <w:rsid w:val="00643FB6"/>
    <w:rsid w:val="0064414A"/>
    <w:rsid w:val="00644196"/>
    <w:rsid w:val="006441BC"/>
    <w:rsid w:val="006441EC"/>
    <w:rsid w:val="0064421E"/>
    <w:rsid w:val="00644242"/>
    <w:rsid w:val="006443E4"/>
    <w:rsid w:val="0064446A"/>
    <w:rsid w:val="0064466D"/>
    <w:rsid w:val="006447C3"/>
    <w:rsid w:val="00644875"/>
    <w:rsid w:val="0064498A"/>
    <w:rsid w:val="00644B42"/>
    <w:rsid w:val="00644B7B"/>
    <w:rsid w:val="00645042"/>
    <w:rsid w:val="00645043"/>
    <w:rsid w:val="00645066"/>
    <w:rsid w:val="006450BB"/>
    <w:rsid w:val="006452F3"/>
    <w:rsid w:val="0064533A"/>
    <w:rsid w:val="006453FE"/>
    <w:rsid w:val="006454E2"/>
    <w:rsid w:val="00645971"/>
    <w:rsid w:val="0064597F"/>
    <w:rsid w:val="00645A32"/>
    <w:rsid w:val="00645AF9"/>
    <w:rsid w:val="00645B28"/>
    <w:rsid w:val="00645B2B"/>
    <w:rsid w:val="00645B31"/>
    <w:rsid w:val="00645B9C"/>
    <w:rsid w:val="00645C2A"/>
    <w:rsid w:val="00645C78"/>
    <w:rsid w:val="00645E70"/>
    <w:rsid w:val="00645EB3"/>
    <w:rsid w:val="0064603B"/>
    <w:rsid w:val="00646173"/>
    <w:rsid w:val="00646185"/>
    <w:rsid w:val="00646262"/>
    <w:rsid w:val="0064636E"/>
    <w:rsid w:val="00646473"/>
    <w:rsid w:val="006464EA"/>
    <w:rsid w:val="0064666E"/>
    <w:rsid w:val="006468BB"/>
    <w:rsid w:val="006469E9"/>
    <w:rsid w:val="0064700D"/>
    <w:rsid w:val="0064710D"/>
    <w:rsid w:val="00647115"/>
    <w:rsid w:val="00647131"/>
    <w:rsid w:val="0064715A"/>
    <w:rsid w:val="00647433"/>
    <w:rsid w:val="0064769A"/>
    <w:rsid w:val="0064784D"/>
    <w:rsid w:val="006478A5"/>
    <w:rsid w:val="0064792C"/>
    <w:rsid w:val="00647AFE"/>
    <w:rsid w:val="00647AFF"/>
    <w:rsid w:val="00647E48"/>
    <w:rsid w:val="00647E67"/>
    <w:rsid w:val="00647F0F"/>
    <w:rsid w:val="00647F51"/>
    <w:rsid w:val="00647F6D"/>
    <w:rsid w:val="00650056"/>
    <w:rsid w:val="00650157"/>
    <w:rsid w:val="00650296"/>
    <w:rsid w:val="006502E7"/>
    <w:rsid w:val="00650337"/>
    <w:rsid w:val="006504C1"/>
    <w:rsid w:val="00650909"/>
    <w:rsid w:val="0065091A"/>
    <w:rsid w:val="00650959"/>
    <w:rsid w:val="00650BB9"/>
    <w:rsid w:val="00650BBA"/>
    <w:rsid w:val="00650CD7"/>
    <w:rsid w:val="00650CEA"/>
    <w:rsid w:val="00650DEC"/>
    <w:rsid w:val="00650E0B"/>
    <w:rsid w:val="00650F63"/>
    <w:rsid w:val="0065100A"/>
    <w:rsid w:val="0065118B"/>
    <w:rsid w:val="006511A3"/>
    <w:rsid w:val="00651922"/>
    <w:rsid w:val="00651A8D"/>
    <w:rsid w:val="00651BCA"/>
    <w:rsid w:val="00651E0C"/>
    <w:rsid w:val="0065207B"/>
    <w:rsid w:val="0065250F"/>
    <w:rsid w:val="0065282C"/>
    <w:rsid w:val="0065282E"/>
    <w:rsid w:val="006528CC"/>
    <w:rsid w:val="006529C0"/>
    <w:rsid w:val="006529E3"/>
    <w:rsid w:val="00652B15"/>
    <w:rsid w:val="00652C62"/>
    <w:rsid w:val="00652D03"/>
    <w:rsid w:val="00652D9A"/>
    <w:rsid w:val="00652DD7"/>
    <w:rsid w:val="00652F97"/>
    <w:rsid w:val="0065306D"/>
    <w:rsid w:val="006531D9"/>
    <w:rsid w:val="00653246"/>
    <w:rsid w:val="00653439"/>
    <w:rsid w:val="00653440"/>
    <w:rsid w:val="006535A9"/>
    <w:rsid w:val="006538B6"/>
    <w:rsid w:val="00653A1E"/>
    <w:rsid w:val="00653BF9"/>
    <w:rsid w:val="00653CA9"/>
    <w:rsid w:val="00653CEE"/>
    <w:rsid w:val="00653DDE"/>
    <w:rsid w:val="00653E58"/>
    <w:rsid w:val="00654047"/>
    <w:rsid w:val="0065404B"/>
    <w:rsid w:val="00654340"/>
    <w:rsid w:val="0065436A"/>
    <w:rsid w:val="00654584"/>
    <w:rsid w:val="006545A8"/>
    <w:rsid w:val="006545E9"/>
    <w:rsid w:val="006546EB"/>
    <w:rsid w:val="0065476F"/>
    <w:rsid w:val="006547A2"/>
    <w:rsid w:val="00654805"/>
    <w:rsid w:val="006549B4"/>
    <w:rsid w:val="00654A7E"/>
    <w:rsid w:val="00654B8A"/>
    <w:rsid w:val="00654CF8"/>
    <w:rsid w:val="00654D66"/>
    <w:rsid w:val="00654E45"/>
    <w:rsid w:val="00654E53"/>
    <w:rsid w:val="00654FED"/>
    <w:rsid w:val="0065507A"/>
    <w:rsid w:val="00655160"/>
    <w:rsid w:val="006552BC"/>
    <w:rsid w:val="006552CC"/>
    <w:rsid w:val="00655353"/>
    <w:rsid w:val="006553D1"/>
    <w:rsid w:val="006555F5"/>
    <w:rsid w:val="0065573B"/>
    <w:rsid w:val="0065581E"/>
    <w:rsid w:val="00655824"/>
    <w:rsid w:val="006558F2"/>
    <w:rsid w:val="0065595D"/>
    <w:rsid w:val="00655AB3"/>
    <w:rsid w:val="00655B0A"/>
    <w:rsid w:val="00655C21"/>
    <w:rsid w:val="00655C57"/>
    <w:rsid w:val="00655C6D"/>
    <w:rsid w:val="00655D1B"/>
    <w:rsid w:val="00655D89"/>
    <w:rsid w:val="00655E0C"/>
    <w:rsid w:val="00655FA1"/>
    <w:rsid w:val="00656079"/>
    <w:rsid w:val="006560BF"/>
    <w:rsid w:val="00656100"/>
    <w:rsid w:val="00656115"/>
    <w:rsid w:val="00656189"/>
    <w:rsid w:val="006563DB"/>
    <w:rsid w:val="006564AB"/>
    <w:rsid w:val="006567B1"/>
    <w:rsid w:val="0065681C"/>
    <w:rsid w:val="00656857"/>
    <w:rsid w:val="0065685A"/>
    <w:rsid w:val="006568A7"/>
    <w:rsid w:val="006568DD"/>
    <w:rsid w:val="00656D6C"/>
    <w:rsid w:val="00656DAF"/>
    <w:rsid w:val="00657002"/>
    <w:rsid w:val="00657315"/>
    <w:rsid w:val="006575BF"/>
    <w:rsid w:val="006577E0"/>
    <w:rsid w:val="00657808"/>
    <w:rsid w:val="006578C8"/>
    <w:rsid w:val="006578EA"/>
    <w:rsid w:val="00660056"/>
    <w:rsid w:val="006600BB"/>
    <w:rsid w:val="006601E3"/>
    <w:rsid w:val="006601F4"/>
    <w:rsid w:val="00660361"/>
    <w:rsid w:val="006603DC"/>
    <w:rsid w:val="0066045E"/>
    <w:rsid w:val="00660674"/>
    <w:rsid w:val="006607FA"/>
    <w:rsid w:val="0066090E"/>
    <w:rsid w:val="00660964"/>
    <w:rsid w:val="006609DD"/>
    <w:rsid w:val="00660B13"/>
    <w:rsid w:val="00660B8E"/>
    <w:rsid w:val="00660C8F"/>
    <w:rsid w:val="00660C9C"/>
    <w:rsid w:val="00660D0D"/>
    <w:rsid w:val="00660D7B"/>
    <w:rsid w:val="00660DFA"/>
    <w:rsid w:val="00660E13"/>
    <w:rsid w:val="006611D0"/>
    <w:rsid w:val="00661264"/>
    <w:rsid w:val="0066127A"/>
    <w:rsid w:val="00661291"/>
    <w:rsid w:val="0066130C"/>
    <w:rsid w:val="0066145E"/>
    <w:rsid w:val="00661B06"/>
    <w:rsid w:val="00661C5E"/>
    <w:rsid w:val="0066209A"/>
    <w:rsid w:val="0066227A"/>
    <w:rsid w:val="00662464"/>
    <w:rsid w:val="00662582"/>
    <w:rsid w:val="0066264B"/>
    <w:rsid w:val="006626F7"/>
    <w:rsid w:val="0066289E"/>
    <w:rsid w:val="00662A5C"/>
    <w:rsid w:val="00662BD1"/>
    <w:rsid w:val="00662BFC"/>
    <w:rsid w:val="00662D1E"/>
    <w:rsid w:val="00663000"/>
    <w:rsid w:val="006630B1"/>
    <w:rsid w:val="006630CC"/>
    <w:rsid w:val="006632C4"/>
    <w:rsid w:val="00663309"/>
    <w:rsid w:val="00663435"/>
    <w:rsid w:val="0066371A"/>
    <w:rsid w:val="0066385B"/>
    <w:rsid w:val="00663A9B"/>
    <w:rsid w:val="00663FEB"/>
    <w:rsid w:val="0066421E"/>
    <w:rsid w:val="00664232"/>
    <w:rsid w:val="0066428C"/>
    <w:rsid w:val="00664352"/>
    <w:rsid w:val="006643EA"/>
    <w:rsid w:val="00664555"/>
    <w:rsid w:val="006645DB"/>
    <w:rsid w:val="00664608"/>
    <w:rsid w:val="00664642"/>
    <w:rsid w:val="00664B7B"/>
    <w:rsid w:val="00664C08"/>
    <w:rsid w:val="00664C24"/>
    <w:rsid w:val="00664E08"/>
    <w:rsid w:val="00664F0D"/>
    <w:rsid w:val="0066504E"/>
    <w:rsid w:val="00665284"/>
    <w:rsid w:val="006652B2"/>
    <w:rsid w:val="00665455"/>
    <w:rsid w:val="006656C9"/>
    <w:rsid w:val="006656DF"/>
    <w:rsid w:val="006657EE"/>
    <w:rsid w:val="006659B6"/>
    <w:rsid w:val="00665A49"/>
    <w:rsid w:val="00665F63"/>
    <w:rsid w:val="00666029"/>
    <w:rsid w:val="006661AB"/>
    <w:rsid w:val="006662A2"/>
    <w:rsid w:val="0066645D"/>
    <w:rsid w:val="006664EB"/>
    <w:rsid w:val="00666537"/>
    <w:rsid w:val="006665DE"/>
    <w:rsid w:val="00666612"/>
    <w:rsid w:val="006668C2"/>
    <w:rsid w:val="00666990"/>
    <w:rsid w:val="00666DFB"/>
    <w:rsid w:val="00666E1A"/>
    <w:rsid w:val="00666E72"/>
    <w:rsid w:val="00667069"/>
    <w:rsid w:val="0066709E"/>
    <w:rsid w:val="006670C2"/>
    <w:rsid w:val="0066714F"/>
    <w:rsid w:val="0066720D"/>
    <w:rsid w:val="00667277"/>
    <w:rsid w:val="0066727E"/>
    <w:rsid w:val="0066738C"/>
    <w:rsid w:val="006673DA"/>
    <w:rsid w:val="006676DC"/>
    <w:rsid w:val="0066776F"/>
    <w:rsid w:val="006677AD"/>
    <w:rsid w:val="006677C9"/>
    <w:rsid w:val="006679A0"/>
    <w:rsid w:val="00667A1E"/>
    <w:rsid w:val="00667A44"/>
    <w:rsid w:val="00667AC7"/>
    <w:rsid w:val="00667B2C"/>
    <w:rsid w:val="00667B39"/>
    <w:rsid w:val="00667BE6"/>
    <w:rsid w:val="00667BFA"/>
    <w:rsid w:val="00667CA8"/>
    <w:rsid w:val="00667DE8"/>
    <w:rsid w:val="00667F16"/>
    <w:rsid w:val="00667F24"/>
    <w:rsid w:val="00667F67"/>
    <w:rsid w:val="00667F74"/>
    <w:rsid w:val="00667FA3"/>
    <w:rsid w:val="00667FE3"/>
    <w:rsid w:val="00670188"/>
    <w:rsid w:val="006705BA"/>
    <w:rsid w:val="006707D5"/>
    <w:rsid w:val="0067085A"/>
    <w:rsid w:val="00670AB2"/>
    <w:rsid w:val="00670B39"/>
    <w:rsid w:val="00670C6C"/>
    <w:rsid w:val="00670DA3"/>
    <w:rsid w:val="00670E05"/>
    <w:rsid w:val="00670E6B"/>
    <w:rsid w:val="00670E9F"/>
    <w:rsid w:val="00670EC9"/>
    <w:rsid w:val="00670FB7"/>
    <w:rsid w:val="00670FD4"/>
    <w:rsid w:val="0067102B"/>
    <w:rsid w:val="006710C4"/>
    <w:rsid w:val="0067112E"/>
    <w:rsid w:val="0067120D"/>
    <w:rsid w:val="006712F5"/>
    <w:rsid w:val="006712FE"/>
    <w:rsid w:val="00671589"/>
    <w:rsid w:val="00671595"/>
    <w:rsid w:val="0067159B"/>
    <w:rsid w:val="006716FC"/>
    <w:rsid w:val="006718CA"/>
    <w:rsid w:val="006719DA"/>
    <w:rsid w:val="00671A95"/>
    <w:rsid w:val="00671AC6"/>
    <w:rsid w:val="00671AFA"/>
    <w:rsid w:val="00671B4B"/>
    <w:rsid w:val="00671D31"/>
    <w:rsid w:val="00671D6E"/>
    <w:rsid w:val="00671DA0"/>
    <w:rsid w:val="00671EB3"/>
    <w:rsid w:val="00671F4E"/>
    <w:rsid w:val="00671FC6"/>
    <w:rsid w:val="00672000"/>
    <w:rsid w:val="006720E7"/>
    <w:rsid w:val="006721AB"/>
    <w:rsid w:val="00672297"/>
    <w:rsid w:val="00672307"/>
    <w:rsid w:val="0067230E"/>
    <w:rsid w:val="00672337"/>
    <w:rsid w:val="0067283F"/>
    <w:rsid w:val="006728B8"/>
    <w:rsid w:val="006728ED"/>
    <w:rsid w:val="00672997"/>
    <w:rsid w:val="00672A2A"/>
    <w:rsid w:val="00672B63"/>
    <w:rsid w:val="00672E41"/>
    <w:rsid w:val="00672F03"/>
    <w:rsid w:val="00673106"/>
    <w:rsid w:val="00673133"/>
    <w:rsid w:val="00673277"/>
    <w:rsid w:val="00673366"/>
    <w:rsid w:val="0067337D"/>
    <w:rsid w:val="006734F2"/>
    <w:rsid w:val="00673511"/>
    <w:rsid w:val="006736A7"/>
    <w:rsid w:val="00673838"/>
    <w:rsid w:val="00673841"/>
    <w:rsid w:val="006738E5"/>
    <w:rsid w:val="00673A0D"/>
    <w:rsid w:val="00673A77"/>
    <w:rsid w:val="00673AB3"/>
    <w:rsid w:val="00673AFE"/>
    <w:rsid w:val="00673C02"/>
    <w:rsid w:val="00673C7F"/>
    <w:rsid w:val="00673D2A"/>
    <w:rsid w:val="00673D63"/>
    <w:rsid w:val="00673D8F"/>
    <w:rsid w:val="00673DB0"/>
    <w:rsid w:val="00673E6C"/>
    <w:rsid w:val="00673F99"/>
    <w:rsid w:val="006741F6"/>
    <w:rsid w:val="00674336"/>
    <w:rsid w:val="0067442E"/>
    <w:rsid w:val="00674462"/>
    <w:rsid w:val="00674575"/>
    <w:rsid w:val="00674749"/>
    <w:rsid w:val="006748E2"/>
    <w:rsid w:val="00674975"/>
    <w:rsid w:val="00674A16"/>
    <w:rsid w:val="00674DA2"/>
    <w:rsid w:val="00674E83"/>
    <w:rsid w:val="00674EE5"/>
    <w:rsid w:val="00674FBC"/>
    <w:rsid w:val="00675095"/>
    <w:rsid w:val="00675133"/>
    <w:rsid w:val="00675289"/>
    <w:rsid w:val="00675354"/>
    <w:rsid w:val="0067552B"/>
    <w:rsid w:val="0067566C"/>
    <w:rsid w:val="00675827"/>
    <w:rsid w:val="0067587F"/>
    <w:rsid w:val="0067590D"/>
    <w:rsid w:val="0067594E"/>
    <w:rsid w:val="00675A0D"/>
    <w:rsid w:val="00675BA3"/>
    <w:rsid w:val="00675BD2"/>
    <w:rsid w:val="00675BF4"/>
    <w:rsid w:val="00675C72"/>
    <w:rsid w:val="00675C83"/>
    <w:rsid w:val="00675CB6"/>
    <w:rsid w:val="00675D4F"/>
    <w:rsid w:val="00675E82"/>
    <w:rsid w:val="00675E86"/>
    <w:rsid w:val="00675EB0"/>
    <w:rsid w:val="00675F29"/>
    <w:rsid w:val="00675F6F"/>
    <w:rsid w:val="0067626C"/>
    <w:rsid w:val="00676276"/>
    <w:rsid w:val="00676325"/>
    <w:rsid w:val="00676389"/>
    <w:rsid w:val="006763C3"/>
    <w:rsid w:val="006763D7"/>
    <w:rsid w:val="00676565"/>
    <w:rsid w:val="006765F0"/>
    <w:rsid w:val="006769CD"/>
    <w:rsid w:val="00676AC9"/>
    <w:rsid w:val="00676B61"/>
    <w:rsid w:val="00676D92"/>
    <w:rsid w:val="00676E79"/>
    <w:rsid w:val="00676ECE"/>
    <w:rsid w:val="00676F16"/>
    <w:rsid w:val="00676F19"/>
    <w:rsid w:val="0067704F"/>
    <w:rsid w:val="00677213"/>
    <w:rsid w:val="00677412"/>
    <w:rsid w:val="00677476"/>
    <w:rsid w:val="00677486"/>
    <w:rsid w:val="0067750D"/>
    <w:rsid w:val="00677633"/>
    <w:rsid w:val="006778F2"/>
    <w:rsid w:val="00677CA6"/>
    <w:rsid w:val="00677D45"/>
    <w:rsid w:val="00677DE8"/>
    <w:rsid w:val="00680152"/>
    <w:rsid w:val="00680545"/>
    <w:rsid w:val="0068055D"/>
    <w:rsid w:val="006805AD"/>
    <w:rsid w:val="006806FC"/>
    <w:rsid w:val="00680990"/>
    <w:rsid w:val="006809B9"/>
    <w:rsid w:val="00680E60"/>
    <w:rsid w:val="0068112D"/>
    <w:rsid w:val="0068113D"/>
    <w:rsid w:val="006813FA"/>
    <w:rsid w:val="006814A9"/>
    <w:rsid w:val="006814BB"/>
    <w:rsid w:val="006816CD"/>
    <w:rsid w:val="00681712"/>
    <w:rsid w:val="0068172E"/>
    <w:rsid w:val="006817E7"/>
    <w:rsid w:val="0068192E"/>
    <w:rsid w:val="00681983"/>
    <w:rsid w:val="00681AB6"/>
    <w:rsid w:val="00681B9A"/>
    <w:rsid w:val="00681CD1"/>
    <w:rsid w:val="00681E19"/>
    <w:rsid w:val="006820A9"/>
    <w:rsid w:val="00682132"/>
    <w:rsid w:val="0068219A"/>
    <w:rsid w:val="00682267"/>
    <w:rsid w:val="006824BD"/>
    <w:rsid w:val="006825A2"/>
    <w:rsid w:val="00682757"/>
    <w:rsid w:val="0068289B"/>
    <w:rsid w:val="00682A36"/>
    <w:rsid w:val="00682B7F"/>
    <w:rsid w:val="00682C5B"/>
    <w:rsid w:val="00682CF6"/>
    <w:rsid w:val="00682DD0"/>
    <w:rsid w:val="0068312D"/>
    <w:rsid w:val="00683132"/>
    <w:rsid w:val="0068321A"/>
    <w:rsid w:val="0068346C"/>
    <w:rsid w:val="006835EC"/>
    <w:rsid w:val="006838B9"/>
    <w:rsid w:val="00683911"/>
    <w:rsid w:val="00683CEE"/>
    <w:rsid w:val="00683DB9"/>
    <w:rsid w:val="00683F32"/>
    <w:rsid w:val="00683F54"/>
    <w:rsid w:val="0068423D"/>
    <w:rsid w:val="00684267"/>
    <w:rsid w:val="006843F2"/>
    <w:rsid w:val="006844F0"/>
    <w:rsid w:val="0068469D"/>
    <w:rsid w:val="006846A9"/>
    <w:rsid w:val="00684721"/>
    <w:rsid w:val="00684722"/>
    <w:rsid w:val="00684760"/>
    <w:rsid w:val="00684883"/>
    <w:rsid w:val="0068490B"/>
    <w:rsid w:val="006849D4"/>
    <w:rsid w:val="00684AD4"/>
    <w:rsid w:val="00684AF4"/>
    <w:rsid w:val="00684B4C"/>
    <w:rsid w:val="00684B58"/>
    <w:rsid w:val="00684C5F"/>
    <w:rsid w:val="00684CCC"/>
    <w:rsid w:val="00684E73"/>
    <w:rsid w:val="00684F38"/>
    <w:rsid w:val="00684FB8"/>
    <w:rsid w:val="00685004"/>
    <w:rsid w:val="00685029"/>
    <w:rsid w:val="00685150"/>
    <w:rsid w:val="0068517A"/>
    <w:rsid w:val="006852F5"/>
    <w:rsid w:val="00685310"/>
    <w:rsid w:val="0068531A"/>
    <w:rsid w:val="0068541F"/>
    <w:rsid w:val="006854DC"/>
    <w:rsid w:val="0068566B"/>
    <w:rsid w:val="0068569B"/>
    <w:rsid w:val="0068570F"/>
    <w:rsid w:val="006858DB"/>
    <w:rsid w:val="006858DD"/>
    <w:rsid w:val="00685923"/>
    <w:rsid w:val="00685B8D"/>
    <w:rsid w:val="00685CB3"/>
    <w:rsid w:val="00685CEB"/>
    <w:rsid w:val="00685E1B"/>
    <w:rsid w:val="006860A8"/>
    <w:rsid w:val="00686413"/>
    <w:rsid w:val="00686502"/>
    <w:rsid w:val="0068650A"/>
    <w:rsid w:val="0068659C"/>
    <w:rsid w:val="00686615"/>
    <w:rsid w:val="00686713"/>
    <w:rsid w:val="00686733"/>
    <w:rsid w:val="00686741"/>
    <w:rsid w:val="006867F2"/>
    <w:rsid w:val="00686970"/>
    <w:rsid w:val="00686A9F"/>
    <w:rsid w:val="00686B8C"/>
    <w:rsid w:val="00686C5D"/>
    <w:rsid w:val="00686C88"/>
    <w:rsid w:val="00686C9E"/>
    <w:rsid w:val="00686E2E"/>
    <w:rsid w:val="00686E82"/>
    <w:rsid w:val="00686EB1"/>
    <w:rsid w:val="00686EEA"/>
    <w:rsid w:val="00686FA1"/>
    <w:rsid w:val="00686FFC"/>
    <w:rsid w:val="00687209"/>
    <w:rsid w:val="0068767D"/>
    <w:rsid w:val="00687719"/>
    <w:rsid w:val="0068781D"/>
    <w:rsid w:val="0068786D"/>
    <w:rsid w:val="0068791F"/>
    <w:rsid w:val="00687BB4"/>
    <w:rsid w:val="00687BC9"/>
    <w:rsid w:val="00687C8C"/>
    <w:rsid w:val="00687DC0"/>
    <w:rsid w:val="00687E3B"/>
    <w:rsid w:val="00687F3A"/>
    <w:rsid w:val="00687FEF"/>
    <w:rsid w:val="0069017C"/>
    <w:rsid w:val="006904A1"/>
    <w:rsid w:val="0069050E"/>
    <w:rsid w:val="006906C7"/>
    <w:rsid w:val="006908AD"/>
    <w:rsid w:val="0069097B"/>
    <w:rsid w:val="006909CC"/>
    <w:rsid w:val="006909DD"/>
    <w:rsid w:val="00690C54"/>
    <w:rsid w:val="00690CC6"/>
    <w:rsid w:val="00690D90"/>
    <w:rsid w:val="00690EB8"/>
    <w:rsid w:val="00690F07"/>
    <w:rsid w:val="00690F77"/>
    <w:rsid w:val="00691078"/>
    <w:rsid w:val="00691333"/>
    <w:rsid w:val="0069133A"/>
    <w:rsid w:val="0069139C"/>
    <w:rsid w:val="006913DF"/>
    <w:rsid w:val="0069153E"/>
    <w:rsid w:val="0069159B"/>
    <w:rsid w:val="00691772"/>
    <w:rsid w:val="00691825"/>
    <w:rsid w:val="006918AD"/>
    <w:rsid w:val="00691A24"/>
    <w:rsid w:val="00691A51"/>
    <w:rsid w:val="00691AC5"/>
    <w:rsid w:val="00691AF1"/>
    <w:rsid w:val="00691EE3"/>
    <w:rsid w:val="006920D6"/>
    <w:rsid w:val="006920DE"/>
    <w:rsid w:val="00692115"/>
    <w:rsid w:val="00692151"/>
    <w:rsid w:val="006922A0"/>
    <w:rsid w:val="0069239E"/>
    <w:rsid w:val="00692420"/>
    <w:rsid w:val="00692446"/>
    <w:rsid w:val="006928F7"/>
    <w:rsid w:val="00692920"/>
    <w:rsid w:val="00692A09"/>
    <w:rsid w:val="00692A8B"/>
    <w:rsid w:val="00692BC0"/>
    <w:rsid w:val="00692D27"/>
    <w:rsid w:val="00692DA8"/>
    <w:rsid w:val="00692E48"/>
    <w:rsid w:val="00692F80"/>
    <w:rsid w:val="006933DF"/>
    <w:rsid w:val="00693452"/>
    <w:rsid w:val="0069347C"/>
    <w:rsid w:val="00693735"/>
    <w:rsid w:val="00693752"/>
    <w:rsid w:val="00693753"/>
    <w:rsid w:val="00693791"/>
    <w:rsid w:val="00693792"/>
    <w:rsid w:val="00693797"/>
    <w:rsid w:val="006937A5"/>
    <w:rsid w:val="00693808"/>
    <w:rsid w:val="006938A3"/>
    <w:rsid w:val="00693B66"/>
    <w:rsid w:val="00693BC0"/>
    <w:rsid w:val="00693C67"/>
    <w:rsid w:val="00693CCE"/>
    <w:rsid w:val="00693CE4"/>
    <w:rsid w:val="00693DE7"/>
    <w:rsid w:val="00693E83"/>
    <w:rsid w:val="00693ED6"/>
    <w:rsid w:val="00693F4C"/>
    <w:rsid w:val="00693FD6"/>
    <w:rsid w:val="00693FF5"/>
    <w:rsid w:val="006940D3"/>
    <w:rsid w:val="006940EC"/>
    <w:rsid w:val="0069442C"/>
    <w:rsid w:val="00694471"/>
    <w:rsid w:val="006946F4"/>
    <w:rsid w:val="006947C5"/>
    <w:rsid w:val="006948C2"/>
    <w:rsid w:val="00694AFB"/>
    <w:rsid w:val="00694C98"/>
    <w:rsid w:val="00694E63"/>
    <w:rsid w:val="0069509D"/>
    <w:rsid w:val="006951FA"/>
    <w:rsid w:val="0069523C"/>
    <w:rsid w:val="00695298"/>
    <w:rsid w:val="0069535B"/>
    <w:rsid w:val="0069545D"/>
    <w:rsid w:val="00695586"/>
    <w:rsid w:val="006955B4"/>
    <w:rsid w:val="00695625"/>
    <w:rsid w:val="00695642"/>
    <w:rsid w:val="00695794"/>
    <w:rsid w:val="00695829"/>
    <w:rsid w:val="00695857"/>
    <w:rsid w:val="00695AA2"/>
    <w:rsid w:val="00695B93"/>
    <w:rsid w:val="00695B9A"/>
    <w:rsid w:val="00695BE7"/>
    <w:rsid w:val="00695BF4"/>
    <w:rsid w:val="00695D93"/>
    <w:rsid w:val="00695DDB"/>
    <w:rsid w:val="00695E1A"/>
    <w:rsid w:val="00695E33"/>
    <w:rsid w:val="00695E50"/>
    <w:rsid w:val="00695E55"/>
    <w:rsid w:val="00695EE1"/>
    <w:rsid w:val="00695EEB"/>
    <w:rsid w:val="0069611E"/>
    <w:rsid w:val="006961CD"/>
    <w:rsid w:val="006961D7"/>
    <w:rsid w:val="00696201"/>
    <w:rsid w:val="00696379"/>
    <w:rsid w:val="00696411"/>
    <w:rsid w:val="00696453"/>
    <w:rsid w:val="00696517"/>
    <w:rsid w:val="00696751"/>
    <w:rsid w:val="006968E3"/>
    <w:rsid w:val="00696A29"/>
    <w:rsid w:val="00696A5C"/>
    <w:rsid w:val="00696CAA"/>
    <w:rsid w:val="00696E86"/>
    <w:rsid w:val="00696EC3"/>
    <w:rsid w:val="00696EEC"/>
    <w:rsid w:val="00696F60"/>
    <w:rsid w:val="0069702E"/>
    <w:rsid w:val="00697093"/>
    <w:rsid w:val="00697105"/>
    <w:rsid w:val="0069713B"/>
    <w:rsid w:val="0069725F"/>
    <w:rsid w:val="006973D2"/>
    <w:rsid w:val="006973FE"/>
    <w:rsid w:val="00697510"/>
    <w:rsid w:val="00697692"/>
    <w:rsid w:val="006976F4"/>
    <w:rsid w:val="0069772B"/>
    <w:rsid w:val="0069775E"/>
    <w:rsid w:val="0069776C"/>
    <w:rsid w:val="006977A0"/>
    <w:rsid w:val="00697899"/>
    <w:rsid w:val="006978F6"/>
    <w:rsid w:val="0069793B"/>
    <w:rsid w:val="00697A14"/>
    <w:rsid w:val="00697AFA"/>
    <w:rsid w:val="00697B55"/>
    <w:rsid w:val="00697C19"/>
    <w:rsid w:val="00697CAA"/>
    <w:rsid w:val="00697CCC"/>
    <w:rsid w:val="00697CDA"/>
    <w:rsid w:val="00697D38"/>
    <w:rsid w:val="00697DA3"/>
    <w:rsid w:val="00697E77"/>
    <w:rsid w:val="00697ED4"/>
    <w:rsid w:val="00697F4F"/>
    <w:rsid w:val="006A00DF"/>
    <w:rsid w:val="006A02E6"/>
    <w:rsid w:val="006A039A"/>
    <w:rsid w:val="006A03E7"/>
    <w:rsid w:val="006A0670"/>
    <w:rsid w:val="006A0760"/>
    <w:rsid w:val="006A0884"/>
    <w:rsid w:val="006A09FD"/>
    <w:rsid w:val="006A0A57"/>
    <w:rsid w:val="006A0A58"/>
    <w:rsid w:val="006A0A74"/>
    <w:rsid w:val="006A0A9F"/>
    <w:rsid w:val="006A0B27"/>
    <w:rsid w:val="006A0B79"/>
    <w:rsid w:val="006A0DDA"/>
    <w:rsid w:val="006A0EC2"/>
    <w:rsid w:val="006A1064"/>
    <w:rsid w:val="006A1085"/>
    <w:rsid w:val="006A113C"/>
    <w:rsid w:val="006A1284"/>
    <w:rsid w:val="006A1293"/>
    <w:rsid w:val="006A131C"/>
    <w:rsid w:val="006A131D"/>
    <w:rsid w:val="006A1393"/>
    <w:rsid w:val="006A13B5"/>
    <w:rsid w:val="006A13C5"/>
    <w:rsid w:val="006A13F3"/>
    <w:rsid w:val="006A15AA"/>
    <w:rsid w:val="006A1639"/>
    <w:rsid w:val="006A171A"/>
    <w:rsid w:val="006A1831"/>
    <w:rsid w:val="006A1871"/>
    <w:rsid w:val="006A18EB"/>
    <w:rsid w:val="006A19F8"/>
    <w:rsid w:val="006A1B22"/>
    <w:rsid w:val="006A1C4D"/>
    <w:rsid w:val="006A2256"/>
    <w:rsid w:val="006A234D"/>
    <w:rsid w:val="006A23D1"/>
    <w:rsid w:val="006A23EB"/>
    <w:rsid w:val="006A243E"/>
    <w:rsid w:val="006A26F2"/>
    <w:rsid w:val="006A2A14"/>
    <w:rsid w:val="006A2BFC"/>
    <w:rsid w:val="006A2CB1"/>
    <w:rsid w:val="006A2ED8"/>
    <w:rsid w:val="006A30B6"/>
    <w:rsid w:val="006A34EC"/>
    <w:rsid w:val="006A36B6"/>
    <w:rsid w:val="006A378A"/>
    <w:rsid w:val="006A38CA"/>
    <w:rsid w:val="006A38EB"/>
    <w:rsid w:val="006A39C3"/>
    <w:rsid w:val="006A3BDA"/>
    <w:rsid w:val="006A3D10"/>
    <w:rsid w:val="006A3E05"/>
    <w:rsid w:val="006A3E0A"/>
    <w:rsid w:val="006A3EDD"/>
    <w:rsid w:val="006A406D"/>
    <w:rsid w:val="006A40AA"/>
    <w:rsid w:val="006A40B4"/>
    <w:rsid w:val="006A418B"/>
    <w:rsid w:val="006A4335"/>
    <w:rsid w:val="006A439E"/>
    <w:rsid w:val="006A446B"/>
    <w:rsid w:val="006A44E4"/>
    <w:rsid w:val="006A457D"/>
    <w:rsid w:val="006A458A"/>
    <w:rsid w:val="006A473A"/>
    <w:rsid w:val="006A47D5"/>
    <w:rsid w:val="006A4A53"/>
    <w:rsid w:val="006A4A5B"/>
    <w:rsid w:val="006A4AC9"/>
    <w:rsid w:val="006A4C4E"/>
    <w:rsid w:val="006A4C9E"/>
    <w:rsid w:val="006A4E4B"/>
    <w:rsid w:val="006A4F2C"/>
    <w:rsid w:val="006A5003"/>
    <w:rsid w:val="006A51B3"/>
    <w:rsid w:val="006A52A7"/>
    <w:rsid w:val="006A52ED"/>
    <w:rsid w:val="006A5330"/>
    <w:rsid w:val="006A53A2"/>
    <w:rsid w:val="006A54A5"/>
    <w:rsid w:val="006A5561"/>
    <w:rsid w:val="006A57DC"/>
    <w:rsid w:val="006A5978"/>
    <w:rsid w:val="006A599C"/>
    <w:rsid w:val="006A5AFC"/>
    <w:rsid w:val="006A5D5E"/>
    <w:rsid w:val="006A5DCF"/>
    <w:rsid w:val="006A5EA7"/>
    <w:rsid w:val="006A6151"/>
    <w:rsid w:val="006A6157"/>
    <w:rsid w:val="006A62F0"/>
    <w:rsid w:val="006A6562"/>
    <w:rsid w:val="006A6763"/>
    <w:rsid w:val="006A676C"/>
    <w:rsid w:val="006A67EB"/>
    <w:rsid w:val="006A6810"/>
    <w:rsid w:val="006A691E"/>
    <w:rsid w:val="006A6943"/>
    <w:rsid w:val="006A6B15"/>
    <w:rsid w:val="006A6BCD"/>
    <w:rsid w:val="006A6CD7"/>
    <w:rsid w:val="006A6D59"/>
    <w:rsid w:val="006A6D9F"/>
    <w:rsid w:val="006A6DC0"/>
    <w:rsid w:val="006A6EDA"/>
    <w:rsid w:val="006A6FA1"/>
    <w:rsid w:val="006A7026"/>
    <w:rsid w:val="006A7074"/>
    <w:rsid w:val="006A7230"/>
    <w:rsid w:val="006A724C"/>
    <w:rsid w:val="006A7407"/>
    <w:rsid w:val="006A7496"/>
    <w:rsid w:val="006A763E"/>
    <w:rsid w:val="006A776A"/>
    <w:rsid w:val="006A77E0"/>
    <w:rsid w:val="006A77E4"/>
    <w:rsid w:val="006A7830"/>
    <w:rsid w:val="006A7983"/>
    <w:rsid w:val="006A7A38"/>
    <w:rsid w:val="006A7AAF"/>
    <w:rsid w:val="006A7B3D"/>
    <w:rsid w:val="006A7C25"/>
    <w:rsid w:val="006A7FCA"/>
    <w:rsid w:val="006B010B"/>
    <w:rsid w:val="006B011E"/>
    <w:rsid w:val="006B01D5"/>
    <w:rsid w:val="006B0313"/>
    <w:rsid w:val="006B03D3"/>
    <w:rsid w:val="006B0599"/>
    <w:rsid w:val="006B0659"/>
    <w:rsid w:val="006B0688"/>
    <w:rsid w:val="006B0976"/>
    <w:rsid w:val="006B0985"/>
    <w:rsid w:val="006B09E3"/>
    <w:rsid w:val="006B0A72"/>
    <w:rsid w:val="006B0B39"/>
    <w:rsid w:val="006B0B4A"/>
    <w:rsid w:val="006B0DB3"/>
    <w:rsid w:val="006B0EB0"/>
    <w:rsid w:val="006B0EC1"/>
    <w:rsid w:val="006B10BE"/>
    <w:rsid w:val="006B1293"/>
    <w:rsid w:val="006B1381"/>
    <w:rsid w:val="006B138B"/>
    <w:rsid w:val="006B153A"/>
    <w:rsid w:val="006B158F"/>
    <w:rsid w:val="006B1627"/>
    <w:rsid w:val="006B1783"/>
    <w:rsid w:val="006B19B8"/>
    <w:rsid w:val="006B19F4"/>
    <w:rsid w:val="006B1AD2"/>
    <w:rsid w:val="006B1BAF"/>
    <w:rsid w:val="006B1CF9"/>
    <w:rsid w:val="006B1D1B"/>
    <w:rsid w:val="006B1D87"/>
    <w:rsid w:val="006B223C"/>
    <w:rsid w:val="006B251B"/>
    <w:rsid w:val="006B25E4"/>
    <w:rsid w:val="006B2859"/>
    <w:rsid w:val="006B28F8"/>
    <w:rsid w:val="006B2AE6"/>
    <w:rsid w:val="006B2AED"/>
    <w:rsid w:val="006B2AEF"/>
    <w:rsid w:val="006B2B7B"/>
    <w:rsid w:val="006B2C6F"/>
    <w:rsid w:val="006B2C73"/>
    <w:rsid w:val="006B30A6"/>
    <w:rsid w:val="006B30F4"/>
    <w:rsid w:val="006B32A9"/>
    <w:rsid w:val="006B3326"/>
    <w:rsid w:val="006B333A"/>
    <w:rsid w:val="006B346D"/>
    <w:rsid w:val="006B35A3"/>
    <w:rsid w:val="006B377A"/>
    <w:rsid w:val="006B3798"/>
    <w:rsid w:val="006B37A2"/>
    <w:rsid w:val="006B3886"/>
    <w:rsid w:val="006B38BA"/>
    <w:rsid w:val="006B3A4B"/>
    <w:rsid w:val="006B3A6F"/>
    <w:rsid w:val="006B3BA8"/>
    <w:rsid w:val="006B3DF9"/>
    <w:rsid w:val="006B3EE2"/>
    <w:rsid w:val="006B3F41"/>
    <w:rsid w:val="006B4050"/>
    <w:rsid w:val="006B4081"/>
    <w:rsid w:val="006B408A"/>
    <w:rsid w:val="006B4297"/>
    <w:rsid w:val="006B42BB"/>
    <w:rsid w:val="006B4317"/>
    <w:rsid w:val="006B4334"/>
    <w:rsid w:val="006B4528"/>
    <w:rsid w:val="006B463C"/>
    <w:rsid w:val="006B466E"/>
    <w:rsid w:val="006B4769"/>
    <w:rsid w:val="006B492A"/>
    <w:rsid w:val="006B4A84"/>
    <w:rsid w:val="006B4AAF"/>
    <w:rsid w:val="006B4B34"/>
    <w:rsid w:val="006B4C2C"/>
    <w:rsid w:val="006B4D9A"/>
    <w:rsid w:val="006B4EB8"/>
    <w:rsid w:val="006B4EC0"/>
    <w:rsid w:val="006B50CE"/>
    <w:rsid w:val="006B546C"/>
    <w:rsid w:val="006B553B"/>
    <w:rsid w:val="006B573F"/>
    <w:rsid w:val="006B5D02"/>
    <w:rsid w:val="006B5D5E"/>
    <w:rsid w:val="006B5F5E"/>
    <w:rsid w:val="006B5FB6"/>
    <w:rsid w:val="006B6075"/>
    <w:rsid w:val="006B6158"/>
    <w:rsid w:val="006B62CD"/>
    <w:rsid w:val="006B64F0"/>
    <w:rsid w:val="006B65A3"/>
    <w:rsid w:val="006B66C7"/>
    <w:rsid w:val="006B672A"/>
    <w:rsid w:val="006B6959"/>
    <w:rsid w:val="006B69F4"/>
    <w:rsid w:val="006B6E25"/>
    <w:rsid w:val="006B706A"/>
    <w:rsid w:val="006B7090"/>
    <w:rsid w:val="006B714E"/>
    <w:rsid w:val="006B7180"/>
    <w:rsid w:val="006B73FC"/>
    <w:rsid w:val="006B75C1"/>
    <w:rsid w:val="006B7682"/>
    <w:rsid w:val="006B7B3A"/>
    <w:rsid w:val="006B7BC8"/>
    <w:rsid w:val="006B7DC3"/>
    <w:rsid w:val="006B7E41"/>
    <w:rsid w:val="006C0240"/>
    <w:rsid w:val="006C024C"/>
    <w:rsid w:val="006C033B"/>
    <w:rsid w:val="006C04F4"/>
    <w:rsid w:val="006C0501"/>
    <w:rsid w:val="006C08BB"/>
    <w:rsid w:val="006C0B20"/>
    <w:rsid w:val="006C0B56"/>
    <w:rsid w:val="006C0B70"/>
    <w:rsid w:val="006C0C54"/>
    <w:rsid w:val="006C0E7A"/>
    <w:rsid w:val="006C1030"/>
    <w:rsid w:val="006C1115"/>
    <w:rsid w:val="006C127F"/>
    <w:rsid w:val="006C12E3"/>
    <w:rsid w:val="006C1355"/>
    <w:rsid w:val="006C1369"/>
    <w:rsid w:val="006C1387"/>
    <w:rsid w:val="006C156B"/>
    <w:rsid w:val="006C1733"/>
    <w:rsid w:val="006C178C"/>
    <w:rsid w:val="006C17CB"/>
    <w:rsid w:val="006C183F"/>
    <w:rsid w:val="006C19E8"/>
    <w:rsid w:val="006C1A41"/>
    <w:rsid w:val="006C1B5D"/>
    <w:rsid w:val="006C1BC9"/>
    <w:rsid w:val="006C1CC5"/>
    <w:rsid w:val="006C1D54"/>
    <w:rsid w:val="006C1F01"/>
    <w:rsid w:val="006C1FAC"/>
    <w:rsid w:val="006C20B2"/>
    <w:rsid w:val="006C246B"/>
    <w:rsid w:val="006C2542"/>
    <w:rsid w:val="006C267F"/>
    <w:rsid w:val="006C27C2"/>
    <w:rsid w:val="006C287E"/>
    <w:rsid w:val="006C28CE"/>
    <w:rsid w:val="006C2977"/>
    <w:rsid w:val="006C2B4B"/>
    <w:rsid w:val="006C2B89"/>
    <w:rsid w:val="006C2BA3"/>
    <w:rsid w:val="006C2C18"/>
    <w:rsid w:val="006C2CC5"/>
    <w:rsid w:val="006C2EA7"/>
    <w:rsid w:val="006C307E"/>
    <w:rsid w:val="006C31DE"/>
    <w:rsid w:val="006C33CE"/>
    <w:rsid w:val="006C36A4"/>
    <w:rsid w:val="006C393A"/>
    <w:rsid w:val="006C3954"/>
    <w:rsid w:val="006C3B51"/>
    <w:rsid w:val="006C3B7A"/>
    <w:rsid w:val="006C3B80"/>
    <w:rsid w:val="006C3BB3"/>
    <w:rsid w:val="006C3BE9"/>
    <w:rsid w:val="006C3F92"/>
    <w:rsid w:val="006C4027"/>
    <w:rsid w:val="006C41C7"/>
    <w:rsid w:val="006C42C2"/>
    <w:rsid w:val="006C4400"/>
    <w:rsid w:val="006C44E2"/>
    <w:rsid w:val="006C457F"/>
    <w:rsid w:val="006C45DC"/>
    <w:rsid w:val="006C46FE"/>
    <w:rsid w:val="006C4721"/>
    <w:rsid w:val="006C472E"/>
    <w:rsid w:val="006C4845"/>
    <w:rsid w:val="006C4876"/>
    <w:rsid w:val="006C48BA"/>
    <w:rsid w:val="006C497B"/>
    <w:rsid w:val="006C49F6"/>
    <w:rsid w:val="006C4AA0"/>
    <w:rsid w:val="006C4C0F"/>
    <w:rsid w:val="006C4C7B"/>
    <w:rsid w:val="006C5370"/>
    <w:rsid w:val="006C54C2"/>
    <w:rsid w:val="006C5833"/>
    <w:rsid w:val="006C58A9"/>
    <w:rsid w:val="006C593E"/>
    <w:rsid w:val="006C5A8C"/>
    <w:rsid w:val="006C5C5C"/>
    <w:rsid w:val="006C5C5D"/>
    <w:rsid w:val="006C5DF7"/>
    <w:rsid w:val="006C5E4B"/>
    <w:rsid w:val="006C5E7E"/>
    <w:rsid w:val="006C5F3C"/>
    <w:rsid w:val="006C6099"/>
    <w:rsid w:val="006C61F2"/>
    <w:rsid w:val="006C628E"/>
    <w:rsid w:val="006C6297"/>
    <w:rsid w:val="006C641F"/>
    <w:rsid w:val="006C64E3"/>
    <w:rsid w:val="006C664F"/>
    <w:rsid w:val="006C69B1"/>
    <w:rsid w:val="006C6A01"/>
    <w:rsid w:val="006C6B1F"/>
    <w:rsid w:val="006C6B72"/>
    <w:rsid w:val="006C6BF1"/>
    <w:rsid w:val="006C6CCE"/>
    <w:rsid w:val="006C6FF7"/>
    <w:rsid w:val="006C7015"/>
    <w:rsid w:val="006C70B4"/>
    <w:rsid w:val="006C72B2"/>
    <w:rsid w:val="006C7401"/>
    <w:rsid w:val="006C75AE"/>
    <w:rsid w:val="006C779E"/>
    <w:rsid w:val="006C7992"/>
    <w:rsid w:val="006C7BD0"/>
    <w:rsid w:val="006C7BE7"/>
    <w:rsid w:val="006C7CB6"/>
    <w:rsid w:val="006C7D8C"/>
    <w:rsid w:val="006C7E3C"/>
    <w:rsid w:val="006D0001"/>
    <w:rsid w:val="006D0070"/>
    <w:rsid w:val="006D0523"/>
    <w:rsid w:val="006D06B0"/>
    <w:rsid w:val="006D0853"/>
    <w:rsid w:val="006D0967"/>
    <w:rsid w:val="006D0A4B"/>
    <w:rsid w:val="006D0A76"/>
    <w:rsid w:val="006D0CB9"/>
    <w:rsid w:val="006D0CDE"/>
    <w:rsid w:val="006D0D19"/>
    <w:rsid w:val="006D0DE6"/>
    <w:rsid w:val="006D0ECE"/>
    <w:rsid w:val="006D0F3A"/>
    <w:rsid w:val="006D109B"/>
    <w:rsid w:val="006D11E8"/>
    <w:rsid w:val="006D1406"/>
    <w:rsid w:val="006D1409"/>
    <w:rsid w:val="006D1608"/>
    <w:rsid w:val="006D1641"/>
    <w:rsid w:val="006D16C2"/>
    <w:rsid w:val="006D1798"/>
    <w:rsid w:val="006D188A"/>
    <w:rsid w:val="006D1913"/>
    <w:rsid w:val="006D1AB8"/>
    <w:rsid w:val="006D1C25"/>
    <w:rsid w:val="006D1C4B"/>
    <w:rsid w:val="006D1D71"/>
    <w:rsid w:val="006D1E68"/>
    <w:rsid w:val="006D211E"/>
    <w:rsid w:val="006D2129"/>
    <w:rsid w:val="006D2134"/>
    <w:rsid w:val="006D2149"/>
    <w:rsid w:val="006D2319"/>
    <w:rsid w:val="006D2385"/>
    <w:rsid w:val="006D23EF"/>
    <w:rsid w:val="006D2486"/>
    <w:rsid w:val="006D2589"/>
    <w:rsid w:val="006D25CF"/>
    <w:rsid w:val="006D281D"/>
    <w:rsid w:val="006D2A8D"/>
    <w:rsid w:val="006D2BA1"/>
    <w:rsid w:val="006D2EA2"/>
    <w:rsid w:val="006D2EE0"/>
    <w:rsid w:val="006D2F0F"/>
    <w:rsid w:val="006D2F68"/>
    <w:rsid w:val="006D3164"/>
    <w:rsid w:val="006D3170"/>
    <w:rsid w:val="006D338E"/>
    <w:rsid w:val="006D3431"/>
    <w:rsid w:val="006D3496"/>
    <w:rsid w:val="006D35B7"/>
    <w:rsid w:val="006D35FC"/>
    <w:rsid w:val="006D3894"/>
    <w:rsid w:val="006D389A"/>
    <w:rsid w:val="006D3B50"/>
    <w:rsid w:val="006D3B66"/>
    <w:rsid w:val="006D3E45"/>
    <w:rsid w:val="006D3EA5"/>
    <w:rsid w:val="006D3EAA"/>
    <w:rsid w:val="006D3EEE"/>
    <w:rsid w:val="006D40F4"/>
    <w:rsid w:val="006D44B4"/>
    <w:rsid w:val="006D44D7"/>
    <w:rsid w:val="006D46B3"/>
    <w:rsid w:val="006D46D0"/>
    <w:rsid w:val="006D4829"/>
    <w:rsid w:val="006D4920"/>
    <w:rsid w:val="006D496D"/>
    <w:rsid w:val="006D49DA"/>
    <w:rsid w:val="006D4A18"/>
    <w:rsid w:val="006D4ABC"/>
    <w:rsid w:val="006D4C58"/>
    <w:rsid w:val="006D4CB8"/>
    <w:rsid w:val="006D4E34"/>
    <w:rsid w:val="006D4E74"/>
    <w:rsid w:val="006D4F5F"/>
    <w:rsid w:val="006D5298"/>
    <w:rsid w:val="006D54C4"/>
    <w:rsid w:val="006D553A"/>
    <w:rsid w:val="006D55C7"/>
    <w:rsid w:val="006D5761"/>
    <w:rsid w:val="006D578C"/>
    <w:rsid w:val="006D587C"/>
    <w:rsid w:val="006D5929"/>
    <w:rsid w:val="006D595C"/>
    <w:rsid w:val="006D5C58"/>
    <w:rsid w:val="006D5C73"/>
    <w:rsid w:val="006D5CC3"/>
    <w:rsid w:val="006D5D8B"/>
    <w:rsid w:val="006D5E8A"/>
    <w:rsid w:val="006D5FE0"/>
    <w:rsid w:val="006D6016"/>
    <w:rsid w:val="006D60AD"/>
    <w:rsid w:val="006D65EB"/>
    <w:rsid w:val="006D66EF"/>
    <w:rsid w:val="006D672F"/>
    <w:rsid w:val="006D680B"/>
    <w:rsid w:val="006D6812"/>
    <w:rsid w:val="006D6882"/>
    <w:rsid w:val="006D6887"/>
    <w:rsid w:val="006D69F2"/>
    <w:rsid w:val="006D6A23"/>
    <w:rsid w:val="006D6A92"/>
    <w:rsid w:val="006D6B89"/>
    <w:rsid w:val="006D6BA2"/>
    <w:rsid w:val="006D6BFD"/>
    <w:rsid w:val="006D6D8B"/>
    <w:rsid w:val="006D6E51"/>
    <w:rsid w:val="006D7006"/>
    <w:rsid w:val="006D7019"/>
    <w:rsid w:val="006D708D"/>
    <w:rsid w:val="006D7215"/>
    <w:rsid w:val="006D754F"/>
    <w:rsid w:val="006D76C6"/>
    <w:rsid w:val="006D76DC"/>
    <w:rsid w:val="006D76FE"/>
    <w:rsid w:val="006D7708"/>
    <w:rsid w:val="006D77D9"/>
    <w:rsid w:val="006D78E7"/>
    <w:rsid w:val="006D78F5"/>
    <w:rsid w:val="006D7A04"/>
    <w:rsid w:val="006D7AF5"/>
    <w:rsid w:val="006D7B64"/>
    <w:rsid w:val="006D7C24"/>
    <w:rsid w:val="006D7CFF"/>
    <w:rsid w:val="006D7D37"/>
    <w:rsid w:val="006D7E12"/>
    <w:rsid w:val="006D7E6E"/>
    <w:rsid w:val="006D7ED4"/>
    <w:rsid w:val="006D7FA9"/>
    <w:rsid w:val="006E0006"/>
    <w:rsid w:val="006E014B"/>
    <w:rsid w:val="006E0319"/>
    <w:rsid w:val="006E0361"/>
    <w:rsid w:val="006E03DD"/>
    <w:rsid w:val="006E03E3"/>
    <w:rsid w:val="006E041B"/>
    <w:rsid w:val="006E04C1"/>
    <w:rsid w:val="006E087D"/>
    <w:rsid w:val="006E0D0F"/>
    <w:rsid w:val="006E0DD2"/>
    <w:rsid w:val="006E0E8D"/>
    <w:rsid w:val="006E0F75"/>
    <w:rsid w:val="006E0F88"/>
    <w:rsid w:val="006E0FE2"/>
    <w:rsid w:val="006E1038"/>
    <w:rsid w:val="006E106A"/>
    <w:rsid w:val="006E115A"/>
    <w:rsid w:val="006E11C6"/>
    <w:rsid w:val="006E11EA"/>
    <w:rsid w:val="006E1266"/>
    <w:rsid w:val="006E1310"/>
    <w:rsid w:val="006E1429"/>
    <w:rsid w:val="006E1457"/>
    <w:rsid w:val="006E1487"/>
    <w:rsid w:val="006E158F"/>
    <w:rsid w:val="006E18F1"/>
    <w:rsid w:val="006E194B"/>
    <w:rsid w:val="006E19D6"/>
    <w:rsid w:val="006E1A5C"/>
    <w:rsid w:val="006E1B81"/>
    <w:rsid w:val="006E1CA3"/>
    <w:rsid w:val="006E1E23"/>
    <w:rsid w:val="006E2163"/>
    <w:rsid w:val="006E21E5"/>
    <w:rsid w:val="006E23A2"/>
    <w:rsid w:val="006E25BA"/>
    <w:rsid w:val="006E2691"/>
    <w:rsid w:val="006E27D1"/>
    <w:rsid w:val="006E27EF"/>
    <w:rsid w:val="006E2D26"/>
    <w:rsid w:val="006E2E0B"/>
    <w:rsid w:val="006E2F66"/>
    <w:rsid w:val="006E2FB4"/>
    <w:rsid w:val="006E2FB7"/>
    <w:rsid w:val="006E304B"/>
    <w:rsid w:val="006E31C7"/>
    <w:rsid w:val="006E3238"/>
    <w:rsid w:val="006E3350"/>
    <w:rsid w:val="006E336E"/>
    <w:rsid w:val="006E33AE"/>
    <w:rsid w:val="006E33CF"/>
    <w:rsid w:val="006E33DD"/>
    <w:rsid w:val="006E3505"/>
    <w:rsid w:val="006E3508"/>
    <w:rsid w:val="006E353A"/>
    <w:rsid w:val="006E3596"/>
    <w:rsid w:val="006E35AC"/>
    <w:rsid w:val="006E35CB"/>
    <w:rsid w:val="006E35E1"/>
    <w:rsid w:val="006E3665"/>
    <w:rsid w:val="006E3666"/>
    <w:rsid w:val="006E374D"/>
    <w:rsid w:val="006E376E"/>
    <w:rsid w:val="006E3886"/>
    <w:rsid w:val="006E3921"/>
    <w:rsid w:val="006E3D59"/>
    <w:rsid w:val="006E3EAB"/>
    <w:rsid w:val="006E3EC8"/>
    <w:rsid w:val="006E3F41"/>
    <w:rsid w:val="006E4027"/>
    <w:rsid w:val="006E405F"/>
    <w:rsid w:val="006E40A6"/>
    <w:rsid w:val="006E426F"/>
    <w:rsid w:val="006E44E9"/>
    <w:rsid w:val="006E45A8"/>
    <w:rsid w:val="006E460E"/>
    <w:rsid w:val="006E46A0"/>
    <w:rsid w:val="006E46E1"/>
    <w:rsid w:val="006E494F"/>
    <w:rsid w:val="006E49AE"/>
    <w:rsid w:val="006E4A49"/>
    <w:rsid w:val="006E4D04"/>
    <w:rsid w:val="006E4DFC"/>
    <w:rsid w:val="006E4FDE"/>
    <w:rsid w:val="006E5078"/>
    <w:rsid w:val="006E51D9"/>
    <w:rsid w:val="006E520B"/>
    <w:rsid w:val="006E54E2"/>
    <w:rsid w:val="006E551A"/>
    <w:rsid w:val="006E5611"/>
    <w:rsid w:val="006E5625"/>
    <w:rsid w:val="006E564F"/>
    <w:rsid w:val="006E587E"/>
    <w:rsid w:val="006E596D"/>
    <w:rsid w:val="006E59BD"/>
    <w:rsid w:val="006E5A10"/>
    <w:rsid w:val="006E5A52"/>
    <w:rsid w:val="006E5A59"/>
    <w:rsid w:val="006E5B26"/>
    <w:rsid w:val="006E5B6F"/>
    <w:rsid w:val="006E5C2B"/>
    <w:rsid w:val="006E5C46"/>
    <w:rsid w:val="006E5DC4"/>
    <w:rsid w:val="006E6190"/>
    <w:rsid w:val="006E6327"/>
    <w:rsid w:val="006E640D"/>
    <w:rsid w:val="006E6503"/>
    <w:rsid w:val="006E6680"/>
    <w:rsid w:val="006E678D"/>
    <w:rsid w:val="006E6B6B"/>
    <w:rsid w:val="006E6BB1"/>
    <w:rsid w:val="006E6CD6"/>
    <w:rsid w:val="006E6D6F"/>
    <w:rsid w:val="006E6DD2"/>
    <w:rsid w:val="006E6ED7"/>
    <w:rsid w:val="006E6EE6"/>
    <w:rsid w:val="006E6F78"/>
    <w:rsid w:val="006E705E"/>
    <w:rsid w:val="006E70E6"/>
    <w:rsid w:val="006E7255"/>
    <w:rsid w:val="006E73A0"/>
    <w:rsid w:val="006E769A"/>
    <w:rsid w:val="006E76B3"/>
    <w:rsid w:val="006E77B6"/>
    <w:rsid w:val="006E77DE"/>
    <w:rsid w:val="006E77ED"/>
    <w:rsid w:val="006E7801"/>
    <w:rsid w:val="006E78D9"/>
    <w:rsid w:val="006E79B4"/>
    <w:rsid w:val="006E7A61"/>
    <w:rsid w:val="006E7B3B"/>
    <w:rsid w:val="006E7B6C"/>
    <w:rsid w:val="006E7D4C"/>
    <w:rsid w:val="006F0187"/>
    <w:rsid w:val="006F0293"/>
    <w:rsid w:val="006F0353"/>
    <w:rsid w:val="006F0403"/>
    <w:rsid w:val="006F057F"/>
    <w:rsid w:val="006F05F0"/>
    <w:rsid w:val="006F0612"/>
    <w:rsid w:val="006F0658"/>
    <w:rsid w:val="006F0684"/>
    <w:rsid w:val="006F06C1"/>
    <w:rsid w:val="006F072A"/>
    <w:rsid w:val="006F0B92"/>
    <w:rsid w:val="006F0C9A"/>
    <w:rsid w:val="006F0D83"/>
    <w:rsid w:val="006F0DC1"/>
    <w:rsid w:val="006F0E75"/>
    <w:rsid w:val="006F1042"/>
    <w:rsid w:val="006F10FC"/>
    <w:rsid w:val="006F1308"/>
    <w:rsid w:val="006F134C"/>
    <w:rsid w:val="006F1371"/>
    <w:rsid w:val="006F1633"/>
    <w:rsid w:val="006F165B"/>
    <w:rsid w:val="006F18B8"/>
    <w:rsid w:val="006F1942"/>
    <w:rsid w:val="006F19BA"/>
    <w:rsid w:val="006F1A75"/>
    <w:rsid w:val="006F1AC4"/>
    <w:rsid w:val="006F1C31"/>
    <w:rsid w:val="006F1D13"/>
    <w:rsid w:val="006F1DDB"/>
    <w:rsid w:val="006F207E"/>
    <w:rsid w:val="006F22C7"/>
    <w:rsid w:val="006F23C3"/>
    <w:rsid w:val="006F2449"/>
    <w:rsid w:val="006F24FD"/>
    <w:rsid w:val="006F25D8"/>
    <w:rsid w:val="006F2A82"/>
    <w:rsid w:val="006F2CDE"/>
    <w:rsid w:val="006F2CE8"/>
    <w:rsid w:val="006F2D16"/>
    <w:rsid w:val="006F2D2C"/>
    <w:rsid w:val="006F2DCF"/>
    <w:rsid w:val="006F310F"/>
    <w:rsid w:val="006F3165"/>
    <w:rsid w:val="006F318C"/>
    <w:rsid w:val="006F31BE"/>
    <w:rsid w:val="006F321F"/>
    <w:rsid w:val="006F32E8"/>
    <w:rsid w:val="006F35E7"/>
    <w:rsid w:val="006F3766"/>
    <w:rsid w:val="006F391F"/>
    <w:rsid w:val="006F3A5C"/>
    <w:rsid w:val="006F3D09"/>
    <w:rsid w:val="006F3D4D"/>
    <w:rsid w:val="006F4022"/>
    <w:rsid w:val="006F4181"/>
    <w:rsid w:val="006F4290"/>
    <w:rsid w:val="006F435E"/>
    <w:rsid w:val="006F44B8"/>
    <w:rsid w:val="006F4707"/>
    <w:rsid w:val="006F4769"/>
    <w:rsid w:val="006F484B"/>
    <w:rsid w:val="006F4869"/>
    <w:rsid w:val="006F4919"/>
    <w:rsid w:val="006F4B31"/>
    <w:rsid w:val="006F4C2A"/>
    <w:rsid w:val="006F4C46"/>
    <w:rsid w:val="006F4DAB"/>
    <w:rsid w:val="006F50DA"/>
    <w:rsid w:val="006F50F1"/>
    <w:rsid w:val="006F512D"/>
    <w:rsid w:val="006F5199"/>
    <w:rsid w:val="006F5211"/>
    <w:rsid w:val="006F541A"/>
    <w:rsid w:val="006F5497"/>
    <w:rsid w:val="006F55FB"/>
    <w:rsid w:val="006F57D5"/>
    <w:rsid w:val="006F5931"/>
    <w:rsid w:val="006F598F"/>
    <w:rsid w:val="006F5C3A"/>
    <w:rsid w:val="006F5D03"/>
    <w:rsid w:val="006F5E29"/>
    <w:rsid w:val="006F5E87"/>
    <w:rsid w:val="006F6289"/>
    <w:rsid w:val="006F6671"/>
    <w:rsid w:val="006F690A"/>
    <w:rsid w:val="006F6B62"/>
    <w:rsid w:val="006F6C38"/>
    <w:rsid w:val="006F6C92"/>
    <w:rsid w:val="006F6C9D"/>
    <w:rsid w:val="006F6D30"/>
    <w:rsid w:val="006F6DEA"/>
    <w:rsid w:val="006F7204"/>
    <w:rsid w:val="006F7404"/>
    <w:rsid w:val="006F742E"/>
    <w:rsid w:val="006F75A5"/>
    <w:rsid w:val="006F7666"/>
    <w:rsid w:val="006F7699"/>
    <w:rsid w:val="006F783F"/>
    <w:rsid w:val="006F786C"/>
    <w:rsid w:val="006F787A"/>
    <w:rsid w:val="006F7BA7"/>
    <w:rsid w:val="006F7CBA"/>
    <w:rsid w:val="006F7FAD"/>
    <w:rsid w:val="00700063"/>
    <w:rsid w:val="007000AF"/>
    <w:rsid w:val="0070032E"/>
    <w:rsid w:val="0070037A"/>
    <w:rsid w:val="007003E9"/>
    <w:rsid w:val="0070044E"/>
    <w:rsid w:val="0070059A"/>
    <w:rsid w:val="00700625"/>
    <w:rsid w:val="007006D7"/>
    <w:rsid w:val="007007FA"/>
    <w:rsid w:val="007008B0"/>
    <w:rsid w:val="00700A03"/>
    <w:rsid w:val="00700ABF"/>
    <w:rsid w:val="00700B9F"/>
    <w:rsid w:val="00700BA0"/>
    <w:rsid w:val="00700F2B"/>
    <w:rsid w:val="0070100A"/>
    <w:rsid w:val="007012C2"/>
    <w:rsid w:val="00701365"/>
    <w:rsid w:val="007014CE"/>
    <w:rsid w:val="007016FA"/>
    <w:rsid w:val="007017D6"/>
    <w:rsid w:val="00701A1A"/>
    <w:rsid w:val="00701AEC"/>
    <w:rsid w:val="00701AF1"/>
    <w:rsid w:val="00701F84"/>
    <w:rsid w:val="00701FED"/>
    <w:rsid w:val="007020CE"/>
    <w:rsid w:val="007022C0"/>
    <w:rsid w:val="00702302"/>
    <w:rsid w:val="00702547"/>
    <w:rsid w:val="0070259D"/>
    <w:rsid w:val="00702692"/>
    <w:rsid w:val="007027D5"/>
    <w:rsid w:val="00702B5B"/>
    <w:rsid w:val="00702D6F"/>
    <w:rsid w:val="00703132"/>
    <w:rsid w:val="007031F9"/>
    <w:rsid w:val="007032AF"/>
    <w:rsid w:val="007032F0"/>
    <w:rsid w:val="00703319"/>
    <w:rsid w:val="0070342C"/>
    <w:rsid w:val="007034C5"/>
    <w:rsid w:val="007036CB"/>
    <w:rsid w:val="007037BC"/>
    <w:rsid w:val="00703A86"/>
    <w:rsid w:val="00703AAF"/>
    <w:rsid w:val="00703C83"/>
    <w:rsid w:val="00703CB6"/>
    <w:rsid w:val="00703D9C"/>
    <w:rsid w:val="00703F4F"/>
    <w:rsid w:val="0070408B"/>
    <w:rsid w:val="007040A8"/>
    <w:rsid w:val="00704173"/>
    <w:rsid w:val="007041DA"/>
    <w:rsid w:val="00704585"/>
    <w:rsid w:val="007047AF"/>
    <w:rsid w:val="007049D7"/>
    <w:rsid w:val="00704A59"/>
    <w:rsid w:val="0070505B"/>
    <w:rsid w:val="00705253"/>
    <w:rsid w:val="0070525A"/>
    <w:rsid w:val="00705296"/>
    <w:rsid w:val="007052E0"/>
    <w:rsid w:val="007053C4"/>
    <w:rsid w:val="00705480"/>
    <w:rsid w:val="007054B3"/>
    <w:rsid w:val="0070554A"/>
    <w:rsid w:val="007055E5"/>
    <w:rsid w:val="00705640"/>
    <w:rsid w:val="007056D6"/>
    <w:rsid w:val="00705889"/>
    <w:rsid w:val="007058FA"/>
    <w:rsid w:val="00705943"/>
    <w:rsid w:val="007059A6"/>
    <w:rsid w:val="007059D4"/>
    <w:rsid w:val="00705C9A"/>
    <w:rsid w:val="00705CAB"/>
    <w:rsid w:val="00705DE5"/>
    <w:rsid w:val="00705F82"/>
    <w:rsid w:val="007061E5"/>
    <w:rsid w:val="0070620F"/>
    <w:rsid w:val="00706700"/>
    <w:rsid w:val="007068B6"/>
    <w:rsid w:val="00706930"/>
    <w:rsid w:val="0070693A"/>
    <w:rsid w:val="007069C8"/>
    <w:rsid w:val="00706A3F"/>
    <w:rsid w:val="00706B13"/>
    <w:rsid w:val="00706B37"/>
    <w:rsid w:val="00706E9E"/>
    <w:rsid w:val="00706FE7"/>
    <w:rsid w:val="007071B3"/>
    <w:rsid w:val="00707218"/>
    <w:rsid w:val="00707474"/>
    <w:rsid w:val="0070773E"/>
    <w:rsid w:val="0070793F"/>
    <w:rsid w:val="00707973"/>
    <w:rsid w:val="00707AB4"/>
    <w:rsid w:val="00707ACD"/>
    <w:rsid w:val="00707BEB"/>
    <w:rsid w:val="00707E42"/>
    <w:rsid w:val="00707E7E"/>
    <w:rsid w:val="00707E92"/>
    <w:rsid w:val="00707EAE"/>
    <w:rsid w:val="007101A4"/>
    <w:rsid w:val="007101F6"/>
    <w:rsid w:val="0071056A"/>
    <w:rsid w:val="00710589"/>
    <w:rsid w:val="0071062A"/>
    <w:rsid w:val="007106D7"/>
    <w:rsid w:val="0071071A"/>
    <w:rsid w:val="00710837"/>
    <w:rsid w:val="007109F7"/>
    <w:rsid w:val="00710A9C"/>
    <w:rsid w:val="00710AB7"/>
    <w:rsid w:val="00710B6F"/>
    <w:rsid w:val="00710DB7"/>
    <w:rsid w:val="00710FDC"/>
    <w:rsid w:val="0071101F"/>
    <w:rsid w:val="00711140"/>
    <w:rsid w:val="00711177"/>
    <w:rsid w:val="007113CF"/>
    <w:rsid w:val="00711419"/>
    <w:rsid w:val="007115E0"/>
    <w:rsid w:val="007115EB"/>
    <w:rsid w:val="00711603"/>
    <w:rsid w:val="00711751"/>
    <w:rsid w:val="00711831"/>
    <w:rsid w:val="00711954"/>
    <w:rsid w:val="00711A27"/>
    <w:rsid w:val="00711B69"/>
    <w:rsid w:val="00711BAF"/>
    <w:rsid w:val="007121A8"/>
    <w:rsid w:val="007123B8"/>
    <w:rsid w:val="00712448"/>
    <w:rsid w:val="00712455"/>
    <w:rsid w:val="00712A7C"/>
    <w:rsid w:val="00712C16"/>
    <w:rsid w:val="007131D6"/>
    <w:rsid w:val="007131DD"/>
    <w:rsid w:val="007131EB"/>
    <w:rsid w:val="007135C1"/>
    <w:rsid w:val="0071385C"/>
    <w:rsid w:val="00713900"/>
    <w:rsid w:val="00713957"/>
    <w:rsid w:val="00713A42"/>
    <w:rsid w:val="00713A69"/>
    <w:rsid w:val="00713C14"/>
    <w:rsid w:val="00713C31"/>
    <w:rsid w:val="00713E02"/>
    <w:rsid w:val="00713F75"/>
    <w:rsid w:val="00713F87"/>
    <w:rsid w:val="00713FD9"/>
    <w:rsid w:val="0071412E"/>
    <w:rsid w:val="0071435D"/>
    <w:rsid w:val="007144C2"/>
    <w:rsid w:val="007144F4"/>
    <w:rsid w:val="00714764"/>
    <w:rsid w:val="007149B6"/>
    <w:rsid w:val="007149FC"/>
    <w:rsid w:val="00714A6A"/>
    <w:rsid w:val="00714A82"/>
    <w:rsid w:val="00714AAB"/>
    <w:rsid w:val="00714B72"/>
    <w:rsid w:val="00714BE8"/>
    <w:rsid w:val="00714C56"/>
    <w:rsid w:val="00714C81"/>
    <w:rsid w:val="00714C9D"/>
    <w:rsid w:val="00714D27"/>
    <w:rsid w:val="00714EFB"/>
    <w:rsid w:val="00714F3A"/>
    <w:rsid w:val="007151AF"/>
    <w:rsid w:val="00715230"/>
    <w:rsid w:val="007154DF"/>
    <w:rsid w:val="0071555B"/>
    <w:rsid w:val="00715698"/>
    <w:rsid w:val="007157A5"/>
    <w:rsid w:val="00715804"/>
    <w:rsid w:val="00715877"/>
    <w:rsid w:val="007158C4"/>
    <w:rsid w:val="00715BBB"/>
    <w:rsid w:val="00715BD1"/>
    <w:rsid w:val="00715CCF"/>
    <w:rsid w:val="00715D09"/>
    <w:rsid w:val="00715D78"/>
    <w:rsid w:val="00715E2A"/>
    <w:rsid w:val="00715E6B"/>
    <w:rsid w:val="00716236"/>
    <w:rsid w:val="00716259"/>
    <w:rsid w:val="007164C3"/>
    <w:rsid w:val="007164F9"/>
    <w:rsid w:val="00716629"/>
    <w:rsid w:val="00716A2F"/>
    <w:rsid w:val="00716AE3"/>
    <w:rsid w:val="00716C8B"/>
    <w:rsid w:val="00716D6E"/>
    <w:rsid w:val="00716EF4"/>
    <w:rsid w:val="00716F3D"/>
    <w:rsid w:val="00716FE2"/>
    <w:rsid w:val="007171C1"/>
    <w:rsid w:val="00717300"/>
    <w:rsid w:val="00717597"/>
    <w:rsid w:val="0071759B"/>
    <w:rsid w:val="007176F2"/>
    <w:rsid w:val="007179C7"/>
    <w:rsid w:val="00717ACA"/>
    <w:rsid w:val="00717BF3"/>
    <w:rsid w:val="00717C18"/>
    <w:rsid w:val="00717CE5"/>
    <w:rsid w:val="00717F12"/>
    <w:rsid w:val="00717FD6"/>
    <w:rsid w:val="00720068"/>
    <w:rsid w:val="007202C7"/>
    <w:rsid w:val="007202E6"/>
    <w:rsid w:val="00720389"/>
    <w:rsid w:val="00720A74"/>
    <w:rsid w:val="00720CA5"/>
    <w:rsid w:val="00720D2B"/>
    <w:rsid w:val="00721310"/>
    <w:rsid w:val="007213E9"/>
    <w:rsid w:val="00721542"/>
    <w:rsid w:val="00721619"/>
    <w:rsid w:val="007219B5"/>
    <w:rsid w:val="00721BCB"/>
    <w:rsid w:val="00721C78"/>
    <w:rsid w:val="00721D12"/>
    <w:rsid w:val="00721DD2"/>
    <w:rsid w:val="00721DF8"/>
    <w:rsid w:val="00721EAE"/>
    <w:rsid w:val="00721F05"/>
    <w:rsid w:val="00721F51"/>
    <w:rsid w:val="00721F7B"/>
    <w:rsid w:val="0072216F"/>
    <w:rsid w:val="00722264"/>
    <w:rsid w:val="00722273"/>
    <w:rsid w:val="007223FB"/>
    <w:rsid w:val="007224D5"/>
    <w:rsid w:val="007225DC"/>
    <w:rsid w:val="00722776"/>
    <w:rsid w:val="007227AD"/>
    <w:rsid w:val="007227F2"/>
    <w:rsid w:val="00722822"/>
    <w:rsid w:val="007228B1"/>
    <w:rsid w:val="00722A77"/>
    <w:rsid w:val="00722AA3"/>
    <w:rsid w:val="00722B10"/>
    <w:rsid w:val="00722B8F"/>
    <w:rsid w:val="00722C0B"/>
    <w:rsid w:val="00722D1C"/>
    <w:rsid w:val="00722E00"/>
    <w:rsid w:val="00722ED4"/>
    <w:rsid w:val="007231B7"/>
    <w:rsid w:val="00723317"/>
    <w:rsid w:val="007233A9"/>
    <w:rsid w:val="0072351D"/>
    <w:rsid w:val="007236A3"/>
    <w:rsid w:val="00723811"/>
    <w:rsid w:val="00723920"/>
    <w:rsid w:val="00723CCF"/>
    <w:rsid w:val="007240A7"/>
    <w:rsid w:val="007242BA"/>
    <w:rsid w:val="00724324"/>
    <w:rsid w:val="00724420"/>
    <w:rsid w:val="00724484"/>
    <w:rsid w:val="007244F0"/>
    <w:rsid w:val="0072454E"/>
    <w:rsid w:val="0072466F"/>
    <w:rsid w:val="00724753"/>
    <w:rsid w:val="00724871"/>
    <w:rsid w:val="00724A0E"/>
    <w:rsid w:val="00724AF9"/>
    <w:rsid w:val="00724D3A"/>
    <w:rsid w:val="00724EEA"/>
    <w:rsid w:val="00724F50"/>
    <w:rsid w:val="007251DD"/>
    <w:rsid w:val="00725600"/>
    <w:rsid w:val="00725611"/>
    <w:rsid w:val="00725818"/>
    <w:rsid w:val="00725A26"/>
    <w:rsid w:val="00725BD9"/>
    <w:rsid w:val="00725C9D"/>
    <w:rsid w:val="00725D46"/>
    <w:rsid w:val="00725D94"/>
    <w:rsid w:val="00725FEB"/>
    <w:rsid w:val="00725FF4"/>
    <w:rsid w:val="00726097"/>
    <w:rsid w:val="0072628F"/>
    <w:rsid w:val="007262C5"/>
    <w:rsid w:val="007262F8"/>
    <w:rsid w:val="007263C9"/>
    <w:rsid w:val="00726548"/>
    <w:rsid w:val="00726967"/>
    <w:rsid w:val="00726A4E"/>
    <w:rsid w:val="00726A52"/>
    <w:rsid w:val="00726A9D"/>
    <w:rsid w:val="00726FE6"/>
    <w:rsid w:val="00727067"/>
    <w:rsid w:val="00727084"/>
    <w:rsid w:val="00727085"/>
    <w:rsid w:val="0072729E"/>
    <w:rsid w:val="00727367"/>
    <w:rsid w:val="007273D7"/>
    <w:rsid w:val="007274DB"/>
    <w:rsid w:val="0072759E"/>
    <w:rsid w:val="007275AC"/>
    <w:rsid w:val="007275B8"/>
    <w:rsid w:val="007275EF"/>
    <w:rsid w:val="00727821"/>
    <w:rsid w:val="007278B4"/>
    <w:rsid w:val="00727991"/>
    <w:rsid w:val="00727BB2"/>
    <w:rsid w:val="00727BCF"/>
    <w:rsid w:val="00727BF0"/>
    <w:rsid w:val="00727C14"/>
    <w:rsid w:val="00727CC9"/>
    <w:rsid w:val="00727CF3"/>
    <w:rsid w:val="00727D6D"/>
    <w:rsid w:val="00727FA2"/>
    <w:rsid w:val="00730040"/>
    <w:rsid w:val="00730045"/>
    <w:rsid w:val="007302F0"/>
    <w:rsid w:val="0073051D"/>
    <w:rsid w:val="00730802"/>
    <w:rsid w:val="00730942"/>
    <w:rsid w:val="007309CE"/>
    <w:rsid w:val="00730C36"/>
    <w:rsid w:val="00730CCE"/>
    <w:rsid w:val="00730DC0"/>
    <w:rsid w:val="00731032"/>
    <w:rsid w:val="00731067"/>
    <w:rsid w:val="00731194"/>
    <w:rsid w:val="00731213"/>
    <w:rsid w:val="007312B3"/>
    <w:rsid w:val="00731305"/>
    <w:rsid w:val="0073130C"/>
    <w:rsid w:val="00731548"/>
    <w:rsid w:val="00731553"/>
    <w:rsid w:val="007317AA"/>
    <w:rsid w:val="007318FD"/>
    <w:rsid w:val="00731A16"/>
    <w:rsid w:val="00731A4A"/>
    <w:rsid w:val="00731AEB"/>
    <w:rsid w:val="00731B91"/>
    <w:rsid w:val="00731B99"/>
    <w:rsid w:val="00731BEA"/>
    <w:rsid w:val="00731F62"/>
    <w:rsid w:val="00731F78"/>
    <w:rsid w:val="0073214E"/>
    <w:rsid w:val="0073219A"/>
    <w:rsid w:val="00732224"/>
    <w:rsid w:val="00732391"/>
    <w:rsid w:val="0073259B"/>
    <w:rsid w:val="007326E8"/>
    <w:rsid w:val="00732871"/>
    <w:rsid w:val="00732901"/>
    <w:rsid w:val="0073292E"/>
    <w:rsid w:val="00732981"/>
    <w:rsid w:val="007329FF"/>
    <w:rsid w:val="00732A17"/>
    <w:rsid w:val="00732BB4"/>
    <w:rsid w:val="00732D14"/>
    <w:rsid w:val="00732DFC"/>
    <w:rsid w:val="00732E4C"/>
    <w:rsid w:val="00732F8A"/>
    <w:rsid w:val="00733063"/>
    <w:rsid w:val="0073318F"/>
    <w:rsid w:val="007331BA"/>
    <w:rsid w:val="007334CA"/>
    <w:rsid w:val="007334FE"/>
    <w:rsid w:val="00733648"/>
    <w:rsid w:val="007336EB"/>
    <w:rsid w:val="007337E6"/>
    <w:rsid w:val="0073382A"/>
    <w:rsid w:val="00733A37"/>
    <w:rsid w:val="00733CE3"/>
    <w:rsid w:val="00733F92"/>
    <w:rsid w:val="0073444D"/>
    <w:rsid w:val="00734590"/>
    <w:rsid w:val="00734719"/>
    <w:rsid w:val="00734805"/>
    <w:rsid w:val="007348E1"/>
    <w:rsid w:val="00734937"/>
    <w:rsid w:val="007349B7"/>
    <w:rsid w:val="00734A0D"/>
    <w:rsid w:val="00734B36"/>
    <w:rsid w:val="00734B8A"/>
    <w:rsid w:val="00734C07"/>
    <w:rsid w:val="00734D01"/>
    <w:rsid w:val="00734D6C"/>
    <w:rsid w:val="00734DA6"/>
    <w:rsid w:val="00734E52"/>
    <w:rsid w:val="00734F38"/>
    <w:rsid w:val="0073500C"/>
    <w:rsid w:val="0073504D"/>
    <w:rsid w:val="00735113"/>
    <w:rsid w:val="007351B3"/>
    <w:rsid w:val="00735221"/>
    <w:rsid w:val="0073535A"/>
    <w:rsid w:val="007354E1"/>
    <w:rsid w:val="0073559B"/>
    <w:rsid w:val="00735760"/>
    <w:rsid w:val="0073578B"/>
    <w:rsid w:val="00735840"/>
    <w:rsid w:val="0073585B"/>
    <w:rsid w:val="007358B0"/>
    <w:rsid w:val="00735965"/>
    <w:rsid w:val="0073598E"/>
    <w:rsid w:val="00735BBB"/>
    <w:rsid w:val="00735BCA"/>
    <w:rsid w:val="00735CDF"/>
    <w:rsid w:val="00735D4F"/>
    <w:rsid w:val="007361A6"/>
    <w:rsid w:val="00736210"/>
    <w:rsid w:val="007364AB"/>
    <w:rsid w:val="007369C0"/>
    <w:rsid w:val="007369FD"/>
    <w:rsid w:val="00736C39"/>
    <w:rsid w:val="00736C86"/>
    <w:rsid w:val="00736D01"/>
    <w:rsid w:val="00736EE3"/>
    <w:rsid w:val="00737036"/>
    <w:rsid w:val="0073718C"/>
    <w:rsid w:val="0073719D"/>
    <w:rsid w:val="0073720A"/>
    <w:rsid w:val="007372FE"/>
    <w:rsid w:val="00737385"/>
    <w:rsid w:val="007373D1"/>
    <w:rsid w:val="007373F8"/>
    <w:rsid w:val="0073756E"/>
    <w:rsid w:val="0073768A"/>
    <w:rsid w:val="0073795C"/>
    <w:rsid w:val="00737AC3"/>
    <w:rsid w:val="00737B48"/>
    <w:rsid w:val="00737BE8"/>
    <w:rsid w:val="00737BFF"/>
    <w:rsid w:val="00737D98"/>
    <w:rsid w:val="00737EB3"/>
    <w:rsid w:val="00737F41"/>
    <w:rsid w:val="0074007F"/>
    <w:rsid w:val="0074009B"/>
    <w:rsid w:val="007400D2"/>
    <w:rsid w:val="007401C6"/>
    <w:rsid w:val="0074036B"/>
    <w:rsid w:val="00740511"/>
    <w:rsid w:val="007406C1"/>
    <w:rsid w:val="00740A91"/>
    <w:rsid w:val="00740B72"/>
    <w:rsid w:val="00740BBD"/>
    <w:rsid w:val="00740C9D"/>
    <w:rsid w:val="00740CFD"/>
    <w:rsid w:val="00740D1C"/>
    <w:rsid w:val="00740DC6"/>
    <w:rsid w:val="00740DCE"/>
    <w:rsid w:val="00740DF0"/>
    <w:rsid w:val="00740E13"/>
    <w:rsid w:val="00740F12"/>
    <w:rsid w:val="00741071"/>
    <w:rsid w:val="0074108C"/>
    <w:rsid w:val="007410FC"/>
    <w:rsid w:val="0074110C"/>
    <w:rsid w:val="00741403"/>
    <w:rsid w:val="007415FD"/>
    <w:rsid w:val="007417B1"/>
    <w:rsid w:val="007418C8"/>
    <w:rsid w:val="007419DA"/>
    <w:rsid w:val="00741B98"/>
    <w:rsid w:val="00741BC1"/>
    <w:rsid w:val="00741BDA"/>
    <w:rsid w:val="00741CDD"/>
    <w:rsid w:val="00741DFB"/>
    <w:rsid w:val="00741F42"/>
    <w:rsid w:val="00742068"/>
    <w:rsid w:val="0074236E"/>
    <w:rsid w:val="007423B3"/>
    <w:rsid w:val="0074249E"/>
    <w:rsid w:val="00742507"/>
    <w:rsid w:val="00742537"/>
    <w:rsid w:val="00742606"/>
    <w:rsid w:val="00742634"/>
    <w:rsid w:val="0074277E"/>
    <w:rsid w:val="0074287A"/>
    <w:rsid w:val="00742AFE"/>
    <w:rsid w:val="00742C08"/>
    <w:rsid w:val="00742C8E"/>
    <w:rsid w:val="007431DD"/>
    <w:rsid w:val="00743242"/>
    <w:rsid w:val="0074336D"/>
    <w:rsid w:val="00743449"/>
    <w:rsid w:val="0074344C"/>
    <w:rsid w:val="007434AB"/>
    <w:rsid w:val="007434B1"/>
    <w:rsid w:val="007435F1"/>
    <w:rsid w:val="007436A1"/>
    <w:rsid w:val="007436C6"/>
    <w:rsid w:val="0074382D"/>
    <w:rsid w:val="0074386C"/>
    <w:rsid w:val="007438EA"/>
    <w:rsid w:val="007439AB"/>
    <w:rsid w:val="00743BC5"/>
    <w:rsid w:val="00743C21"/>
    <w:rsid w:val="00743CD9"/>
    <w:rsid w:val="00743DB2"/>
    <w:rsid w:val="00743DD5"/>
    <w:rsid w:val="00743E17"/>
    <w:rsid w:val="00743EB8"/>
    <w:rsid w:val="00744280"/>
    <w:rsid w:val="0074435B"/>
    <w:rsid w:val="0074444B"/>
    <w:rsid w:val="00744488"/>
    <w:rsid w:val="00744508"/>
    <w:rsid w:val="007447AE"/>
    <w:rsid w:val="00744A28"/>
    <w:rsid w:val="00744A8B"/>
    <w:rsid w:val="00744AAE"/>
    <w:rsid w:val="00744E42"/>
    <w:rsid w:val="00744F6D"/>
    <w:rsid w:val="00744F8A"/>
    <w:rsid w:val="007450DD"/>
    <w:rsid w:val="0074519C"/>
    <w:rsid w:val="007452D3"/>
    <w:rsid w:val="007457F3"/>
    <w:rsid w:val="00745996"/>
    <w:rsid w:val="007459A0"/>
    <w:rsid w:val="007459A6"/>
    <w:rsid w:val="00745A2C"/>
    <w:rsid w:val="00745A39"/>
    <w:rsid w:val="00745A5D"/>
    <w:rsid w:val="00745B5D"/>
    <w:rsid w:val="00745C2B"/>
    <w:rsid w:val="00745CA0"/>
    <w:rsid w:val="00745CC0"/>
    <w:rsid w:val="00745DED"/>
    <w:rsid w:val="00745E9B"/>
    <w:rsid w:val="00746023"/>
    <w:rsid w:val="0074619C"/>
    <w:rsid w:val="007461E9"/>
    <w:rsid w:val="00746295"/>
    <w:rsid w:val="007462C1"/>
    <w:rsid w:val="00746323"/>
    <w:rsid w:val="00746334"/>
    <w:rsid w:val="0074638A"/>
    <w:rsid w:val="007464B3"/>
    <w:rsid w:val="007464CA"/>
    <w:rsid w:val="00746634"/>
    <w:rsid w:val="0074679C"/>
    <w:rsid w:val="00746803"/>
    <w:rsid w:val="0074681E"/>
    <w:rsid w:val="0074688D"/>
    <w:rsid w:val="007469B5"/>
    <w:rsid w:val="00746BEB"/>
    <w:rsid w:val="00746C0E"/>
    <w:rsid w:val="00746CE7"/>
    <w:rsid w:val="00746D55"/>
    <w:rsid w:val="00746D93"/>
    <w:rsid w:val="00746EDC"/>
    <w:rsid w:val="00747039"/>
    <w:rsid w:val="00747207"/>
    <w:rsid w:val="0074721C"/>
    <w:rsid w:val="007473B4"/>
    <w:rsid w:val="00747506"/>
    <w:rsid w:val="00747734"/>
    <w:rsid w:val="00747740"/>
    <w:rsid w:val="007478C2"/>
    <w:rsid w:val="00747903"/>
    <w:rsid w:val="0074790D"/>
    <w:rsid w:val="007479D0"/>
    <w:rsid w:val="00747BC1"/>
    <w:rsid w:val="00747BD7"/>
    <w:rsid w:val="00747C2F"/>
    <w:rsid w:val="00747C95"/>
    <w:rsid w:val="00750003"/>
    <w:rsid w:val="0075007C"/>
    <w:rsid w:val="007501F1"/>
    <w:rsid w:val="0075024F"/>
    <w:rsid w:val="00750298"/>
    <w:rsid w:val="0075033E"/>
    <w:rsid w:val="0075038F"/>
    <w:rsid w:val="0075049F"/>
    <w:rsid w:val="00750545"/>
    <w:rsid w:val="00750682"/>
    <w:rsid w:val="0075073A"/>
    <w:rsid w:val="0075073C"/>
    <w:rsid w:val="0075085D"/>
    <w:rsid w:val="00750993"/>
    <w:rsid w:val="00750AF8"/>
    <w:rsid w:val="00750BEB"/>
    <w:rsid w:val="00750CB2"/>
    <w:rsid w:val="00750D0B"/>
    <w:rsid w:val="00750D0C"/>
    <w:rsid w:val="00750D49"/>
    <w:rsid w:val="00750F35"/>
    <w:rsid w:val="00751066"/>
    <w:rsid w:val="00751365"/>
    <w:rsid w:val="00751465"/>
    <w:rsid w:val="007515A9"/>
    <w:rsid w:val="0075166A"/>
    <w:rsid w:val="00751692"/>
    <w:rsid w:val="0075171C"/>
    <w:rsid w:val="00751F5F"/>
    <w:rsid w:val="00751F79"/>
    <w:rsid w:val="00751FA2"/>
    <w:rsid w:val="0075205B"/>
    <w:rsid w:val="00752074"/>
    <w:rsid w:val="0075228D"/>
    <w:rsid w:val="00752412"/>
    <w:rsid w:val="00752415"/>
    <w:rsid w:val="0075263B"/>
    <w:rsid w:val="00752846"/>
    <w:rsid w:val="007528F1"/>
    <w:rsid w:val="00752A3A"/>
    <w:rsid w:val="00752ABF"/>
    <w:rsid w:val="00752CD3"/>
    <w:rsid w:val="00752D1F"/>
    <w:rsid w:val="00752D55"/>
    <w:rsid w:val="00752F18"/>
    <w:rsid w:val="00752FD9"/>
    <w:rsid w:val="00753163"/>
    <w:rsid w:val="00753403"/>
    <w:rsid w:val="00753491"/>
    <w:rsid w:val="007535C8"/>
    <w:rsid w:val="007535F8"/>
    <w:rsid w:val="00753817"/>
    <w:rsid w:val="0075387E"/>
    <w:rsid w:val="007538F4"/>
    <w:rsid w:val="00753AA3"/>
    <w:rsid w:val="00753AE6"/>
    <w:rsid w:val="00753EA9"/>
    <w:rsid w:val="00753FE1"/>
    <w:rsid w:val="00754185"/>
    <w:rsid w:val="007542DA"/>
    <w:rsid w:val="007543C3"/>
    <w:rsid w:val="007544C3"/>
    <w:rsid w:val="007544D5"/>
    <w:rsid w:val="00754508"/>
    <w:rsid w:val="007545BF"/>
    <w:rsid w:val="0075472C"/>
    <w:rsid w:val="00754801"/>
    <w:rsid w:val="007548C4"/>
    <w:rsid w:val="00754AAC"/>
    <w:rsid w:val="00754B2B"/>
    <w:rsid w:val="00754B7D"/>
    <w:rsid w:val="00754D78"/>
    <w:rsid w:val="00754ED8"/>
    <w:rsid w:val="00754EDD"/>
    <w:rsid w:val="00754EE9"/>
    <w:rsid w:val="00754F26"/>
    <w:rsid w:val="00754FB7"/>
    <w:rsid w:val="0075503E"/>
    <w:rsid w:val="00755126"/>
    <w:rsid w:val="0075538A"/>
    <w:rsid w:val="00755673"/>
    <w:rsid w:val="007556FD"/>
    <w:rsid w:val="00755738"/>
    <w:rsid w:val="00755817"/>
    <w:rsid w:val="007559B2"/>
    <w:rsid w:val="00755B73"/>
    <w:rsid w:val="00755E46"/>
    <w:rsid w:val="00755F47"/>
    <w:rsid w:val="007561D1"/>
    <w:rsid w:val="00756348"/>
    <w:rsid w:val="00756358"/>
    <w:rsid w:val="007563D8"/>
    <w:rsid w:val="007564EC"/>
    <w:rsid w:val="007567DA"/>
    <w:rsid w:val="0075686B"/>
    <w:rsid w:val="0075693A"/>
    <w:rsid w:val="00756BD8"/>
    <w:rsid w:val="00756C57"/>
    <w:rsid w:val="00756C5E"/>
    <w:rsid w:val="00756C7F"/>
    <w:rsid w:val="00756D56"/>
    <w:rsid w:val="00756DAB"/>
    <w:rsid w:val="00756EAB"/>
    <w:rsid w:val="00756ED1"/>
    <w:rsid w:val="007571E6"/>
    <w:rsid w:val="00757284"/>
    <w:rsid w:val="00757337"/>
    <w:rsid w:val="007573BF"/>
    <w:rsid w:val="00757573"/>
    <w:rsid w:val="00757A4B"/>
    <w:rsid w:val="00757A80"/>
    <w:rsid w:val="00757AE6"/>
    <w:rsid w:val="00757CDF"/>
    <w:rsid w:val="00757DA5"/>
    <w:rsid w:val="00757E64"/>
    <w:rsid w:val="0076009B"/>
    <w:rsid w:val="00760274"/>
    <w:rsid w:val="007602A8"/>
    <w:rsid w:val="0076045F"/>
    <w:rsid w:val="007605F2"/>
    <w:rsid w:val="007606EB"/>
    <w:rsid w:val="007607DC"/>
    <w:rsid w:val="00760B18"/>
    <w:rsid w:val="00760C1D"/>
    <w:rsid w:val="00760C8C"/>
    <w:rsid w:val="00760CAC"/>
    <w:rsid w:val="00760CEE"/>
    <w:rsid w:val="00760DD6"/>
    <w:rsid w:val="00760E1D"/>
    <w:rsid w:val="00760F0C"/>
    <w:rsid w:val="00760FBA"/>
    <w:rsid w:val="00761077"/>
    <w:rsid w:val="0076116B"/>
    <w:rsid w:val="0076116E"/>
    <w:rsid w:val="0076128A"/>
    <w:rsid w:val="007612BD"/>
    <w:rsid w:val="00761341"/>
    <w:rsid w:val="0076144E"/>
    <w:rsid w:val="00761588"/>
    <w:rsid w:val="00761617"/>
    <w:rsid w:val="007619E5"/>
    <w:rsid w:val="00761A0F"/>
    <w:rsid w:val="00761AEB"/>
    <w:rsid w:val="00761C22"/>
    <w:rsid w:val="00761C62"/>
    <w:rsid w:val="00761D8C"/>
    <w:rsid w:val="00761E56"/>
    <w:rsid w:val="00761EEC"/>
    <w:rsid w:val="00761F9B"/>
    <w:rsid w:val="00762097"/>
    <w:rsid w:val="007620E7"/>
    <w:rsid w:val="0076214E"/>
    <w:rsid w:val="0076218D"/>
    <w:rsid w:val="00762241"/>
    <w:rsid w:val="00762289"/>
    <w:rsid w:val="007623FB"/>
    <w:rsid w:val="00762428"/>
    <w:rsid w:val="0076265D"/>
    <w:rsid w:val="0076267A"/>
    <w:rsid w:val="007626AA"/>
    <w:rsid w:val="00762703"/>
    <w:rsid w:val="007627FB"/>
    <w:rsid w:val="00762835"/>
    <w:rsid w:val="00762911"/>
    <w:rsid w:val="00762AF3"/>
    <w:rsid w:val="00762B75"/>
    <w:rsid w:val="00762E19"/>
    <w:rsid w:val="00762E85"/>
    <w:rsid w:val="00762E9C"/>
    <w:rsid w:val="007633A5"/>
    <w:rsid w:val="00763497"/>
    <w:rsid w:val="007635B8"/>
    <w:rsid w:val="00763779"/>
    <w:rsid w:val="00763780"/>
    <w:rsid w:val="00763806"/>
    <w:rsid w:val="00763875"/>
    <w:rsid w:val="0076392B"/>
    <w:rsid w:val="00763A8B"/>
    <w:rsid w:val="00763AE9"/>
    <w:rsid w:val="00763B7B"/>
    <w:rsid w:val="00763F30"/>
    <w:rsid w:val="00763F84"/>
    <w:rsid w:val="00764082"/>
    <w:rsid w:val="00764095"/>
    <w:rsid w:val="007640DF"/>
    <w:rsid w:val="0076411D"/>
    <w:rsid w:val="00764164"/>
    <w:rsid w:val="007642A0"/>
    <w:rsid w:val="0076434F"/>
    <w:rsid w:val="0076439D"/>
    <w:rsid w:val="00764510"/>
    <w:rsid w:val="007646E2"/>
    <w:rsid w:val="00764711"/>
    <w:rsid w:val="00764967"/>
    <w:rsid w:val="00764D4D"/>
    <w:rsid w:val="00764DBD"/>
    <w:rsid w:val="00764F2F"/>
    <w:rsid w:val="00764FE5"/>
    <w:rsid w:val="00764FF0"/>
    <w:rsid w:val="0076500D"/>
    <w:rsid w:val="0076515B"/>
    <w:rsid w:val="007651AC"/>
    <w:rsid w:val="007651FB"/>
    <w:rsid w:val="007652C1"/>
    <w:rsid w:val="0076537A"/>
    <w:rsid w:val="0076544B"/>
    <w:rsid w:val="00765511"/>
    <w:rsid w:val="007656CB"/>
    <w:rsid w:val="0076578B"/>
    <w:rsid w:val="007657B4"/>
    <w:rsid w:val="00765849"/>
    <w:rsid w:val="007658A5"/>
    <w:rsid w:val="0076599A"/>
    <w:rsid w:val="00765A2B"/>
    <w:rsid w:val="00765BA4"/>
    <w:rsid w:val="00765BB8"/>
    <w:rsid w:val="00765C6C"/>
    <w:rsid w:val="00765F9D"/>
    <w:rsid w:val="007660B4"/>
    <w:rsid w:val="00766151"/>
    <w:rsid w:val="0076615D"/>
    <w:rsid w:val="007662A8"/>
    <w:rsid w:val="007662C1"/>
    <w:rsid w:val="00766583"/>
    <w:rsid w:val="007666FA"/>
    <w:rsid w:val="00766720"/>
    <w:rsid w:val="00766893"/>
    <w:rsid w:val="007668BD"/>
    <w:rsid w:val="00766954"/>
    <w:rsid w:val="00766BA0"/>
    <w:rsid w:val="00766BAC"/>
    <w:rsid w:val="00766BAF"/>
    <w:rsid w:val="00766BE8"/>
    <w:rsid w:val="00766C6B"/>
    <w:rsid w:val="00766D2D"/>
    <w:rsid w:val="00766DED"/>
    <w:rsid w:val="0076719D"/>
    <w:rsid w:val="007672D0"/>
    <w:rsid w:val="00767468"/>
    <w:rsid w:val="007675EA"/>
    <w:rsid w:val="007676D0"/>
    <w:rsid w:val="00767896"/>
    <w:rsid w:val="007678F3"/>
    <w:rsid w:val="00767939"/>
    <w:rsid w:val="00767941"/>
    <w:rsid w:val="00767A63"/>
    <w:rsid w:val="00767A90"/>
    <w:rsid w:val="00767A93"/>
    <w:rsid w:val="00767B67"/>
    <w:rsid w:val="00767D1E"/>
    <w:rsid w:val="00767E29"/>
    <w:rsid w:val="00767FDB"/>
    <w:rsid w:val="007700E9"/>
    <w:rsid w:val="007701D5"/>
    <w:rsid w:val="0077023C"/>
    <w:rsid w:val="007702FF"/>
    <w:rsid w:val="007704DC"/>
    <w:rsid w:val="007705C8"/>
    <w:rsid w:val="0077060C"/>
    <w:rsid w:val="0077075B"/>
    <w:rsid w:val="00770761"/>
    <w:rsid w:val="00770D99"/>
    <w:rsid w:val="00770E4C"/>
    <w:rsid w:val="00770E87"/>
    <w:rsid w:val="00770F85"/>
    <w:rsid w:val="0077121B"/>
    <w:rsid w:val="00771423"/>
    <w:rsid w:val="00771768"/>
    <w:rsid w:val="00771795"/>
    <w:rsid w:val="0077188A"/>
    <w:rsid w:val="00771C46"/>
    <w:rsid w:val="00771E4D"/>
    <w:rsid w:val="00771F30"/>
    <w:rsid w:val="00771F6B"/>
    <w:rsid w:val="00771F6C"/>
    <w:rsid w:val="00772027"/>
    <w:rsid w:val="00772078"/>
    <w:rsid w:val="00772082"/>
    <w:rsid w:val="00772108"/>
    <w:rsid w:val="0077216A"/>
    <w:rsid w:val="007721D3"/>
    <w:rsid w:val="007722EA"/>
    <w:rsid w:val="0077236A"/>
    <w:rsid w:val="00772614"/>
    <w:rsid w:val="007726B4"/>
    <w:rsid w:val="007727DF"/>
    <w:rsid w:val="00772802"/>
    <w:rsid w:val="00772819"/>
    <w:rsid w:val="00772B7D"/>
    <w:rsid w:val="00772C79"/>
    <w:rsid w:val="00772CAA"/>
    <w:rsid w:val="00772CCC"/>
    <w:rsid w:val="00772D36"/>
    <w:rsid w:val="00772D72"/>
    <w:rsid w:val="00772E6F"/>
    <w:rsid w:val="00772EBB"/>
    <w:rsid w:val="00772F9C"/>
    <w:rsid w:val="00772FE4"/>
    <w:rsid w:val="007731DE"/>
    <w:rsid w:val="007731EB"/>
    <w:rsid w:val="00773304"/>
    <w:rsid w:val="00773436"/>
    <w:rsid w:val="00773475"/>
    <w:rsid w:val="00773536"/>
    <w:rsid w:val="0077355B"/>
    <w:rsid w:val="0077356A"/>
    <w:rsid w:val="007735CC"/>
    <w:rsid w:val="00773747"/>
    <w:rsid w:val="00773907"/>
    <w:rsid w:val="00773939"/>
    <w:rsid w:val="00773A9D"/>
    <w:rsid w:val="00773CE8"/>
    <w:rsid w:val="00773D01"/>
    <w:rsid w:val="00773E69"/>
    <w:rsid w:val="00773EBD"/>
    <w:rsid w:val="00773EC6"/>
    <w:rsid w:val="00773FBA"/>
    <w:rsid w:val="0077416C"/>
    <w:rsid w:val="00774191"/>
    <w:rsid w:val="007742FC"/>
    <w:rsid w:val="00774387"/>
    <w:rsid w:val="007744AD"/>
    <w:rsid w:val="00774515"/>
    <w:rsid w:val="007745A1"/>
    <w:rsid w:val="007746EB"/>
    <w:rsid w:val="007748A4"/>
    <w:rsid w:val="00774E05"/>
    <w:rsid w:val="00774EB4"/>
    <w:rsid w:val="00774EB6"/>
    <w:rsid w:val="00774FB0"/>
    <w:rsid w:val="007750EF"/>
    <w:rsid w:val="0077510F"/>
    <w:rsid w:val="0077513D"/>
    <w:rsid w:val="007752A3"/>
    <w:rsid w:val="00775662"/>
    <w:rsid w:val="007756E8"/>
    <w:rsid w:val="007756F0"/>
    <w:rsid w:val="0077574F"/>
    <w:rsid w:val="007759C5"/>
    <w:rsid w:val="00775AB6"/>
    <w:rsid w:val="00775B16"/>
    <w:rsid w:val="00775B32"/>
    <w:rsid w:val="00775BE5"/>
    <w:rsid w:val="00775C09"/>
    <w:rsid w:val="00775DAB"/>
    <w:rsid w:val="00775DBC"/>
    <w:rsid w:val="00775EB6"/>
    <w:rsid w:val="00775F20"/>
    <w:rsid w:val="00776124"/>
    <w:rsid w:val="007761C6"/>
    <w:rsid w:val="007762D5"/>
    <w:rsid w:val="00776386"/>
    <w:rsid w:val="007763CF"/>
    <w:rsid w:val="00776513"/>
    <w:rsid w:val="0077651D"/>
    <w:rsid w:val="007766D9"/>
    <w:rsid w:val="00776761"/>
    <w:rsid w:val="0077678C"/>
    <w:rsid w:val="0077694A"/>
    <w:rsid w:val="00776A11"/>
    <w:rsid w:val="00776A4A"/>
    <w:rsid w:val="00776A68"/>
    <w:rsid w:val="00776B3C"/>
    <w:rsid w:val="00776B40"/>
    <w:rsid w:val="00776C37"/>
    <w:rsid w:val="00776DF4"/>
    <w:rsid w:val="00776DFA"/>
    <w:rsid w:val="00776E26"/>
    <w:rsid w:val="00776F88"/>
    <w:rsid w:val="00777178"/>
    <w:rsid w:val="00777336"/>
    <w:rsid w:val="00777342"/>
    <w:rsid w:val="00777346"/>
    <w:rsid w:val="0077743E"/>
    <w:rsid w:val="00777531"/>
    <w:rsid w:val="007775B3"/>
    <w:rsid w:val="0077766E"/>
    <w:rsid w:val="0077767D"/>
    <w:rsid w:val="00777B4B"/>
    <w:rsid w:val="00777B70"/>
    <w:rsid w:val="00777C85"/>
    <w:rsid w:val="00777DA1"/>
    <w:rsid w:val="0078003A"/>
    <w:rsid w:val="00780131"/>
    <w:rsid w:val="007801A9"/>
    <w:rsid w:val="007803B1"/>
    <w:rsid w:val="00780430"/>
    <w:rsid w:val="0078068F"/>
    <w:rsid w:val="00780AA5"/>
    <w:rsid w:val="00780AB8"/>
    <w:rsid w:val="00780BCC"/>
    <w:rsid w:val="00780C42"/>
    <w:rsid w:val="00780E26"/>
    <w:rsid w:val="00780E4F"/>
    <w:rsid w:val="00780EB0"/>
    <w:rsid w:val="007810FE"/>
    <w:rsid w:val="0078116C"/>
    <w:rsid w:val="0078121E"/>
    <w:rsid w:val="007812EC"/>
    <w:rsid w:val="00781436"/>
    <w:rsid w:val="0078154F"/>
    <w:rsid w:val="0078163D"/>
    <w:rsid w:val="00781722"/>
    <w:rsid w:val="00781BE0"/>
    <w:rsid w:val="00781C1A"/>
    <w:rsid w:val="00781E52"/>
    <w:rsid w:val="00781F46"/>
    <w:rsid w:val="0078200F"/>
    <w:rsid w:val="007820FA"/>
    <w:rsid w:val="00782233"/>
    <w:rsid w:val="0078225D"/>
    <w:rsid w:val="00782267"/>
    <w:rsid w:val="007823FD"/>
    <w:rsid w:val="0078255F"/>
    <w:rsid w:val="007826C1"/>
    <w:rsid w:val="00782744"/>
    <w:rsid w:val="007827AD"/>
    <w:rsid w:val="00782940"/>
    <w:rsid w:val="00782999"/>
    <w:rsid w:val="00782AB2"/>
    <w:rsid w:val="00782ADA"/>
    <w:rsid w:val="00782CE6"/>
    <w:rsid w:val="00782D80"/>
    <w:rsid w:val="00782D9A"/>
    <w:rsid w:val="00782E58"/>
    <w:rsid w:val="00782E79"/>
    <w:rsid w:val="00782E81"/>
    <w:rsid w:val="0078314D"/>
    <w:rsid w:val="00783256"/>
    <w:rsid w:val="007832D2"/>
    <w:rsid w:val="007832E6"/>
    <w:rsid w:val="0078334F"/>
    <w:rsid w:val="0078337B"/>
    <w:rsid w:val="00783457"/>
    <w:rsid w:val="00783479"/>
    <w:rsid w:val="00783699"/>
    <w:rsid w:val="00783778"/>
    <w:rsid w:val="007837C8"/>
    <w:rsid w:val="007837DC"/>
    <w:rsid w:val="00783B2E"/>
    <w:rsid w:val="00783CCA"/>
    <w:rsid w:val="00783E61"/>
    <w:rsid w:val="00784096"/>
    <w:rsid w:val="007840E2"/>
    <w:rsid w:val="00784105"/>
    <w:rsid w:val="007842C9"/>
    <w:rsid w:val="0078433C"/>
    <w:rsid w:val="00784347"/>
    <w:rsid w:val="007843D4"/>
    <w:rsid w:val="007843F1"/>
    <w:rsid w:val="007843F2"/>
    <w:rsid w:val="007844BB"/>
    <w:rsid w:val="0078454E"/>
    <w:rsid w:val="00784714"/>
    <w:rsid w:val="0078485F"/>
    <w:rsid w:val="00784B56"/>
    <w:rsid w:val="00784B97"/>
    <w:rsid w:val="00784C84"/>
    <w:rsid w:val="00784C90"/>
    <w:rsid w:val="00784D0F"/>
    <w:rsid w:val="007850C6"/>
    <w:rsid w:val="00785165"/>
    <w:rsid w:val="0078535F"/>
    <w:rsid w:val="007853E3"/>
    <w:rsid w:val="00785579"/>
    <w:rsid w:val="00785A36"/>
    <w:rsid w:val="00785A56"/>
    <w:rsid w:val="00785B77"/>
    <w:rsid w:val="00785BC9"/>
    <w:rsid w:val="00785BEF"/>
    <w:rsid w:val="00785C8B"/>
    <w:rsid w:val="00785FA3"/>
    <w:rsid w:val="0078624F"/>
    <w:rsid w:val="00786337"/>
    <w:rsid w:val="007866A2"/>
    <w:rsid w:val="00786838"/>
    <w:rsid w:val="007869A9"/>
    <w:rsid w:val="00786AC6"/>
    <w:rsid w:val="00786ADC"/>
    <w:rsid w:val="00786C37"/>
    <w:rsid w:val="00786C73"/>
    <w:rsid w:val="00786CF4"/>
    <w:rsid w:val="00786DA6"/>
    <w:rsid w:val="00786DD3"/>
    <w:rsid w:val="00786E6F"/>
    <w:rsid w:val="00786FAC"/>
    <w:rsid w:val="0078704B"/>
    <w:rsid w:val="007871F9"/>
    <w:rsid w:val="0078738B"/>
    <w:rsid w:val="007873C8"/>
    <w:rsid w:val="007874AD"/>
    <w:rsid w:val="00787552"/>
    <w:rsid w:val="00787564"/>
    <w:rsid w:val="00787774"/>
    <w:rsid w:val="0078795C"/>
    <w:rsid w:val="007879FC"/>
    <w:rsid w:val="00787A9E"/>
    <w:rsid w:val="00787AB9"/>
    <w:rsid w:val="00787ADD"/>
    <w:rsid w:val="00787BCA"/>
    <w:rsid w:val="00787C1B"/>
    <w:rsid w:val="00787C59"/>
    <w:rsid w:val="00787DC2"/>
    <w:rsid w:val="00787EE9"/>
    <w:rsid w:val="00787EF5"/>
    <w:rsid w:val="00787FC7"/>
    <w:rsid w:val="00790264"/>
    <w:rsid w:val="007902D6"/>
    <w:rsid w:val="0079036D"/>
    <w:rsid w:val="00790371"/>
    <w:rsid w:val="00790522"/>
    <w:rsid w:val="00790690"/>
    <w:rsid w:val="007906F9"/>
    <w:rsid w:val="00790719"/>
    <w:rsid w:val="00790886"/>
    <w:rsid w:val="0079097C"/>
    <w:rsid w:val="007909E3"/>
    <w:rsid w:val="00790AD7"/>
    <w:rsid w:val="00790B3D"/>
    <w:rsid w:val="00790D2C"/>
    <w:rsid w:val="00790D51"/>
    <w:rsid w:val="00790D7C"/>
    <w:rsid w:val="00790E3B"/>
    <w:rsid w:val="00791176"/>
    <w:rsid w:val="00791426"/>
    <w:rsid w:val="0079166B"/>
    <w:rsid w:val="007917B0"/>
    <w:rsid w:val="007918CE"/>
    <w:rsid w:val="007919B4"/>
    <w:rsid w:val="00791AC5"/>
    <w:rsid w:val="00791BB5"/>
    <w:rsid w:val="00791E26"/>
    <w:rsid w:val="00791F8C"/>
    <w:rsid w:val="00791FF0"/>
    <w:rsid w:val="00792030"/>
    <w:rsid w:val="0079204C"/>
    <w:rsid w:val="007920DB"/>
    <w:rsid w:val="00792135"/>
    <w:rsid w:val="007921B9"/>
    <w:rsid w:val="007921EC"/>
    <w:rsid w:val="00792367"/>
    <w:rsid w:val="0079236B"/>
    <w:rsid w:val="0079239B"/>
    <w:rsid w:val="00792595"/>
    <w:rsid w:val="0079265B"/>
    <w:rsid w:val="007927D2"/>
    <w:rsid w:val="007928EE"/>
    <w:rsid w:val="00792A7D"/>
    <w:rsid w:val="00792B7B"/>
    <w:rsid w:val="00792BE5"/>
    <w:rsid w:val="00792BFE"/>
    <w:rsid w:val="00792C34"/>
    <w:rsid w:val="00792D54"/>
    <w:rsid w:val="00792E27"/>
    <w:rsid w:val="00792EAB"/>
    <w:rsid w:val="00792FC5"/>
    <w:rsid w:val="0079301A"/>
    <w:rsid w:val="0079303F"/>
    <w:rsid w:val="00793376"/>
    <w:rsid w:val="0079339B"/>
    <w:rsid w:val="007934A4"/>
    <w:rsid w:val="007936DF"/>
    <w:rsid w:val="00793799"/>
    <w:rsid w:val="00793828"/>
    <w:rsid w:val="00793A26"/>
    <w:rsid w:val="00793A38"/>
    <w:rsid w:val="00793B38"/>
    <w:rsid w:val="00793B8C"/>
    <w:rsid w:val="00793B9E"/>
    <w:rsid w:val="00793D2F"/>
    <w:rsid w:val="00793D5A"/>
    <w:rsid w:val="00793D87"/>
    <w:rsid w:val="00793E67"/>
    <w:rsid w:val="00793F99"/>
    <w:rsid w:val="007942EC"/>
    <w:rsid w:val="0079432B"/>
    <w:rsid w:val="00794422"/>
    <w:rsid w:val="007945AD"/>
    <w:rsid w:val="007945BB"/>
    <w:rsid w:val="0079460D"/>
    <w:rsid w:val="00794719"/>
    <w:rsid w:val="007947C9"/>
    <w:rsid w:val="0079493E"/>
    <w:rsid w:val="00794C59"/>
    <w:rsid w:val="00794CB6"/>
    <w:rsid w:val="00794DF6"/>
    <w:rsid w:val="00794E6E"/>
    <w:rsid w:val="00794F0A"/>
    <w:rsid w:val="0079525E"/>
    <w:rsid w:val="0079549C"/>
    <w:rsid w:val="00795511"/>
    <w:rsid w:val="00795531"/>
    <w:rsid w:val="00795535"/>
    <w:rsid w:val="00795537"/>
    <w:rsid w:val="0079567D"/>
    <w:rsid w:val="007956AF"/>
    <w:rsid w:val="00795705"/>
    <w:rsid w:val="007958C6"/>
    <w:rsid w:val="007959DC"/>
    <w:rsid w:val="00795AF0"/>
    <w:rsid w:val="00795E30"/>
    <w:rsid w:val="007960C1"/>
    <w:rsid w:val="007961C3"/>
    <w:rsid w:val="00796518"/>
    <w:rsid w:val="00796584"/>
    <w:rsid w:val="00796629"/>
    <w:rsid w:val="00796809"/>
    <w:rsid w:val="0079680E"/>
    <w:rsid w:val="007968B1"/>
    <w:rsid w:val="00796A3E"/>
    <w:rsid w:val="00796D26"/>
    <w:rsid w:val="00796E09"/>
    <w:rsid w:val="00796E46"/>
    <w:rsid w:val="007970D0"/>
    <w:rsid w:val="007974E5"/>
    <w:rsid w:val="007974FF"/>
    <w:rsid w:val="0079778A"/>
    <w:rsid w:val="007977C6"/>
    <w:rsid w:val="00797870"/>
    <w:rsid w:val="007978FD"/>
    <w:rsid w:val="00797905"/>
    <w:rsid w:val="0079791F"/>
    <w:rsid w:val="00797A74"/>
    <w:rsid w:val="00797B33"/>
    <w:rsid w:val="00797B7E"/>
    <w:rsid w:val="00797C1A"/>
    <w:rsid w:val="00797C52"/>
    <w:rsid w:val="00797C7C"/>
    <w:rsid w:val="00797D93"/>
    <w:rsid w:val="00797E9B"/>
    <w:rsid w:val="007A0003"/>
    <w:rsid w:val="007A00E7"/>
    <w:rsid w:val="007A0187"/>
    <w:rsid w:val="007A01B2"/>
    <w:rsid w:val="007A0436"/>
    <w:rsid w:val="007A0673"/>
    <w:rsid w:val="007A0790"/>
    <w:rsid w:val="007A07EB"/>
    <w:rsid w:val="007A0B22"/>
    <w:rsid w:val="007A0CCC"/>
    <w:rsid w:val="007A0D3B"/>
    <w:rsid w:val="007A0FAC"/>
    <w:rsid w:val="007A0FD0"/>
    <w:rsid w:val="007A100B"/>
    <w:rsid w:val="007A1329"/>
    <w:rsid w:val="007A135D"/>
    <w:rsid w:val="007A13CF"/>
    <w:rsid w:val="007A1505"/>
    <w:rsid w:val="007A154E"/>
    <w:rsid w:val="007A15EB"/>
    <w:rsid w:val="007A1655"/>
    <w:rsid w:val="007A18E3"/>
    <w:rsid w:val="007A18E4"/>
    <w:rsid w:val="007A1B4D"/>
    <w:rsid w:val="007A1CE8"/>
    <w:rsid w:val="007A1CF4"/>
    <w:rsid w:val="007A1D26"/>
    <w:rsid w:val="007A1E19"/>
    <w:rsid w:val="007A2354"/>
    <w:rsid w:val="007A2387"/>
    <w:rsid w:val="007A241F"/>
    <w:rsid w:val="007A2477"/>
    <w:rsid w:val="007A24AE"/>
    <w:rsid w:val="007A26B9"/>
    <w:rsid w:val="007A2789"/>
    <w:rsid w:val="007A2B2C"/>
    <w:rsid w:val="007A2C55"/>
    <w:rsid w:val="007A2D20"/>
    <w:rsid w:val="007A2E12"/>
    <w:rsid w:val="007A2E1A"/>
    <w:rsid w:val="007A30EB"/>
    <w:rsid w:val="007A31C1"/>
    <w:rsid w:val="007A329F"/>
    <w:rsid w:val="007A331E"/>
    <w:rsid w:val="007A3456"/>
    <w:rsid w:val="007A361A"/>
    <w:rsid w:val="007A368D"/>
    <w:rsid w:val="007A373B"/>
    <w:rsid w:val="007A3742"/>
    <w:rsid w:val="007A389A"/>
    <w:rsid w:val="007A389C"/>
    <w:rsid w:val="007A3C91"/>
    <w:rsid w:val="007A3DDF"/>
    <w:rsid w:val="007A3EF3"/>
    <w:rsid w:val="007A3F8F"/>
    <w:rsid w:val="007A405B"/>
    <w:rsid w:val="007A424C"/>
    <w:rsid w:val="007A42CF"/>
    <w:rsid w:val="007A42FD"/>
    <w:rsid w:val="007A4379"/>
    <w:rsid w:val="007A44A7"/>
    <w:rsid w:val="007A4611"/>
    <w:rsid w:val="007A518A"/>
    <w:rsid w:val="007A51AC"/>
    <w:rsid w:val="007A5236"/>
    <w:rsid w:val="007A5262"/>
    <w:rsid w:val="007A527B"/>
    <w:rsid w:val="007A5305"/>
    <w:rsid w:val="007A5639"/>
    <w:rsid w:val="007A5794"/>
    <w:rsid w:val="007A579D"/>
    <w:rsid w:val="007A57CC"/>
    <w:rsid w:val="007A586D"/>
    <w:rsid w:val="007A5A8E"/>
    <w:rsid w:val="007A5B5B"/>
    <w:rsid w:val="007A5C87"/>
    <w:rsid w:val="007A5CDA"/>
    <w:rsid w:val="007A5D3C"/>
    <w:rsid w:val="007A5DB1"/>
    <w:rsid w:val="007A5E6F"/>
    <w:rsid w:val="007A5F9E"/>
    <w:rsid w:val="007A6036"/>
    <w:rsid w:val="007A6242"/>
    <w:rsid w:val="007A62D1"/>
    <w:rsid w:val="007A66C9"/>
    <w:rsid w:val="007A66F1"/>
    <w:rsid w:val="007A685F"/>
    <w:rsid w:val="007A6996"/>
    <w:rsid w:val="007A6A9E"/>
    <w:rsid w:val="007A6AF1"/>
    <w:rsid w:val="007A6CE3"/>
    <w:rsid w:val="007A6E55"/>
    <w:rsid w:val="007A6F92"/>
    <w:rsid w:val="007A6FE8"/>
    <w:rsid w:val="007A7289"/>
    <w:rsid w:val="007A7379"/>
    <w:rsid w:val="007A7388"/>
    <w:rsid w:val="007A73F8"/>
    <w:rsid w:val="007A750D"/>
    <w:rsid w:val="007A78F9"/>
    <w:rsid w:val="007A79A9"/>
    <w:rsid w:val="007A7A18"/>
    <w:rsid w:val="007A7A65"/>
    <w:rsid w:val="007A7AC6"/>
    <w:rsid w:val="007A7B0B"/>
    <w:rsid w:val="007A7B1C"/>
    <w:rsid w:val="007A7B4C"/>
    <w:rsid w:val="007A7B67"/>
    <w:rsid w:val="007A7D1F"/>
    <w:rsid w:val="007A7D53"/>
    <w:rsid w:val="007A7D70"/>
    <w:rsid w:val="007A7DD6"/>
    <w:rsid w:val="007A7E75"/>
    <w:rsid w:val="007B000E"/>
    <w:rsid w:val="007B00E2"/>
    <w:rsid w:val="007B01DE"/>
    <w:rsid w:val="007B0220"/>
    <w:rsid w:val="007B0299"/>
    <w:rsid w:val="007B06B2"/>
    <w:rsid w:val="007B0816"/>
    <w:rsid w:val="007B09EE"/>
    <w:rsid w:val="007B0B09"/>
    <w:rsid w:val="007B0B70"/>
    <w:rsid w:val="007B0F46"/>
    <w:rsid w:val="007B0FBB"/>
    <w:rsid w:val="007B1229"/>
    <w:rsid w:val="007B132C"/>
    <w:rsid w:val="007B16DB"/>
    <w:rsid w:val="007B17AC"/>
    <w:rsid w:val="007B17D6"/>
    <w:rsid w:val="007B181E"/>
    <w:rsid w:val="007B1870"/>
    <w:rsid w:val="007B18F2"/>
    <w:rsid w:val="007B1B6F"/>
    <w:rsid w:val="007B1BFF"/>
    <w:rsid w:val="007B1EA4"/>
    <w:rsid w:val="007B203A"/>
    <w:rsid w:val="007B20D5"/>
    <w:rsid w:val="007B211B"/>
    <w:rsid w:val="007B2180"/>
    <w:rsid w:val="007B2372"/>
    <w:rsid w:val="007B241B"/>
    <w:rsid w:val="007B2679"/>
    <w:rsid w:val="007B26BD"/>
    <w:rsid w:val="007B286E"/>
    <w:rsid w:val="007B2A1B"/>
    <w:rsid w:val="007B2AD0"/>
    <w:rsid w:val="007B2BFF"/>
    <w:rsid w:val="007B2CF3"/>
    <w:rsid w:val="007B2F07"/>
    <w:rsid w:val="007B3087"/>
    <w:rsid w:val="007B3478"/>
    <w:rsid w:val="007B3545"/>
    <w:rsid w:val="007B3591"/>
    <w:rsid w:val="007B3650"/>
    <w:rsid w:val="007B367A"/>
    <w:rsid w:val="007B36FE"/>
    <w:rsid w:val="007B3764"/>
    <w:rsid w:val="007B3859"/>
    <w:rsid w:val="007B387C"/>
    <w:rsid w:val="007B389C"/>
    <w:rsid w:val="007B38B3"/>
    <w:rsid w:val="007B3989"/>
    <w:rsid w:val="007B39B9"/>
    <w:rsid w:val="007B3AB0"/>
    <w:rsid w:val="007B3B54"/>
    <w:rsid w:val="007B3DA8"/>
    <w:rsid w:val="007B3F5A"/>
    <w:rsid w:val="007B40CA"/>
    <w:rsid w:val="007B40D0"/>
    <w:rsid w:val="007B40FF"/>
    <w:rsid w:val="007B41CB"/>
    <w:rsid w:val="007B41CE"/>
    <w:rsid w:val="007B44AF"/>
    <w:rsid w:val="007B44BA"/>
    <w:rsid w:val="007B44BC"/>
    <w:rsid w:val="007B451E"/>
    <w:rsid w:val="007B4584"/>
    <w:rsid w:val="007B4627"/>
    <w:rsid w:val="007B4722"/>
    <w:rsid w:val="007B4763"/>
    <w:rsid w:val="007B49F8"/>
    <w:rsid w:val="007B4A47"/>
    <w:rsid w:val="007B4AC9"/>
    <w:rsid w:val="007B4AFE"/>
    <w:rsid w:val="007B4CAB"/>
    <w:rsid w:val="007B4D7D"/>
    <w:rsid w:val="007B4E80"/>
    <w:rsid w:val="007B4F56"/>
    <w:rsid w:val="007B5102"/>
    <w:rsid w:val="007B5247"/>
    <w:rsid w:val="007B561B"/>
    <w:rsid w:val="007B57B0"/>
    <w:rsid w:val="007B5A51"/>
    <w:rsid w:val="007B5A60"/>
    <w:rsid w:val="007B5A88"/>
    <w:rsid w:val="007B5A89"/>
    <w:rsid w:val="007B5ACB"/>
    <w:rsid w:val="007B5B23"/>
    <w:rsid w:val="007B5B60"/>
    <w:rsid w:val="007B5BC2"/>
    <w:rsid w:val="007B5C90"/>
    <w:rsid w:val="007B5D69"/>
    <w:rsid w:val="007B6018"/>
    <w:rsid w:val="007B6048"/>
    <w:rsid w:val="007B6274"/>
    <w:rsid w:val="007B64B4"/>
    <w:rsid w:val="007B65A1"/>
    <w:rsid w:val="007B662B"/>
    <w:rsid w:val="007B6842"/>
    <w:rsid w:val="007B6892"/>
    <w:rsid w:val="007B69C0"/>
    <w:rsid w:val="007B6A1F"/>
    <w:rsid w:val="007B6AC8"/>
    <w:rsid w:val="007B6AD0"/>
    <w:rsid w:val="007B6B52"/>
    <w:rsid w:val="007B6BC2"/>
    <w:rsid w:val="007B6DA6"/>
    <w:rsid w:val="007B6EF5"/>
    <w:rsid w:val="007B6F2B"/>
    <w:rsid w:val="007B6F6F"/>
    <w:rsid w:val="007B7040"/>
    <w:rsid w:val="007B70F2"/>
    <w:rsid w:val="007B736F"/>
    <w:rsid w:val="007B74B8"/>
    <w:rsid w:val="007B75ED"/>
    <w:rsid w:val="007B7727"/>
    <w:rsid w:val="007B7923"/>
    <w:rsid w:val="007B7B45"/>
    <w:rsid w:val="007B7B5D"/>
    <w:rsid w:val="007B7B69"/>
    <w:rsid w:val="007B7C41"/>
    <w:rsid w:val="007B7D11"/>
    <w:rsid w:val="007B7E18"/>
    <w:rsid w:val="007B7F42"/>
    <w:rsid w:val="007C01DC"/>
    <w:rsid w:val="007C0202"/>
    <w:rsid w:val="007C0282"/>
    <w:rsid w:val="007C02C7"/>
    <w:rsid w:val="007C08E6"/>
    <w:rsid w:val="007C0938"/>
    <w:rsid w:val="007C0963"/>
    <w:rsid w:val="007C0999"/>
    <w:rsid w:val="007C0B0E"/>
    <w:rsid w:val="007C0B49"/>
    <w:rsid w:val="007C0CA4"/>
    <w:rsid w:val="007C0E10"/>
    <w:rsid w:val="007C10F2"/>
    <w:rsid w:val="007C1164"/>
    <w:rsid w:val="007C11FA"/>
    <w:rsid w:val="007C125D"/>
    <w:rsid w:val="007C1347"/>
    <w:rsid w:val="007C14E8"/>
    <w:rsid w:val="007C16EF"/>
    <w:rsid w:val="007C189C"/>
    <w:rsid w:val="007C199E"/>
    <w:rsid w:val="007C1B14"/>
    <w:rsid w:val="007C1BB8"/>
    <w:rsid w:val="007C1DE5"/>
    <w:rsid w:val="007C2043"/>
    <w:rsid w:val="007C20BA"/>
    <w:rsid w:val="007C215B"/>
    <w:rsid w:val="007C230A"/>
    <w:rsid w:val="007C2348"/>
    <w:rsid w:val="007C241D"/>
    <w:rsid w:val="007C26E5"/>
    <w:rsid w:val="007C27A2"/>
    <w:rsid w:val="007C2935"/>
    <w:rsid w:val="007C2D32"/>
    <w:rsid w:val="007C2D7A"/>
    <w:rsid w:val="007C2E6D"/>
    <w:rsid w:val="007C2EC3"/>
    <w:rsid w:val="007C2FCA"/>
    <w:rsid w:val="007C3072"/>
    <w:rsid w:val="007C30CB"/>
    <w:rsid w:val="007C3184"/>
    <w:rsid w:val="007C3274"/>
    <w:rsid w:val="007C339F"/>
    <w:rsid w:val="007C3522"/>
    <w:rsid w:val="007C367B"/>
    <w:rsid w:val="007C36B1"/>
    <w:rsid w:val="007C3888"/>
    <w:rsid w:val="007C39D0"/>
    <w:rsid w:val="007C3AFD"/>
    <w:rsid w:val="007C3B2C"/>
    <w:rsid w:val="007C3B68"/>
    <w:rsid w:val="007C3BBC"/>
    <w:rsid w:val="007C3C2A"/>
    <w:rsid w:val="007C3D28"/>
    <w:rsid w:val="007C3D45"/>
    <w:rsid w:val="007C3DB7"/>
    <w:rsid w:val="007C43C8"/>
    <w:rsid w:val="007C44C9"/>
    <w:rsid w:val="007C4840"/>
    <w:rsid w:val="007C4843"/>
    <w:rsid w:val="007C48D8"/>
    <w:rsid w:val="007C4967"/>
    <w:rsid w:val="007C49A1"/>
    <w:rsid w:val="007C4A31"/>
    <w:rsid w:val="007C4E40"/>
    <w:rsid w:val="007C4EC8"/>
    <w:rsid w:val="007C518C"/>
    <w:rsid w:val="007C52A3"/>
    <w:rsid w:val="007C52F3"/>
    <w:rsid w:val="007C54D3"/>
    <w:rsid w:val="007C553F"/>
    <w:rsid w:val="007C5541"/>
    <w:rsid w:val="007C55C0"/>
    <w:rsid w:val="007C5659"/>
    <w:rsid w:val="007C569F"/>
    <w:rsid w:val="007C59B5"/>
    <w:rsid w:val="007C5B00"/>
    <w:rsid w:val="007C5C9A"/>
    <w:rsid w:val="007C5CAA"/>
    <w:rsid w:val="007C5CED"/>
    <w:rsid w:val="007C5D6F"/>
    <w:rsid w:val="007C5E23"/>
    <w:rsid w:val="007C5EE2"/>
    <w:rsid w:val="007C5F33"/>
    <w:rsid w:val="007C606C"/>
    <w:rsid w:val="007C60F1"/>
    <w:rsid w:val="007C6164"/>
    <w:rsid w:val="007C61DC"/>
    <w:rsid w:val="007C6208"/>
    <w:rsid w:val="007C62A2"/>
    <w:rsid w:val="007C62EA"/>
    <w:rsid w:val="007C6383"/>
    <w:rsid w:val="007C6409"/>
    <w:rsid w:val="007C649E"/>
    <w:rsid w:val="007C6574"/>
    <w:rsid w:val="007C65A4"/>
    <w:rsid w:val="007C66A6"/>
    <w:rsid w:val="007C6804"/>
    <w:rsid w:val="007C688D"/>
    <w:rsid w:val="007C69EA"/>
    <w:rsid w:val="007C6AF2"/>
    <w:rsid w:val="007C6C5F"/>
    <w:rsid w:val="007C6D00"/>
    <w:rsid w:val="007C6EAE"/>
    <w:rsid w:val="007C6EB2"/>
    <w:rsid w:val="007C70CE"/>
    <w:rsid w:val="007C71F9"/>
    <w:rsid w:val="007C71FA"/>
    <w:rsid w:val="007C723E"/>
    <w:rsid w:val="007C74FB"/>
    <w:rsid w:val="007C77EA"/>
    <w:rsid w:val="007C7863"/>
    <w:rsid w:val="007C78C2"/>
    <w:rsid w:val="007C79E6"/>
    <w:rsid w:val="007C79F8"/>
    <w:rsid w:val="007C7A57"/>
    <w:rsid w:val="007C7A78"/>
    <w:rsid w:val="007C7B06"/>
    <w:rsid w:val="007C7B24"/>
    <w:rsid w:val="007C7EBF"/>
    <w:rsid w:val="007C7EC9"/>
    <w:rsid w:val="007C7F96"/>
    <w:rsid w:val="007D01F6"/>
    <w:rsid w:val="007D0262"/>
    <w:rsid w:val="007D0408"/>
    <w:rsid w:val="007D0416"/>
    <w:rsid w:val="007D0468"/>
    <w:rsid w:val="007D04DB"/>
    <w:rsid w:val="007D04E1"/>
    <w:rsid w:val="007D05DE"/>
    <w:rsid w:val="007D0681"/>
    <w:rsid w:val="007D0907"/>
    <w:rsid w:val="007D09BB"/>
    <w:rsid w:val="007D0B42"/>
    <w:rsid w:val="007D0D97"/>
    <w:rsid w:val="007D0E30"/>
    <w:rsid w:val="007D0EBC"/>
    <w:rsid w:val="007D0EE7"/>
    <w:rsid w:val="007D0F04"/>
    <w:rsid w:val="007D0FBA"/>
    <w:rsid w:val="007D1425"/>
    <w:rsid w:val="007D1471"/>
    <w:rsid w:val="007D147E"/>
    <w:rsid w:val="007D14AB"/>
    <w:rsid w:val="007D14FB"/>
    <w:rsid w:val="007D172E"/>
    <w:rsid w:val="007D18DE"/>
    <w:rsid w:val="007D1B63"/>
    <w:rsid w:val="007D1BC3"/>
    <w:rsid w:val="007D1D51"/>
    <w:rsid w:val="007D1E8B"/>
    <w:rsid w:val="007D1EBB"/>
    <w:rsid w:val="007D1F3B"/>
    <w:rsid w:val="007D219B"/>
    <w:rsid w:val="007D2449"/>
    <w:rsid w:val="007D25FD"/>
    <w:rsid w:val="007D26AB"/>
    <w:rsid w:val="007D273C"/>
    <w:rsid w:val="007D28C5"/>
    <w:rsid w:val="007D293F"/>
    <w:rsid w:val="007D2AAD"/>
    <w:rsid w:val="007D2BBE"/>
    <w:rsid w:val="007D2D64"/>
    <w:rsid w:val="007D2E27"/>
    <w:rsid w:val="007D2EC7"/>
    <w:rsid w:val="007D2F78"/>
    <w:rsid w:val="007D2FF5"/>
    <w:rsid w:val="007D3393"/>
    <w:rsid w:val="007D3519"/>
    <w:rsid w:val="007D3541"/>
    <w:rsid w:val="007D3562"/>
    <w:rsid w:val="007D358C"/>
    <w:rsid w:val="007D3651"/>
    <w:rsid w:val="007D371C"/>
    <w:rsid w:val="007D39D4"/>
    <w:rsid w:val="007D3AD1"/>
    <w:rsid w:val="007D3C23"/>
    <w:rsid w:val="007D3C44"/>
    <w:rsid w:val="007D3D18"/>
    <w:rsid w:val="007D3DFA"/>
    <w:rsid w:val="007D3F25"/>
    <w:rsid w:val="007D405B"/>
    <w:rsid w:val="007D41A8"/>
    <w:rsid w:val="007D41BD"/>
    <w:rsid w:val="007D4230"/>
    <w:rsid w:val="007D4285"/>
    <w:rsid w:val="007D432F"/>
    <w:rsid w:val="007D451F"/>
    <w:rsid w:val="007D455B"/>
    <w:rsid w:val="007D456A"/>
    <w:rsid w:val="007D459E"/>
    <w:rsid w:val="007D47A2"/>
    <w:rsid w:val="007D4812"/>
    <w:rsid w:val="007D486F"/>
    <w:rsid w:val="007D4873"/>
    <w:rsid w:val="007D4944"/>
    <w:rsid w:val="007D498E"/>
    <w:rsid w:val="007D4AC1"/>
    <w:rsid w:val="007D4B3C"/>
    <w:rsid w:val="007D4C1C"/>
    <w:rsid w:val="007D4F40"/>
    <w:rsid w:val="007D5025"/>
    <w:rsid w:val="007D51F3"/>
    <w:rsid w:val="007D5200"/>
    <w:rsid w:val="007D5597"/>
    <w:rsid w:val="007D55A9"/>
    <w:rsid w:val="007D5734"/>
    <w:rsid w:val="007D574C"/>
    <w:rsid w:val="007D5765"/>
    <w:rsid w:val="007D58EC"/>
    <w:rsid w:val="007D58FD"/>
    <w:rsid w:val="007D59E8"/>
    <w:rsid w:val="007D59E9"/>
    <w:rsid w:val="007D5B65"/>
    <w:rsid w:val="007D5C9F"/>
    <w:rsid w:val="007D5D77"/>
    <w:rsid w:val="007D5E50"/>
    <w:rsid w:val="007D6077"/>
    <w:rsid w:val="007D639A"/>
    <w:rsid w:val="007D63A3"/>
    <w:rsid w:val="007D649C"/>
    <w:rsid w:val="007D6549"/>
    <w:rsid w:val="007D66D2"/>
    <w:rsid w:val="007D66F3"/>
    <w:rsid w:val="007D681D"/>
    <w:rsid w:val="007D6987"/>
    <w:rsid w:val="007D6BED"/>
    <w:rsid w:val="007D6CDA"/>
    <w:rsid w:val="007D6D95"/>
    <w:rsid w:val="007D6E9E"/>
    <w:rsid w:val="007D7044"/>
    <w:rsid w:val="007D70BF"/>
    <w:rsid w:val="007D710C"/>
    <w:rsid w:val="007D72A0"/>
    <w:rsid w:val="007D7312"/>
    <w:rsid w:val="007D7348"/>
    <w:rsid w:val="007D734C"/>
    <w:rsid w:val="007D73B4"/>
    <w:rsid w:val="007D740C"/>
    <w:rsid w:val="007D7516"/>
    <w:rsid w:val="007D76DC"/>
    <w:rsid w:val="007D7716"/>
    <w:rsid w:val="007D772C"/>
    <w:rsid w:val="007D78A3"/>
    <w:rsid w:val="007D79C2"/>
    <w:rsid w:val="007D7B11"/>
    <w:rsid w:val="007D7BDF"/>
    <w:rsid w:val="007D7C3D"/>
    <w:rsid w:val="007D7D32"/>
    <w:rsid w:val="007D7E4E"/>
    <w:rsid w:val="007D7F22"/>
    <w:rsid w:val="007D7F67"/>
    <w:rsid w:val="007D7FDD"/>
    <w:rsid w:val="007E0023"/>
    <w:rsid w:val="007E0051"/>
    <w:rsid w:val="007E0183"/>
    <w:rsid w:val="007E0248"/>
    <w:rsid w:val="007E02AB"/>
    <w:rsid w:val="007E04B3"/>
    <w:rsid w:val="007E054D"/>
    <w:rsid w:val="007E060E"/>
    <w:rsid w:val="007E067D"/>
    <w:rsid w:val="007E0AA5"/>
    <w:rsid w:val="007E0D66"/>
    <w:rsid w:val="007E0D82"/>
    <w:rsid w:val="007E0E6C"/>
    <w:rsid w:val="007E0F08"/>
    <w:rsid w:val="007E0F7E"/>
    <w:rsid w:val="007E1168"/>
    <w:rsid w:val="007E12B8"/>
    <w:rsid w:val="007E12F7"/>
    <w:rsid w:val="007E1601"/>
    <w:rsid w:val="007E160A"/>
    <w:rsid w:val="007E1832"/>
    <w:rsid w:val="007E1909"/>
    <w:rsid w:val="007E1B3F"/>
    <w:rsid w:val="007E1BA1"/>
    <w:rsid w:val="007E1C1D"/>
    <w:rsid w:val="007E1E74"/>
    <w:rsid w:val="007E1F25"/>
    <w:rsid w:val="007E20CB"/>
    <w:rsid w:val="007E2202"/>
    <w:rsid w:val="007E2257"/>
    <w:rsid w:val="007E2290"/>
    <w:rsid w:val="007E25D6"/>
    <w:rsid w:val="007E2686"/>
    <w:rsid w:val="007E2757"/>
    <w:rsid w:val="007E2800"/>
    <w:rsid w:val="007E2884"/>
    <w:rsid w:val="007E2890"/>
    <w:rsid w:val="007E28E1"/>
    <w:rsid w:val="007E28FB"/>
    <w:rsid w:val="007E2A5F"/>
    <w:rsid w:val="007E2B92"/>
    <w:rsid w:val="007E2CD9"/>
    <w:rsid w:val="007E2DE3"/>
    <w:rsid w:val="007E2E10"/>
    <w:rsid w:val="007E2F8D"/>
    <w:rsid w:val="007E2FC1"/>
    <w:rsid w:val="007E3005"/>
    <w:rsid w:val="007E306C"/>
    <w:rsid w:val="007E3104"/>
    <w:rsid w:val="007E310E"/>
    <w:rsid w:val="007E3136"/>
    <w:rsid w:val="007E341A"/>
    <w:rsid w:val="007E34FD"/>
    <w:rsid w:val="007E35C2"/>
    <w:rsid w:val="007E3931"/>
    <w:rsid w:val="007E3953"/>
    <w:rsid w:val="007E3956"/>
    <w:rsid w:val="007E3B0D"/>
    <w:rsid w:val="007E3B7D"/>
    <w:rsid w:val="007E3B81"/>
    <w:rsid w:val="007E3BBE"/>
    <w:rsid w:val="007E3C98"/>
    <w:rsid w:val="007E3EC5"/>
    <w:rsid w:val="007E3FCE"/>
    <w:rsid w:val="007E4033"/>
    <w:rsid w:val="007E4063"/>
    <w:rsid w:val="007E4065"/>
    <w:rsid w:val="007E407F"/>
    <w:rsid w:val="007E40EF"/>
    <w:rsid w:val="007E427C"/>
    <w:rsid w:val="007E446D"/>
    <w:rsid w:val="007E46AE"/>
    <w:rsid w:val="007E47C7"/>
    <w:rsid w:val="007E4D1D"/>
    <w:rsid w:val="007E4D7E"/>
    <w:rsid w:val="007E55D4"/>
    <w:rsid w:val="007E5638"/>
    <w:rsid w:val="007E56D2"/>
    <w:rsid w:val="007E575A"/>
    <w:rsid w:val="007E593E"/>
    <w:rsid w:val="007E5998"/>
    <w:rsid w:val="007E59C3"/>
    <w:rsid w:val="007E5A3A"/>
    <w:rsid w:val="007E5B03"/>
    <w:rsid w:val="007E5CBA"/>
    <w:rsid w:val="007E5E7D"/>
    <w:rsid w:val="007E5E80"/>
    <w:rsid w:val="007E6112"/>
    <w:rsid w:val="007E6171"/>
    <w:rsid w:val="007E617D"/>
    <w:rsid w:val="007E648D"/>
    <w:rsid w:val="007E6621"/>
    <w:rsid w:val="007E664C"/>
    <w:rsid w:val="007E6995"/>
    <w:rsid w:val="007E6A02"/>
    <w:rsid w:val="007E6B53"/>
    <w:rsid w:val="007E6B6F"/>
    <w:rsid w:val="007E6C2E"/>
    <w:rsid w:val="007E6D0A"/>
    <w:rsid w:val="007E6E6B"/>
    <w:rsid w:val="007E6F94"/>
    <w:rsid w:val="007E738B"/>
    <w:rsid w:val="007E751C"/>
    <w:rsid w:val="007E75F2"/>
    <w:rsid w:val="007E76FA"/>
    <w:rsid w:val="007E788C"/>
    <w:rsid w:val="007E79CC"/>
    <w:rsid w:val="007E7C90"/>
    <w:rsid w:val="007E7D35"/>
    <w:rsid w:val="007F007F"/>
    <w:rsid w:val="007F0176"/>
    <w:rsid w:val="007F0192"/>
    <w:rsid w:val="007F01D6"/>
    <w:rsid w:val="007F01F2"/>
    <w:rsid w:val="007F04C6"/>
    <w:rsid w:val="007F0681"/>
    <w:rsid w:val="007F0798"/>
    <w:rsid w:val="007F07AD"/>
    <w:rsid w:val="007F0920"/>
    <w:rsid w:val="007F0A61"/>
    <w:rsid w:val="007F0A91"/>
    <w:rsid w:val="007F0B26"/>
    <w:rsid w:val="007F0BBF"/>
    <w:rsid w:val="007F0C19"/>
    <w:rsid w:val="007F0C26"/>
    <w:rsid w:val="007F0C76"/>
    <w:rsid w:val="007F10D8"/>
    <w:rsid w:val="007F12CA"/>
    <w:rsid w:val="007F14AD"/>
    <w:rsid w:val="007F14C2"/>
    <w:rsid w:val="007F1652"/>
    <w:rsid w:val="007F18A4"/>
    <w:rsid w:val="007F18BA"/>
    <w:rsid w:val="007F1C3F"/>
    <w:rsid w:val="007F1C68"/>
    <w:rsid w:val="007F1FAA"/>
    <w:rsid w:val="007F20EC"/>
    <w:rsid w:val="007F2130"/>
    <w:rsid w:val="007F21B2"/>
    <w:rsid w:val="007F220C"/>
    <w:rsid w:val="007F226D"/>
    <w:rsid w:val="007F2565"/>
    <w:rsid w:val="007F26D2"/>
    <w:rsid w:val="007F26D4"/>
    <w:rsid w:val="007F2747"/>
    <w:rsid w:val="007F2788"/>
    <w:rsid w:val="007F28D7"/>
    <w:rsid w:val="007F2A09"/>
    <w:rsid w:val="007F2A90"/>
    <w:rsid w:val="007F2B20"/>
    <w:rsid w:val="007F2B2A"/>
    <w:rsid w:val="007F2C81"/>
    <w:rsid w:val="007F2CA8"/>
    <w:rsid w:val="007F2E83"/>
    <w:rsid w:val="007F3003"/>
    <w:rsid w:val="007F308E"/>
    <w:rsid w:val="007F30D7"/>
    <w:rsid w:val="007F30E7"/>
    <w:rsid w:val="007F3132"/>
    <w:rsid w:val="007F3178"/>
    <w:rsid w:val="007F3300"/>
    <w:rsid w:val="007F3404"/>
    <w:rsid w:val="007F3462"/>
    <w:rsid w:val="007F34C8"/>
    <w:rsid w:val="007F3519"/>
    <w:rsid w:val="007F359A"/>
    <w:rsid w:val="007F367E"/>
    <w:rsid w:val="007F37E4"/>
    <w:rsid w:val="007F3883"/>
    <w:rsid w:val="007F38AF"/>
    <w:rsid w:val="007F38B5"/>
    <w:rsid w:val="007F3AC7"/>
    <w:rsid w:val="007F3B4B"/>
    <w:rsid w:val="007F3BE2"/>
    <w:rsid w:val="007F3D13"/>
    <w:rsid w:val="007F3D31"/>
    <w:rsid w:val="007F3E5C"/>
    <w:rsid w:val="007F46D3"/>
    <w:rsid w:val="007F476E"/>
    <w:rsid w:val="007F478C"/>
    <w:rsid w:val="007F4A55"/>
    <w:rsid w:val="007F4BB3"/>
    <w:rsid w:val="007F4C2D"/>
    <w:rsid w:val="007F4D4E"/>
    <w:rsid w:val="007F4DB9"/>
    <w:rsid w:val="007F4F50"/>
    <w:rsid w:val="007F4FC6"/>
    <w:rsid w:val="007F51BC"/>
    <w:rsid w:val="007F53FD"/>
    <w:rsid w:val="007F543D"/>
    <w:rsid w:val="007F549B"/>
    <w:rsid w:val="007F5558"/>
    <w:rsid w:val="007F57DA"/>
    <w:rsid w:val="007F57DC"/>
    <w:rsid w:val="007F5807"/>
    <w:rsid w:val="007F5830"/>
    <w:rsid w:val="007F59D2"/>
    <w:rsid w:val="007F5A07"/>
    <w:rsid w:val="007F5B39"/>
    <w:rsid w:val="007F5E1D"/>
    <w:rsid w:val="007F5E81"/>
    <w:rsid w:val="007F5EA5"/>
    <w:rsid w:val="007F5EAF"/>
    <w:rsid w:val="007F5F71"/>
    <w:rsid w:val="007F6057"/>
    <w:rsid w:val="007F61F9"/>
    <w:rsid w:val="007F64D6"/>
    <w:rsid w:val="007F6570"/>
    <w:rsid w:val="007F6603"/>
    <w:rsid w:val="007F6722"/>
    <w:rsid w:val="007F6992"/>
    <w:rsid w:val="007F6B3B"/>
    <w:rsid w:val="007F6C18"/>
    <w:rsid w:val="007F6E0B"/>
    <w:rsid w:val="007F7150"/>
    <w:rsid w:val="007F7172"/>
    <w:rsid w:val="007F72EF"/>
    <w:rsid w:val="007F7321"/>
    <w:rsid w:val="007F7397"/>
    <w:rsid w:val="007F7562"/>
    <w:rsid w:val="007F757E"/>
    <w:rsid w:val="007F770E"/>
    <w:rsid w:val="007F780C"/>
    <w:rsid w:val="007F7835"/>
    <w:rsid w:val="007F78D6"/>
    <w:rsid w:val="007F792F"/>
    <w:rsid w:val="007F7FAA"/>
    <w:rsid w:val="007F7FED"/>
    <w:rsid w:val="00800134"/>
    <w:rsid w:val="008001EB"/>
    <w:rsid w:val="0080020C"/>
    <w:rsid w:val="0080029F"/>
    <w:rsid w:val="008002AD"/>
    <w:rsid w:val="008004C6"/>
    <w:rsid w:val="008004F8"/>
    <w:rsid w:val="00800655"/>
    <w:rsid w:val="0080074F"/>
    <w:rsid w:val="00800808"/>
    <w:rsid w:val="008009E1"/>
    <w:rsid w:val="00800BA1"/>
    <w:rsid w:val="00800D4A"/>
    <w:rsid w:val="00800E16"/>
    <w:rsid w:val="00800E35"/>
    <w:rsid w:val="00800EA8"/>
    <w:rsid w:val="00800F64"/>
    <w:rsid w:val="00801142"/>
    <w:rsid w:val="00801162"/>
    <w:rsid w:val="0080117B"/>
    <w:rsid w:val="00801726"/>
    <w:rsid w:val="0080178B"/>
    <w:rsid w:val="008017B6"/>
    <w:rsid w:val="008018F1"/>
    <w:rsid w:val="00801E45"/>
    <w:rsid w:val="00802140"/>
    <w:rsid w:val="0080218B"/>
    <w:rsid w:val="00802257"/>
    <w:rsid w:val="00802269"/>
    <w:rsid w:val="00802327"/>
    <w:rsid w:val="00802446"/>
    <w:rsid w:val="008024A1"/>
    <w:rsid w:val="00802510"/>
    <w:rsid w:val="0080257C"/>
    <w:rsid w:val="008026C7"/>
    <w:rsid w:val="0080278D"/>
    <w:rsid w:val="00802805"/>
    <w:rsid w:val="00802B19"/>
    <w:rsid w:val="00802B88"/>
    <w:rsid w:val="00802C2F"/>
    <w:rsid w:val="00802C73"/>
    <w:rsid w:val="00802CAC"/>
    <w:rsid w:val="00802EA7"/>
    <w:rsid w:val="00802EBF"/>
    <w:rsid w:val="008030F6"/>
    <w:rsid w:val="008031C6"/>
    <w:rsid w:val="00803250"/>
    <w:rsid w:val="0080329F"/>
    <w:rsid w:val="00803486"/>
    <w:rsid w:val="008035C2"/>
    <w:rsid w:val="008035DA"/>
    <w:rsid w:val="0080360F"/>
    <w:rsid w:val="00803617"/>
    <w:rsid w:val="00803777"/>
    <w:rsid w:val="00803A3A"/>
    <w:rsid w:val="00803B04"/>
    <w:rsid w:val="00803C2F"/>
    <w:rsid w:val="00803FE4"/>
    <w:rsid w:val="00804028"/>
    <w:rsid w:val="008040E9"/>
    <w:rsid w:val="0080440C"/>
    <w:rsid w:val="00804624"/>
    <w:rsid w:val="008047CF"/>
    <w:rsid w:val="0080486E"/>
    <w:rsid w:val="008048FE"/>
    <w:rsid w:val="008049A5"/>
    <w:rsid w:val="008049DA"/>
    <w:rsid w:val="008049E6"/>
    <w:rsid w:val="00804A60"/>
    <w:rsid w:val="00804B41"/>
    <w:rsid w:val="00804BD4"/>
    <w:rsid w:val="00804C64"/>
    <w:rsid w:val="00804CBE"/>
    <w:rsid w:val="00804CD5"/>
    <w:rsid w:val="00804DBB"/>
    <w:rsid w:val="00804DEC"/>
    <w:rsid w:val="00804E35"/>
    <w:rsid w:val="00804E9C"/>
    <w:rsid w:val="00804EC9"/>
    <w:rsid w:val="00804F21"/>
    <w:rsid w:val="00804F2D"/>
    <w:rsid w:val="00805000"/>
    <w:rsid w:val="00805172"/>
    <w:rsid w:val="008054C9"/>
    <w:rsid w:val="00805563"/>
    <w:rsid w:val="00805694"/>
    <w:rsid w:val="0080572C"/>
    <w:rsid w:val="008059ED"/>
    <w:rsid w:val="00805A06"/>
    <w:rsid w:val="00805AB1"/>
    <w:rsid w:val="00805B42"/>
    <w:rsid w:val="00805C40"/>
    <w:rsid w:val="00805CA7"/>
    <w:rsid w:val="00805CF1"/>
    <w:rsid w:val="00805D66"/>
    <w:rsid w:val="00805DAC"/>
    <w:rsid w:val="00805E4C"/>
    <w:rsid w:val="00805E82"/>
    <w:rsid w:val="00805F03"/>
    <w:rsid w:val="00805FCB"/>
    <w:rsid w:val="0080611F"/>
    <w:rsid w:val="008061F3"/>
    <w:rsid w:val="0080628E"/>
    <w:rsid w:val="008062F8"/>
    <w:rsid w:val="0080649C"/>
    <w:rsid w:val="008067E8"/>
    <w:rsid w:val="00806804"/>
    <w:rsid w:val="00806944"/>
    <w:rsid w:val="00806952"/>
    <w:rsid w:val="00806A76"/>
    <w:rsid w:val="00806A80"/>
    <w:rsid w:val="00806CFE"/>
    <w:rsid w:val="00806E3A"/>
    <w:rsid w:val="00806E6B"/>
    <w:rsid w:val="00806FDE"/>
    <w:rsid w:val="0080711A"/>
    <w:rsid w:val="008071C3"/>
    <w:rsid w:val="008072A9"/>
    <w:rsid w:val="008073B5"/>
    <w:rsid w:val="0080754E"/>
    <w:rsid w:val="00807576"/>
    <w:rsid w:val="008076B4"/>
    <w:rsid w:val="0080783E"/>
    <w:rsid w:val="008079F6"/>
    <w:rsid w:val="00807BAC"/>
    <w:rsid w:val="00807BCD"/>
    <w:rsid w:val="00807D9A"/>
    <w:rsid w:val="00807EA8"/>
    <w:rsid w:val="00810073"/>
    <w:rsid w:val="00810147"/>
    <w:rsid w:val="00810419"/>
    <w:rsid w:val="00810440"/>
    <w:rsid w:val="008106DF"/>
    <w:rsid w:val="008107DF"/>
    <w:rsid w:val="008108FA"/>
    <w:rsid w:val="00810A67"/>
    <w:rsid w:val="00810CD8"/>
    <w:rsid w:val="00810F43"/>
    <w:rsid w:val="0081103A"/>
    <w:rsid w:val="00811068"/>
    <w:rsid w:val="00811091"/>
    <w:rsid w:val="008110FE"/>
    <w:rsid w:val="00811212"/>
    <w:rsid w:val="0081129C"/>
    <w:rsid w:val="008112EF"/>
    <w:rsid w:val="00811409"/>
    <w:rsid w:val="00811454"/>
    <w:rsid w:val="0081149D"/>
    <w:rsid w:val="008115BE"/>
    <w:rsid w:val="008115DF"/>
    <w:rsid w:val="00811AC8"/>
    <w:rsid w:val="00811BDD"/>
    <w:rsid w:val="00811C25"/>
    <w:rsid w:val="00811ED2"/>
    <w:rsid w:val="00812106"/>
    <w:rsid w:val="00812246"/>
    <w:rsid w:val="00812259"/>
    <w:rsid w:val="00812496"/>
    <w:rsid w:val="0081249A"/>
    <w:rsid w:val="00812558"/>
    <w:rsid w:val="0081264A"/>
    <w:rsid w:val="0081265C"/>
    <w:rsid w:val="00812ACF"/>
    <w:rsid w:val="00812AE2"/>
    <w:rsid w:val="00812D7D"/>
    <w:rsid w:val="00812DEE"/>
    <w:rsid w:val="00812DF5"/>
    <w:rsid w:val="008130A5"/>
    <w:rsid w:val="008130AE"/>
    <w:rsid w:val="00813103"/>
    <w:rsid w:val="00813152"/>
    <w:rsid w:val="008131F1"/>
    <w:rsid w:val="008132D4"/>
    <w:rsid w:val="0081383C"/>
    <w:rsid w:val="00813910"/>
    <w:rsid w:val="00813A1C"/>
    <w:rsid w:val="00813BEC"/>
    <w:rsid w:val="00813E74"/>
    <w:rsid w:val="00813F1A"/>
    <w:rsid w:val="008140AF"/>
    <w:rsid w:val="00814376"/>
    <w:rsid w:val="00814583"/>
    <w:rsid w:val="008145B9"/>
    <w:rsid w:val="008145DA"/>
    <w:rsid w:val="008145F5"/>
    <w:rsid w:val="008147A9"/>
    <w:rsid w:val="008147C7"/>
    <w:rsid w:val="0081486E"/>
    <w:rsid w:val="008148F9"/>
    <w:rsid w:val="008148FB"/>
    <w:rsid w:val="008149B4"/>
    <w:rsid w:val="00814CD9"/>
    <w:rsid w:val="00814D14"/>
    <w:rsid w:val="00814D69"/>
    <w:rsid w:val="00814E61"/>
    <w:rsid w:val="00814EA2"/>
    <w:rsid w:val="00815102"/>
    <w:rsid w:val="0081511B"/>
    <w:rsid w:val="00815247"/>
    <w:rsid w:val="00815282"/>
    <w:rsid w:val="008152E9"/>
    <w:rsid w:val="0081554E"/>
    <w:rsid w:val="00815615"/>
    <w:rsid w:val="008156CB"/>
    <w:rsid w:val="008157DC"/>
    <w:rsid w:val="0081583F"/>
    <w:rsid w:val="00815B4C"/>
    <w:rsid w:val="00815C71"/>
    <w:rsid w:val="00815DB0"/>
    <w:rsid w:val="00815DD0"/>
    <w:rsid w:val="00815DE5"/>
    <w:rsid w:val="00815E34"/>
    <w:rsid w:val="00815E5D"/>
    <w:rsid w:val="00815E6A"/>
    <w:rsid w:val="00815F58"/>
    <w:rsid w:val="00816051"/>
    <w:rsid w:val="00816075"/>
    <w:rsid w:val="00816147"/>
    <w:rsid w:val="0081649E"/>
    <w:rsid w:val="008166CD"/>
    <w:rsid w:val="008167AF"/>
    <w:rsid w:val="0081691E"/>
    <w:rsid w:val="00816A4C"/>
    <w:rsid w:val="00816ACE"/>
    <w:rsid w:val="00816B50"/>
    <w:rsid w:val="00816B88"/>
    <w:rsid w:val="00816D5A"/>
    <w:rsid w:val="00816E2C"/>
    <w:rsid w:val="00816E87"/>
    <w:rsid w:val="008170ED"/>
    <w:rsid w:val="008171C2"/>
    <w:rsid w:val="0081725B"/>
    <w:rsid w:val="008173C2"/>
    <w:rsid w:val="008173C5"/>
    <w:rsid w:val="008174A4"/>
    <w:rsid w:val="00817609"/>
    <w:rsid w:val="00817713"/>
    <w:rsid w:val="00817733"/>
    <w:rsid w:val="008178C5"/>
    <w:rsid w:val="008179C0"/>
    <w:rsid w:val="00817E4B"/>
    <w:rsid w:val="00817F3D"/>
    <w:rsid w:val="00817FDC"/>
    <w:rsid w:val="00820195"/>
    <w:rsid w:val="00820571"/>
    <w:rsid w:val="00820582"/>
    <w:rsid w:val="008205E6"/>
    <w:rsid w:val="008206A2"/>
    <w:rsid w:val="00820742"/>
    <w:rsid w:val="0082081D"/>
    <w:rsid w:val="00820C2C"/>
    <w:rsid w:val="00820D52"/>
    <w:rsid w:val="00820E69"/>
    <w:rsid w:val="00820ECE"/>
    <w:rsid w:val="00820F73"/>
    <w:rsid w:val="00821123"/>
    <w:rsid w:val="00821271"/>
    <w:rsid w:val="0082167A"/>
    <w:rsid w:val="0082194B"/>
    <w:rsid w:val="00821990"/>
    <w:rsid w:val="00821B84"/>
    <w:rsid w:val="00821BC8"/>
    <w:rsid w:val="00821BD7"/>
    <w:rsid w:val="00821C46"/>
    <w:rsid w:val="00821D95"/>
    <w:rsid w:val="00821EE8"/>
    <w:rsid w:val="00821F2B"/>
    <w:rsid w:val="008220B7"/>
    <w:rsid w:val="00822178"/>
    <w:rsid w:val="0082228E"/>
    <w:rsid w:val="00822331"/>
    <w:rsid w:val="00822581"/>
    <w:rsid w:val="008225D2"/>
    <w:rsid w:val="00822652"/>
    <w:rsid w:val="00822672"/>
    <w:rsid w:val="0082280F"/>
    <w:rsid w:val="00822896"/>
    <w:rsid w:val="00822966"/>
    <w:rsid w:val="0082299D"/>
    <w:rsid w:val="00822B7A"/>
    <w:rsid w:val="00822BB0"/>
    <w:rsid w:val="00822BD3"/>
    <w:rsid w:val="00822C3A"/>
    <w:rsid w:val="00822D48"/>
    <w:rsid w:val="00822F15"/>
    <w:rsid w:val="00823089"/>
    <w:rsid w:val="00823215"/>
    <w:rsid w:val="0082337C"/>
    <w:rsid w:val="0082345B"/>
    <w:rsid w:val="00823571"/>
    <w:rsid w:val="008236B1"/>
    <w:rsid w:val="00823AA0"/>
    <w:rsid w:val="00823B87"/>
    <w:rsid w:val="00823BD1"/>
    <w:rsid w:val="00823BF4"/>
    <w:rsid w:val="00823CD2"/>
    <w:rsid w:val="00823DDC"/>
    <w:rsid w:val="00823E25"/>
    <w:rsid w:val="00823E69"/>
    <w:rsid w:val="0082417D"/>
    <w:rsid w:val="008242CB"/>
    <w:rsid w:val="0082435D"/>
    <w:rsid w:val="00824423"/>
    <w:rsid w:val="00824512"/>
    <w:rsid w:val="00824559"/>
    <w:rsid w:val="008245B9"/>
    <w:rsid w:val="008247D6"/>
    <w:rsid w:val="00824899"/>
    <w:rsid w:val="00824907"/>
    <w:rsid w:val="00824A45"/>
    <w:rsid w:val="00824BAF"/>
    <w:rsid w:val="00824C5F"/>
    <w:rsid w:val="008250F8"/>
    <w:rsid w:val="0082513B"/>
    <w:rsid w:val="008252BC"/>
    <w:rsid w:val="00825417"/>
    <w:rsid w:val="00825449"/>
    <w:rsid w:val="00825645"/>
    <w:rsid w:val="00825689"/>
    <w:rsid w:val="0082575D"/>
    <w:rsid w:val="008257FB"/>
    <w:rsid w:val="008258A0"/>
    <w:rsid w:val="00825925"/>
    <w:rsid w:val="00825A96"/>
    <w:rsid w:val="00825D79"/>
    <w:rsid w:val="00825F96"/>
    <w:rsid w:val="00826241"/>
    <w:rsid w:val="00826504"/>
    <w:rsid w:val="0082687C"/>
    <w:rsid w:val="0082695A"/>
    <w:rsid w:val="00826960"/>
    <w:rsid w:val="00826CB6"/>
    <w:rsid w:val="00826E30"/>
    <w:rsid w:val="00826F20"/>
    <w:rsid w:val="0082703D"/>
    <w:rsid w:val="0082706D"/>
    <w:rsid w:val="0082721D"/>
    <w:rsid w:val="00827385"/>
    <w:rsid w:val="0082749D"/>
    <w:rsid w:val="00827551"/>
    <w:rsid w:val="008276A0"/>
    <w:rsid w:val="00827789"/>
    <w:rsid w:val="00827854"/>
    <w:rsid w:val="008278C8"/>
    <w:rsid w:val="0082794D"/>
    <w:rsid w:val="00827B25"/>
    <w:rsid w:val="00827BE9"/>
    <w:rsid w:val="00827EFE"/>
    <w:rsid w:val="00830002"/>
    <w:rsid w:val="0083006E"/>
    <w:rsid w:val="008300AF"/>
    <w:rsid w:val="00830137"/>
    <w:rsid w:val="008303D4"/>
    <w:rsid w:val="00830605"/>
    <w:rsid w:val="0083067E"/>
    <w:rsid w:val="0083075C"/>
    <w:rsid w:val="00830796"/>
    <w:rsid w:val="00830A87"/>
    <w:rsid w:val="00830AD5"/>
    <w:rsid w:val="00830D9E"/>
    <w:rsid w:val="00830E6C"/>
    <w:rsid w:val="00830F9B"/>
    <w:rsid w:val="008310F1"/>
    <w:rsid w:val="00831131"/>
    <w:rsid w:val="008315AE"/>
    <w:rsid w:val="008315FE"/>
    <w:rsid w:val="00831611"/>
    <w:rsid w:val="00831673"/>
    <w:rsid w:val="00831724"/>
    <w:rsid w:val="0083172C"/>
    <w:rsid w:val="0083177E"/>
    <w:rsid w:val="00831A02"/>
    <w:rsid w:val="00831A91"/>
    <w:rsid w:val="00831A99"/>
    <w:rsid w:val="00831A9F"/>
    <w:rsid w:val="00831B04"/>
    <w:rsid w:val="00831B64"/>
    <w:rsid w:val="00831B78"/>
    <w:rsid w:val="00831CEE"/>
    <w:rsid w:val="00831D22"/>
    <w:rsid w:val="00831E57"/>
    <w:rsid w:val="00832195"/>
    <w:rsid w:val="00832265"/>
    <w:rsid w:val="00832298"/>
    <w:rsid w:val="008322CC"/>
    <w:rsid w:val="008323E1"/>
    <w:rsid w:val="00832557"/>
    <w:rsid w:val="00832675"/>
    <w:rsid w:val="00832767"/>
    <w:rsid w:val="00832867"/>
    <w:rsid w:val="00832964"/>
    <w:rsid w:val="00832C31"/>
    <w:rsid w:val="00832CED"/>
    <w:rsid w:val="00832E84"/>
    <w:rsid w:val="00832EC4"/>
    <w:rsid w:val="008330A0"/>
    <w:rsid w:val="008330CA"/>
    <w:rsid w:val="0083334F"/>
    <w:rsid w:val="00833492"/>
    <w:rsid w:val="00833557"/>
    <w:rsid w:val="008338B6"/>
    <w:rsid w:val="008339A9"/>
    <w:rsid w:val="00833A29"/>
    <w:rsid w:val="00833AA6"/>
    <w:rsid w:val="00833B07"/>
    <w:rsid w:val="00833B1D"/>
    <w:rsid w:val="00833B2E"/>
    <w:rsid w:val="00833BBA"/>
    <w:rsid w:val="00833C6C"/>
    <w:rsid w:val="00833CE7"/>
    <w:rsid w:val="00833D21"/>
    <w:rsid w:val="00833D2D"/>
    <w:rsid w:val="00833EB9"/>
    <w:rsid w:val="00833F01"/>
    <w:rsid w:val="00833F2F"/>
    <w:rsid w:val="00833F49"/>
    <w:rsid w:val="008340AC"/>
    <w:rsid w:val="008341A6"/>
    <w:rsid w:val="008341C9"/>
    <w:rsid w:val="0083427A"/>
    <w:rsid w:val="00834426"/>
    <w:rsid w:val="008344C2"/>
    <w:rsid w:val="00834560"/>
    <w:rsid w:val="00834622"/>
    <w:rsid w:val="00834702"/>
    <w:rsid w:val="00834980"/>
    <w:rsid w:val="008349F2"/>
    <w:rsid w:val="00834B7C"/>
    <w:rsid w:val="00834BF6"/>
    <w:rsid w:val="00834D66"/>
    <w:rsid w:val="00834E57"/>
    <w:rsid w:val="00834FC9"/>
    <w:rsid w:val="008351EE"/>
    <w:rsid w:val="00835502"/>
    <w:rsid w:val="008355C3"/>
    <w:rsid w:val="008355CF"/>
    <w:rsid w:val="008355D2"/>
    <w:rsid w:val="00835760"/>
    <w:rsid w:val="00835765"/>
    <w:rsid w:val="008359D9"/>
    <w:rsid w:val="00835C50"/>
    <w:rsid w:val="00835E65"/>
    <w:rsid w:val="00835E95"/>
    <w:rsid w:val="00835F2B"/>
    <w:rsid w:val="0083613A"/>
    <w:rsid w:val="0083622E"/>
    <w:rsid w:val="00836352"/>
    <w:rsid w:val="0083646D"/>
    <w:rsid w:val="00836495"/>
    <w:rsid w:val="00836A8C"/>
    <w:rsid w:val="00836AB5"/>
    <w:rsid w:val="00836B2F"/>
    <w:rsid w:val="00836DDE"/>
    <w:rsid w:val="00836F39"/>
    <w:rsid w:val="00836F55"/>
    <w:rsid w:val="00836F6E"/>
    <w:rsid w:val="00836FBE"/>
    <w:rsid w:val="008371CD"/>
    <w:rsid w:val="00837298"/>
    <w:rsid w:val="0083731F"/>
    <w:rsid w:val="0083740C"/>
    <w:rsid w:val="0083743B"/>
    <w:rsid w:val="00837665"/>
    <w:rsid w:val="008376A4"/>
    <w:rsid w:val="008376E0"/>
    <w:rsid w:val="00837989"/>
    <w:rsid w:val="00837ADC"/>
    <w:rsid w:val="00837B38"/>
    <w:rsid w:val="00837D7F"/>
    <w:rsid w:val="00837F01"/>
    <w:rsid w:val="00837F77"/>
    <w:rsid w:val="00837FA8"/>
    <w:rsid w:val="00840022"/>
    <w:rsid w:val="008400BB"/>
    <w:rsid w:val="0084013F"/>
    <w:rsid w:val="008402A3"/>
    <w:rsid w:val="00840333"/>
    <w:rsid w:val="008405B0"/>
    <w:rsid w:val="00840721"/>
    <w:rsid w:val="00840804"/>
    <w:rsid w:val="0084089C"/>
    <w:rsid w:val="008408C6"/>
    <w:rsid w:val="00840946"/>
    <w:rsid w:val="00840A90"/>
    <w:rsid w:val="00840AE5"/>
    <w:rsid w:val="00840E35"/>
    <w:rsid w:val="00840EC4"/>
    <w:rsid w:val="00840EDF"/>
    <w:rsid w:val="00840F1D"/>
    <w:rsid w:val="00840F44"/>
    <w:rsid w:val="00840F98"/>
    <w:rsid w:val="00841061"/>
    <w:rsid w:val="00841113"/>
    <w:rsid w:val="00841177"/>
    <w:rsid w:val="0084118C"/>
    <w:rsid w:val="00841255"/>
    <w:rsid w:val="00841281"/>
    <w:rsid w:val="0084128A"/>
    <w:rsid w:val="008412BC"/>
    <w:rsid w:val="008412D8"/>
    <w:rsid w:val="008414E9"/>
    <w:rsid w:val="0084189B"/>
    <w:rsid w:val="00841B52"/>
    <w:rsid w:val="00841C4B"/>
    <w:rsid w:val="00841F4F"/>
    <w:rsid w:val="00841F69"/>
    <w:rsid w:val="00841FD0"/>
    <w:rsid w:val="008421D5"/>
    <w:rsid w:val="00842258"/>
    <w:rsid w:val="008423A5"/>
    <w:rsid w:val="0084250B"/>
    <w:rsid w:val="00842586"/>
    <w:rsid w:val="008425BC"/>
    <w:rsid w:val="0084273B"/>
    <w:rsid w:val="00842798"/>
    <w:rsid w:val="008427AF"/>
    <w:rsid w:val="008429CF"/>
    <w:rsid w:val="00842A1A"/>
    <w:rsid w:val="00842B0B"/>
    <w:rsid w:val="00842BA2"/>
    <w:rsid w:val="00842C78"/>
    <w:rsid w:val="00842CB3"/>
    <w:rsid w:val="00842CEC"/>
    <w:rsid w:val="00842D96"/>
    <w:rsid w:val="00842D9B"/>
    <w:rsid w:val="00842DCF"/>
    <w:rsid w:val="00842DF2"/>
    <w:rsid w:val="00842E76"/>
    <w:rsid w:val="00842F27"/>
    <w:rsid w:val="00842F31"/>
    <w:rsid w:val="00843008"/>
    <w:rsid w:val="0084310F"/>
    <w:rsid w:val="00843278"/>
    <w:rsid w:val="008432BA"/>
    <w:rsid w:val="008432BE"/>
    <w:rsid w:val="008432C4"/>
    <w:rsid w:val="0084334A"/>
    <w:rsid w:val="008433F8"/>
    <w:rsid w:val="00843564"/>
    <w:rsid w:val="008435FA"/>
    <w:rsid w:val="00843642"/>
    <w:rsid w:val="008437F8"/>
    <w:rsid w:val="00843924"/>
    <w:rsid w:val="008439D7"/>
    <w:rsid w:val="00843B5E"/>
    <w:rsid w:val="00843BAE"/>
    <w:rsid w:val="00843C30"/>
    <w:rsid w:val="00843D65"/>
    <w:rsid w:val="00843F47"/>
    <w:rsid w:val="00844029"/>
    <w:rsid w:val="008440F0"/>
    <w:rsid w:val="008442A0"/>
    <w:rsid w:val="00844343"/>
    <w:rsid w:val="00844678"/>
    <w:rsid w:val="0084470E"/>
    <w:rsid w:val="0084474F"/>
    <w:rsid w:val="00844866"/>
    <w:rsid w:val="00844920"/>
    <w:rsid w:val="00844924"/>
    <w:rsid w:val="0084492B"/>
    <w:rsid w:val="0084493C"/>
    <w:rsid w:val="00844946"/>
    <w:rsid w:val="008449DB"/>
    <w:rsid w:val="00844A57"/>
    <w:rsid w:val="00844BE8"/>
    <w:rsid w:val="00844C11"/>
    <w:rsid w:val="00844CE7"/>
    <w:rsid w:val="00844DAE"/>
    <w:rsid w:val="00844FF4"/>
    <w:rsid w:val="0084512A"/>
    <w:rsid w:val="0084555D"/>
    <w:rsid w:val="00845570"/>
    <w:rsid w:val="008455AF"/>
    <w:rsid w:val="00845615"/>
    <w:rsid w:val="0084562E"/>
    <w:rsid w:val="008456DC"/>
    <w:rsid w:val="008457F6"/>
    <w:rsid w:val="008458ED"/>
    <w:rsid w:val="0084596B"/>
    <w:rsid w:val="00845B74"/>
    <w:rsid w:val="00845C67"/>
    <w:rsid w:val="00845D1F"/>
    <w:rsid w:val="00845DC6"/>
    <w:rsid w:val="00845E97"/>
    <w:rsid w:val="00845EE1"/>
    <w:rsid w:val="00845F20"/>
    <w:rsid w:val="00845F4A"/>
    <w:rsid w:val="00845F7B"/>
    <w:rsid w:val="00846091"/>
    <w:rsid w:val="008463AE"/>
    <w:rsid w:val="00846414"/>
    <w:rsid w:val="0084643F"/>
    <w:rsid w:val="008464DF"/>
    <w:rsid w:val="00846579"/>
    <w:rsid w:val="00846624"/>
    <w:rsid w:val="0084668B"/>
    <w:rsid w:val="008467DA"/>
    <w:rsid w:val="008467EF"/>
    <w:rsid w:val="00846B51"/>
    <w:rsid w:val="00846B7B"/>
    <w:rsid w:val="00846D63"/>
    <w:rsid w:val="00846FAB"/>
    <w:rsid w:val="0084709F"/>
    <w:rsid w:val="008472C8"/>
    <w:rsid w:val="008472F3"/>
    <w:rsid w:val="008473B5"/>
    <w:rsid w:val="00847441"/>
    <w:rsid w:val="00847465"/>
    <w:rsid w:val="0084747A"/>
    <w:rsid w:val="008474A7"/>
    <w:rsid w:val="008474E6"/>
    <w:rsid w:val="00847572"/>
    <w:rsid w:val="00847577"/>
    <w:rsid w:val="0084769B"/>
    <w:rsid w:val="0084774C"/>
    <w:rsid w:val="008477A6"/>
    <w:rsid w:val="008477CE"/>
    <w:rsid w:val="008477E6"/>
    <w:rsid w:val="00847846"/>
    <w:rsid w:val="00847B0A"/>
    <w:rsid w:val="00847B7A"/>
    <w:rsid w:val="00847CCF"/>
    <w:rsid w:val="00847D69"/>
    <w:rsid w:val="00847DC6"/>
    <w:rsid w:val="00847E17"/>
    <w:rsid w:val="00847E8E"/>
    <w:rsid w:val="008502CC"/>
    <w:rsid w:val="0085047C"/>
    <w:rsid w:val="0085055D"/>
    <w:rsid w:val="00850580"/>
    <w:rsid w:val="008505D6"/>
    <w:rsid w:val="00850953"/>
    <w:rsid w:val="008509D5"/>
    <w:rsid w:val="008509E9"/>
    <w:rsid w:val="00850A3C"/>
    <w:rsid w:val="00850C1E"/>
    <w:rsid w:val="00850C48"/>
    <w:rsid w:val="00850CD6"/>
    <w:rsid w:val="00850E02"/>
    <w:rsid w:val="008511AB"/>
    <w:rsid w:val="00851270"/>
    <w:rsid w:val="008512B8"/>
    <w:rsid w:val="00851338"/>
    <w:rsid w:val="00851431"/>
    <w:rsid w:val="00851678"/>
    <w:rsid w:val="0085176D"/>
    <w:rsid w:val="00851825"/>
    <w:rsid w:val="00851838"/>
    <w:rsid w:val="00851AC9"/>
    <w:rsid w:val="00851C12"/>
    <w:rsid w:val="00851C37"/>
    <w:rsid w:val="00851C9F"/>
    <w:rsid w:val="00851EB2"/>
    <w:rsid w:val="00851EC8"/>
    <w:rsid w:val="00851F86"/>
    <w:rsid w:val="00852087"/>
    <w:rsid w:val="008520CB"/>
    <w:rsid w:val="008522D1"/>
    <w:rsid w:val="00852368"/>
    <w:rsid w:val="0085238A"/>
    <w:rsid w:val="00852528"/>
    <w:rsid w:val="00852669"/>
    <w:rsid w:val="00852694"/>
    <w:rsid w:val="008526C0"/>
    <w:rsid w:val="008528EA"/>
    <w:rsid w:val="008529D7"/>
    <w:rsid w:val="008529E1"/>
    <w:rsid w:val="00852A58"/>
    <w:rsid w:val="00852D48"/>
    <w:rsid w:val="00852DD6"/>
    <w:rsid w:val="00852E4F"/>
    <w:rsid w:val="00852FF6"/>
    <w:rsid w:val="008530DB"/>
    <w:rsid w:val="00853184"/>
    <w:rsid w:val="00853374"/>
    <w:rsid w:val="008533AE"/>
    <w:rsid w:val="00853482"/>
    <w:rsid w:val="008534E5"/>
    <w:rsid w:val="00853538"/>
    <w:rsid w:val="008536C6"/>
    <w:rsid w:val="008536E1"/>
    <w:rsid w:val="00853734"/>
    <w:rsid w:val="00853898"/>
    <w:rsid w:val="0085390E"/>
    <w:rsid w:val="00853954"/>
    <w:rsid w:val="00853A3F"/>
    <w:rsid w:val="00853A73"/>
    <w:rsid w:val="00853CF6"/>
    <w:rsid w:val="00853E46"/>
    <w:rsid w:val="00853F04"/>
    <w:rsid w:val="008540A5"/>
    <w:rsid w:val="008541E8"/>
    <w:rsid w:val="00854407"/>
    <w:rsid w:val="00854473"/>
    <w:rsid w:val="008544EA"/>
    <w:rsid w:val="00854558"/>
    <w:rsid w:val="0085464B"/>
    <w:rsid w:val="00854769"/>
    <w:rsid w:val="00854795"/>
    <w:rsid w:val="008547C8"/>
    <w:rsid w:val="00854866"/>
    <w:rsid w:val="008549CB"/>
    <w:rsid w:val="008549DB"/>
    <w:rsid w:val="00854B66"/>
    <w:rsid w:val="00854BB8"/>
    <w:rsid w:val="00854F19"/>
    <w:rsid w:val="008550C4"/>
    <w:rsid w:val="00855155"/>
    <w:rsid w:val="008551F9"/>
    <w:rsid w:val="0085537E"/>
    <w:rsid w:val="00855435"/>
    <w:rsid w:val="0085553E"/>
    <w:rsid w:val="0085581D"/>
    <w:rsid w:val="00855A9A"/>
    <w:rsid w:val="00855BE8"/>
    <w:rsid w:val="00855C6F"/>
    <w:rsid w:val="00855CCB"/>
    <w:rsid w:val="00855DB8"/>
    <w:rsid w:val="00856098"/>
    <w:rsid w:val="00856113"/>
    <w:rsid w:val="00856119"/>
    <w:rsid w:val="008561BD"/>
    <w:rsid w:val="008561CE"/>
    <w:rsid w:val="00856210"/>
    <w:rsid w:val="008562AF"/>
    <w:rsid w:val="00856343"/>
    <w:rsid w:val="008564A2"/>
    <w:rsid w:val="00856637"/>
    <w:rsid w:val="00856676"/>
    <w:rsid w:val="008566CF"/>
    <w:rsid w:val="008566DC"/>
    <w:rsid w:val="0085691B"/>
    <w:rsid w:val="008569A2"/>
    <w:rsid w:val="00856D09"/>
    <w:rsid w:val="00856D0A"/>
    <w:rsid w:val="00856F30"/>
    <w:rsid w:val="0085731A"/>
    <w:rsid w:val="008573C0"/>
    <w:rsid w:val="008573D7"/>
    <w:rsid w:val="008575F1"/>
    <w:rsid w:val="0085765A"/>
    <w:rsid w:val="0085771D"/>
    <w:rsid w:val="00857B1B"/>
    <w:rsid w:val="00857C0C"/>
    <w:rsid w:val="00857C27"/>
    <w:rsid w:val="00857DDA"/>
    <w:rsid w:val="008600A0"/>
    <w:rsid w:val="0086033E"/>
    <w:rsid w:val="00860350"/>
    <w:rsid w:val="00860392"/>
    <w:rsid w:val="00860549"/>
    <w:rsid w:val="0086054E"/>
    <w:rsid w:val="008606E6"/>
    <w:rsid w:val="00860827"/>
    <w:rsid w:val="008609BE"/>
    <w:rsid w:val="00860A50"/>
    <w:rsid w:val="00860B29"/>
    <w:rsid w:val="00860BD1"/>
    <w:rsid w:val="00860C9B"/>
    <w:rsid w:val="00860CD0"/>
    <w:rsid w:val="00860D05"/>
    <w:rsid w:val="00860DD4"/>
    <w:rsid w:val="00860FB0"/>
    <w:rsid w:val="00861003"/>
    <w:rsid w:val="00861042"/>
    <w:rsid w:val="008610EA"/>
    <w:rsid w:val="00861269"/>
    <w:rsid w:val="00861274"/>
    <w:rsid w:val="00861319"/>
    <w:rsid w:val="00861387"/>
    <w:rsid w:val="008613BB"/>
    <w:rsid w:val="00861513"/>
    <w:rsid w:val="00861689"/>
    <w:rsid w:val="008616B0"/>
    <w:rsid w:val="008616B5"/>
    <w:rsid w:val="00861A5B"/>
    <w:rsid w:val="00861B43"/>
    <w:rsid w:val="00861B94"/>
    <w:rsid w:val="00861C8C"/>
    <w:rsid w:val="00861CD0"/>
    <w:rsid w:val="00861D96"/>
    <w:rsid w:val="00861F9A"/>
    <w:rsid w:val="0086218A"/>
    <w:rsid w:val="008621D7"/>
    <w:rsid w:val="008622C1"/>
    <w:rsid w:val="008622C7"/>
    <w:rsid w:val="0086231F"/>
    <w:rsid w:val="00862396"/>
    <w:rsid w:val="00862501"/>
    <w:rsid w:val="00862563"/>
    <w:rsid w:val="00862568"/>
    <w:rsid w:val="00862600"/>
    <w:rsid w:val="00862776"/>
    <w:rsid w:val="0086279A"/>
    <w:rsid w:val="00862830"/>
    <w:rsid w:val="008628AA"/>
    <w:rsid w:val="00862975"/>
    <w:rsid w:val="00862C51"/>
    <w:rsid w:val="00862CB2"/>
    <w:rsid w:val="00862CC9"/>
    <w:rsid w:val="00862CFF"/>
    <w:rsid w:val="00862D4E"/>
    <w:rsid w:val="00862FC7"/>
    <w:rsid w:val="0086300B"/>
    <w:rsid w:val="008630A1"/>
    <w:rsid w:val="00863332"/>
    <w:rsid w:val="008633A5"/>
    <w:rsid w:val="00863469"/>
    <w:rsid w:val="008634AE"/>
    <w:rsid w:val="0086367A"/>
    <w:rsid w:val="0086378C"/>
    <w:rsid w:val="008638DA"/>
    <w:rsid w:val="00863930"/>
    <w:rsid w:val="00863A92"/>
    <w:rsid w:val="00863C50"/>
    <w:rsid w:val="00863C5F"/>
    <w:rsid w:val="00863CB5"/>
    <w:rsid w:val="00863D0F"/>
    <w:rsid w:val="00863DDB"/>
    <w:rsid w:val="00863EDE"/>
    <w:rsid w:val="00863F14"/>
    <w:rsid w:val="008640E2"/>
    <w:rsid w:val="0086427D"/>
    <w:rsid w:val="0086428C"/>
    <w:rsid w:val="008642C6"/>
    <w:rsid w:val="0086441D"/>
    <w:rsid w:val="0086451F"/>
    <w:rsid w:val="0086455E"/>
    <w:rsid w:val="0086455F"/>
    <w:rsid w:val="0086458A"/>
    <w:rsid w:val="008645CB"/>
    <w:rsid w:val="008645F1"/>
    <w:rsid w:val="0086464A"/>
    <w:rsid w:val="0086466D"/>
    <w:rsid w:val="00864692"/>
    <w:rsid w:val="008646F2"/>
    <w:rsid w:val="00864873"/>
    <w:rsid w:val="008648B6"/>
    <w:rsid w:val="00864942"/>
    <w:rsid w:val="00864A24"/>
    <w:rsid w:val="00864B8C"/>
    <w:rsid w:val="00864CE5"/>
    <w:rsid w:val="00864D1C"/>
    <w:rsid w:val="00864FD4"/>
    <w:rsid w:val="0086500B"/>
    <w:rsid w:val="00865088"/>
    <w:rsid w:val="00865092"/>
    <w:rsid w:val="0086512D"/>
    <w:rsid w:val="0086518C"/>
    <w:rsid w:val="00865289"/>
    <w:rsid w:val="008652A8"/>
    <w:rsid w:val="00865303"/>
    <w:rsid w:val="00865354"/>
    <w:rsid w:val="008657C2"/>
    <w:rsid w:val="00865805"/>
    <w:rsid w:val="00865896"/>
    <w:rsid w:val="00865980"/>
    <w:rsid w:val="00865A52"/>
    <w:rsid w:val="00865A8E"/>
    <w:rsid w:val="00865CC8"/>
    <w:rsid w:val="00865CCA"/>
    <w:rsid w:val="00865D85"/>
    <w:rsid w:val="00865DA0"/>
    <w:rsid w:val="00865EFC"/>
    <w:rsid w:val="00865F98"/>
    <w:rsid w:val="008660AE"/>
    <w:rsid w:val="008661EE"/>
    <w:rsid w:val="00866273"/>
    <w:rsid w:val="00866351"/>
    <w:rsid w:val="008663BC"/>
    <w:rsid w:val="00866621"/>
    <w:rsid w:val="008668A2"/>
    <w:rsid w:val="008669ED"/>
    <w:rsid w:val="00866A60"/>
    <w:rsid w:val="00866C5E"/>
    <w:rsid w:val="00866EC7"/>
    <w:rsid w:val="00866F6D"/>
    <w:rsid w:val="00867253"/>
    <w:rsid w:val="008672C0"/>
    <w:rsid w:val="008678A1"/>
    <w:rsid w:val="00867EF8"/>
    <w:rsid w:val="00867FEC"/>
    <w:rsid w:val="00870135"/>
    <w:rsid w:val="008702DC"/>
    <w:rsid w:val="008702F0"/>
    <w:rsid w:val="0087050B"/>
    <w:rsid w:val="0087051F"/>
    <w:rsid w:val="00870602"/>
    <w:rsid w:val="00870671"/>
    <w:rsid w:val="00870B1F"/>
    <w:rsid w:val="00870B41"/>
    <w:rsid w:val="00870D1E"/>
    <w:rsid w:val="00870D36"/>
    <w:rsid w:val="00870EFA"/>
    <w:rsid w:val="008711B2"/>
    <w:rsid w:val="00871366"/>
    <w:rsid w:val="0087146A"/>
    <w:rsid w:val="008714E3"/>
    <w:rsid w:val="00871519"/>
    <w:rsid w:val="0087156B"/>
    <w:rsid w:val="0087156F"/>
    <w:rsid w:val="00871602"/>
    <w:rsid w:val="00871867"/>
    <w:rsid w:val="00871887"/>
    <w:rsid w:val="008718E3"/>
    <w:rsid w:val="00871A13"/>
    <w:rsid w:val="00871C01"/>
    <w:rsid w:val="00871E1D"/>
    <w:rsid w:val="00871E58"/>
    <w:rsid w:val="0087214E"/>
    <w:rsid w:val="00872238"/>
    <w:rsid w:val="0087228B"/>
    <w:rsid w:val="00872A72"/>
    <w:rsid w:val="00872BE3"/>
    <w:rsid w:val="00872C07"/>
    <w:rsid w:val="00872D07"/>
    <w:rsid w:val="00872E12"/>
    <w:rsid w:val="00872EC2"/>
    <w:rsid w:val="00873004"/>
    <w:rsid w:val="008730B2"/>
    <w:rsid w:val="00873104"/>
    <w:rsid w:val="008731BF"/>
    <w:rsid w:val="00873231"/>
    <w:rsid w:val="00873288"/>
    <w:rsid w:val="0087330E"/>
    <w:rsid w:val="0087336D"/>
    <w:rsid w:val="008733F4"/>
    <w:rsid w:val="0087368C"/>
    <w:rsid w:val="008736B1"/>
    <w:rsid w:val="008736C3"/>
    <w:rsid w:val="008736CA"/>
    <w:rsid w:val="00873891"/>
    <w:rsid w:val="008738AA"/>
    <w:rsid w:val="00873A86"/>
    <w:rsid w:val="00873A99"/>
    <w:rsid w:val="00873A9E"/>
    <w:rsid w:val="00873AD7"/>
    <w:rsid w:val="00874215"/>
    <w:rsid w:val="00874484"/>
    <w:rsid w:val="0087481B"/>
    <w:rsid w:val="00874888"/>
    <w:rsid w:val="00874918"/>
    <w:rsid w:val="00874AFF"/>
    <w:rsid w:val="00874B12"/>
    <w:rsid w:val="00874B84"/>
    <w:rsid w:val="00874C9C"/>
    <w:rsid w:val="00874CD6"/>
    <w:rsid w:val="00874D68"/>
    <w:rsid w:val="00874E77"/>
    <w:rsid w:val="00875090"/>
    <w:rsid w:val="00875152"/>
    <w:rsid w:val="00875212"/>
    <w:rsid w:val="0087529D"/>
    <w:rsid w:val="008752C2"/>
    <w:rsid w:val="0087540D"/>
    <w:rsid w:val="0087545F"/>
    <w:rsid w:val="00875543"/>
    <w:rsid w:val="00875810"/>
    <w:rsid w:val="0087587D"/>
    <w:rsid w:val="008758BE"/>
    <w:rsid w:val="00875A61"/>
    <w:rsid w:val="00875ACC"/>
    <w:rsid w:val="00875BD3"/>
    <w:rsid w:val="00875E6A"/>
    <w:rsid w:val="00875F59"/>
    <w:rsid w:val="00875F64"/>
    <w:rsid w:val="00875F99"/>
    <w:rsid w:val="008760DA"/>
    <w:rsid w:val="00876107"/>
    <w:rsid w:val="008762C6"/>
    <w:rsid w:val="00876414"/>
    <w:rsid w:val="008764DA"/>
    <w:rsid w:val="008764EB"/>
    <w:rsid w:val="0087676E"/>
    <w:rsid w:val="008767CB"/>
    <w:rsid w:val="00876821"/>
    <w:rsid w:val="00876ABC"/>
    <w:rsid w:val="00876B39"/>
    <w:rsid w:val="00876B97"/>
    <w:rsid w:val="00876BDC"/>
    <w:rsid w:val="00876C18"/>
    <w:rsid w:val="00876C22"/>
    <w:rsid w:val="00876E2F"/>
    <w:rsid w:val="00876F14"/>
    <w:rsid w:val="00876F67"/>
    <w:rsid w:val="00876FDD"/>
    <w:rsid w:val="0087706E"/>
    <w:rsid w:val="00877074"/>
    <w:rsid w:val="00877168"/>
    <w:rsid w:val="00877224"/>
    <w:rsid w:val="0087727F"/>
    <w:rsid w:val="008772F9"/>
    <w:rsid w:val="00877529"/>
    <w:rsid w:val="00877569"/>
    <w:rsid w:val="008776C6"/>
    <w:rsid w:val="00877A12"/>
    <w:rsid w:val="00877BE5"/>
    <w:rsid w:val="00877BF4"/>
    <w:rsid w:val="00877CD7"/>
    <w:rsid w:val="00877DA7"/>
    <w:rsid w:val="00880150"/>
    <w:rsid w:val="008801EB"/>
    <w:rsid w:val="008803C5"/>
    <w:rsid w:val="00880411"/>
    <w:rsid w:val="008804D8"/>
    <w:rsid w:val="0088056C"/>
    <w:rsid w:val="0088076A"/>
    <w:rsid w:val="00880827"/>
    <w:rsid w:val="00880862"/>
    <w:rsid w:val="00880B03"/>
    <w:rsid w:val="008810B9"/>
    <w:rsid w:val="0088110A"/>
    <w:rsid w:val="00881186"/>
    <w:rsid w:val="0088129B"/>
    <w:rsid w:val="0088135F"/>
    <w:rsid w:val="008813A9"/>
    <w:rsid w:val="00881454"/>
    <w:rsid w:val="0088156F"/>
    <w:rsid w:val="008816FD"/>
    <w:rsid w:val="00881A48"/>
    <w:rsid w:val="00881AF7"/>
    <w:rsid w:val="00881C2A"/>
    <w:rsid w:val="00881D2A"/>
    <w:rsid w:val="00881D6E"/>
    <w:rsid w:val="00881DD2"/>
    <w:rsid w:val="00881DEE"/>
    <w:rsid w:val="00881EE9"/>
    <w:rsid w:val="008820CF"/>
    <w:rsid w:val="0088222B"/>
    <w:rsid w:val="008823F5"/>
    <w:rsid w:val="0088249D"/>
    <w:rsid w:val="008826A0"/>
    <w:rsid w:val="00882733"/>
    <w:rsid w:val="00882772"/>
    <w:rsid w:val="0088286C"/>
    <w:rsid w:val="008829C9"/>
    <w:rsid w:val="00882BC1"/>
    <w:rsid w:val="00882CEA"/>
    <w:rsid w:val="00882DAD"/>
    <w:rsid w:val="00882E1D"/>
    <w:rsid w:val="00882FB0"/>
    <w:rsid w:val="0088308D"/>
    <w:rsid w:val="0088313F"/>
    <w:rsid w:val="00883208"/>
    <w:rsid w:val="0088340C"/>
    <w:rsid w:val="008834F8"/>
    <w:rsid w:val="00883546"/>
    <w:rsid w:val="0088371A"/>
    <w:rsid w:val="00883724"/>
    <w:rsid w:val="008837D4"/>
    <w:rsid w:val="0088380F"/>
    <w:rsid w:val="008838CD"/>
    <w:rsid w:val="00883901"/>
    <w:rsid w:val="00883942"/>
    <w:rsid w:val="0088394A"/>
    <w:rsid w:val="00883A70"/>
    <w:rsid w:val="00883B89"/>
    <w:rsid w:val="00883D5B"/>
    <w:rsid w:val="00883D93"/>
    <w:rsid w:val="00883EB6"/>
    <w:rsid w:val="00883F59"/>
    <w:rsid w:val="00883FB2"/>
    <w:rsid w:val="00884385"/>
    <w:rsid w:val="00884670"/>
    <w:rsid w:val="00884688"/>
    <w:rsid w:val="008846CC"/>
    <w:rsid w:val="008847CB"/>
    <w:rsid w:val="008847D0"/>
    <w:rsid w:val="0088491E"/>
    <w:rsid w:val="00884953"/>
    <w:rsid w:val="00884A6F"/>
    <w:rsid w:val="00884C49"/>
    <w:rsid w:val="00884C85"/>
    <w:rsid w:val="00884DA3"/>
    <w:rsid w:val="00884E3C"/>
    <w:rsid w:val="00884F99"/>
    <w:rsid w:val="00885036"/>
    <w:rsid w:val="008850FB"/>
    <w:rsid w:val="0088512F"/>
    <w:rsid w:val="00885151"/>
    <w:rsid w:val="0088516E"/>
    <w:rsid w:val="008851BD"/>
    <w:rsid w:val="008851DE"/>
    <w:rsid w:val="0088520F"/>
    <w:rsid w:val="008854B9"/>
    <w:rsid w:val="00885509"/>
    <w:rsid w:val="0088553C"/>
    <w:rsid w:val="008857CB"/>
    <w:rsid w:val="00885B44"/>
    <w:rsid w:val="00885C36"/>
    <w:rsid w:val="00885C4B"/>
    <w:rsid w:val="00885D18"/>
    <w:rsid w:val="00885D1D"/>
    <w:rsid w:val="00885D74"/>
    <w:rsid w:val="00885ED6"/>
    <w:rsid w:val="00885F74"/>
    <w:rsid w:val="00885FA2"/>
    <w:rsid w:val="00886010"/>
    <w:rsid w:val="00886035"/>
    <w:rsid w:val="00886240"/>
    <w:rsid w:val="008862EF"/>
    <w:rsid w:val="0088631F"/>
    <w:rsid w:val="0088640B"/>
    <w:rsid w:val="0088648E"/>
    <w:rsid w:val="008864A5"/>
    <w:rsid w:val="00886578"/>
    <w:rsid w:val="00886759"/>
    <w:rsid w:val="00886807"/>
    <w:rsid w:val="0088689D"/>
    <w:rsid w:val="00886D2D"/>
    <w:rsid w:val="00886F6F"/>
    <w:rsid w:val="00887054"/>
    <w:rsid w:val="0088735A"/>
    <w:rsid w:val="008873B9"/>
    <w:rsid w:val="00887428"/>
    <w:rsid w:val="008874EB"/>
    <w:rsid w:val="008877D8"/>
    <w:rsid w:val="00887908"/>
    <w:rsid w:val="00887C19"/>
    <w:rsid w:val="00887E1B"/>
    <w:rsid w:val="00887EFB"/>
    <w:rsid w:val="00887F53"/>
    <w:rsid w:val="008900F3"/>
    <w:rsid w:val="00890153"/>
    <w:rsid w:val="008901A1"/>
    <w:rsid w:val="008901D6"/>
    <w:rsid w:val="008904CE"/>
    <w:rsid w:val="00890585"/>
    <w:rsid w:val="00890677"/>
    <w:rsid w:val="0089082A"/>
    <w:rsid w:val="0089083A"/>
    <w:rsid w:val="00890938"/>
    <w:rsid w:val="008909DF"/>
    <w:rsid w:val="00890AED"/>
    <w:rsid w:val="00890C5F"/>
    <w:rsid w:val="00890C6B"/>
    <w:rsid w:val="00890DE0"/>
    <w:rsid w:val="00890ECD"/>
    <w:rsid w:val="00890EDE"/>
    <w:rsid w:val="00891065"/>
    <w:rsid w:val="00891373"/>
    <w:rsid w:val="008914F8"/>
    <w:rsid w:val="00891625"/>
    <w:rsid w:val="0089174B"/>
    <w:rsid w:val="00891759"/>
    <w:rsid w:val="008917B6"/>
    <w:rsid w:val="00891800"/>
    <w:rsid w:val="008918B6"/>
    <w:rsid w:val="00891BCB"/>
    <w:rsid w:val="00891C98"/>
    <w:rsid w:val="00891CDD"/>
    <w:rsid w:val="00891EA9"/>
    <w:rsid w:val="00891EB1"/>
    <w:rsid w:val="00891EEB"/>
    <w:rsid w:val="00891EEC"/>
    <w:rsid w:val="00891EF6"/>
    <w:rsid w:val="00891F5B"/>
    <w:rsid w:val="0089213E"/>
    <w:rsid w:val="00892169"/>
    <w:rsid w:val="008921CC"/>
    <w:rsid w:val="0089221C"/>
    <w:rsid w:val="00892240"/>
    <w:rsid w:val="00892300"/>
    <w:rsid w:val="0089244D"/>
    <w:rsid w:val="00892462"/>
    <w:rsid w:val="008924EE"/>
    <w:rsid w:val="008925BC"/>
    <w:rsid w:val="00892756"/>
    <w:rsid w:val="0089282A"/>
    <w:rsid w:val="00892893"/>
    <w:rsid w:val="008928A5"/>
    <w:rsid w:val="0089310B"/>
    <w:rsid w:val="00893220"/>
    <w:rsid w:val="00893289"/>
    <w:rsid w:val="008932E6"/>
    <w:rsid w:val="0089340C"/>
    <w:rsid w:val="0089356B"/>
    <w:rsid w:val="0089369B"/>
    <w:rsid w:val="008936FE"/>
    <w:rsid w:val="0089374D"/>
    <w:rsid w:val="008939F9"/>
    <w:rsid w:val="00893ACB"/>
    <w:rsid w:val="00893B67"/>
    <w:rsid w:val="00893C68"/>
    <w:rsid w:val="00893CBD"/>
    <w:rsid w:val="00893DC6"/>
    <w:rsid w:val="00893E49"/>
    <w:rsid w:val="00894483"/>
    <w:rsid w:val="008945FC"/>
    <w:rsid w:val="0089466F"/>
    <w:rsid w:val="008947B8"/>
    <w:rsid w:val="00894820"/>
    <w:rsid w:val="00894899"/>
    <w:rsid w:val="00894A62"/>
    <w:rsid w:val="00894BCB"/>
    <w:rsid w:val="00894BE2"/>
    <w:rsid w:val="00894C94"/>
    <w:rsid w:val="00894EAE"/>
    <w:rsid w:val="00894ED5"/>
    <w:rsid w:val="00894FC9"/>
    <w:rsid w:val="008952B0"/>
    <w:rsid w:val="0089537C"/>
    <w:rsid w:val="0089542E"/>
    <w:rsid w:val="008954D1"/>
    <w:rsid w:val="00895862"/>
    <w:rsid w:val="008958E0"/>
    <w:rsid w:val="00895915"/>
    <w:rsid w:val="00895AE3"/>
    <w:rsid w:val="00895D12"/>
    <w:rsid w:val="00895D54"/>
    <w:rsid w:val="00895EB0"/>
    <w:rsid w:val="00895F34"/>
    <w:rsid w:val="00895F4F"/>
    <w:rsid w:val="00896111"/>
    <w:rsid w:val="00896197"/>
    <w:rsid w:val="0089657A"/>
    <w:rsid w:val="008968D3"/>
    <w:rsid w:val="00896952"/>
    <w:rsid w:val="00896BCE"/>
    <w:rsid w:val="00896C67"/>
    <w:rsid w:val="00896E9C"/>
    <w:rsid w:val="00896EEE"/>
    <w:rsid w:val="00896F62"/>
    <w:rsid w:val="00896FDD"/>
    <w:rsid w:val="00897071"/>
    <w:rsid w:val="008970A2"/>
    <w:rsid w:val="008971D8"/>
    <w:rsid w:val="00897278"/>
    <w:rsid w:val="0089747C"/>
    <w:rsid w:val="0089769E"/>
    <w:rsid w:val="008977CD"/>
    <w:rsid w:val="00897805"/>
    <w:rsid w:val="00897807"/>
    <w:rsid w:val="00897854"/>
    <w:rsid w:val="00897999"/>
    <w:rsid w:val="00897A00"/>
    <w:rsid w:val="00897B88"/>
    <w:rsid w:val="00897BE8"/>
    <w:rsid w:val="00897C47"/>
    <w:rsid w:val="00897CA9"/>
    <w:rsid w:val="00897D29"/>
    <w:rsid w:val="00897D9D"/>
    <w:rsid w:val="00897F87"/>
    <w:rsid w:val="008A01C6"/>
    <w:rsid w:val="008A06D9"/>
    <w:rsid w:val="008A0A2E"/>
    <w:rsid w:val="008A0AEE"/>
    <w:rsid w:val="008A0CC9"/>
    <w:rsid w:val="008A116E"/>
    <w:rsid w:val="008A1244"/>
    <w:rsid w:val="008A124D"/>
    <w:rsid w:val="008A1335"/>
    <w:rsid w:val="008A155A"/>
    <w:rsid w:val="008A15BE"/>
    <w:rsid w:val="008A166D"/>
    <w:rsid w:val="008A174F"/>
    <w:rsid w:val="008A199D"/>
    <w:rsid w:val="008A1A7E"/>
    <w:rsid w:val="008A1AAA"/>
    <w:rsid w:val="008A1AC9"/>
    <w:rsid w:val="008A1BBF"/>
    <w:rsid w:val="008A1CA3"/>
    <w:rsid w:val="008A1D5B"/>
    <w:rsid w:val="008A1F57"/>
    <w:rsid w:val="008A1FE7"/>
    <w:rsid w:val="008A2006"/>
    <w:rsid w:val="008A2034"/>
    <w:rsid w:val="008A21D5"/>
    <w:rsid w:val="008A2480"/>
    <w:rsid w:val="008A249C"/>
    <w:rsid w:val="008A24A7"/>
    <w:rsid w:val="008A2535"/>
    <w:rsid w:val="008A271E"/>
    <w:rsid w:val="008A27C3"/>
    <w:rsid w:val="008A28C1"/>
    <w:rsid w:val="008A298C"/>
    <w:rsid w:val="008A2A5C"/>
    <w:rsid w:val="008A2A67"/>
    <w:rsid w:val="008A2ACF"/>
    <w:rsid w:val="008A2BDB"/>
    <w:rsid w:val="008A2C4B"/>
    <w:rsid w:val="008A2D2A"/>
    <w:rsid w:val="008A2ECC"/>
    <w:rsid w:val="008A2ED3"/>
    <w:rsid w:val="008A2FCD"/>
    <w:rsid w:val="008A2FFA"/>
    <w:rsid w:val="008A30E1"/>
    <w:rsid w:val="008A31E9"/>
    <w:rsid w:val="008A3204"/>
    <w:rsid w:val="008A34EF"/>
    <w:rsid w:val="008A3591"/>
    <w:rsid w:val="008A35A0"/>
    <w:rsid w:val="008A365E"/>
    <w:rsid w:val="008A39BE"/>
    <w:rsid w:val="008A39D1"/>
    <w:rsid w:val="008A3AC4"/>
    <w:rsid w:val="008A3AE9"/>
    <w:rsid w:val="008A3AEF"/>
    <w:rsid w:val="008A3B5D"/>
    <w:rsid w:val="008A3C3E"/>
    <w:rsid w:val="008A3D42"/>
    <w:rsid w:val="008A3DF6"/>
    <w:rsid w:val="008A3E7A"/>
    <w:rsid w:val="008A3F17"/>
    <w:rsid w:val="008A3F70"/>
    <w:rsid w:val="008A3FF3"/>
    <w:rsid w:val="008A401F"/>
    <w:rsid w:val="008A4184"/>
    <w:rsid w:val="008A4186"/>
    <w:rsid w:val="008A4295"/>
    <w:rsid w:val="008A430A"/>
    <w:rsid w:val="008A445E"/>
    <w:rsid w:val="008A458D"/>
    <w:rsid w:val="008A46AE"/>
    <w:rsid w:val="008A4962"/>
    <w:rsid w:val="008A49DD"/>
    <w:rsid w:val="008A4C6E"/>
    <w:rsid w:val="008A513D"/>
    <w:rsid w:val="008A529C"/>
    <w:rsid w:val="008A52C1"/>
    <w:rsid w:val="008A52F5"/>
    <w:rsid w:val="008A55BC"/>
    <w:rsid w:val="008A57B3"/>
    <w:rsid w:val="008A5967"/>
    <w:rsid w:val="008A5AD3"/>
    <w:rsid w:val="008A5ADF"/>
    <w:rsid w:val="008A5B17"/>
    <w:rsid w:val="008A5B9C"/>
    <w:rsid w:val="008A5CA2"/>
    <w:rsid w:val="008A5E6E"/>
    <w:rsid w:val="008A5EB6"/>
    <w:rsid w:val="008A5FCB"/>
    <w:rsid w:val="008A62FF"/>
    <w:rsid w:val="008A6397"/>
    <w:rsid w:val="008A63B0"/>
    <w:rsid w:val="008A65D1"/>
    <w:rsid w:val="008A6751"/>
    <w:rsid w:val="008A6883"/>
    <w:rsid w:val="008A68B6"/>
    <w:rsid w:val="008A6901"/>
    <w:rsid w:val="008A6C78"/>
    <w:rsid w:val="008A6CF3"/>
    <w:rsid w:val="008A6D7F"/>
    <w:rsid w:val="008A6F2C"/>
    <w:rsid w:val="008A7174"/>
    <w:rsid w:val="008A7205"/>
    <w:rsid w:val="008A720D"/>
    <w:rsid w:val="008A72ED"/>
    <w:rsid w:val="008A733E"/>
    <w:rsid w:val="008A7AC4"/>
    <w:rsid w:val="008A7BA9"/>
    <w:rsid w:val="008A7C1D"/>
    <w:rsid w:val="008A7C40"/>
    <w:rsid w:val="008A7C71"/>
    <w:rsid w:val="008A7D69"/>
    <w:rsid w:val="008B0034"/>
    <w:rsid w:val="008B0335"/>
    <w:rsid w:val="008B03CB"/>
    <w:rsid w:val="008B044D"/>
    <w:rsid w:val="008B04E9"/>
    <w:rsid w:val="008B06EE"/>
    <w:rsid w:val="008B079B"/>
    <w:rsid w:val="008B0977"/>
    <w:rsid w:val="008B0ABF"/>
    <w:rsid w:val="008B0C69"/>
    <w:rsid w:val="008B0C94"/>
    <w:rsid w:val="008B0DC8"/>
    <w:rsid w:val="008B0DEB"/>
    <w:rsid w:val="008B0F14"/>
    <w:rsid w:val="008B10BF"/>
    <w:rsid w:val="008B10EC"/>
    <w:rsid w:val="008B113B"/>
    <w:rsid w:val="008B116E"/>
    <w:rsid w:val="008B168B"/>
    <w:rsid w:val="008B16BF"/>
    <w:rsid w:val="008B1814"/>
    <w:rsid w:val="008B1AA3"/>
    <w:rsid w:val="008B1AC2"/>
    <w:rsid w:val="008B1B77"/>
    <w:rsid w:val="008B1C3A"/>
    <w:rsid w:val="008B1E21"/>
    <w:rsid w:val="008B1E7E"/>
    <w:rsid w:val="008B1EB3"/>
    <w:rsid w:val="008B2194"/>
    <w:rsid w:val="008B21AE"/>
    <w:rsid w:val="008B21D9"/>
    <w:rsid w:val="008B236F"/>
    <w:rsid w:val="008B2539"/>
    <w:rsid w:val="008B25D3"/>
    <w:rsid w:val="008B275B"/>
    <w:rsid w:val="008B2AC6"/>
    <w:rsid w:val="008B2AC9"/>
    <w:rsid w:val="008B2ACF"/>
    <w:rsid w:val="008B2B49"/>
    <w:rsid w:val="008B2C25"/>
    <w:rsid w:val="008B2C2A"/>
    <w:rsid w:val="008B2D38"/>
    <w:rsid w:val="008B2E97"/>
    <w:rsid w:val="008B2F70"/>
    <w:rsid w:val="008B3307"/>
    <w:rsid w:val="008B3706"/>
    <w:rsid w:val="008B3764"/>
    <w:rsid w:val="008B3B32"/>
    <w:rsid w:val="008B3BF6"/>
    <w:rsid w:val="008B3C31"/>
    <w:rsid w:val="008B3C69"/>
    <w:rsid w:val="008B3CA3"/>
    <w:rsid w:val="008B3E59"/>
    <w:rsid w:val="008B3E7C"/>
    <w:rsid w:val="008B400E"/>
    <w:rsid w:val="008B4196"/>
    <w:rsid w:val="008B41EE"/>
    <w:rsid w:val="008B4442"/>
    <w:rsid w:val="008B453E"/>
    <w:rsid w:val="008B484B"/>
    <w:rsid w:val="008B4ADF"/>
    <w:rsid w:val="008B4BA9"/>
    <w:rsid w:val="008B4CF4"/>
    <w:rsid w:val="008B4DAD"/>
    <w:rsid w:val="008B4F4F"/>
    <w:rsid w:val="008B4FAB"/>
    <w:rsid w:val="008B4FC4"/>
    <w:rsid w:val="008B500D"/>
    <w:rsid w:val="008B5130"/>
    <w:rsid w:val="008B53A2"/>
    <w:rsid w:val="008B56B9"/>
    <w:rsid w:val="008B5847"/>
    <w:rsid w:val="008B5A21"/>
    <w:rsid w:val="008B5B63"/>
    <w:rsid w:val="008B5BA4"/>
    <w:rsid w:val="008B5F98"/>
    <w:rsid w:val="008B6089"/>
    <w:rsid w:val="008B60A9"/>
    <w:rsid w:val="008B6122"/>
    <w:rsid w:val="008B62F6"/>
    <w:rsid w:val="008B62FC"/>
    <w:rsid w:val="008B6364"/>
    <w:rsid w:val="008B63DE"/>
    <w:rsid w:val="008B641D"/>
    <w:rsid w:val="008B6454"/>
    <w:rsid w:val="008B6654"/>
    <w:rsid w:val="008B669E"/>
    <w:rsid w:val="008B679F"/>
    <w:rsid w:val="008B67A8"/>
    <w:rsid w:val="008B6D6D"/>
    <w:rsid w:val="008B6EBA"/>
    <w:rsid w:val="008B6ED0"/>
    <w:rsid w:val="008B6FA1"/>
    <w:rsid w:val="008B7012"/>
    <w:rsid w:val="008B724E"/>
    <w:rsid w:val="008B73EB"/>
    <w:rsid w:val="008B75C8"/>
    <w:rsid w:val="008B7751"/>
    <w:rsid w:val="008B77B5"/>
    <w:rsid w:val="008B7902"/>
    <w:rsid w:val="008B7C43"/>
    <w:rsid w:val="008B7D04"/>
    <w:rsid w:val="008B7D6E"/>
    <w:rsid w:val="008B7E24"/>
    <w:rsid w:val="008B7F7A"/>
    <w:rsid w:val="008C0095"/>
    <w:rsid w:val="008C01A6"/>
    <w:rsid w:val="008C02F8"/>
    <w:rsid w:val="008C04FB"/>
    <w:rsid w:val="008C05DF"/>
    <w:rsid w:val="008C0638"/>
    <w:rsid w:val="008C070B"/>
    <w:rsid w:val="008C0729"/>
    <w:rsid w:val="008C090C"/>
    <w:rsid w:val="008C0AC9"/>
    <w:rsid w:val="008C0ACE"/>
    <w:rsid w:val="008C0C04"/>
    <w:rsid w:val="008C0C09"/>
    <w:rsid w:val="008C0CD9"/>
    <w:rsid w:val="008C0D23"/>
    <w:rsid w:val="008C0D64"/>
    <w:rsid w:val="008C0DCF"/>
    <w:rsid w:val="008C1240"/>
    <w:rsid w:val="008C1273"/>
    <w:rsid w:val="008C12F1"/>
    <w:rsid w:val="008C1351"/>
    <w:rsid w:val="008C14E5"/>
    <w:rsid w:val="008C1BA5"/>
    <w:rsid w:val="008C1BE1"/>
    <w:rsid w:val="008C1D92"/>
    <w:rsid w:val="008C1E78"/>
    <w:rsid w:val="008C21E4"/>
    <w:rsid w:val="008C2313"/>
    <w:rsid w:val="008C2575"/>
    <w:rsid w:val="008C258D"/>
    <w:rsid w:val="008C25CC"/>
    <w:rsid w:val="008C275E"/>
    <w:rsid w:val="008C27EA"/>
    <w:rsid w:val="008C285F"/>
    <w:rsid w:val="008C2888"/>
    <w:rsid w:val="008C28E7"/>
    <w:rsid w:val="008C2A17"/>
    <w:rsid w:val="008C2A84"/>
    <w:rsid w:val="008C2BF4"/>
    <w:rsid w:val="008C2D3D"/>
    <w:rsid w:val="008C2DD2"/>
    <w:rsid w:val="008C2E14"/>
    <w:rsid w:val="008C2EFA"/>
    <w:rsid w:val="008C2FE9"/>
    <w:rsid w:val="008C2FED"/>
    <w:rsid w:val="008C309E"/>
    <w:rsid w:val="008C3310"/>
    <w:rsid w:val="008C3373"/>
    <w:rsid w:val="008C33D6"/>
    <w:rsid w:val="008C33D9"/>
    <w:rsid w:val="008C34AC"/>
    <w:rsid w:val="008C34E4"/>
    <w:rsid w:val="008C3584"/>
    <w:rsid w:val="008C36D4"/>
    <w:rsid w:val="008C3707"/>
    <w:rsid w:val="008C375D"/>
    <w:rsid w:val="008C387F"/>
    <w:rsid w:val="008C3A44"/>
    <w:rsid w:val="008C3A71"/>
    <w:rsid w:val="008C3D37"/>
    <w:rsid w:val="008C3DE4"/>
    <w:rsid w:val="008C3EA6"/>
    <w:rsid w:val="008C41EA"/>
    <w:rsid w:val="008C42A6"/>
    <w:rsid w:val="008C42B7"/>
    <w:rsid w:val="008C43C2"/>
    <w:rsid w:val="008C4455"/>
    <w:rsid w:val="008C44EF"/>
    <w:rsid w:val="008C450D"/>
    <w:rsid w:val="008C45A1"/>
    <w:rsid w:val="008C4601"/>
    <w:rsid w:val="008C4650"/>
    <w:rsid w:val="008C46DA"/>
    <w:rsid w:val="008C46F7"/>
    <w:rsid w:val="008C477D"/>
    <w:rsid w:val="008C47A3"/>
    <w:rsid w:val="008C4925"/>
    <w:rsid w:val="008C49D9"/>
    <w:rsid w:val="008C4B4D"/>
    <w:rsid w:val="008C4DBF"/>
    <w:rsid w:val="008C4F0B"/>
    <w:rsid w:val="008C4F67"/>
    <w:rsid w:val="008C4FC2"/>
    <w:rsid w:val="008C533F"/>
    <w:rsid w:val="008C55C2"/>
    <w:rsid w:val="008C57A3"/>
    <w:rsid w:val="008C582A"/>
    <w:rsid w:val="008C584E"/>
    <w:rsid w:val="008C5A2D"/>
    <w:rsid w:val="008C5A3B"/>
    <w:rsid w:val="008C5A72"/>
    <w:rsid w:val="008C5F1D"/>
    <w:rsid w:val="008C5F87"/>
    <w:rsid w:val="008C6066"/>
    <w:rsid w:val="008C60C4"/>
    <w:rsid w:val="008C60E5"/>
    <w:rsid w:val="008C618E"/>
    <w:rsid w:val="008C6238"/>
    <w:rsid w:val="008C62CF"/>
    <w:rsid w:val="008C63F8"/>
    <w:rsid w:val="008C65BC"/>
    <w:rsid w:val="008C672A"/>
    <w:rsid w:val="008C685C"/>
    <w:rsid w:val="008C6915"/>
    <w:rsid w:val="008C69AE"/>
    <w:rsid w:val="008C69E8"/>
    <w:rsid w:val="008C6A5A"/>
    <w:rsid w:val="008C6AAF"/>
    <w:rsid w:val="008C6C08"/>
    <w:rsid w:val="008C6CED"/>
    <w:rsid w:val="008C6E86"/>
    <w:rsid w:val="008C6F3E"/>
    <w:rsid w:val="008C6F73"/>
    <w:rsid w:val="008C7064"/>
    <w:rsid w:val="008C706D"/>
    <w:rsid w:val="008C711D"/>
    <w:rsid w:val="008C7212"/>
    <w:rsid w:val="008C7252"/>
    <w:rsid w:val="008C72E9"/>
    <w:rsid w:val="008C73B7"/>
    <w:rsid w:val="008C7419"/>
    <w:rsid w:val="008C76A8"/>
    <w:rsid w:val="008C76E2"/>
    <w:rsid w:val="008C791D"/>
    <w:rsid w:val="008C7968"/>
    <w:rsid w:val="008C79B1"/>
    <w:rsid w:val="008C7B15"/>
    <w:rsid w:val="008C7BCD"/>
    <w:rsid w:val="008C7BDA"/>
    <w:rsid w:val="008C7CA2"/>
    <w:rsid w:val="008D004C"/>
    <w:rsid w:val="008D00FC"/>
    <w:rsid w:val="008D027E"/>
    <w:rsid w:val="008D03B3"/>
    <w:rsid w:val="008D03F4"/>
    <w:rsid w:val="008D045D"/>
    <w:rsid w:val="008D04D1"/>
    <w:rsid w:val="008D04FD"/>
    <w:rsid w:val="008D0534"/>
    <w:rsid w:val="008D05BE"/>
    <w:rsid w:val="008D05D0"/>
    <w:rsid w:val="008D05F5"/>
    <w:rsid w:val="008D08E1"/>
    <w:rsid w:val="008D095A"/>
    <w:rsid w:val="008D0DAE"/>
    <w:rsid w:val="008D0EA1"/>
    <w:rsid w:val="008D0FE2"/>
    <w:rsid w:val="008D11D8"/>
    <w:rsid w:val="008D13AB"/>
    <w:rsid w:val="008D13DE"/>
    <w:rsid w:val="008D1462"/>
    <w:rsid w:val="008D163B"/>
    <w:rsid w:val="008D169B"/>
    <w:rsid w:val="008D18C0"/>
    <w:rsid w:val="008D1B1F"/>
    <w:rsid w:val="008D1BBA"/>
    <w:rsid w:val="008D1DE9"/>
    <w:rsid w:val="008D1EF7"/>
    <w:rsid w:val="008D2058"/>
    <w:rsid w:val="008D214F"/>
    <w:rsid w:val="008D21D7"/>
    <w:rsid w:val="008D22F2"/>
    <w:rsid w:val="008D23C9"/>
    <w:rsid w:val="008D2450"/>
    <w:rsid w:val="008D253A"/>
    <w:rsid w:val="008D264B"/>
    <w:rsid w:val="008D26F1"/>
    <w:rsid w:val="008D2700"/>
    <w:rsid w:val="008D27FE"/>
    <w:rsid w:val="008D296D"/>
    <w:rsid w:val="008D2AE0"/>
    <w:rsid w:val="008D2CD2"/>
    <w:rsid w:val="008D2E87"/>
    <w:rsid w:val="008D31B3"/>
    <w:rsid w:val="008D3211"/>
    <w:rsid w:val="008D3377"/>
    <w:rsid w:val="008D344E"/>
    <w:rsid w:val="008D3656"/>
    <w:rsid w:val="008D36CF"/>
    <w:rsid w:val="008D3765"/>
    <w:rsid w:val="008D38DB"/>
    <w:rsid w:val="008D3922"/>
    <w:rsid w:val="008D39FE"/>
    <w:rsid w:val="008D3DC2"/>
    <w:rsid w:val="008D3DCE"/>
    <w:rsid w:val="008D3E29"/>
    <w:rsid w:val="008D3E59"/>
    <w:rsid w:val="008D3E78"/>
    <w:rsid w:val="008D3F0F"/>
    <w:rsid w:val="008D3F3A"/>
    <w:rsid w:val="008D4186"/>
    <w:rsid w:val="008D4308"/>
    <w:rsid w:val="008D43E1"/>
    <w:rsid w:val="008D4459"/>
    <w:rsid w:val="008D45A3"/>
    <w:rsid w:val="008D465F"/>
    <w:rsid w:val="008D4671"/>
    <w:rsid w:val="008D467A"/>
    <w:rsid w:val="008D475E"/>
    <w:rsid w:val="008D483F"/>
    <w:rsid w:val="008D49F2"/>
    <w:rsid w:val="008D4B62"/>
    <w:rsid w:val="008D4D0F"/>
    <w:rsid w:val="008D4DFE"/>
    <w:rsid w:val="008D4EB0"/>
    <w:rsid w:val="008D4F40"/>
    <w:rsid w:val="008D4FA2"/>
    <w:rsid w:val="008D5158"/>
    <w:rsid w:val="008D5221"/>
    <w:rsid w:val="008D5292"/>
    <w:rsid w:val="008D531E"/>
    <w:rsid w:val="008D534F"/>
    <w:rsid w:val="008D5353"/>
    <w:rsid w:val="008D55E3"/>
    <w:rsid w:val="008D5643"/>
    <w:rsid w:val="008D5659"/>
    <w:rsid w:val="008D567D"/>
    <w:rsid w:val="008D5777"/>
    <w:rsid w:val="008D5C45"/>
    <w:rsid w:val="008D5DD4"/>
    <w:rsid w:val="008D60F0"/>
    <w:rsid w:val="008D63EF"/>
    <w:rsid w:val="008D6481"/>
    <w:rsid w:val="008D651E"/>
    <w:rsid w:val="008D668C"/>
    <w:rsid w:val="008D66C0"/>
    <w:rsid w:val="008D69C1"/>
    <w:rsid w:val="008D6A56"/>
    <w:rsid w:val="008D6A65"/>
    <w:rsid w:val="008D6B32"/>
    <w:rsid w:val="008D6BEF"/>
    <w:rsid w:val="008D6CA9"/>
    <w:rsid w:val="008D6DD8"/>
    <w:rsid w:val="008D6E6A"/>
    <w:rsid w:val="008D6E9F"/>
    <w:rsid w:val="008D729F"/>
    <w:rsid w:val="008D7309"/>
    <w:rsid w:val="008D735E"/>
    <w:rsid w:val="008D738C"/>
    <w:rsid w:val="008D7632"/>
    <w:rsid w:val="008D766C"/>
    <w:rsid w:val="008D7700"/>
    <w:rsid w:val="008D773A"/>
    <w:rsid w:val="008D77B9"/>
    <w:rsid w:val="008D7946"/>
    <w:rsid w:val="008D7A2A"/>
    <w:rsid w:val="008D7BEE"/>
    <w:rsid w:val="008D7BF8"/>
    <w:rsid w:val="008D7CB0"/>
    <w:rsid w:val="008D7D1B"/>
    <w:rsid w:val="008D7F7E"/>
    <w:rsid w:val="008D7FB6"/>
    <w:rsid w:val="008D7FCF"/>
    <w:rsid w:val="008E01C6"/>
    <w:rsid w:val="008E0912"/>
    <w:rsid w:val="008E09B2"/>
    <w:rsid w:val="008E0AF3"/>
    <w:rsid w:val="008E0C90"/>
    <w:rsid w:val="008E0DF3"/>
    <w:rsid w:val="008E0EDA"/>
    <w:rsid w:val="008E1108"/>
    <w:rsid w:val="008E115C"/>
    <w:rsid w:val="008E135E"/>
    <w:rsid w:val="008E1375"/>
    <w:rsid w:val="008E1487"/>
    <w:rsid w:val="008E14C5"/>
    <w:rsid w:val="008E15B1"/>
    <w:rsid w:val="008E15BA"/>
    <w:rsid w:val="008E167B"/>
    <w:rsid w:val="008E16D4"/>
    <w:rsid w:val="008E176B"/>
    <w:rsid w:val="008E1825"/>
    <w:rsid w:val="008E1C07"/>
    <w:rsid w:val="008E1D0B"/>
    <w:rsid w:val="008E1D5E"/>
    <w:rsid w:val="008E1DEF"/>
    <w:rsid w:val="008E1FF3"/>
    <w:rsid w:val="008E2049"/>
    <w:rsid w:val="008E2308"/>
    <w:rsid w:val="008E23AD"/>
    <w:rsid w:val="008E2443"/>
    <w:rsid w:val="008E25AB"/>
    <w:rsid w:val="008E26B4"/>
    <w:rsid w:val="008E2797"/>
    <w:rsid w:val="008E2945"/>
    <w:rsid w:val="008E29F3"/>
    <w:rsid w:val="008E2B48"/>
    <w:rsid w:val="008E2C48"/>
    <w:rsid w:val="008E2C95"/>
    <w:rsid w:val="008E2D50"/>
    <w:rsid w:val="008E2E08"/>
    <w:rsid w:val="008E316F"/>
    <w:rsid w:val="008E3182"/>
    <w:rsid w:val="008E3282"/>
    <w:rsid w:val="008E34C3"/>
    <w:rsid w:val="008E3577"/>
    <w:rsid w:val="008E3598"/>
    <w:rsid w:val="008E37AB"/>
    <w:rsid w:val="008E37BA"/>
    <w:rsid w:val="008E37C3"/>
    <w:rsid w:val="008E39C6"/>
    <w:rsid w:val="008E3B28"/>
    <w:rsid w:val="008E3C73"/>
    <w:rsid w:val="008E3C8A"/>
    <w:rsid w:val="008E3D4F"/>
    <w:rsid w:val="008E3D7A"/>
    <w:rsid w:val="008E3DC4"/>
    <w:rsid w:val="008E3E67"/>
    <w:rsid w:val="008E3FF8"/>
    <w:rsid w:val="008E41DA"/>
    <w:rsid w:val="008E43D3"/>
    <w:rsid w:val="008E46A3"/>
    <w:rsid w:val="008E47F9"/>
    <w:rsid w:val="008E48C5"/>
    <w:rsid w:val="008E493F"/>
    <w:rsid w:val="008E4975"/>
    <w:rsid w:val="008E4A79"/>
    <w:rsid w:val="008E4AAF"/>
    <w:rsid w:val="008E4CBB"/>
    <w:rsid w:val="008E4D6B"/>
    <w:rsid w:val="008E4DF6"/>
    <w:rsid w:val="008E4EEC"/>
    <w:rsid w:val="008E50A0"/>
    <w:rsid w:val="008E50AE"/>
    <w:rsid w:val="008E5107"/>
    <w:rsid w:val="008E5158"/>
    <w:rsid w:val="008E516B"/>
    <w:rsid w:val="008E53F7"/>
    <w:rsid w:val="008E5498"/>
    <w:rsid w:val="008E54BB"/>
    <w:rsid w:val="008E55C7"/>
    <w:rsid w:val="008E5606"/>
    <w:rsid w:val="008E5704"/>
    <w:rsid w:val="008E5734"/>
    <w:rsid w:val="008E57C7"/>
    <w:rsid w:val="008E5CB1"/>
    <w:rsid w:val="008E5DD4"/>
    <w:rsid w:val="008E6009"/>
    <w:rsid w:val="008E614D"/>
    <w:rsid w:val="008E61E8"/>
    <w:rsid w:val="008E623F"/>
    <w:rsid w:val="008E62E6"/>
    <w:rsid w:val="008E6302"/>
    <w:rsid w:val="008E648F"/>
    <w:rsid w:val="008E64E2"/>
    <w:rsid w:val="008E6786"/>
    <w:rsid w:val="008E6806"/>
    <w:rsid w:val="008E68A4"/>
    <w:rsid w:val="008E69BF"/>
    <w:rsid w:val="008E6A0D"/>
    <w:rsid w:val="008E6C5C"/>
    <w:rsid w:val="008E6CDF"/>
    <w:rsid w:val="008E6D04"/>
    <w:rsid w:val="008E6F8E"/>
    <w:rsid w:val="008E6FC5"/>
    <w:rsid w:val="008E702B"/>
    <w:rsid w:val="008E70EE"/>
    <w:rsid w:val="008E7116"/>
    <w:rsid w:val="008E75F4"/>
    <w:rsid w:val="008E788F"/>
    <w:rsid w:val="008E78B9"/>
    <w:rsid w:val="008E7A21"/>
    <w:rsid w:val="008E7A6A"/>
    <w:rsid w:val="008E7AAF"/>
    <w:rsid w:val="008E7BAB"/>
    <w:rsid w:val="008E7E44"/>
    <w:rsid w:val="008E7EE6"/>
    <w:rsid w:val="008F0179"/>
    <w:rsid w:val="008F068E"/>
    <w:rsid w:val="008F08DF"/>
    <w:rsid w:val="008F090E"/>
    <w:rsid w:val="008F09E4"/>
    <w:rsid w:val="008F0E19"/>
    <w:rsid w:val="008F0E26"/>
    <w:rsid w:val="008F0F82"/>
    <w:rsid w:val="008F1534"/>
    <w:rsid w:val="008F1727"/>
    <w:rsid w:val="008F17ED"/>
    <w:rsid w:val="008F1887"/>
    <w:rsid w:val="008F1906"/>
    <w:rsid w:val="008F1A0A"/>
    <w:rsid w:val="008F1B29"/>
    <w:rsid w:val="008F1B90"/>
    <w:rsid w:val="008F1B96"/>
    <w:rsid w:val="008F1BD3"/>
    <w:rsid w:val="008F1BF7"/>
    <w:rsid w:val="008F1C3A"/>
    <w:rsid w:val="008F1DDB"/>
    <w:rsid w:val="008F1EBA"/>
    <w:rsid w:val="008F2034"/>
    <w:rsid w:val="008F2143"/>
    <w:rsid w:val="008F219A"/>
    <w:rsid w:val="008F2242"/>
    <w:rsid w:val="008F22B2"/>
    <w:rsid w:val="008F22E8"/>
    <w:rsid w:val="008F267E"/>
    <w:rsid w:val="008F2702"/>
    <w:rsid w:val="008F274A"/>
    <w:rsid w:val="008F2751"/>
    <w:rsid w:val="008F277F"/>
    <w:rsid w:val="008F2792"/>
    <w:rsid w:val="008F27B5"/>
    <w:rsid w:val="008F28B4"/>
    <w:rsid w:val="008F29B5"/>
    <w:rsid w:val="008F29B7"/>
    <w:rsid w:val="008F29D9"/>
    <w:rsid w:val="008F29F2"/>
    <w:rsid w:val="008F2B29"/>
    <w:rsid w:val="008F2B54"/>
    <w:rsid w:val="008F2B5A"/>
    <w:rsid w:val="008F2C0F"/>
    <w:rsid w:val="008F2C21"/>
    <w:rsid w:val="008F2CB1"/>
    <w:rsid w:val="008F2CBA"/>
    <w:rsid w:val="008F2F52"/>
    <w:rsid w:val="008F2FD9"/>
    <w:rsid w:val="008F301B"/>
    <w:rsid w:val="008F3184"/>
    <w:rsid w:val="008F31C2"/>
    <w:rsid w:val="008F364B"/>
    <w:rsid w:val="008F383D"/>
    <w:rsid w:val="008F38B3"/>
    <w:rsid w:val="008F3A24"/>
    <w:rsid w:val="008F3AAC"/>
    <w:rsid w:val="008F3BAF"/>
    <w:rsid w:val="008F3BCB"/>
    <w:rsid w:val="008F3CC2"/>
    <w:rsid w:val="008F3E9B"/>
    <w:rsid w:val="008F3EFA"/>
    <w:rsid w:val="008F3F17"/>
    <w:rsid w:val="008F3FCE"/>
    <w:rsid w:val="008F44CF"/>
    <w:rsid w:val="008F4578"/>
    <w:rsid w:val="008F4625"/>
    <w:rsid w:val="008F462B"/>
    <w:rsid w:val="008F465C"/>
    <w:rsid w:val="008F469C"/>
    <w:rsid w:val="008F46DD"/>
    <w:rsid w:val="008F487C"/>
    <w:rsid w:val="008F48B5"/>
    <w:rsid w:val="008F48F4"/>
    <w:rsid w:val="008F48F9"/>
    <w:rsid w:val="008F4C0E"/>
    <w:rsid w:val="008F4CE8"/>
    <w:rsid w:val="008F4D2E"/>
    <w:rsid w:val="008F4E0E"/>
    <w:rsid w:val="008F5214"/>
    <w:rsid w:val="008F53AF"/>
    <w:rsid w:val="008F5416"/>
    <w:rsid w:val="008F541A"/>
    <w:rsid w:val="008F5426"/>
    <w:rsid w:val="008F546A"/>
    <w:rsid w:val="008F54B6"/>
    <w:rsid w:val="008F54E1"/>
    <w:rsid w:val="008F54E9"/>
    <w:rsid w:val="008F5570"/>
    <w:rsid w:val="008F581E"/>
    <w:rsid w:val="008F589B"/>
    <w:rsid w:val="008F592F"/>
    <w:rsid w:val="008F5BE6"/>
    <w:rsid w:val="008F5D41"/>
    <w:rsid w:val="008F5D5F"/>
    <w:rsid w:val="008F5E45"/>
    <w:rsid w:val="008F5E58"/>
    <w:rsid w:val="008F5E94"/>
    <w:rsid w:val="008F5EC7"/>
    <w:rsid w:val="008F5F5D"/>
    <w:rsid w:val="008F5F85"/>
    <w:rsid w:val="008F618F"/>
    <w:rsid w:val="008F638F"/>
    <w:rsid w:val="008F63E7"/>
    <w:rsid w:val="008F63F1"/>
    <w:rsid w:val="008F6455"/>
    <w:rsid w:val="008F64BB"/>
    <w:rsid w:val="008F656E"/>
    <w:rsid w:val="008F65DE"/>
    <w:rsid w:val="008F6656"/>
    <w:rsid w:val="008F66A8"/>
    <w:rsid w:val="008F67BC"/>
    <w:rsid w:val="008F6847"/>
    <w:rsid w:val="008F68C8"/>
    <w:rsid w:val="008F68DD"/>
    <w:rsid w:val="008F68F6"/>
    <w:rsid w:val="008F6BAC"/>
    <w:rsid w:val="008F6BAD"/>
    <w:rsid w:val="008F6C51"/>
    <w:rsid w:val="008F6E34"/>
    <w:rsid w:val="008F6F4C"/>
    <w:rsid w:val="008F6F72"/>
    <w:rsid w:val="008F6FDB"/>
    <w:rsid w:val="008F7040"/>
    <w:rsid w:val="008F717E"/>
    <w:rsid w:val="008F727E"/>
    <w:rsid w:val="008F74E6"/>
    <w:rsid w:val="008F7517"/>
    <w:rsid w:val="008F7543"/>
    <w:rsid w:val="008F7755"/>
    <w:rsid w:val="008F7BCD"/>
    <w:rsid w:val="008F7E06"/>
    <w:rsid w:val="0090011B"/>
    <w:rsid w:val="0090018A"/>
    <w:rsid w:val="0090049F"/>
    <w:rsid w:val="00900664"/>
    <w:rsid w:val="00900796"/>
    <w:rsid w:val="00900B80"/>
    <w:rsid w:val="00900C5F"/>
    <w:rsid w:val="00900DCC"/>
    <w:rsid w:val="00900EFD"/>
    <w:rsid w:val="00900F31"/>
    <w:rsid w:val="009010B1"/>
    <w:rsid w:val="009010BA"/>
    <w:rsid w:val="009012B3"/>
    <w:rsid w:val="00901384"/>
    <w:rsid w:val="009013BC"/>
    <w:rsid w:val="0090153E"/>
    <w:rsid w:val="0090158F"/>
    <w:rsid w:val="009015EB"/>
    <w:rsid w:val="00901673"/>
    <w:rsid w:val="009018C0"/>
    <w:rsid w:val="00901AAF"/>
    <w:rsid w:val="00901BBF"/>
    <w:rsid w:val="00901D7F"/>
    <w:rsid w:val="00901D88"/>
    <w:rsid w:val="00901F3A"/>
    <w:rsid w:val="00901FBD"/>
    <w:rsid w:val="0090206A"/>
    <w:rsid w:val="0090215A"/>
    <w:rsid w:val="00902192"/>
    <w:rsid w:val="0090223E"/>
    <w:rsid w:val="0090238D"/>
    <w:rsid w:val="0090242C"/>
    <w:rsid w:val="009024D5"/>
    <w:rsid w:val="00902550"/>
    <w:rsid w:val="009028AC"/>
    <w:rsid w:val="009028FA"/>
    <w:rsid w:val="00902971"/>
    <w:rsid w:val="00902B46"/>
    <w:rsid w:val="00902C0D"/>
    <w:rsid w:val="00902D1B"/>
    <w:rsid w:val="00903179"/>
    <w:rsid w:val="009031A7"/>
    <w:rsid w:val="009031DE"/>
    <w:rsid w:val="0090333F"/>
    <w:rsid w:val="00903551"/>
    <w:rsid w:val="009036B9"/>
    <w:rsid w:val="00903830"/>
    <w:rsid w:val="009038C0"/>
    <w:rsid w:val="00903944"/>
    <w:rsid w:val="00903990"/>
    <w:rsid w:val="00903A2F"/>
    <w:rsid w:val="00903BAF"/>
    <w:rsid w:val="00903BB5"/>
    <w:rsid w:val="00903C40"/>
    <w:rsid w:val="00903C50"/>
    <w:rsid w:val="00903E86"/>
    <w:rsid w:val="0090404D"/>
    <w:rsid w:val="00904057"/>
    <w:rsid w:val="00904216"/>
    <w:rsid w:val="0090424C"/>
    <w:rsid w:val="00904540"/>
    <w:rsid w:val="009046E3"/>
    <w:rsid w:val="009046ED"/>
    <w:rsid w:val="0090475F"/>
    <w:rsid w:val="009048BC"/>
    <w:rsid w:val="009048E5"/>
    <w:rsid w:val="0090496B"/>
    <w:rsid w:val="009049A4"/>
    <w:rsid w:val="00904BCC"/>
    <w:rsid w:val="00904EE9"/>
    <w:rsid w:val="00904F7A"/>
    <w:rsid w:val="0090506C"/>
    <w:rsid w:val="009050E0"/>
    <w:rsid w:val="00905251"/>
    <w:rsid w:val="00905271"/>
    <w:rsid w:val="0090530D"/>
    <w:rsid w:val="009053E1"/>
    <w:rsid w:val="009053FE"/>
    <w:rsid w:val="00905544"/>
    <w:rsid w:val="009057FA"/>
    <w:rsid w:val="0090599E"/>
    <w:rsid w:val="00905B0B"/>
    <w:rsid w:val="00905EAA"/>
    <w:rsid w:val="009060BE"/>
    <w:rsid w:val="00906210"/>
    <w:rsid w:val="00906652"/>
    <w:rsid w:val="00906698"/>
    <w:rsid w:val="00906872"/>
    <w:rsid w:val="00906AD1"/>
    <w:rsid w:val="00906B2A"/>
    <w:rsid w:val="00906BC2"/>
    <w:rsid w:val="00906CBE"/>
    <w:rsid w:val="00906D13"/>
    <w:rsid w:val="00906DA5"/>
    <w:rsid w:val="00906E67"/>
    <w:rsid w:val="00906E6B"/>
    <w:rsid w:val="00906E9E"/>
    <w:rsid w:val="00907060"/>
    <w:rsid w:val="009071C1"/>
    <w:rsid w:val="00907245"/>
    <w:rsid w:val="009075D8"/>
    <w:rsid w:val="0090761A"/>
    <w:rsid w:val="009076B2"/>
    <w:rsid w:val="00907810"/>
    <w:rsid w:val="00907816"/>
    <w:rsid w:val="0090781A"/>
    <w:rsid w:val="00907862"/>
    <w:rsid w:val="009078B1"/>
    <w:rsid w:val="0090795B"/>
    <w:rsid w:val="00907B3C"/>
    <w:rsid w:val="00907B6C"/>
    <w:rsid w:val="00907FC1"/>
    <w:rsid w:val="0091003A"/>
    <w:rsid w:val="00910156"/>
    <w:rsid w:val="00910281"/>
    <w:rsid w:val="00910291"/>
    <w:rsid w:val="0091065C"/>
    <w:rsid w:val="00910801"/>
    <w:rsid w:val="009108D4"/>
    <w:rsid w:val="00910D0E"/>
    <w:rsid w:val="00911405"/>
    <w:rsid w:val="0091143C"/>
    <w:rsid w:val="009114BB"/>
    <w:rsid w:val="009115F1"/>
    <w:rsid w:val="009115FF"/>
    <w:rsid w:val="009117EE"/>
    <w:rsid w:val="00911896"/>
    <w:rsid w:val="00911A84"/>
    <w:rsid w:val="00911AE1"/>
    <w:rsid w:val="00911D01"/>
    <w:rsid w:val="00911E61"/>
    <w:rsid w:val="00911E9E"/>
    <w:rsid w:val="00911FB1"/>
    <w:rsid w:val="0091227D"/>
    <w:rsid w:val="00912358"/>
    <w:rsid w:val="009123BB"/>
    <w:rsid w:val="009123CB"/>
    <w:rsid w:val="0091249E"/>
    <w:rsid w:val="00912524"/>
    <w:rsid w:val="00912580"/>
    <w:rsid w:val="009125CF"/>
    <w:rsid w:val="00912691"/>
    <w:rsid w:val="00912834"/>
    <w:rsid w:val="00912838"/>
    <w:rsid w:val="0091299B"/>
    <w:rsid w:val="00912A63"/>
    <w:rsid w:val="00912A81"/>
    <w:rsid w:val="00912C22"/>
    <w:rsid w:val="00912DD1"/>
    <w:rsid w:val="00912E62"/>
    <w:rsid w:val="00912FB1"/>
    <w:rsid w:val="009133A9"/>
    <w:rsid w:val="009133B8"/>
    <w:rsid w:val="009135B6"/>
    <w:rsid w:val="00913678"/>
    <w:rsid w:val="00913849"/>
    <w:rsid w:val="00913B1E"/>
    <w:rsid w:val="00913C01"/>
    <w:rsid w:val="00913DF8"/>
    <w:rsid w:val="00913E19"/>
    <w:rsid w:val="00913F58"/>
    <w:rsid w:val="00913FE1"/>
    <w:rsid w:val="0091435B"/>
    <w:rsid w:val="009143AE"/>
    <w:rsid w:val="00914464"/>
    <w:rsid w:val="00914B02"/>
    <w:rsid w:val="00914C11"/>
    <w:rsid w:val="00914FB8"/>
    <w:rsid w:val="00914FEE"/>
    <w:rsid w:val="00915097"/>
    <w:rsid w:val="0091545F"/>
    <w:rsid w:val="00915622"/>
    <w:rsid w:val="009156DE"/>
    <w:rsid w:val="009157A4"/>
    <w:rsid w:val="009157C5"/>
    <w:rsid w:val="00915869"/>
    <w:rsid w:val="009158DF"/>
    <w:rsid w:val="0091593F"/>
    <w:rsid w:val="00915C05"/>
    <w:rsid w:val="00915FB7"/>
    <w:rsid w:val="0091608B"/>
    <w:rsid w:val="00916095"/>
    <w:rsid w:val="009160E1"/>
    <w:rsid w:val="00916256"/>
    <w:rsid w:val="00916263"/>
    <w:rsid w:val="009164C8"/>
    <w:rsid w:val="00916514"/>
    <w:rsid w:val="0091663C"/>
    <w:rsid w:val="0091664E"/>
    <w:rsid w:val="009166AE"/>
    <w:rsid w:val="0091671E"/>
    <w:rsid w:val="009167CF"/>
    <w:rsid w:val="009167DB"/>
    <w:rsid w:val="00916A0E"/>
    <w:rsid w:val="00916A64"/>
    <w:rsid w:val="00916A6D"/>
    <w:rsid w:val="00916C3C"/>
    <w:rsid w:val="00916C59"/>
    <w:rsid w:val="00916C83"/>
    <w:rsid w:val="00916D0D"/>
    <w:rsid w:val="00916E83"/>
    <w:rsid w:val="009170D1"/>
    <w:rsid w:val="009173B1"/>
    <w:rsid w:val="00917677"/>
    <w:rsid w:val="0091767E"/>
    <w:rsid w:val="00917742"/>
    <w:rsid w:val="009179DD"/>
    <w:rsid w:val="00917BC1"/>
    <w:rsid w:val="00917CEE"/>
    <w:rsid w:val="00917D7E"/>
    <w:rsid w:val="00917D8C"/>
    <w:rsid w:val="00917DEA"/>
    <w:rsid w:val="00917DFB"/>
    <w:rsid w:val="00917FF3"/>
    <w:rsid w:val="009201C2"/>
    <w:rsid w:val="0092046F"/>
    <w:rsid w:val="009204AE"/>
    <w:rsid w:val="00920721"/>
    <w:rsid w:val="00920B7E"/>
    <w:rsid w:val="00920BC2"/>
    <w:rsid w:val="00920DC2"/>
    <w:rsid w:val="00920F44"/>
    <w:rsid w:val="00920F62"/>
    <w:rsid w:val="00920F7D"/>
    <w:rsid w:val="009212F2"/>
    <w:rsid w:val="009214FE"/>
    <w:rsid w:val="00921595"/>
    <w:rsid w:val="009215D9"/>
    <w:rsid w:val="00921624"/>
    <w:rsid w:val="00921684"/>
    <w:rsid w:val="00921773"/>
    <w:rsid w:val="00921872"/>
    <w:rsid w:val="009218CE"/>
    <w:rsid w:val="00921942"/>
    <w:rsid w:val="00921B93"/>
    <w:rsid w:val="00921BB6"/>
    <w:rsid w:val="00921BBD"/>
    <w:rsid w:val="00921BF2"/>
    <w:rsid w:val="00921C78"/>
    <w:rsid w:val="00922010"/>
    <w:rsid w:val="0092202D"/>
    <w:rsid w:val="0092204C"/>
    <w:rsid w:val="00922067"/>
    <w:rsid w:val="00922264"/>
    <w:rsid w:val="00922820"/>
    <w:rsid w:val="00922AA2"/>
    <w:rsid w:val="00922E34"/>
    <w:rsid w:val="00922E54"/>
    <w:rsid w:val="00922E56"/>
    <w:rsid w:val="0092303B"/>
    <w:rsid w:val="00923152"/>
    <w:rsid w:val="009231DD"/>
    <w:rsid w:val="009231E7"/>
    <w:rsid w:val="009232A4"/>
    <w:rsid w:val="009232F5"/>
    <w:rsid w:val="009234FC"/>
    <w:rsid w:val="009235AF"/>
    <w:rsid w:val="0092369E"/>
    <w:rsid w:val="009236B6"/>
    <w:rsid w:val="00923995"/>
    <w:rsid w:val="00923F8A"/>
    <w:rsid w:val="00924157"/>
    <w:rsid w:val="00924204"/>
    <w:rsid w:val="00924322"/>
    <w:rsid w:val="00924475"/>
    <w:rsid w:val="0092464A"/>
    <w:rsid w:val="009247E3"/>
    <w:rsid w:val="009248B0"/>
    <w:rsid w:val="00924AE6"/>
    <w:rsid w:val="00924B1D"/>
    <w:rsid w:val="00924B1F"/>
    <w:rsid w:val="00924C48"/>
    <w:rsid w:val="00924CCF"/>
    <w:rsid w:val="00924FEA"/>
    <w:rsid w:val="009250B5"/>
    <w:rsid w:val="0092510D"/>
    <w:rsid w:val="00925251"/>
    <w:rsid w:val="0092564A"/>
    <w:rsid w:val="0092566A"/>
    <w:rsid w:val="009257D0"/>
    <w:rsid w:val="00925836"/>
    <w:rsid w:val="009258B8"/>
    <w:rsid w:val="0092591B"/>
    <w:rsid w:val="0092594C"/>
    <w:rsid w:val="00925A1B"/>
    <w:rsid w:val="00925BAF"/>
    <w:rsid w:val="00925E61"/>
    <w:rsid w:val="00925F23"/>
    <w:rsid w:val="0092619F"/>
    <w:rsid w:val="00926216"/>
    <w:rsid w:val="009262C6"/>
    <w:rsid w:val="009262D4"/>
    <w:rsid w:val="00926394"/>
    <w:rsid w:val="00926423"/>
    <w:rsid w:val="00926724"/>
    <w:rsid w:val="00926782"/>
    <w:rsid w:val="009267DA"/>
    <w:rsid w:val="009267ED"/>
    <w:rsid w:val="00926817"/>
    <w:rsid w:val="00926857"/>
    <w:rsid w:val="0092692C"/>
    <w:rsid w:val="00926A82"/>
    <w:rsid w:val="00926FBF"/>
    <w:rsid w:val="00927280"/>
    <w:rsid w:val="0092739C"/>
    <w:rsid w:val="009275CE"/>
    <w:rsid w:val="00927697"/>
    <w:rsid w:val="00927780"/>
    <w:rsid w:val="00927825"/>
    <w:rsid w:val="00927DF5"/>
    <w:rsid w:val="00927E15"/>
    <w:rsid w:val="00927E63"/>
    <w:rsid w:val="00927EDF"/>
    <w:rsid w:val="00927F1C"/>
    <w:rsid w:val="00927FB7"/>
    <w:rsid w:val="009301D0"/>
    <w:rsid w:val="009301FD"/>
    <w:rsid w:val="00930287"/>
    <w:rsid w:val="009302D5"/>
    <w:rsid w:val="009304B2"/>
    <w:rsid w:val="009305CF"/>
    <w:rsid w:val="00930602"/>
    <w:rsid w:val="00930736"/>
    <w:rsid w:val="009307EE"/>
    <w:rsid w:val="009307F9"/>
    <w:rsid w:val="009309BB"/>
    <w:rsid w:val="00930B59"/>
    <w:rsid w:val="00930DF7"/>
    <w:rsid w:val="00930EA9"/>
    <w:rsid w:val="00930F02"/>
    <w:rsid w:val="00931094"/>
    <w:rsid w:val="009310E3"/>
    <w:rsid w:val="009311E5"/>
    <w:rsid w:val="009312E4"/>
    <w:rsid w:val="009312E9"/>
    <w:rsid w:val="009313DF"/>
    <w:rsid w:val="009316FB"/>
    <w:rsid w:val="0093172B"/>
    <w:rsid w:val="0093174C"/>
    <w:rsid w:val="00931920"/>
    <w:rsid w:val="009319A0"/>
    <w:rsid w:val="00931B6A"/>
    <w:rsid w:val="00931D25"/>
    <w:rsid w:val="00931D4E"/>
    <w:rsid w:val="00931E2A"/>
    <w:rsid w:val="00931E61"/>
    <w:rsid w:val="00931F20"/>
    <w:rsid w:val="009320E5"/>
    <w:rsid w:val="00932210"/>
    <w:rsid w:val="009323B9"/>
    <w:rsid w:val="0093241E"/>
    <w:rsid w:val="00932631"/>
    <w:rsid w:val="00932641"/>
    <w:rsid w:val="00932848"/>
    <w:rsid w:val="0093298D"/>
    <w:rsid w:val="00932A64"/>
    <w:rsid w:val="00932ACC"/>
    <w:rsid w:val="00932B54"/>
    <w:rsid w:val="00932C14"/>
    <w:rsid w:val="00932D30"/>
    <w:rsid w:val="00932D71"/>
    <w:rsid w:val="00932E50"/>
    <w:rsid w:val="009333AD"/>
    <w:rsid w:val="00933423"/>
    <w:rsid w:val="00933635"/>
    <w:rsid w:val="00933729"/>
    <w:rsid w:val="00933743"/>
    <w:rsid w:val="00933918"/>
    <w:rsid w:val="0093393E"/>
    <w:rsid w:val="00933CBC"/>
    <w:rsid w:val="00933CBD"/>
    <w:rsid w:val="00933DEB"/>
    <w:rsid w:val="00933E5C"/>
    <w:rsid w:val="00933E60"/>
    <w:rsid w:val="0093406F"/>
    <w:rsid w:val="00934073"/>
    <w:rsid w:val="00934087"/>
    <w:rsid w:val="0093429C"/>
    <w:rsid w:val="0093436A"/>
    <w:rsid w:val="0093446D"/>
    <w:rsid w:val="00934511"/>
    <w:rsid w:val="009346EE"/>
    <w:rsid w:val="0093480E"/>
    <w:rsid w:val="00934811"/>
    <w:rsid w:val="00934843"/>
    <w:rsid w:val="00934896"/>
    <w:rsid w:val="009348B0"/>
    <w:rsid w:val="00934941"/>
    <w:rsid w:val="00934A64"/>
    <w:rsid w:val="00934A78"/>
    <w:rsid w:val="00934A83"/>
    <w:rsid w:val="00934A8A"/>
    <w:rsid w:val="00934A8F"/>
    <w:rsid w:val="00934AC3"/>
    <w:rsid w:val="00934B12"/>
    <w:rsid w:val="00934C15"/>
    <w:rsid w:val="00934CAA"/>
    <w:rsid w:val="00934CE1"/>
    <w:rsid w:val="00934D8E"/>
    <w:rsid w:val="00934DD4"/>
    <w:rsid w:val="00934EA4"/>
    <w:rsid w:val="00935026"/>
    <w:rsid w:val="0093529F"/>
    <w:rsid w:val="009352BE"/>
    <w:rsid w:val="009352F0"/>
    <w:rsid w:val="0093532A"/>
    <w:rsid w:val="009355F7"/>
    <w:rsid w:val="0093564C"/>
    <w:rsid w:val="00935810"/>
    <w:rsid w:val="00935815"/>
    <w:rsid w:val="009359A1"/>
    <w:rsid w:val="00935B0C"/>
    <w:rsid w:val="00935B76"/>
    <w:rsid w:val="00935B90"/>
    <w:rsid w:val="00935B97"/>
    <w:rsid w:val="00935D24"/>
    <w:rsid w:val="009362EB"/>
    <w:rsid w:val="009363C5"/>
    <w:rsid w:val="009364D0"/>
    <w:rsid w:val="0093675D"/>
    <w:rsid w:val="0093678A"/>
    <w:rsid w:val="0093685D"/>
    <w:rsid w:val="00936970"/>
    <w:rsid w:val="00936A9F"/>
    <w:rsid w:val="00936B46"/>
    <w:rsid w:val="00936BCF"/>
    <w:rsid w:val="00936CC2"/>
    <w:rsid w:val="00936DCE"/>
    <w:rsid w:val="00936EEC"/>
    <w:rsid w:val="00936F8F"/>
    <w:rsid w:val="0093704D"/>
    <w:rsid w:val="00937465"/>
    <w:rsid w:val="00937529"/>
    <w:rsid w:val="009376C1"/>
    <w:rsid w:val="0093773C"/>
    <w:rsid w:val="0093775E"/>
    <w:rsid w:val="00937853"/>
    <w:rsid w:val="00937977"/>
    <w:rsid w:val="00937986"/>
    <w:rsid w:val="009379E4"/>
    <w:rsid w:val="00937D77"/>
    <w:rsid w:val="00937D80"/>
    <w:rsid w:val="00937E53"/>
    <w:rsid w:val="00937EC2"/>
    <w:rsid w:val="00937EDB"/>
    <w:rsid w:val="00937F11"/>
    <w:rsid w:val="00937F37"/>
    <w:rsid w:val="009401C7"/>
    <w:rsid w:val="00940380"/>
    <w:rsid w:val="009404FE"/>
    <w:rsid w:val="0094081A"/>
    <w:rsid w:val="0094086F"/>
    <w:rsid w:val="00940A09"/>
    <w:rsid w:val="00940A17"/>
    <w:rsid w:val="00940C57"/>
    <w:rsid w:val="00940D60"/>
    <w:rsid w:val="00940E02"/>
    <w:rsid w:val="0094107B"/>
    <w:rsid w:val="009410C4"/>
    <w:rsid w:val="009411BB"/>
    <w:rsid w:val="009411F2"/>
    <w:rsid w:val="00941433"/>
    <w:rsid w:val="0094154C"/>
    <w:rsid w:val="009416B3"/>
    <w:rsid w:val="0094187B"/>
    <w:rsid w:val="00941895"/>
    <w:rsid w:val="00941B47"/>
    <w:rsid w:val="00941B69"/>
    <w:rsid w:val="00941C72"/>
    <w:rsid w:val="00941D1A"/>
    <w:rsid w:val="009423EB"/>
    <w:rsid w:val="009423FF"/>
    <w:rsid w:val="009425A3"/>
    <w:rsid w:val="00942605"/>
    <w:rsid w:val="00942664"/>
    <w:rsid w:val="00942674"/>
    <w:rsid w:val="009426CD"/>
    <w:rsid w:val="0094270B"/>
    <w:rsid w:val="009427DD"/>
    <w:rsid w:val="00942829"/>
    <w:rsid w:val="00942B0E"/>
    <w:rsid w:val="00942CB6"/>
    <w:rsid w:val="00942FC3"/>
    <w:rsid w:val="00943093"/>
    <w:rsid w:val="00943187"/>
    <w:rsid w:val="009431F7"/>
    <w:rsid w:val="009432FF"/>
    <w:rsid w:val="00943324"/>
    <w:rsid w:val="00943344"/>
    <w:rsid w:val="0094365B"/>
    <w:rsid w:val="00943A26"/>
    <w:rsid w:val="00943C19"/>
    <w:rsid w:val="00943CBB"/>
    <w:rsid w:val="00943DF7"/>
    <w:rsid w:val="00943FE6"/>
    <w:rsid w:val="00944098"/>
    <w:rsid w:val="009441A7"/>
    <w:rsid w:val="0094420C"/>
    <w:rsid w:val="009443B2"/>
    <w:rsid w:val="009443DF"/>
    <w:rsid w:val="00944459"/>
    <w:rsid w:val="0094476F"/>
    <w:rsid w:val="009447C3"/>
    <w:rsid w:val="0094485E"/>
    <w:rsid w:val="00944AF1"/>
    <w:rsid w:val="00944CFD"/>
    <w:rsid w:val="00944DC1"/>
    <w:rsid w:val="00944F0F"/>
    <w:rsid w:val="009450EB"/>
    <w:rsid w:val="009452B6"/>
    <w:rsid w:val="009452DB"/>
    <w:rsid w:val="0094541B"/>
    <w:rsid w:val="0094548A"/>
    <w:rsid w:val="0094548B"/>
    <w:rsid w:val="009454AA"/>
    <w:rsid w:val="009454B6"/>
    <w:rsid w:val="009454DB"/>
    <w:rsid w:val="0094551F"/>
    <w:rsid w:val="009455BA"/>
    <w:rsid w:val="009455D8"/>
    <w:rsid w:val="0094576F"/>
    <w:rsid w:val="009458E6"/>
    <w:rsid w:val="00945C2F"/>
    <w:rsid w:val="00945D89"/>
    <w:rsid w:val="00945E2D"/>
    <w:rsid w:val="00945F22"/>
    <w:rsid w:val="009460CA"/>
    <w:rsid w:val="009460D7"/>
    <w:rsid w:val="0094621A"/>
    <w:rsid w:val="009462C9"/>
    <w:rsid w:val="009462D7"/>
    <w:rsid w:val="009463A5"/>
    <w:rsid w:val="009463CB"/>
    <w:rsid w:val="0094641F"/>
    <w:rsid w:val="00946473"/>
    <w:rsid w:val="00946512"/>
    <w:rsid w:val="009465AC"/>
    <w:rsid w:val="009466A9"/>
    <w:rsid w:val="00946793"/>
    <w:rsid w:val="009467BF"/>
    <w:rsid w:val="00946891"/>
    <w:rsid w:val="009468E3"/>
    <w:rsid w:val="009469D6"/>
    <w:rsid w:val="00946AA0"/>
    <w:rsid w:val="00946CEA"/>
    <w:rsid w:val="00946D3B"/>
    <w:rsid w:val="00946F28"/>
    <w:rsid w:val="009470A8"/>
    <w:rsid w:val="009470C9"/>
    <w:rsid w:val="0094717B"/>
    <w:rsid w:val="00947405"/>
    <w:rsid w:val="00947475"/>
    <w:rsid w:val="009475B9"/>
    <w:rsid w:val="00947701"/>
    <w:rsid w:val="00947714"/>
    <w:rsid w:val="0094778F"/>
    <w:rsid w:val="00947A03"/>
    <w:rsid w:val="00947D8B"/>
    <w:rsid w:val="009500BD"/>
    <w:rsid w:val="009500CB"/>
    <w:rsid w:val="00950306"/>
    <w:rsid w:val="00950397"/>
    <w:rsid w:val="0095062D"/>
    <w:rsid w:val="0095068A"/>
    <w:rsid w:val="0095070E"/>
    <w:rsid w:val="009508C7"/>
    <w:rsid w:val="00950D34"/>
    <w:rsid w:val="00950F85"/>
    <w:rsid w:val="0095118B"/>
    <w:rsid w:val="009511A3"/>
    <w:rsid w:val="00951244"/>
    <w:rsid w:val="009512AA"/>
    <w:rsid w:val="00951303"/>
    <w:rsid w:val="0095145F"/>
    <w:rsid w:val="00951472"/>
    <w:rsid w:val="00951519"/>
    <w:rsid w:val="00951772"/>
    <w:rsid w:val="009518D7"/>
    <w:rsid w:val="009518F5"/>
    <w:rsid w:val="0095196C"/>
    <w:rsid w:val="0095196E"/>
    <w:rsid w:val="00951AF8"/>
    <w:rsid w:val="00951B48"/>
    <w:rsid w:val="00951C0E"/>
    <w:rsid w:val="00951D57"/>
    <w:rsid w:val="00951F64"/>
    <w:rsid w:val="00951FBC"/>
    <w:rsid w:val="00952003"/>
    <w:rsid w:val="009520AF"/>
    <w:rsid w:val="0095212B"/>
    <w:rsid w:val="00952347"/>
    <w:rsid w:val="00952555"/>
    <w:rsid w:val="00952582"/>
    <w:rsid w:val="0095267B"/>
    <w:rsid w:val="00952798"/>
    <w:rsid w:val="009527DC"/>
    <w:rsid w:val="009528F2"/>
    <w:rsid w:val="00952AA0"/>
    <w:rsid w:val="00952C89"/>
    <w:rsid w:val="00952CF2"/>
    <w:rsid w:val="00952D26"/>
    <w:rsid w:val="00952DA6"/>
    <w:rsid w:val="00952EC9"/>
    <w:rsid w:val="00953074"/>
    <w:rsid w:val="009530F9"/>
    <w:rsid w:val="00953281"/>
    <w:rsid w:val="00953408"/>
    <w:rsid w:val="0095359C"/>
    <w:rsid w:val="00953636"/>
    <w:rsid w:val="009536CB"/>
    <w:rsid w:val="0095380D"/>
    <w:rsid w:val="009538F0"/>
    <w:rsid w:val="00953959"/>
    <w:rsid w:val="00953971"/>
    <w:rsid w:val="00953A13"/>
    <w:rsid w:val="00953AAA"/>
    <w:rsid w:val="00953AC4"/>
    <w:rsid w:val="00953C27"/>
    <w:rsid w:val="00953C2B"/>
    <w:rsid w:val="00953D53"/>
    <w:rsid w:val="00953E41"/>
    <w:rsid w:val="00953F29"/>
    <w:rsid w:val="00953FE3"/>
    <w:rsid w:val="00954201"/>
    <w:rsid w:val="00954274"/>
    <w:rsid w:val="009543E7"/>
    <w:rsid w:val="009544DB"/>
    <w:rsid w:val="0095459B"/>
    <w:rsid w:val="009547D2"/>
    <w:rsid w:val="0095481A"/>
    <w:rsid w:val="00954897"/>
    <w:rsid w:val="009548DF"/>
    <w:rsid w:val="009548E3"/>
    <w:rsid w:val="009549CB"/>
    <w:rsid w:val="00954C31"/>
    <w:rsid w:val="00954D81"/>
    <w:rsid w:val="00954D91"/>
    <w:rsid w:val="00954E36"/>
    <w:rsid w:val="00954E6A"/>
    <w:rsid w:val="00954E84"/>
    <w:rsid w:val="00954F07"/>
    <w:rsid w:val="00955046"/>
    <w:rsid w:val="00955190"/>
    <w:rsid w:val="00955219"/>
    <w:rsid w:val="00955292"/>
    <w:rsid w:val="00955476"/>
    <w:rsid w:val="009554DF"/>
    <w:rsid w:val="0095559A"/>
    <w:rsid w:val="00955864"/>
    <w:rsid w:val="009558B5"/>
    <w:rsid w:val="009558CA"/>
    <w:rsid w:val="009558F1"/>
    <w:rsid w:val="00955A97"/>
    <w:rsid w:val="00955ADD"/>
    <w:rsid w:val="00955CDB"/>
    <w:rsid w:val="00955D9C"/>
    <w:rsid w:val="00955EB0"/>
    <w:rsid w:val="009560FB"/>
    <w:rsid w:val="0095621E"/>
    <w:rsid w:val="009563C7"/>
    <w:rsid w:val="009563D0"/>
    <w:rsid w:val="009564F4"/>
    <w:rsid w:val="00956576"/>
    <w:rsid w:val="00956663"/>
    <w:rsid w:val="009566E7"/>
    <w:rsid w:val="009567C2"/>
    <w:rsid w:val="0095690B"/>
    <w:rsid w:val="00956A61"/>
    <w:rsid w:val="00956AFD"/>
    <w:rsid w:val="00956C54"/>
    <w:rsid w:val="00956F18"/>
    <w:rsid w:val="00956FD1"/>
    <w:rsid w:val="00957061"/>
    <w:rsid w:val="00957230"/>
    <w:rsid w:val="009576CC"/>
    <w:rsid w:val="00957730"/>
    <w:rsid w:val="00957778"/>
    <w:rsid w:val="009578CD"/>
    <w:rsid w:val="00957A7B"/>
    <w:rsid w:val="00957B28"/>
    <w:rsid w:val="00957C7B"/>
    <w:rsid w:val="00957DB6"/>
    <w:rsid w:val="00960038"/>
    <w:rsid w:val="0096021F"/>
    <w:rsid w:val="009602A2"/>
    <w:rsid w:val="0096042D"/>
    <w:rsid w:val="0096058F"/>
    <w:rsid w:val="009605A0"/>
    <w:rsid w:val="009606C6"/>
    <w:rsid w:val="0096077A"/>
    <w:rsid w:val="00960830"/>
    <w:rsid w:val="00960855"/>
    <w:rsid w:val="00960A3C"/>
    <w:rsid w:val="00960BCE"/>
    <w:rsid w:val="00960C3B"/>
    <w:rsid w:val="00960D00"/>
    <w:rsid w:val="00960D1D"/>
    <w:rsid w:val="00960D6E"/>
    <w:rsid w:val="009610C9"/>
    <w:rsid w:val="0096125E"/>
    <w:rsid w:val="0096147F"/>
    <w:rsid w:val="009615A6"/>
    <w:rsid w:val="00961806"/>
    <w:rsid w:val="0096193E"/>
    <w:rsid w:val="009619D0"/>
    <w:rsid w:val="00961A24"/>
    <w:rsid w:val="00961AB8"/>
    <w:rsid w:val="00961B0A"/>
    <w:rsid w:val="00961BE1"/>
    <w:rsid w:val="009620AD"/>
    <w:rsid w:val="00962188"/>
    <w:rsid w:val="0096219B"/>
    <w:rsid w:val="00962217"/>
    <w:rsid w:val="0096229D"/>
    <w:rsid w:val="009622A6"/>
    <w:rsid w:val="00962329"/>
    <w:rsid w:val="00962371"/>
    <w:rsid w:val="00962503"/>
    <w:rsid w:val="00962830"/>
    <w:rsid w:val="0096288E"/>
    <w:rsid w:val="009629EF"/>
    <w:rsid w:val="00962E07"/>
    <w:rsid w:val="00962E5D"/>
    <w:rsid w:val="00962F12"/>
    <w:rsid w:val="00962F19"/>
    <w:rsid w:val="00962F90"/>
    <w:rsid w:val="00962F9F"/>
    <w:rsid w:val="00962FA7"/>
    <w:rsid w:val="00962FC0"/>
    <w:rsid w:val="0096307C"/>
    <w:rsid w:val="0096327C"/>
    <w:rsid w:val="00963483"/>
    <w:rsid w:val="009634B0"/>
    <w:rsid w:val="009634C0"/>
    <w:rsid w:val="009634EE"/>
    <w:rsid w:val="009635B2"/>
    <w:rsid w:val="009636CE"/>
    <w:rsid w:val="009637D0"/>
    <w:rsid w:val="009637F2"/>
    <w:rsid w:val="00963802"/>
    <w:rsid w:val="00963892"/>
    <w:rsid w:val="0096391A"/>
    <w:rsid w:val="00963C2B"/>
    <w:rsid w:val="00963C72"/>
    <w:rsid w:val="00963D7C"/>
    <w:rsid w:val="00963D8D"/>
    <w:rsid w:val="00963EE4"/>
    <w:rsid w:val="00963F5A"/>
    <w:rsid w:val="0096413A"/>
    <w:rsid w:val="00964142"/>
    <w:rsid w:val="00964280"/>
    <w:rsid w:val="00964379"/>
    <w:rsid w:val="00964528"/>
    <w:rsid w:val="0096462D"/>
    <w:rsid w:val="00964647"/>
    <w:rsid w:val="00964873"/>
    <w:rsid w:val="00964C93"/>
    <w:rsid w:val="00964DFA"/>
    <w:rsid w:val="00965221"/>
    <w:rsid w:val="00965249"/>
    <w:rsid w:val="009652E5"/>
    <w:rsid w:val="009652F4"/>
    <w:rsid w:val="0096578E"/>
    <w:rsid w:val="0096579C"/>
    <w:rsid w:val="009657B1"/>
    <w:rsid w:val="009658E1"/>
    <w:rsid w:val="0096590E"/>
    <w:rsid w:val="009659C3"/>
    <w:rsid w:val="009659E6"/>
    <w:rsid w:val="00965A56"/>
    <w:rsid w:val="00965B05"/>
    <w:rsid w:val="00965DA3"/>
    <w:rsid w:val="00965ED3"/>
    <w:rsid w:val="0096619B"/>
    <w:rsid w:val="0096624A"/>
    <w:rsid w:val="009664A4"/>
    <w:rsid w:val="009664D1"/>
    <w:rsid w:val="00966642"/>
    <w:rsid w:val="0096671B"/>
    <w:rsid w:val="0096676F"/>
    <w:rsid w:val="009667F2"/>
    <w:rsid w:val="009667FC"/>
    <w:rsid w:val="00966869"/>
    <w:rsid w:val="00966D13"/>
    <w:rsid w:val="00966F3C"/>
    <w:rsid w:val="00966F98"/>
    <w:rsid w:val="00966FB4"/>
    <w:rsid w:val="00966FD7"/>
    <w:rsid w:val="00967555"/>
    <w:rsid w:val="009675F9"/>
    <w:rsid w:val="0096769C"/>
    <w:rsid w:val="009677B4"/>
    <w:rsid w:val="00967946"/>
    <w:rsid w:val="00967BBF"/>
    <w:rsid w:val="00967D0A"/>
    <w:rsid w:val="00967D59"/>
    <w:rsid w:val="00967E7E"/>
    <w:rsid w:val="00967F2A"/>
    <w:rsid w:val="00970035"/>
    <w:rsid w:val="0097017A"/>
    <w:rsid w:val="009701E3"/>
    <w:rsid w:val="00970293"/>
    <w:rsid w:val="00970295"/>
    <w:rsid w:val="00970536"/>
    <w:rsid w:val="0097059B"/>
    <w:rsid w:val="009705E6"/>
    <w:rsid w:val="00970683"/>
    <w:rsid w:val="0097074B"/>
    <w:rsid w:val="009707E4"/>
    <w:rsid w:val="0097081C"/>
    <w:rsid w:val="009708D2"/>
    <w:rsid w:val="00970A26"/>
    <w:rsid w:val="00970CE7"/>
    <w:rsid w:val="00970EC1"/>
    <w:rsid w:val="00971056"/>
    <w:rsid w:val="00971059"/>
    <w:rsid w:val="0097108F"/>
    <w:rsid w:val="00971253"/>
    <w:rsid w:val="00971337"/>
    <w:rsid w:val="00971418"/>
    <w:rsid w:val="00971468"/>
    <w:rsid w:val="00971531"/>
    <w:rsid w:val="009716FC"/>
    <w:rsid w:val="00971726"/>
    <w:rsid w:val="00971A59"/>
    <w:rsid w:val="00971A9B"/>
    <w:rsid w:val="00971AC5"/>
    <w:rsid w:val="00971BF0"/>
    <w:rsid w:val="00971D27"/>
    <w:rsid w:val="00971DCC"/>
    <w:rsid w:val="00971F43"/>
    <w:rsid w:val="00971FFF"/>
    <w:rsid w:val="009720CC"/>
    <w:rsid w:val="00972120"/>
    <w:rsid w:val="0097212E"/>
    <w:rsid w:val="009721B1"/>
    <w:rsid w:val="009721BA"/>
    <w:rsid w:val="009721F7"/>
    <w:rsid w:val="009722A7"/>
    <w:rsid w:val="009722D3"/>
    <w:rsid w:val="0097230C"/>
    <w:rsid w:val="0097254A"/>
    <w:rsid w:val="009727BB"/>
    <w:rsid w:val="009727E1"/>
    <w:rsid w:val="0097287D"/>
    <w:rsid w:val="0097288E"/>
    <w:rsid w:val="009728D7"/>
    <w:rsid w:val="009729BB"/>
    <w:rsid w:val="00972A1B"/>
    <w:rsid w:val="00972AB5"/>
    <w:rsid w:val="00972B80"/>
    <w:rsid w:val="00972CF9"/>
    <w:rsid w:val="00972D33"/>
    <w:rsid w:val="00972EF9"/>
    <w:rsid w:val="00973009"/>
    <w:rsid w:val="00973160"/>
    <w:rsid w:val="00973249"/>
    <w:rsid w:val="00973316"/>
    <w:rsid w:val="00973527"/>
    <w:rsid w:val="0097358A"/>
    <w:rsid w:val="00973670"/>
    <w:rsid w:val="009736B8"/>
    <w:rsid w:val="00973702"/>
    <w:rsid w:val="00973A12"/>
    <w:rsid w:val="00973A9F"/>
    <w:rsid w:val="00973AB3"/>
    <w:rsid w:val="00973B2F"/>
    <w:rsid w:val="00973B9F"/>
    <w:rsid w:val="00973C4C"/>
    <w:rsid w:val="00973C97"/>
    <w:rsid w:val="00973CE7"/>
    <w:rsid w:val="00973E7C"/>
    <w:rsid w:val="00973E97"/>
    <w:rsid w:val="00973EC0"/>
    <w:rsid w:val="00973EFC"/>
    <w:rsid w:val="009741A5"/>
    <w:rsid w:val="009741B9"/>
    <w:rsid w:val="009743F2"/>
    <w:rsid w:val="00974ACE"/>
    <w:rsid w:val="00974C15"/>
    <w:rsid w:val="00974C5F"/>
    <w:rsid w:val="00974F21"/>
    <w:rsid w:val="00974F8B"/>
    <w:rsid w:val="00974F96"/>
    <w:rsid w:val="0097501D"/>
    <w:rsid w:val="0097505A"/>
    <w:rsid w:val="009750E2"/>
    <w:rsid w:val="009758B2"/>
    <w:rsid w:val="009759D5"/>
    <w:rsid w:val="009759E5"/>
    <w:rsid w:val="00975A7C"/>
    <w:rsid w:val="00975B7D"/>
    <w:rsid w:val="009760EC"/>
    <w:rsid w:val="009764D0"/>
    <w:rsid w:val="0097654D"/>
    <w:rsid w:val="00976642"/>
    <w:rsid w:val="00976827"/>
    <w:rsid w:val="0097686B"/>
    <w:rsid w:val="0097692A"/>
    <w:rsid w:val="00976956"/>
    <w:rsid w:val="00976BEE"/>
    <w:rsid w:val="00976F68"/>
    <w:rsid w:val="00977012"/>
    <w:rsid w:val="0097704D"/>
    <w:rsid w:val="0097713F"/>
    <w:rsid w:val="00977202"/>
    <w:rsid w:val="0097751A"/>
    <w:rsid w:val="0097757A"/>
    <w:rsid w:val="00977696"/>
    <w:rsid w:val="0097780A"/>
    <w:rsid w:val="009778C5"/>
    <w:rsid w:val="009778EC"/>
    <w:rsid w:val="009778FB"/>
    <w:rsid w:val="009779ED"/>
    <w:rsid w:val="00977B1D"/>
    <w:rsid w:val="00977BD2"/>
    <w:rsid w:val="00977C01"/>
    <w:rsid w:val="00977DCE"/>
    <w:rsid w:val="00977DD2"/>
    <w:rsid w:val="00977F8B"/>
    <w:rsid w:val="00977FED"/>
    <w:rsid w:val="009800A7"/>
    <w:rsid w:val="00980359"/>
    <w:rsid w:val="0098047A"/>
    <w:rsid w:val="009805BC"/>
    <w:rsid w:val="00980604"/>
    <w:rsid w:val="009806A0"/>
    <w:rsid w:val="009808FF"/>
    <w:rsid w:val="00980947"/>
    <w:rsid w:val="009809BB"/>
    <w:rsid w:val="00980A17"/>
    <w:rsid w:val="00980A23"/>
    <w:rsid w:val="00980B5C"/>
    <w:rsid w:val="00980C0B"/>
    <w:rsid w:val="00980FCE"/>
    <w:rsid w:val="00981005"/>
    <w:rsid w:val="00981194"/>
    <w:rsid w:val="009811E1"/>
    <w:rsid w:val="009813D3"/>
    <w:rsid w:val="009814EE"/>
    <w:rsid w:val="00981500"/>
    <w:rsid w:val="009815FB"/>
    <w:rsid w:val="0098184F"/>
    <w:rsid w:val="00981915"/>
    <w:rsid w:val="00981948"/>
    <w:rsid w:val="00981AD5"/>
    <w:rsid w:val="00981B90"/>
    <w:rsid w:val="00981BB7"/>
    <w:rsid w:val="00981BD1"/>
    <w:rsid w:val="00981BF8"/>
    <w:rsid w:val="00981D63"/>
    <w:rsid w:val="00981DC2"/>
    <w:rsid w:val="00981E63"/>
    <w:rsid w:val="00981E65"/>
    <w:rsid w:val="00981EDA"/>
    <w:rsid w:val="009821E1"/>
    <w:rsid w:val="0098229A"/>
    <w:rsid w:val="009822B7"/>
    <w:rsid w:val="009824A2"/>
    <w:rsid w:val="0098258D"/>
    <w:rsid w:val="00982651"/>
    <w:rsid w:val="009826EA"/>
    <w:rsid w:val="009828BB"/>
    <w:rsid w:val="009829E2"/>
    <w:rsid w:val="00982D14"/>
    <w:rsid w:val="00982D40"/>
    <w:rsid w:val="00982E52"/>
    <w:rsid w:val="00982EB6"/>
    <w:rsid w:val="009830BE"/>
    <w:rsid w:val="00983343"/>
    <w:rsid w:val="00983402"/>
    <w:rsid w:val="0098344C"/>
    <w:rsid w:val="009834BA"/>
    <w:rsid w:val="00983581"/>
    <w:rsid w:val="009835CD"/>
    <w:rsid w:val="009837E4"/>
    <w:rsid w:val="00983857"/>
    <w:rsid w:val="009838F0"/>
    <w:rsid w:val="00983A65"/>
    <w:rsid w:val="00983BB2"/>
    <w:rsid w:val="00983D9E"/>
    <w:rsid w:val="00983E1E"/>
    <w:rsid w:val="00983E40"/>
    <w:rsid w:val="00983E8D"/>
    <w:rsid w:val="00984049"/>
    <w:rsid w:val="009840FF"/>
    <w:rsid w:val="0098425E"/>
    <w:rsid w:val="00984375"/>
    <w:rsid w:val="00984379"/>
    <w:rsid w:val="009845B8"/>
    <w:rsid w:val="00984618"/>
    <w:rsid w:val="00984696"/>
    <w:rsid w:val="00984865"/>
    <w:rsid w:val="00984A6F"/>
    <w:rsid w:val="00984AFB"/>
    <w:rsid w:val="00984C3D"/>
    <w:rsid w:val="00984C3F"/>
    <w:rsid w:val="00984C4B"/>
    <w:rsid w:val="00984CB1"/>
    <w:rsid w:val="00984EC0"/>
    <w:rsid w:val="00984F58"/>
    <w:rsid w:val="00985151"/>
    <w:rsid w:val="00985312"/>
    <w:rsid w:val="00985415"/>
    <w:rsid w:val="0098557E"/>
    <w:rsid w:val="0098578F"/>
    <w:rsid w:val="00985838"/>
    <w:rsid w:val="00985949"/>
    <w:rsid w:val="00985A89"/>
    <w:rsid w:val="00985B48"/>
    <w:rsid w:val="00985D36"/>
    <w:rsid w:val="00985D54"/>
    <w:rsid w:val="00985D5B"/>
    <w:rsid w:val="00985FA9"/>
    <w:rsid w:val="00985FB6"/>
    <w:rsid w:val="009861DC"/>
    <w:rsid w:val="00986329"/>
    <w:rsid w:val="0098640D"/>
    <w:rsid w:val="0098656C"/>
    <w:rsid w:val="009865F7"/>
    <w:rsid w:val="0098673E"/>
    <w:rsid w:val="009869C0"/>
    <w:rsid w:val="00986BAB"/>
    <w:rsid w:val="00986BD1"/>
    <w:rsid w:val="00986C7A"/>
    <w:rsid w:val="00986D00"/>
    <w:rsid w:val="00986D2E"/>
    <w:rsid w:val="00986D70"/>
    <w:rsid w:val="00986DA2"/>
    <w:rsid w:val="009871DE"/>
    <w:rsid w:val="00987290"/>
    <w:rsid w:val="00987517"/>
    <w:rsid w:val="009875A0"/>
    <w:rsid w:val="009875C8"/>
    <w:rsid w:val="0098760B"/>
    <w:rsid w:val="00987896"/>
    <w:rsid w:val="00987BB0"/>
    <w:rsid w:val="00987C32"/>
    <w:rsid w:val="00987CA2"/>
    <w:rsid w:val="00987E04"/>
    <w:rsid w:val="00987E31"/>
    <w:rsid w:val="00987E81"/>
    <w:rsid w:val="0098AF16"/>
    <w:rsid w:val="00990083"/>
    <w:rsid w:val="00990092"/>
    <w:rsid w:val="009900F6"/>
    <w:rsid w:val="0099025A"/>
    <w:rsid w:val="009903D6"/>
    <w:rsid w:val="009903EF"/>
    <w:rsid w:val="00990590"/>
    <w:rsid w:val="00990627"/>
    <w:rsid w:val="00990776"/>
    <w:rsid w:val="009907B2"/>
    <w:rsid w:val="00990906"/>
    <w:rsid w:val="00990979"/>
    <w:rsid w:val="0099097F"/>
    <w:rsid w:val="00990991"/>
    <w:rsid w:val="00990A42"/>
    <w:rsid w:val="00990A89"/>
    <w:rsid w:val="00990C56"/>
    <w:rsid w:val="00990DB3"/>
    <w:rsid w:val="00990DD0"/>
    <w:rsid w:val="00990E1E"/>
    <w:rsid w:val="00990EBB"/>
    <w:rsid w:val="00990F5E"/>
    <w:rsid w:val="00990FEC"/>
    <w:rsid w:val="009910ED"/>
    <w:rsid w:val="009912DA"/>
    <w:rsid w:val="0099131B"/>
    <w:rsid w:val="00991495"/>
    <w:rsid w:val="00991586"/>
    <w:rsid w:val="009917EB"/>
    <w:rsid w:val="009918B2"/>
    <w:rsid w:val="009918E6"/>
    <w:rsid w:val="0099195B"/>
    <w:rsid w:val="00991A06"/>
    <w:rsid w:val="00991A1C"/>
    <w:rsid w:val="00991AAE"/>
    <w:rsid w:val="00991CEE"/>
    <w:rsid w:val="00991D44"/>
    <w:rsid w:val="00991EF5"/>
    <w:rsid w:val="00991FEE"/>
    <w:rsid w:val="009920ED"/>
    <w:rsid w:val="00992188"/>
    <w:rsid w:val="00992234"/>
    <w:rsid w:val="009923CA"/>
    <w:rsid w:val="00992454"/>
    <w:rsid w:val="00992974"/>
    <w:rsid w:val="00992A68"/>
    <w:rsid w:val="00992A73"/>
    <w:rsid w:val="00992AC8"/>
    <w:rsid w:val="00992BC3"/>
    <w:rsid w:val="00992C39"/>
    <w:rsid w:val="00992C93"/>
    <w:rsid w:val="00992E64"/>
    <w:rsid w:val="00992E7E"/>
    <w:rsid w:val="00992E89"/>
    <w:rsid w:val="00993145"/>
    <w:rsid w:val="00993251"/>
    <w:rsid w:val="00993580"/>
    <w:rsid w:val="0099363A"/>
    <w:rsid w:val="00993AB5"/>
    <w:rsid w:val="00993AC9"/>
    <w:rsid w:val="00993B93"/>
    <w:rsid w:val="00993BB3"/>
    <w:rsid w:val="00993D5D"/>
    <w:rsid w:val="00993D60"/>
    <w:rsid w:val="00993D86"/>
    <w:rsid w:val="00993E6F"/>
    <w:rsid w:val="00993F62"/>
    <w:rsid w:val="00994015"/>
    <w:rsid w:val="00994076"/>
    <w:rsid w:val="00994246"/>
    <w:rsid w:val="009943A3"/>
    <w:rsid w:val="009943DA"/>
    <w:rsid w:val="00994B80"/>
    <w:rsid w:val="00994B9F"/>
    <w:rsid w:val="00994C06"/>
    <w:rsid w:val="00994D20"/>
    <w:rsid w:val="00994F99"/>
    <w:rsid w:val="00994FF0"/>
    <w:rsid w:val="009950AF"/>
    <w:rsid w:val="00995687"/>
    <w:rsid w:val="00995714"/>
    <w:rsid w:val="00995774"/>
    <w:rsid w:val="0099580E"/>
    <w:rsid w:val="00995899"/>
    <w:rsid w:val="00995944"/>
    <w:rsid w:val="00995B1B"/>
    <w:rsid w:val="00995E1B"/>
    <w:rsid w:val="00995E95"/>
    <w:rsid w:val="00996075"/>
    <w:rsid w:val="009961A3"/>
    <w:rsid w:val="009961E2"/>
    <w:rsid w:val="00996617"/>
    <w:rsid w:val="009966DA"/>
    <w:rsid w:val="00996706"/>
    <w:rsid w:val="0099682E"/>
    <w:rsid w:val="009968D3"/>
    <w:rsid w:val="009969D7"/>
    <w:rsid w:val="00996C0C"/>
    <w:rsid w:val="00996C68"/>
    <w:rsid w:val="00996E6C"/>
    <w:rsid w:val="00997000"/>
    <w:rsid w:val="009970D5"/>
    <w:rsid w:val="00997188"/>
    <w:rsid w:val="0099719F"/>
    <w:rsid w:val="009972E1"/>
    <w:rsid w:val="00997390"/>
    <w:rsid w:val="0099749A"/>
    <w:rsid w:val="009974BA"/>
    <w:rsid w:val="009975EF"/>
    <w:rsid w:val="00997604"/>
    <w:rsid w:val="00997660"/>
    <w:rsid w:val="009977B8"/>
    <w:rsid w:val="009978E1"/>
    <w:rsid w:val="0099791A"/>
    <w:rsid w:val="009979FB"/>
    <w:rsid w:val="00997A0E"/>
    <w:rsid w:val="00997B21"/>
    <w:rsid w:val="00997CEB"/>
    <w:rsid w:val="00997CFE"/>
    <w:rsid w:val="00997D31"/>
    <w:rsid w:val="00997DA2"/>
    <w:rsid w:val="00997EC8"/>
    <w:rsid w:val="0099BC84"/>
    <w:rsid w:val="009A0128"/>
    <w:rsid w:val="009A0374"/>
    <w:rsid w:val="009A048C"/>
    <w:rsid w:val="009A0680"/>
    <w:rsid w:val="009A06ED"/>
    <w:rsid w:val="009A0713"/>
    <w:rsid w:val="009A07F3"/>
    <w:rsid w:val="009A0929"/>
    <w:rsid w:val="009A098F"/>
    <w:rsid w:val="009A0B99"/>
    <w:rsid w:val="009A0BF1"/>
    <w:rsid w:val="009A0C7D"/>
    <w:rsid w:val="009A0C86"/>
    <w:rsid w:val="009A0ED4"/>
    <w:rsid w:val="009A1120"/>
    <w:rsid w:val="009A11D3"/>
    <w:rsid w:val="009A14E5"/>
    <w:rsid w:val="009A153A"/>
    <w:rsid w:val="009A17C8"/>
    <w:rsid w:val="009A17D5"/>
    <w:rsid w:val="009A1864"/>
    <w:rsid w:val="009A1C0E"/>
    <w:rsid w:val="009A1D36"/>
    <w:rsid w:val="009A1DA8"/>
    <w:rsid w:val="009A1F1C"/>
    <w:rsid w:val="009A1F46"/>
    <w:rsid w:val="009A200B"/>
    <w:rsid w:val="009A204B"/>
    <w:rsid w:val="009A2298"/>
    <w:rsid w:val="009A22EE"/>
    <w:rsid w:val="009A237A"/>
    <w:rsid w:val="009A2467"/>
    <w:rsid w:val="009A25F8"/>
    <w:rsid w:val="009A2682"/>
    <w:rsid w:val="009A2750"/>
    <w:rsid w:val="009A2803"/>
    <w:rsid w:val="009A2862"/>
    <w:rsid w:val="009A2886"/>
    <w:rsid w:val="009A2899"/>
    <w:rsid w:val="009A290C"/>
    <w:rsid w:val="009A2AA5"/>
    <w:rsid w:val="009A2AD0"/>
    <w:rsid w:val="009A2B37"/>
    <w:rsid w:val="009A2E2D"/>
    <w:rsid w:val="009A2F16"/>
    <w:rsid w:val="009A2F61"/>
    <w:rsid w:val="009A3040"/>
    <w:rsid w:val="009A30A0"/>
    <w:rsid w:val="009A30EF"/>
    <w:rsid w:val="009A31F6"/>
    <w:rsid w:val="009A32B4"/>
    <w:rsid w:val="009A3363"/>
    <w:rsid w:val="009A354E"/>
    <w:rsid w:val="009A3557"/>
    <w:rsid w:val="009A35C9"/>
    <w:rsid w:val="009A36F2"/>
    <w:rsid w:val="009A389A"/>
    <w:rsid w:val="009A3A74"/>
    <w:rsid w:val="009A3A88"/>
    <w:rsid w:val="009A3BEF"/>
    <w:rsid w:val="009A3C74"/>
    <w:rsid w:val="009A3CCD"/>
    <w:rsid w:val="009A3D12"/>
    <w:rsid w:val="009A3FCB"/>
    <w:rsid w:val="009A4030"/>
    <w:rsid w:val="009A4089"/>
    <w:rsid w:val="009A40EC"/>
    <w:rsid w:val="009A4161"/>
    <w:rsid w:val="009A4425"/>
    <w:rsid w:val="009A45CE"/>
    <w:rsid w:val="009A4814"/>
    <w:rsid w:val="009A4846"/>
    <w:rsid w:val="009A48E5"/>
    <w:rsid w:val="009A4922"/>
    <w:rsid w:val="009A4A69"/>
    <w:rsid w:val="009A4AB3"/>
    <w:rsid w:val="009A4BBE"/>
    <w:rsid w:val="009A4C37"/>
    <w:rsid w:val="009A4E33"/>
    <w:rsid w:val="009A4F8C"/>
    <w:rsid w:val="009A516F"/>
    <w:rsid w:val="009A51AB"/>
    <w:rsid w:val="009A51F2"/>
    <w:rsid w:val="009A53A8"/>
    <w:rsid w:val="009A5499"/>
    <w:rsid w:val="009A55F4"/>
    <w:rsid w:val="009A56C4"/>
    <w:rsid w:val="009A5889"/>
    <w:rsid w:val="009A596D"/>
    <w:rsid w:val="009A5990"/>
    <w:rsid w:val="009A5D0E"/>
    <w:rsid w:val="009A5D37"/>
    <w:rsid w:val="009A600A"/>
    <w:rsid w:val="009A604D"/>
    <w:rsid w:val="009A6085"/>
    <w:rsid w:val="009A62E8"/>
    <w:rsid w:val="009A634A"/>
    <w:rsid w:val="009A639E"/>
    <w:rsid w:val="009A63F5"/>
    <w:rsid w:val="009A6411"/>
    <w:rsid w:val="009A6774"/>
    <w:rsid w:val="009A68C0"/>
    <w:rsid w:val="009A6A0C"/>
    <w:rsid w:val="009A6A7B"/>
    <w:rsid w:val="009A6A9A"/>
    <w:rsid w:val="009A6AA3"/>
    <w:rsid w:val="009A6D56"/>
    <w:rsid w:val="009A6E5A"/>
    <w:rsid w:val="009A774A"/>
    <w:rsid w:val="009A78CE"/>
    <w:rsid w:val="009A7AE7"/>
    <w:rsid w:val="009A7BBC"/>
    <w:rsid w:val="009A7CE2"/>
    <w:rsid w:val="009A7DF1"/>
    <w:rsid w:val="009A7E87"/>
    <w:rsid w:val="009B0239"/>
    <w:rsid w:val="009B023A"/>
    <w:rsid w:val="009B0396"/>
    <w:rsid w:val="009B0453"/>
    <w:rsid w:val="009B051D"/>
    <w:rsid w:val="009B067C"/>
    <w:rsid w:val="009B07F6"/>
    <w:rsid w:val="009B0839"/>
    <w:rsid w:val="009B0999"/>
    <w:rsid w:val="009B0AAE"/>
    <w:rsid w:val="009B0B65"/>
    <w:rsid w:val="009B0E1D"/>
    <w:rsid w:val="009B0EEB"/>
    <w:rsid w:val="009B0FCA"/>
    <w:rsid w:val="009B1304"/>
    <w:rsid w:val="009B13A9"/>
    <w:rsid w:val="009B14B0"/>
    <w:rsid w:val="009B14DB"/>
    <w:rsid w:val="009B1573"/>
    <w:rsid w:val="009B177E"/>
    <w:rsid w:val="009B1901"/>
    <w:rsid w:val="009B1A74"/>
    <w:rsid w:val="009B1A96"/>
    <w:rsid w:val="009B1A9E"/>
    <w:rsid w:val="009B1EAD"/>
    <w:rsid w:val="009B1FFB"/>
    <w:rsid w:val="009B2190"/>
    <w:rsid w:val="009B2419"/>
    <w:rsid w:val="009B2573"/>
    <w:rsid w:val="009B25FF"/>
    <w:rsid w:val="009B284B"/>
    <w:rsid w:val="009B291D"/>
    <w:rsid w:val="009B29F1"/>
    <w:rsid w:val="009B2ED5"/>
    <w:rsid w:val="009B2F72"/>
    <w:rsid w:val="009B30E8"/>
    <w:rsid w:val="009B3197"/>
    <w:rsid w:val="009B32D8"/>
    <w:rsid w:val="009B32E4"/>
    <w:rsid w:val="009B32EE"/>
    <w:rsid w:val="009B3354"/>
    <w:rsid w:val="009B33E3"/>
    <w:rsid w:val="009B34A5"/>
    <w:rsid w:val="009B3569"/>
    <w:rsid w:val="009B382F"/>
    <w:rsid w:val="009B39F3"/>
    <w:rsid w:val="009B3A68"/>
    <w:rsid w:val="009B3AA6"/>
    <w:rsid w:val="009B3AAF"/>
    <w:rsid w:val="009B3BA9"/>
    <w:rsid w:val="009B3BCD"/>
    <w:rsid w:val="009B3C52"/>
    <w:rsid w:val="009B3D7A"/>
    <w:rsid w:val="009B3D87"/>
    <w:rsid w:val="009B3D8A"/>
    <w:rsid w:val="009B3D9A"/>
    <w:rsid w:val="009B418D"/>
    <w:rsid w:val="009B43A2"/>
    <w:rsid w:val="009B44D0"/>
    <w:rsid w:val="009B452F"/>
    <w:rsid w:val="009B4580"/>
    <w:rsid w:val="009B4649"/>
    <w:rsid w:val="009B48AC"/>
    <w:rsid w:val="009B494C"/>
    <w:rsid w:val="009B4B61"/>
    <w:rsid w:val="009B4BDD"/>
    <w:rsid w:val="009B4C7B"/>
    <w:rsid w:val="009B4CF2"/>
    <w:rsid w:val="009B4D4B"/>
    <w:rsid w:val="009B4E38"/>
    <w:rsid w:val="009B5116"/>
    <w:rsid w:val="009B5323"/>
    <w:rsid w:val="009B54A5"/>
    <w:rsid w:val="009B596B"/>
    <w:rsid w:val="009B59D9"/>
    <w:rsid w:val="009B5A12"/>
    <w:rsid w:val="009B5A4B"/>
    <w:rsid w:val="009B5A65"/>
    <w:rsid w:val="009B5ABD"/>
    <w:rsid w:val="009B5C4C"/>
    <w:rsid w:val="009B619B"/>
    <w:rsid w:val="009B6236"/>
    <w:rsid w:val="009B631D"/>
    <w:rsid w:val="009B636C"/>
    <w:rsid w:val="009B64B0"/>
    <w:rsid w:val="009B64FE"/>
    <w:rsid w:val="009B6587"/>
    <w:rsid w:val="009B6776"/>
    <w:rsid w:val="009B684E"/>
    <w:rsid w:val="009B688D"/>
    <w:rsid w:val="009B6905"/>
    <w:rsid w:val="009B690C"/>
    <w:rsid w:val="009B694D"/>
    <w:rsid w:val="009B6A18"/>
    <w:rsid w:val="009B6A51"/>
    <w:rsid w:val="009B6A8D"/>
    <w:rsid w:val="009B6C3E"/>
    <w:rsid w:val="009B6C8C"/>
    <w:rsid w:val="009B6D4D"/>
    <w:rsid w:val="009B6EB1"/>
    <w:rsid w:val="009B6EC2"/>
    <w:rsid w:val="009B6EE1"/>
    <w:rsid w:val="009B6F1D"/>
    <w:rsid w:val="009B6F2A"/>
    <w:rsid w:val="009B70A5"/>
    <w:rsid w:val="009B716B"/>
    <w:rsid w:val="009B71AF"/>
    <w:rsid w:val="009B72FA"/>
    <w:rsid w:val="009B73B4"/>
    <w:rsid w:val="009B763B"/>
    <w:rsid w:val="009B76E0"/>
    <w:rsid w:val="009B7747"/>
    <w:rsid w:val="009B77FF"/>
    <w:rsid w:val="009B7824"/>
    <w:rsid w:val="009B7849"/>
    <w:rsid w:val="009B79CD"/>
    <w:rsid w:val="009B7A6D"/>
    <w:rsid w:val="009B7B4F"/>
    <w:rsid w:val="009B7BD7"/>
    <w:rsid w:val="009B7BE7"/>
    <w:rsid w:val="009B7C5E"/>
    <w:rsid w:val="009B7C6B"/>
    <w:rsid w:val="009B7ECC"/>
    <w:rsid w:val="009B7F34"/>
    <w:rsid w:val="009C019E"/>
    <w:rsid w:val="009C01C1"/>
    <w:rsid w:val="009C032C"/>
    <w:rsid w:val="009C055E"/>
    <w:rsid w:val="009C0567"/>
    <w:rsid w:val="009C0650"/>
    <w:rsid w:val="009C084A"/>
    <w:rsid w:val="009C0B31"/>
    <w:rsid w:val="009C0C85"/>
    <w:rsid w:val="009C0D37"/>
    <w:rsid w:val="009C0F4A"/>
    <w:rsid w:val="009C0F5C"/>
    <w:rsid w:val="009C104C"/>
    <w:rsid w:val="009C1227"/>
    <w:rsid w:val="009C12DE"/>
    <w:rsid w:val="009C1338"/>
    <w:rsid w:val="009C148B"/>
    <w:rsid w:val="009C151D"/>
    <w:rsid w:val="009C15CC"/>
    <w:rsid w:val="009C164A"/>
    <w:rsid w:val="009C1653"/>
    <w:rsid w:val="009C190C"/>
    <w:rsid w:val="009C1A0C"/>
    <w:rsid w:val="009C1A5A"/>
    <w:rsid w:val="009C1AFC"/>
    <w:rsid w:val="009C1BF8"/>
    <w:rsid w:val="009C1D14"/>
    <w:rsid w:val="009C237D"/>
    <w:rsid w:val="009C253B"/>
    <w:rsid w:val="009C27F5"/>
    <w:rsid w:val="009C286C"/>
    <w:rsid w:val="009C28C4"/>
    <w:rsid w:val="009C2A32"/>
    <w:rsid w:val="009C2A33"/>
    <w:rsid w:val="009C2B06"/>
    <w:rsid w:val="009C2C97"/>
    <w:rsid w:val="009C2F89"/>
    <w:rsid w:val="009C309B"/>
    <w:rsid w:val="009C327E"/>
    <w:rsid w:val="009C32A0"/>
    <w:rsid w:val="009C3339"/>
    <w:rsid w:val="009C3386"/>
    <w:rsid w:val="009C3416"/>
    <w:rsid w:val="009C35B5"/>
    <w:rsid w:val="009C3680"/>
    <w:rsid w:val="009C3705"/>
    <w:rsid w:val="009C372B"/>
    <w:rsid w:val="009C37AD"/>
    <w:rsid w:val="009C388C"/>
    <w:rsid w:val="009C3AFA"/>
    <w:rsid w:val="009C3B58"/>
    <w:rsid w:val="009C3CE6"/>
    <w:rsid w:val="009C3D37"/>
    <w:rsid w:val="009C3D3C"/>
    <w:rsid w:val="009C4068"/>
    <w:rsid w:val="009C40D8"/>
    <w:rsid w:val="009C41C3"/>
    <w:rsid w:val="009C426C"/>
    <w:rsid w:val="009C43DD"/>
    <w:rsid w:val="009C451C"/>
    <w:rsid w:val="009C46EB"/>
    <w:rsid w:val="009C4860"/>
    <w:rsid w:val="009C48B6"/>
    <w:rsid w:val="009C4C51"/>
    <w:rsid w:val="009C4C6A"/>
    <w:rsid w:val="009C4E49"/>
    <w:rsid w:val="009C4FFC"/>
    <w:rsid w:val="009C515E"/>
    <w:rsid w:val="009C51F4"/>
    <w:rsid w:val="009C5201"/>
    <w:rsid w:val="009C5286"/>
    <w:rsid w:val="009C5497"/>
    <w:rsid w:val="009C5542"/>
    <w:rsid w:val="009C5746"/>
    <w:rsid w:val="009C5950"/>
    <w:rsid w:val="009C59C7"/>
    <w:rsid w:val="009C5BAC"/>
    <w:rsid w:val="009C5D9F"/>
    <w:rsid w:val="009C5DAF"/>
    <w:rsid w:val="009C5EAE"/>
    <w:rsid w:val="009C5F6E"/>
    <w:rsid w:val="009C604C"/>
    <w:rsid w:val="009C6198"/>
    <w:rsid w:val="009C6201"/>
    <w:rsid w:val="009C6261"/>
    <w:rsid w:val="009C6263"/>
    <w:rsid w:val="009C651C"/>
    <w:rsid w:val="009C65EE"/>
    <w:rsid w:val="009C6601"/>
    <w:rsid w:val="009C6633"/>
    <w:rsid w:val="009C66C0"/>
    <w:rsid w:val="009C67A0"/>
    <w:rsid w:val="009C6877"/>
    <w:rsid w:val="009C69BE"/>
    <w:rsid w:val="009C6A00"/>
    <w:rsid w:val="009C6A53"/>
    <w:rsid w:val="009C6D04"/>
    <w:rsid w:val="009C6D29"/>
    <w:rsid w:val="009C6F12"/>
    <w:rsid w:val="009C6F5B"/>
    <w:rsid w:val="009C6F5F"/>
    <w:rsid w:val="009C6F8F"/>
    <w:rsid w:val="009C7021"/>
    <w:rsid w:val="009C7091"/>
    <w:rsid w:val="009C70E3"/>
    <w:rsid w:val="009C71F1"/>
    <w:rsid w:val="009C729D"/>
    <w:rsid w:val="009C733A"/>
    <w:rsid w:val="009C735D"/>
    <w:rsid w:val="009C758D"/>
    <w:rsid w:val="009C75DC"/>
    <w:rsid w:val="009C77FA"/>
    <w:rsid w:val="009C78E4"/>
    <w:rsid w:val="009C79E1"/>
    <w:rsid w:val="009C7D82"/>
    <w:rsid w:val="009C7F46"/>
    <w:rsid w:val="009C7F5D"/>
    <w:rsid w:val="009D007A"/>
    <w:rsid w:val="009D00BB"/>
    <w:rsid w:val="009D01E8"/>
    <w:rsid w:val="009D02BA"/>
    <w:rsid w:val="009D0354"/>
    <w:rsid w:val="009D0478"/>
    <w:rsid w:val="009D04AC"/>
    <w:rsid w:val="009D0562"/>
    <w:rsid w:val="009D0669"/>
    <w:rsid w:val="009D0A0B"/>
    <w:rsid w:val="009D0B23"/>
    <w:rsid w:val="009D0B8F"/>
    <w:rsid w:val="009D0D62"/>
    <w:rsid w:val="009D0E79"/>
    <w:rsid w:val="009D0F05"/>
    <w:rsid w:val="009D0F66"/>
    <w:rsid w:val="009D0FBB"/>
    <w:rsid w:val="009D10FC"/>
    <w:rsid w:val="009D1189"/>
    <w:rsid w:val="009D13D0"/>
    <w:rsid w:val="009D1507"/>
    <w:rsid w:val="009D1572"/>
    <w:rsid w:val="009D15B0"/>
    <w:rsid w:val="009D16C5"/>
    <w:rsid w:val="009D1928"/>
    <w:rsid w:val="009D1E9D"/>
    <w:rsid w:val="009D2073"/>
    <w:rsid w:val="009D239E"/>
    <w:rsid w:val="009D23D3"/>
    <w:rsid w:val="009D249A"/>
    <w:rsid w:val="009D253D"/>
    <w:rsid w:val="009D2646"/>
    <w:rsid w:val="009D2659"/>
    <w:rsid w:val="009D265D"/>
    <w:rsid w:val="009D26BB"/>
    <w:rsid w:val="009D26F9"/>
    <w:rsid w:val="009D2785"/>
    <w:rsid w:val="009D289F"/>
    <w:rsid w:val="009D28FF"/>
    <w:rsid w:val="009D2AD0"/>
    <w:rsid w:val="009D2AE0"/>
    <w:rsid w:val="009D2BB0"/>
    <w:rsid w:val="009D2CF1"/>
    <w:rsid w:val="009D3262"/>
    <w:rsid w:val="009D32D5"/>
    <w:rsid w:val="009D3560"/>
    <w:rsid w:val="009D35D2"/>
    <w:rsid w:val="009D38F4"/>
    <w:rsid w:val="009D3A0C"/>
    <w:rsid w:val="009D3A5B"/>
    <w:rsid w:val="009D3BED"/>
    <w:rsid w:val="009D3C58"/>
    <w:rsid w:val="009D3D17"/>
    <w:rsid w:val="009D3DAA"/>
    <w:rsid w:val="009D3E79"/>
    <w:rsid w:val="009D3EF2"/>
    <w:rsid w:val="009D3EF4"/>
    <w:rsid w:val="009D3FEE"/>
    <w:rsid w:val="009D418D"/>
    <w:rsid w:val="009D41D9"/>
    <w:rsid w:val="009D4276"/>
    <w:rsid w:val="009D42CA"/>
    <w:rsid w:val="009D430A"/>
    <w:rsid w:val="009D4670"/>
    <w:rsid w:val="009D4696"/>
    <w:rsid w:val="009D4861"/>
    <w:rsid w:val="009D497A"/>
    <w:rsid w:val="009D4C82"/>
    <w:rsid w:val="009D4CEB"/>
    <w:rsid w:val="009D4E94"/>
    <w:rsid w:val="009D4F82"/>
    <w:rsid w:val="009D5241"/>
    <w:rsid w:val="009D5323"/>
    <w:rsid w:val="009D5397"/>
    <w:rsid w:val="009D5496"/>
    <w:rsid w:val="009D5711"/>
    <w:rsid w:val="009D58CC"/>
    <w:rsid w:val="009D5A94"/>
    <w:rsid w:val="009D5D04"/>
    <w:rsid w:val="009D5D87"/>
    <w:rsid w:val="009D5F18"/>
    <w:rsid w:val="009D5F49"/>
    <w:rsid w:val="009D5F9C"/>
    <w:rsid w:val="009D5FA2"/>
    <w:rsid w:val="009D6334"/>
    <w:rsid w:val="009D6410"/>
    <w:rsid w:val="009D6465"/>
    <w:rsid w:val="009D6543"/>
    <w:rsid w:val="009D6672"/>
    <w:rsid w:val="009D67BD"/>
    <w:rsid w:val="009D6942"/>
    <w:rsid w:val="009D6A6A"/>
    <w:rsid w:val="009D6B07"/>
    <w:rsid w:val="009D6C88"/>
    <w:rsid w:val="009D6D48"/>
    <w:rsid w:val="009D70FD"/>
    <w:rsid w:val="009D71FE"/>
    <w:rsid w:val="009D73F7"/>
    <w:rsid w:val="009D7637"/>
    <w:rsid w:val="009D7640"/>
    <w:rsid w:val="009D7792"/>
    <w:rsid w:val="009D794C"/>
    <w:rsid w:val="009D79AF"/>
    <w:rsid w:val="009D79C9"/>
    <w:rsid w:val="009D7A38"/>
    <w:rsid w:val="009D7A39"/>
    <w:rsid w:val="009D7A53"/>
    <w:rsid w:val="009D7E92"/>
    <w:rsid w:val="009D7F5E"/>
    <w:rsid w:val="009E012E"/>
    <w:rsid w:val="009E014E"/>
    <w:rsid w:val="009E01C6"/>
    <w:rsid w:val="009E025C"/>
    <w:rsid w:val="009E02E8"/>
    <w:rsid w:val="009E0330"/>
    <w:rsid w:val="009E04F3"/>
    <w:rsid w:val="009E0574"/>
    <w:rsid w:val="009E05BD"/>
    <w:rsid w:val="009E060D"/>
    <w:rsid w:val="009E061A"/>
    <w:rsid w:val="009E065D"/>
    <w:rsid w:val="009E0781"/>
    <w:rsid w:val="009E07B2"/>
    <w:rsid w:val="009E096D"/>
    <w:rsid w:val="009E0A68"/>
    <w:rsid w:val="009E0BC4"/>
    <w:rsid w:val="009E0C25"/>
    <w:rsid w:val="009E0D11"/>
    <w:rsid w:val="009E0D21"/>
    <w:rsid w:val="009E0E23"/>
    <w:rsid w:val="009E0F3B"/>
    <w:rsid w:val="009E0FFD"/>
    <w:rsid w:val="009E1009"/>
    <w:rsid w:val="009E102C"/>
    <w:rsid w:val="009E10C1"/>
    <w:rsid w:val="009E1156"/>
    <w:rsid w:val="009E1202"/>
    <w:rsid w:val="009E12FC"/>
    <w:rsid w:val="009E1361"/>
    <w:rsid w:val="009E1374"/>
    <w:rsid w:val="009E138E"/>
    <w:rsid w:val="009E13D5"/>
    <w:rsid w:val="009E142E"/>
    <w:rsid w:val="009E165A"/>
    <w:rsid w:val="009E1833"/>
    <w:rsid w:val="009E1B7D"/>
    <w:rsid w:val="009E1C8B"/>
    <w:rsid w:val="009E1E5E"/>
    <w:rsid w:val="009E1E98"/>
    <w:rsid w:val="009E1F6E"/>
    <w:rsid w:val="009E2118"/>
    <w:rsid w:val="009E2144"/>
    <w:rsid w:val="009E216C"/>
    <w:rsid w:val="009E235E"/>
    <w:rsid w:val="009E26FA"/>
    <w:rsid w:val="009E273A"/>
    <w:rsid w:val="009E27A8"/>
    <w:rsid w:val="009E29DC"/>
    <w:rsid w:val="009E2A13"/>
    <w:rsid w:val="009E2A9C"/>
    <w:rsid w:val="009E2BB7"/>
    <w:rsid w:val="009E2DC5"/>
    <w:rsid w:val="009E2DD3"/>
    <w:rsid w:val="009E2FB9"/>
    <w:rsid w:val="009E2FFC"/>
    <w:rsid w:val="009E3031"/>
    <w:rsid w:val="009E3041"/>
    <w:rsid w:val="009E34B7"/>
    <w:rsid w:val="009E3668"/>
    <w:rsid w:val="009E3724"/>
    <w:rsid w:val="009E3814"/>
    <w:rsid w:val="009E3878"/>
    <w:rsid w:val="009E3938"/>
    <w:rsid w:val="009E3B9F"/>
    <w:rsid w:val="009E3C6D"/>
    <w:rsid w:val="009E3D97"/>
    <w:rsid w:val="009E3DBB"/>
    <w:rsid w:val="009E3F01"/>
    <w:rsid w:val="009E3FF0"/>
    <w:rsid w:val="009E4013"/>
    <w:rsid w:val="009E4211"/>
    <w:rsid w:val="009E4245"/>
    <w:rsid w:val="009E4504"/>
    <w:rsid w:val="009E4586"/>
    <w:rsid w:val="009E474D"/>
    <w:rsid w:val="009E4790"/>
    <w:rsid w:val="009E482C"/>
    <w:rsid w:val="009E4853"/>
    <w:rsid w:val="009E4862"/>
    <w:rsid w:val="009E49A8"/>
    <w:rsid w:val="009E4A9E"/>
    <w:rsid w:val="009E4C19"/>
    <w:rsid w:val="009E4CF9"/>
    <w:rsid w:val="009E4D92"/>
    <w:rsid w:val="009E4DEC"/>
    <w:rsid w:val="009E4F55"/>
    <w:rsid w:val="009E5068"/>
    <w:rsid w:val="009E5080"/>
    <w:rsid w:val="009E51B3"/>
    <w:rsid w:val="009E522B"/>
    <w:rsid w:val="009E5557"/>
    <w:rsid w:val="009E5561"/>
    <w:rsid w:val="009E558A"/>
    <w:rsid w:val="009E569A"/>
    <w:rsid w:val="009E5759"/>
    <w:rsid w:val="009E57F1"/>
    <w:rsid w:val="009E5892"/>
    <w:rsid w:val="009E58EB"/>
    <w:rsid w:val="009E5935"/>
    <w:rsid w:val="009E5A47"/>
    <w:rsid w:val="009E5C66"/>
    <w:rsid w:val="009E5D66"/>
    <w:rsid w:val="009E5D83"/>
    <w:rsid w:val="009E5E2B"/>
    <w:rsid w:val="009E6209"/>
    <w:rsid w:val="009E6227"/>
    <w:rsid w:val="009E63EF"/>
    <w:rsid w:val="009E660B"/>
    <w:rsid w:val="009E67A1"/>
    <w:rsid w:val="009E67C4"/>
    <w:rsid w:val="009E6804"/>
    <w:rsid w:val="009E6A10"/>
    <w:rsid w:val="009E6A2D"/>
    <w:rsid w:val="009E6A7A"/>
    <w:rsid w:val="009E6CB8"/>
    <w:rsid w:val="009E6E03"/>
    <w:rsid w:val="009E6E5C"/>
    <w:rsid w:val="009E6EF0"/>
    <w:rsid w:val="009E6FF3"/>
    <w:rsid w:val="009E7020"/>
    <w:rsid w:val="009E7122"/>
    <w:rsid w:val="009E71CA"/>
    <w:rsid w:val="009E721B"/>
    <w:rsid w:val="009E73C9"/>
    <w:rsid w:val="009E7438"/>
    <w:rsid w:val="009E752E"/>
    <w:rsid w:val="009E75DE"/>
    <w:rsid w:val="009E76D3"/>
    <w:rsid w:val="009E7817"/>
    <w:rsid w:val="009E7844"/>
    <w:rsid w:val="009E7AFB"/>
    <w:rsid w:val="009E7B6B"/>
    <w:rsid w:val="009E7BAA"/>
    <w:rsid w:val="009E7E7F"/>
    <w:rsid w:val="009F0083"/>
    <w:rsid w:val="009F016A"/>
    <w:rsid w:val="009F0232"/>
    <w:rsid w:val="009F0638"/>
    <w:rsid w:val="009F0723"/>
    <w:rsid w:val="009F09FD"/>
    <w:rsid w:val="009F0B57"/>
    <w:rsid w:val="009F0CFA"/>
    <w:rsid w:val="009F0DDC"/>
    <w:rsid w:val="009F0E9A"/>
    <w:rsid w:val="009F0F2E"/>
    <w:rsid w:val="009F0F74"/>
    <w:rsid w:val="009F1147"/>
    <w:rsid w:val="009F116B"/>
    <w:rsid w:val="009F116C"/>
    <w:rsid w:val="009F13C3"/>
    <w:rsid w:val="009F1451"/>
    <w:rsid w:val="009F16CC"/>
    <w:rsid w:val="009F1805"/>
    <w:rsid w:val="009F1935"/>
    <w:rsid w:val="009F19B9"/>
    <w:rsid w:val="009F1AFC"/>
    <w:rsid w:val="009F1BBA"/>
    <w:rsid w:val="009F1CDC"/>
    <w:rsid w:val="009F1E58"/>
    <w:rsid w:val="009F1EFE"/>
    <w:rsid w:val="009F230A"/>
    <w:rsid w:val="009F232B"/>
    <w:rsid w:val="009F239A"/>
    <w:rsid w:val="009F254F"/>
    <w:rsid w:val="009F257A"/>
    <w:rsid w:val="009F2600"/>
    <w:rsid w:val="009F284B"/>
    <w:rsid w:val="009F2892"/>
    <w:rsid w:val="009F28DD"/>
    <w:rsid w:val="009F295C"/>
    <w:rsid w:val="009F2A69"/>
    <w:rsid w:val="009F2AE2"/>
    <w:rsid w:val="009F2BDC"/>
    <w:rsid w:val="009F2C2D"/>
    <w:rsid w:val="009F2E0E"/>
    <w:rsid w:val="009F2E3E"/>
    <w:rsid w:val="009F2FAA"/>
    <w:rsid w:val="009F311F"/>
    <w:rsid w:val="009F3225"/>
    <w:rsid w:val="009F3480"/>
    <w:rsid w:val="009F3529"/>
    <w:rsid w:val="009F3580"/>
    <w:rsid w:val="009F37A1"/>
    <w:rsid w:val="009F38ED"/>
    <w:rsid w:val="009F38FA"/>
    <w:rsid w:val="009F392D"/>
    <w:rsid w:val="009F3A0E"/>
    <w:rsid w:val="009F3E6A"/>
    <w:rsid w:val="009F415B"/>
    <w:rsid w:val="009F427B"/>
    <w:rsid w:val="009F4367"/>
    <w:rsid w:val="009F436A"/>
    <w:rsid w:val="009F43DC"/>
    <w:rsid w:val="009F4415"/>
    <w:rsid w:val="009F4538"/>
    <w:rsid w:val="009F453A"/>
    <w:rsid w:val="009F4609"/>
    <w:rsid w:val="009F4906"/>
    <w:rsid w:val="009F4AC7"/>
    <w:rsid w:val="009F4B40"/>
    <w:rsid w:val="009F4BE5"/>
    <w:rsid w:val="009F4CF0"/>
    <w:rsid w:val="009F4D47"/>
    <w:rsid w:val="009F4D8B"/>
    <w:rsid w:val="009F50D1"/>
    <w:rsid w:val="009F50F7"/>
    <w:rsid w:val="009F51BF"/>
    <w:rsid w:val="009F5211"/>
    <w:rsid w:val="009F534F"/>
    <w:rsid w:val="009F536D"/>
    <w:rsid w:val="009F54A7"/>
    <w:rsid w:val="009F54DC"/>
    <w:rsid w:val="009F5779"/>
    <w:rsid w:val="009F5895"/>
    <w:rsid w:val="009F59B1"/>
    <w:rsid w:val="009F5A3D"/>
    <w:rsid w:val="009F5B1C"/>
    <w:rsid w:val="009F5C0E"/>
    <w:rsid w:val="009F5DAF"/>
    <w:rsid w:val="009F5FCF"/>
    <w:rsid w:val="009F6047"/>
    <w:rsid w:val="009F6263"/>
    <w:rsid w:val="009F62D1"/>
    <w:rsid w:val="009F632D"/>
    <w:rsid w:val="009F6544"/>
    <w:rsid w:val="009F6584"/>
    <w:rsid w:val="009F6756"/>
    <w:rsid w:val="009F67ED"/>
    <w:rsid w:val="009F68C7"/>
    <w:rsid w:val="009F69C4"/>
    <w:rsid w:val="009F6A56"/>
    <w:rsid w:val="009F6A6A"/>
    <w:rsid w:val="009F6AEC"/>
    <w:rsid w:val="009F6B17"/>
    <w:rsid w:val="009F6BB9"/>
    <w:rsid w:val="009F6D93"/>
    <w:rsid w:val="009F6E21"/>
    <w:rsid w:val="009F6FDB"/>
    <w:rsid w:val="009F7044"/>
    <w:rsid w:val="009F7085"/>
    <w:rsid w:val="009F7196"/>
    <w:rsid w:val="009F7244"/>
    <w:rsid w:val="009F72A3"/>
    <w:rsid w:val="009F7435"/>
    <w:rsid w:val="009F74BC"/>
    <w:rsid w:val="009F763B"/>
    <w:rsid w:val="009F76B3"/>
    <w:rsid w:val="009F76F6"/>
    <w:rsid w:val="009F774F"/>
    <w:rsid w:val="009F78D3"/>
    <w:rsid w:val="009F7BBC"/>
    <w:rsid w:val="009F7C3D"/>
    <w:rsid w:val="009F7C64"/>
    <w:rsid w:val="009F7EA3"/>
    <w:rsid w:val="009F7F0B"/>
    <w:rsid w:val="009F7F0C"/>
    <w:rsid w:val="009F7F80"/>
    <w:rsid w:val="009F7FCB"/>
    <w:rsid w:val="00A00150"/>
    <w:rsid w:val="00A00181"/>
    <w:rsid w:val="00A00191"/>
    <w:rsid w:val="00A00317"/>
    <w:rsid w:val="00A003EA"/>
    <w:rsid w:val="00A003FC"/>
    <w:rsid w:val="00A003FF"/>
    <w:rsid w:val="00A0045F"/>
    <w:rsid w:val="00A006D9"/>
    <w:rsid w:val="00A0079E"/>
    <w:rsid w:val="00A00857"/>
    <w:rsid w:val="00A0085B"/>
    <w:rsid w:val="00A00AC3"/>
    <w:rsid w:val="00A00AD5"/>
    <w:rsid w:val="00A00AFA"/>
    <w:rsid w:val="00A00D73"/>
    <w:rsid w:val="00A00EC6"/>
    <w:rsid w:val="00A00EFB"/>
    <w:rsid w:val="00A01125"/>
    <w:rsid w:val="00A0155A"/>
    <w:rsid w:val="00A0169D"/>
    <w:rsid w:val="00A016AA"/>
    <w:rsid w:val="00A016AD"/>
    <w:rsid w:val="00A017F9"/>
    <w:rsid w:val="00A018FC"/>
    <w:rsid w:val="00A01B87"/>
    <w:rsid w:val="00A01C98"/>
    <w:rsid w:val="00A01DF6"/>
    <w:rsid w:val="00A01E01"/>
    <w:rsid w:val="00A01E0A"/>
    <w:rsid w:val="00A01E73"/>
    <w:rsid w:val="00A01FB3"/>
    <w:rsid w:val="00A0202D"/>
    <w:rsid w:val="00A0236C"/>
    <w:rsid w:val="00A02739"/>
    <w:rsid w:val="00A0282B"/>
    <w:rsid w:val="00A029FC"/>
    <w:rsid w:val="00A02AAA"/>
    <w:rsid w:val="00A02D23"/>
    <w:rsid w:val="00A02D95"/>
    <w:rsid w:val="00A031E3"/>
    <w:rsid w:val="00A03257"/>
    <w:rsid w:val="00A032A8"/>
    <w:rsid w:val="00A0331F"/>
    <w:rsid w:val="00A03471"/>
    <w:rsid w:val="00A03555"/>
    <w:rsid w:val="00A03638"/>
    <w:rsid w:val="00A03681"/>
    <w:rsid w:val="00A0372F"/>
    <w:rsid w:val="00A03734"/>
    <w:rsid w:val="00A03745"/>
    <w:rsid w:val="00A03844"/>
    <w:rsid w:val="00A03A09"/>
    <w:rsid w:val="00A03A4E"/>
    <w:rsid w:val="00A03B8E"/>
    <w:rsid w:val="00A03C77"/>
    <w:rsid w:val="00A04129"/>
    <w:rsid w:val="00A0419F"/>
    <w:rsid w:val="00A04426"/>
    <w:rsid w:val="00A0446A"/>
    <w:rsid w:val="00A04607"/>
    <w:rsid w:val="00A04801"/>
    <w:rsid w:val="00A04957"/>
    <w:rsid w:val="00A04B13"/>
    <w:rsid w:val="00A04D6B"/>
    <w:rsid w:val="00A04DF8"/>
    <w:rsid w:val="00A04F4F"/>
    <w:rsid w:val="00A04F9F"/>
    <w:rsid w:val="00A05276"/>
    <w:rsid w:val="00A05438"/>
    <w:rsid w:val="00A05621"/>
    <w:rsid w:val="00A05698"/>
    <w:rsid w:val="00A0572A"/>
    <w:rsid w:val="00A058CF"/>
    <w:rsid w:val="00A05946"/>
    <w:rsid w:val="00A05A66"/>
    <w:rsid w:val="00A05A6D"/>
    <w:rsid w:val="00A05AB3"/>
    <w:rsid w:val="00A05C42"/>
    <w:rsid w:val="00A05D36"/>
    <w:rsid w:val="00A05DA9"/>
    <w:rsid w:val="00A05E0D"/>
    <w:rsid w:val="00A05FB1"/>
    <w:rsid w:val="00A05FC9"/>
    <w:rsid w:val="00A061BF"/>
    <w:rsid w:val="00A063BC"/>
    <w:rsid w:val="00A063F9"/>
    <w:rsid w:val="00A0651E"/>
    <w:rsid w:val="00A0657F"/>
    <w:rsid w:val="00A06850"/>
    <w:rsid w:val="00A06A89"/>
    <w:rsid w:val="00A06AA8"/>
    <w:rsid w:val="00A06C07"/>
    <w:rsid w:val="00A071AE"/>
    <w:rsid w:val="00A071D1"/>
    <w:rsid w:val="00A071DC"/>
    <w:rsid w:val="00A072D5"/>
    <w:rsid w:val="00A074E2"/>
    <w:rsid w:val="00A07571"/>
    <w:rsid w:val="00A076F4"/>
    <w:rsid w:val="00A077B0"/>
    <w:rsid w:val="00A07800"/>
    <w:rsid w:val="00A07810"/>
    <w:rsid w:val="00A07817"/>
    <w:rsid w:val="00A07831"/>
    <w:rsid w:val="00A078D1"/>
    <w:rsid w:val="00A0797F"/>
    <w:rsid w:val="00A07B0B"/>
    <w:rsid w:val="00A07C3F"/>
    <w:rsid w:val="00A07C9C"/>
    <w:rsid w:val="00A07D0F"/>
    <w:rsid w:val="00A10047"/>
    <w:rsid w:val="00A10085"/>
    <w:rsid w:val="00A10140"/>
    <w:rsid w:val="00A102D2"/>
    <w:rsid w:val="00A10362"/>
    <w:rsid w:val="00A1037A"/>
    <w:rsid w:val="00A10604"/>
    <w:rsid w:val="00A10984"/>
    <w:rsid w:val="00A10AB0"/>
    <w:rsid w:val="00A10AF6"/>
    <w:rsid w:val="00A10C33"/>
    <w:rsid w:val="00A10C73"/>
    <w:rsid w:val="00A10D0D"/>
    <w:rsid w:val="00A10D2A"/>
    <w:rsid w:val="00A10F09"/>
    <w:rsid w:val="00A10F8E"/>
    <w:rsid w:val="00A10F9C"/>
    <w:rsid w:val="00A1100D"/>
    <w:rsid w:val="00A11457"/>
    <w:rsid w:val="00A11481"/>
    <w:rsid w:val="00A1156D"/>
    <w:rsid w:val="00A11713"/>
    <w:rsid w:val="00A11756"/>
    <w:rsid w:val="00A1179D"/>
    <w:rsid w:val="00A11898"/>
    <w:rsid w:val="00A119E7"/>
    <w:rsid w:val="00A119EB"/>
    <w:rsid w:val="00A11A59"/>
    <w:rsid w:val="00A11D68"/>
    <w:rsid w:val="00A11DB0"/>
    <w:rsid w:val="00A11E82"/>
    <w:rsid w:val="00A11F3D"/>
    <w:rsid w:val="00A11FFF"/>
    <w:rsid w:val="00A123A4"/>
    <w:rsid w:val="00A12482"/>
    <w:rsid w:val="00A12521"/>
    <w:rsid w:val="00A1257A"/>
    <w:rsid w:val="00A127DA"/>
    <w:rsid w:val="00A1298A"/>
    <w:rsid w:val="00A12999"/>
    <w:rsid w:val="00A12A1C"/>
    <w:rsid w:val="00A12BB2"/>
    <w:rsid w:val="00A12BC7"/>
    <w:rsid w:val="00A12D8F"/>
    <w:rsid w:val="00A12DF1"/>
    <w:rsid w:val="00A12E7C"/>
    <w:rsid w:val="00A12E8F"/>
    <w:rsid w:val="00A13005"/>
    <w:rsid w:val="00A130F1"/>
    <w:rsid w:val="00A1310F"/>
    <w:rsid w:val="00A13273"/>
    <w:rsid w:val="00A1341A"/>
    <w:rsid w:val="00A136F3"/>
    <w:rsid w:val="00A13938"/>
    <w:rsid w:val="00A13CFB"/>
    <w:rsid w:val="00A13DF1"/>
    <w:rsid w:val="00A14052"/>
    <w:rsid w:val="00A142E9"/>
    <w:rsid w:val="00A14435"/>
    <w:rsid w:val="00A145E8"/>
    <w:rsid w:val="00A14869"/>
    <w:rsid w:val="00A14880"/>
    <w:rsid w:val="00A14956"/>
    <w:rsid w:val="00A14A9F"/>
    <w:rsid w:val="00A14BE6"/>
    <w:rsid w:val="00A14E30"/>
    <w:rsid w:val="00A14F43"/>
    <w:rsid w:val="00A14F90"/>
    <w:rsid w:val="00A15030"/>
    <w:rsid w:val="00A150EE"/>
    <w:rsid w:val="00A1512A"/>
    <w:rsid w:val="00A15334"/>
    <w:rsid w:val="00A1539C"/>
    <w:rsid w:val="00A15413"/>
    <w:rsid w:val="00A15436"/>
    <w:rsid w:val="00A15550"/>
    <w:rsid w:val="00A155E5"/>
    <w:rsid w:val="00A1577C"/>
    <w:rsid w:val="00A158F3"/>
    <w:rsid w:val="00A15AB6"/>
    <w:rsid w:val="00A15DC7"/>
    <w:rsid w:val="00A15E10"/>
    <w:rsid w:val="00A15EE0"/>
    <w:rsid w:val="00A15F4E"/>
    <w:rsid w:val="00A16188"/>
    <w:rsid w:val="00A16218"/>
    <w:rsid w:val="00A16411"/>
    <w:rsid w:val="00A1656E"/>
    <w:rsid w:val="00A166E5"/>
    <w:rsid w:val="00A166F5"/>
    <w:rsid w:val="00A1672E"/>
    <w:rsid w:val="00A16986"/>
    <w:rsid w:val="00A16B08"/>
    <w:rsid w:val="00A16C75"/>
    <w:rsid w:val="00A16D9B"/>
    <w:rsid w:val="00A16EF8"/>
    <w:rsid w:val="00A16F88"/>
    <w:rsid w:val="00A1712E"/>
    <w:rsid w:val="00A17165"/>
    <w:rsid w:val="00A172F5"/>
    <w:rsid w:val="00A1740D"/>
    <w:rsid w:val="00A174F6"/>
    <w:rsid w:val="00A1750B"/>
    <w:rsid w:val="00A17592"/>
    <w:rsid w:val="00A1764E"/>
    <w:rsid w:val="00A17780"/>
    <w:rsid w:val="00A177D2"/>
    <w:rsid w:val="00A178DE"/>
    <w:rsid w:val="00A17EC4"/>
    <w:rsid w:val="00A17F4D"/>
    <w:rsid w:val="00A2003A"/>
    <w:rsid w:val="00A2005F"/>
    <w:rsid w:val="00A20061"/>
    <w:rsid w:val="00A203DD"/>
    <w:rsid w:val="00A203DF"/>
    <w:rsid w:val="00A203EF"/>
    <w:rsid w:val="00A20572"/>
    <w:rsid w:val="00A206F7"/>
    <w:rsid w:val="00A20893"/>
    <w:rsid w:val="00A2089F"/>
    <w:rsid w:val="00A209B5"/>
    <w:rsid w:val="00A20C6A"/>
    <w:rsid w:val="00A20CE7"/>
    <w:rsid w:val="00A20D35"/>
    <w:rsid w:val="00A2103E"/>
    <w:rsid w:val="00A2115E"/>
    <w:rsid w:val="00A21326"/>
    <w:rsid w:val="00A21642"/>
    <w:rsid w:val="00A21664"/>
    <w:rsid w:val="00A2189B"/>
    <w:rsid w:val="00A218E6"/>
    <w:rsid w:val="00A21956"/>
    <w:rsid w:val="00A219EF"/>
    <w:rsid w:val="00A21A4D"/>
    <w:rsid w:val="00A21BD9"/>
    <w:rsid w:val="00A21CCC"/>
    <w:rsid w:val="00A21E45"/>
    <w:rsid w:val="00A21EDA"/>
    <w:rsid w:val="00A21F7A"/>
    <w:rsid w:val="00A21FA9"/>
    <w:rsid w:val="00A21FB5"/>
    <w:rsid w:val="00A22151"/>
    <w:rsid w:val="00A221FD"/>
    <w:rsid w:val="00A22312"/>
    <w:rsid w:val="00A22370"/>
    <w:rsid w:val="00A22389"/>
    <w:rsid w:val="00A22531"/>
    <w:rsid w:val="00A22647"/>
    <w:rsid w:val="00A226E9"/>
    <w:rsid w:val="00A227B3"/>
    <w:rsid w:val="00A228B2"/>
    <w:rsid w:val="00A22921"/>
    <w:rsid w:val="00A229A4"/>
    <w:rsid w:val="00A229CB"/>
    <w:rsid w:val="00A22A93"/>
    <w:rsid w:val="00A22A9C"/>
    <w:rsid w:val="00A22CD6"/>
    <w:rsid w:val="00A22EE2"/>
    <w:rsid w:val="00A22F5B"/>
    <w:rsid w:val="00A22FB0"/>
    <w:rsid w:val="00A22FC8"/>
    <w:rsid w:val="00A2301E"/>
    <w:rsid w:val="00A231F3"/>
    <w:rsid w:val="00A232A8"/>
    <w:rsid w:val="00A232D7"/>
    <w:rsid w:val="00A232ED"/>
    <w:rsid w:val="00A23577"/>
    <w:rsid w:val="00A2374B"/>
    <w:rsid w:val="00A238AA"/>
    <w:rsid w:val="00A23A01"/>
    <w:rsid w:val="00A23AB3"/>
    <w:rsid w:val="00A23B45"/>
    <w:rsid w:val="00A23CA2"/>
    <w:rsid w:val="00A23CB4"/>
    <w:rsid w:val="00A23FC0"/>
    <w:rsid w:val="00A23FC6"/>
    <w:rsid w:val="00A240E0"/>
    <w:rsid w:val="00A2430E"/>
    <w:rsid w:val="00A24322"/>
    <w:rsid w:val="00A24353"/>
    <w:rsid w:val="00A24359"/>
    <w:rsid w:val="00A243AA"/>
    <w:rsid w:val="00A24690"/>
    <w:rsid w:val="00A24695"/>
    <w:rsid w:val="00A2481E"/>
    <w:rsid w:val="00A248E5"/>
    <w:rsid w:val="00A249D5"/>
    <w:rsid w:val="00A24A78"/>
    <w:rsid w:val="00A24BCA"/>
    <w:rsid w:val="00A24BDF"/>
    <w:rsid w:val="00A24D5F"/>
    <w:rsid w:val="00A24EE4"/>
    <w:rsid w:val="00A2503E"/>
    <w:rsid w:val="00A2520F"/>
    <w:rsid w:val="00A25245"/>
    <w:rsid w:val="00A252AE"/>
    <w:rsid w:val="00A25538"/>
    <w:rsid w:val="00A25545"/>
    <w:rsid w:val="00A255FA"/>
    <w:rsid w:val="00A2561F"/>
    <w:rsid w:val="00A25747"/>
    <w:rsid w:val="00A258BF"/>
    <w:rsid w:val="00A25909"/>
    <w:rsid w:val="00A25B4C"/>
    <w:rsid w:val="00A25B52"/>
    <w:rsid w:val="00A25C41"/>
    <w:rsid w:val="00A25D43"/>
    <w:rsid w:val="00A260A6"/>
    <w:rsid w:val="00A26103"/>
    <w:rsid w:val="00A261B7"/>
    <w:rsid w:val="00A261BD"/>
    <w:rsid w:val="00A26220"/>
    <w:rsid w:val="00A2638C"/>
    <w:rsid w:val="00A263E6"/>
    <w:rsid w:val="00A26427"/>
    <w:rsid w:val="00A2665C"/>
    <w:rsid w:val="00A267C8"/>
    <w:rsid w:val="00A2682E"/>
    <w:rsid w:val="00A26A2F"/>
    <w:rsid w:val="00A26A45"/>
    <w:rsid w:val="00A26AA4"/>
    <w:rsid w:val="00A27184"/>
    <w:rsid w:val="00A27293"/>
    <w:rsid w:val="00A272A3"/>
    <w:rsid w:val="00A2738E"/>
    <w:rsid w:val="00A275AD"/>
    <w:rsid w:val="00A27615"/>
    <w:rsid w:val="00A2766C"/>
    <w:rsid w:val="00A27714"/>
    <w:rsid w:val="00A27755"/>
    <w:rsid w:val="00A277E7"/>
    <w:rsid w:val="00A27940"/>
    <w:rsid w:val="00A27B79"/>
    <w:rsid w:val="00A3003F"/>
    <w:rsid w:val="00A3006B"/>
    <w:rsid w:val="00A3007C"/>
    <w:rsid w:val="00A300E4"/>
    <w:rsid w:val="00A300E8"/>
    <w:rsid w:val="00A3012A"/>
    <w:rsid w:val="00A305A0"/>
    <w:rsid w:val="00A305D7"/>
    <w:rsid w:val="00A3076B"/>
    <w:rsid w:val="00A30792"/>
    <w:rsid w:val="00A30854"/>
    <w:rsid w:val="00A3095A"/>
    <w:rsid w:val="00A3098B"/>
    <w:rsid w:val="00A30B11"/>
    <w:rsid w:val="00A30B71"/>
    <w:rsid w:val="00A30BA6"/>
    <w:rsid w:val="00A30CC7"/>
    <w:rsid w:val="00A30CEE"/>
    <w:rsid w:val="00A30E48"/>
    <w:rsid w:val="00A30E84"/>
    <w:rsid w:val="00A30EA5"/>
    <w:rsid w:val="00A310A5"/>
    <w:rsid w:val="00A311AD"/>
    <w:rsid w:val="00A31208"/>
    <w:rsid w:val="00A313B4"/>
    <w:rsid w:val="00A3156A"/>
    <w:rsid w:val="00A31644"/>
    <w:rsid w:val="00A316EC"/>
    <w:rsid w:val="00A31818"/>
    <w:rsid w:val="00A31911"/>
    <w:rsid w:val="00A31AD9"/>
    <w:rsid w:val="00A31BEF"/>
    <w:rsid w:val="00A31BF3"/>
    <w:rsid w:val="00A31E94"/>
    <w:rsid w:val="00A320AF"/>
    <w:rsid w:val="00A320D5"/>
    <w:rsid w:val="00A321EC"/>
    <w:rsid w:val="00A3225F"/>
    <w:rsid w:val="00A324C0"/>
    <w:rsid w:val="00A32545"/>
    <w:rsid w:val="00A325CC"/>
    <w:rsid w:val="00A327AA"/>
    <w:rsid w:val="00A327E8"/>
    <w:rsid w:val="00A32894"/>
    <w:rsid w:val="00A32935"/>
    <w:rsid w:val="00A32A5B"/>
    <w:rsid w:val="00A32A7C"/>
    <w:rsid w:val="00A32A92"/>
    <w:rsid w:val="00A32AB4"/>
    <w:rsid w:val="00A32B22"/>
    <w:rsid w:val="00A32B7B"/>
    <w:rsid w:val="00A32C2B"/>
    <w:rsid w:val="00A32F9C"/>
    <w:rsid w:val="00A331AF"/>
    <w:rsid w:val="00A3353F"/>
    <w:rsid w:val="00A33672"/>
    <w:rsid w:val="00A3368F"/>
    <w:rsid w:val="00A3374B"/>
    <w:rsid w:val="00A3394F"/>
    <w:rsid w:val="00A33B0A"/>
    <w:rsid w:val="00A33B42"/>
    <w:rsid w:val="00A33B85"/>
    <w:rsid w:val="00A33C2C"/>
    <w:rsid w:val="00A33EEC"/>
    <w:rsid w:val="00A33F5F"/>
    <w:rsid w:val="00A33F9B"/>
    <w:rsid w:val="00A34237"/>
    <w:rsid w:val="00A3423C"/>
    <w:rsid w:val="00A34404"/>
    <w:rsid w:val="00A34594"/>
    <w:rsid w:val="00A345F6"/>
    <w:rsid w:val="00A34604"/>
    <w:rsid w:val="00A3477F"/>
    <w:rsid w:val="00A34782"/>
    <w:rsid w:val="00A3497F"/>
    <w:rsid w:val="00A349A6"/>
    <w:rsid w:val="00A349AC"/>
    <w:rsid w:val="00A34FAB"/>
    <w:rsid w:val="00A34FCE"/>
    <w:rsid w:val="00A3506D"/>
    <w:rsid w:val="00A3507B"/>
    <w:rsid w:val="00A35236"/>
    <w:rsid w:val="00A3527A"/>
    <w:rsid w:val="00A3531A"/>
    <w:rsid w:val="00A35418"/>
    <w:rsid w:val="00A3551D"/>
    <w:rsid w:val="00A3558C"/>
    <w:rsid w:val="00A35644"/>
    <w:rsid w:val="00A3564A"/>
    <w:rsid w:val="00A356FB"/>
    <w:rsid w:val="00A3583A"/>
    <w:rsid w:val="00A3586B"/>
    <w:rsid w:val="00A359AD"/>
    <w:rsid w:val="00A359C1"/>
    <w:rsid w:val="00A35AD4"/>
    <w:rsid w:val="00A35BD6"/>
    <w:rsid w:val="00A35DBF"/>
    <w:rsid w:val="00A35DCE"/>
    <w:rsid w:val="00A35EA3"/>
    <w:rsid w:val="00A35F53"/>
    <w:rsid w:val="00A35F8F"/>
    <w:rsid w:val="00A36003"/>
    <w:rsid w:val="00A3610F"/>
    <w:rsid w:val="00A361B7"/>
    <w:rsid w:val="00A364C7"/>
    <w:rsid w:val="00A36516"/>
    <w:rsid w:val="00A36532"/>
    <w:rsid w:val="00A365A7"/>
    <w:rsid w:val="00A36715"/>
    <w:rsid w:val="00A3673E"/>
    <w:rsid w:val="00A367CD"/>
    <w:rsid w:val="00A369AA"/>
    <w:rsid w:val="00A36A0F"/>
    <w:rsid w:val="00A36A3E"/>
    <w:rsid w:val="00A36D95"/>
    <w:rsid w:val="00A36E12"/>
    <w:rsid w:val="00A36E4B"/>
    <w:rsid w:val="00A36F36"/>
    <w:rsid w:val="00A36F67"/>
    <w:rsid w:val="00A36F89"/>
    <w:rsid w:val="00A37112"/>
    <w:rsid w:val="00A371E6"/>
    <w:rsid w:val="00A3767A"/>
    <w:rsid w:val="00A3772A"/>
    <w:rsid w:val="00A378B0"/>
    <w:rsid w:val="00A37970"/>
    <w:rsid w:val="00A379A5"/>
    <w:rsid w:val="00A37A50"/>
    <w:rsid w:val="00A37B6F"/>
    <w:rsid w:val="00A37C21"/>
    <w:rsid w:val="00A37CBC"/>
    <w:rsid w:val="00A37CCA"/>
    <w:rsid w:val="00A37D1B"/>
    <w:rsid w:val="00A37D75"/>
    <w:rsid w:val="00A37D80"/>
    <w:rsid w:val="00A37D98"/>
    <w:rsid w:val="00A37E61"/>
    <w:rsid w:val="00A37F1D"/>
    <w:rsid w:val="00A37F31"/>
    <w:rsid w:val="00A4001E"/>
    <w:rsid w:val="00A402C2"/>
    <w:rsid w:val="00A402E5"/>
    <w:rsid w:val="00A4057E"/>
    <w:rsid w:val="00A4057F"/>
    <w:rsid w:val="00A405EB"/>
    <w:rsid w:val="00A407C4"/>
    <w:rsid w:val="00A407C9"/>
    <w:rsid w:val="00A40A9B"/>
    <w:rsid w:val="00A40BBD"/>
    <w:rsid w:val="00A40E8A"/>
    <w:rsid w:val="00A40F45"/>
    <w:rsid w:val="00A41183"/>
    <w:rsid w:val="00A411CF"/>
    <w:rsid w:val="00A4128C"/>
    <w:rsid w:val="00A4142A"/>
    <w:rsid w:val="00A417C5"/>
    <w:rsid w:val="00A41836"/>
    <w:rsid w:val="00A4191F"/>
    <w:rsid w:val="00A41997"/>
    <w:rsid w:val="00A419E3"/>
    <w:rsid w:val="00A419E6"/>
    <w:rsid w:val="00A41C43"/>
    <w:rsid w:val="00A41DB8"/>
    <w:rsid w:val="00A41E07"/>
    <w:rsid w:val="00A41F94"/>
    <w:rsid w:val="00A41F99"/>
    <w:rsid w:val="00A42237"/>
    <w:rsid w:val="00A4255A"/>
    <w:rsid w:val="00A4280F"/>
    <w:rsid w:val="00A4292E"/>
    <w:rsid w:val="00A4299E"/>
    <w:rsid w:val="00A429F9"/>
    <w:rsid w:val="00A42BDE"/>
    <w:rsid w:val="00A42BE9"/>
    <w:rsid w:val="00A42E19"/>
    <w:rsid w:val="00A42EF3"/>
    <w:rsid w:val="00A42F59"/>
    <w:rsid w:val="00A42F6E"/>
    <w:rsid w:val="00A42FF1"/>
    <w:rsid w:val="00A43080"/>
    <w:rsid w:val="00A430E1"/>
    <w:rsid w:val="00A43231"/>
    <w:rsid w:val="00A43299"/>
    <w:rsid w:val="00A432CB"/>
    <w:rsid w:val="00A433AF"/>
    <w:rsid w:val="00A43446"/>
    <w:rsid w:val="00A436FA"/>
    <w:rsid w:val="00A437B3"/>
    <w:rsid w:val="00A43934"/>
    <w:rsid w:val="00A439D5"/>
    <w:rsid w:val="00A43B52"/>
    <w:rsid w:val="00A43C65"/>
    <w:rsid w:val="00A43DB7"/>
    <w:rsid w:val="00A43E33"/>
    <w:rsid w:val="00A43F25"/>
    <w:rsid w:val="00A440A7"/>
    <w:rsid w:val="00A440BE"/>
    <w:rsid w:val="00A4427C"/>
    <w:rsid w:val="00A44344"/>
    <w:rsid w:val="00A444B6"/>
    <w:rsid w:val="00A445AB"/>
    <w:rsid w:val="00A44845"/>
    <w:rsid w:val="00A448F0"/>
    <w:rsid w:val="00A44947"/>
    <w:rsid w:val="00A44A84"/>
    <w:rsid w:val="00A44BEA"/>
    <w:rsid w:val="00A44C9A"/>
    <w:rsid w:val="00A44E03"/>
    <w:rsid w:val="00A44E6D"/>
    <w:rsid w:val="00A44EA3"/>
    <w:rsid w:val="00A450BF"/>
    <w:rsid w:val="00A45254"/>
    <w:rsid w:val="00A452D5"/>
    <w:rsid w:val="00A45548"/>
    <w:rsid w:val="00A456C3"/>
    <w:rsid w:val="00A4577E"/>
    <w:rsid w:val="00A45782"/>
    <w:rsid w:val="00A45884"/>
    <w:rsid w:val="00A45940"/>
    <w:rsid w:val="00A45AAB"/>
    <w:rsid w:val="00A45E4D"/>
    <w:rsid w:val="00A45F34"/>
    <w:rsid w:val="00A46003"/>
    <w:rsid w:val="00A4601B"/>
    <w:rsid w:val="00A46058"/>
    <w:rsid w:val="00A4614C"/>
    <w:rsid w:val="00A463C4"/>
    <w:rsid w:val="00A463F0"/>
    <w:rsid w:val="00A466BF"/>
    <w:rsid w:val="00A468D3"/>
    <w:rsid w:val="00A46AC6"/>
    <w:rsid w:val="00A46B63"/>
    <w:rsid w:val="00A46C35"/>
    <w:rsid w:val="00A46D99"/>
    <w:rsid w:val="00A46FB2"/>
    <w:rsid w:val="00A4703F"/>
    <w:rsid w:val="00A47171"/>
    <w:rsid w:val="00A471F4"/>
    <w:rsid w:val="00A473C0"/>
    <w:rsid w:val="00A4749D"/>
    <w:rsid w:val="00A47536"/>
    <w:rsid w:val="00A47C32"/>
    <w:rsid w:val="00A47C44"/>
    <w:rsid w:val="00A47C72"/>
    <w:rsid w:val="00A47E37"/>
    <w:rsid w:val="00A47E4D"/>
    <w:rsid w:val="00A47F42"/>
    <w:rsid w:val="00A47F5F"/>
    <w:rsid w:val="00A5002C"/>
    <w:rsid w:val="00A5017C"/>
    <w:rsid w:val="00A50198"/>
    <w:rsid w:val="00A5029E"/>
    <w:rsid w:val="00A502B6"/>
    <w:rsid w:val="00A504D9"/>
    <w:rsid w:val="00A5058F"/>
    <w:rsid w:val="00A505E2"/>
    <w:rsid w:val="00A50617"/>
    <w:rsid w:val="00A5063B"/>
    <w:rsid w:val="00A507E9"/>
    <w:rsid w:val="00A508AE"/>
    <w:rsid w:val="00A50A71"/>
    <w:rsid w:val="00A50AAB"/>
    <w:rsid w:val="00A50E1E"/>
    <w:rsid w:val="00A50E5C"/>
    <w:rsid w:val="00A511B1"/>
    <w:rsid w:val="00A511CE"/>
    <w:rsid w:val="00A51298"/>
    <w:rsid w:val="00A51360"/>
    <w:rsid w:val="00A51398"/>
    <w:rsid w:val="00A517D7"/>
    <w:rsid w:val="00A51A87"/>
    <w:rsid w:val="00A51C52"/>
    <w:rsid w:val="00A51E54"/>
    <w:rsid w:val="00A51F17"/>
    <w:rsid w:val="00A52031"/>
    <w:rsid w:val="00A520E3"/>
    <w:rsid w:val="00A5216C"/>
    <w:rsid w:val="00A52212"/>
    <w:rsid w:val="00A5226D"/>
    <w:rsid w:val="00A5238D"/>
    <w:rsid w:val="00A525EE"/>
    <w:rsid w:val="00A52645"/>
    <w:rsid w:val="00A526A5"/>
    <w:rsid w:val="00A52842"/>
    <w:rsid w:val="00A528A5"/>
    <w:rsid w:val="00A5292B"/>
    <w:rsid w:val="00A52B9D"/>
    <w:rsid w:val="00A52BB7"/>
    <w:rsid w:val="00A52BE7"/>
    <w:rsid w:val="00A52E4B"/>
    <w:rsid w:val="00A52E9E"/>
    <w:rsid w:val="00A52F2E"/>
    <w:rsid w:val="00A52F52"/>
    <w:rsid w:val="00A531C5"/>
    <w:rsid w:val="00A531EA"/>
    <w:rsid w:val="00A53245"/>
    <w:rsid w:val="00A53265"/>
    <w:rsid w:val="00A532E8"/>
    <w:rsid w:val="00A5337C"/>
    <w:rsid w:val="00A5348C"/>
    <w:rsid w:val="00A53553"/>
    <w:rsid w:val="00A535E1"/>
    <w:rsid w:val="00A5365C"/>
    <w:rsid w:val="00A53676"/>
    <w:rsid w:val="00A537DF"/>
    <w:rsid w:val="00A53889"/>
    <w:rsid w:val="00A539CF"/>
    <w:rsid w:val="00A539EB"/>
    <w:rsid w:val="00A53A9D"/>
    <w:rsid w:val="00A53D00"/>
    <w:rsid w:val="00A540C1"/>
    <w:rsid w:val="00A540C2"/>
    <w:rsid w:val="00A541B4"/>
    <w:rsid w:val="00A5427C"/>
    <w:rsid w:val="00A542B5"/>
    <w:rsid w:val="00A544B5"/>
    <w:rsid w:val="00A544CF"/>
    <w:rsid w:val="00A544E4"/>
    <w:rsid w:val="00A5467B"/>
    <w:rsid w:val="00A54782"/>
    <w:rsid w:val="00A54827"/>
    <w:rsid w:val="00A54856"/>
    <w:rsid w:val="00A54870"/>
    <w:rsid w:val="00A54A95"/>
    <w:rsid w:val="00A54ABF"/>
    <w:rsid w:val="00A54AD8"/>
    <w:rsid w:val="00A54C59"/>
    <w:rsid w:val="00A54C7E"/>
    <w:rsid w:val="00A54C8E"/>
    <w:rsid w:val="00A54D7E"/>
    <w:rsid w:val="00A54E6A"/>
    <w:rsid w:val="00A54EDD"/>
    <w:rsid w:val="00A54EFE"/>
    <w:rsid w:val="00A54F85"/>
    <w:rsid w:val="00A55071"/>
    <w:rsid w:val="00A5524B"/>
    <w:rsid w:val="00A5527B"/>
    <w:rsid w:val="00A555A8"/>
    <w:rsid w:val="00A5570D"/>
    <w:rsid w:val="00A55817"/>
    <w:rsid w:val="00A5597C"/>
    <w:rsid w:val="00A5597F"/>
    <w:rsid w:val="00A55BA1"/>
    <w:rsid w:val="00A55BCE"/>
    <w:rsid w:val="00A55C2F"/>
    <w:rsid w:val="00A55CEE"/>
    <w:rsid w:val="00A55D0A"/>
    <w:rsid w:val="00A55E18"/>
    <w:rsid w:val="00A55EFB"/>
    <w:rsid w:val="00A560B6"/>
    <w:rsid w:val="00A56104"/>
    <w:rsid w:val="00A5625D"/>
    <w:rsid w:val="00A562F9"/>
    <w:rsid w:val="00A56331"/>
    <w:rsid w:val="00A563A2"/>
    <w:rsid w:val="00A56687"/>
    <w:rsid w:val="00A5675B"/>
    <w:rsid w:val="00A567BD"/>
    <w:rsid w:val="00A567F9"/>
    <w:rsid w:val="00A569FE"/>
    <w:rsid w:val="00A56A05"/>
    <w:rsid w:val="00A56B1A"/>
    <w:rsid w:val="00A56B46"/>
    <w:rsid w:val="00A56BA2"/>
    <w:rsid w:val="00A56C07"/>
    <w:rsid w:val="00A56C6E"/>
    <w:rsid w:val="00A56D1C"/>
    <w:rsid w:val="00A56E88"/>
    <w:rsid w:val="00A57102"/>
    <w:rsid w:val="00A57134"/>
    <w:rsid w:val="00A57145"/>
    <w:rsid w:val="00A57179"/>
    <w:rsid w:val="00A571CB"/>
    <w:rsid w:val="00A57217"/>
    <w:rsid w:val="00A5727F"/>
    <w:rsid w:val="00A572AA"/>
    <w:rsid w:val="00A5739F"/>
    <w:rsid w:val="00A573A6"/>
    <w:rsid w:val="00A573C8"/>
    <w:rsid w:val="00A576D1"/>
    <w:rsid w:val="00A577AA"/>
    <w:rsid w:val="00A57846"/>
    <w:rsid w:val="00A5788D"/>
    <w:rsid w:val="00A57A1D"/>
    <w:rsid w:val="00A57B24"/>
    <w:rsid w:val="00A57BF9"/>
    <w:rsid w:val="00A57CBE"/>
    <w:rsid w:val="00A57CC0"/>
    <w:rsid w:val="00A57E61"/>
    <w:rsid w:val="00A60109"/>
    <w:rsid w:val="00A6017F"/>
    <w:rsid w:val="00A6025A"/>
    <w:rsid w:val="00A60432"/>
    <w:rsid w:val="00A60444"/>
    <w:rsid w:val="00A60505"/>
    <w:rsid w:val="00A6062F"/>
    <w:rsid w:val="00A60660"/>
    <w:rsid w:val="00A606A9"/>
    <w:rsid w:val="00A60850"/>
    <w:rsid w:val="00A6091B"/>
    <w:rsid w:val="00A609DB"/>
    <w:rsid w:val="00A60A90"/>
    <w:rsid w:val="00A60AAC"/>
    <w:rsid w:val="00A60C14"/>
    <w:rsid w:val="00A60E4B"/>
    <w:rsid w:val="00A60F6F"/>
    <w:rsid w:val="00A6123D"/>
    <w:rsid w:val="00A612B8"/>
    <w:rsid w:val="00A6144E"/>
    <w:rsid w:val="00A6152A"/>
    <w:rsid w:val="00A61598"/>
    <w:rsid w:val="00A615FB"/>
    <w:rsid w:val="00A61635"/>
    <w:rsid w:val="00A6166F"/>
    <w:rsid w:val="00A61700"/>
    <w:rsid w:val="00A6172D"/>
    <w:rsid w:val="00A619CA"/>
    <w:rsid w:val="00A619EB"/>
    <w:rsid w:val="00A61BCF"/>
    <w:rsid w:val="00A61C7C"/>
    <w:rsid w:val="00A61D29"/>
    <w:rsid w:val="00A61FDA"/>
    <w:rsid w:val="00A622FB"/>
    <w:rsid w:val="00A62653"/>
    <w:rsid w:val="00A626C8"/>
    <w:rsid w:val="00A62732"/>
    <w:rsid w:val="00A6273C"/>
    <w:rsid w:val="00A628F6"/>
    <w:rsid w:val="00A629E3"/>
    <w:rsid w:val="00A62ACE"/>
    <w:rsid w:val="00A62B19"/>
    <w:rsid w:val="00A62C39"/>
    <w:rsid w:val="00A62D5B"/>
    <w:rsid w:val="00A62EB9"/>
    <w:rsid w:val="00A62EE1"/>
    <w:rsid w:val="00A62F49"/>
    <w:rsid w:val="00A63079"/>
    <w:rsid w:val="00A6309F"/>
    <w:rsid w:val="00A631A0"/>
    <w:rsid w:val="00A63203"/>
    <w:rsid w:val="00A63288"/>
    <w:rsid w:val="00A63333"/>
    <w:rsid w:val="00A633C8"/>
    <w:rsid w:val="00A634ED"/>
    <w:rsid w:val="00A638D0"/>
    <w:rsid w:val="00A63DCC"/>
    <w:rsid w:val="00A63E21"/>
    <w:rsid w:val="00A63E22"/>
    <w:rsid w:val="00A63E78"/>
    <w:rsid w:val="00A63E7F"/>
    <w:rsid w:val="00A63EF9"/>
    <w:rsid w:val="00A640C4"/>
    <w:rsid w:val="00A644A6"/>
    <w:rsid w:val="00A64561"/>
    <w:rsid w:val="00A64860"/>
    <w:rsid w:val="00A64927"/>
    <w:rsid w:val="00A64ADC"/>
    <w:rsid w:val="00A64BAD"/>
    <w:rsid w:val="00A64C71"/>
    <w:rsid w:val="00A64F84"/>
    <w:rsid w:val="00A64FAB"/>
    <w:rsid w:val="00A65001"/>
    <w:rsid w:val="00A650A4"/>
    <w:rsid w:val="00A6512E"/>
    <w:rsid w:val="00A6531B"/>
    <w:rsid w:val="00A65355"/>
    <w:rsid w:val="00A653AE"/>
    <w:rsid w:val="00A654FC"/>
    <w:rsid w:val="00A6566D"/>
    <w:rsid w:val="00A657FA"/>
    <w:rsid w:val="00A65900"/>
    <w:rsid w:val="00A6593F"/>
    <w:rsid w:val="00A65BD8"/>
    <w:rsid w:val="00A65D0F"/>
    <w:rsid w:val="00A65F27"/>
    <w:rsid w:val="00A65F7A"/>
    <w:rsid w:val="00A65FE2"/>
    <w:rsid w:val="00A660C8"/>
    <w:rsid w:val="00A664E4"/>
    <w:rsid w:val="00A6650D"/>
    <w:rsid w:val="00A66573"/>
    <w:rsid w:val="00A665AB"/>
    <w:rsid w:val="00A66654"/>
    <w:rsid w:val="00A66761"/>
    <w:rsid w:val="00A667B0"/>
    <w:rsid w:val="00A66992"/>
    <w:rsid w:val="00A66AFB"/>
    <w:rsid w:val="00A66CBE"/>
    <w:rsid w:val="00A66CC6"/>
    <w:rsid w:val="00A66DFE"/>
    <w:rsid w:val="00A67008"/>
    <w:rsid w:val="00A670D5"/>
    <w:rsid w:val="00A6714E"/>
    <w:rsid w:val="00A67409"/>
    <w:rsid w:val="00A67596"/>
    <w:rsid w:val="00A675A0"/>
    <w:rsid w:val="00A6765D"/>
    <w:rsid w:val="00A6765F"/>
    <w:rsid w:val="00A6770B"/>
    <w:rsid w:val="00A6791B"/>
    <w:rsid w:val="00A67937"/>
    <w:rsid w:val="00A679B6"/>
    <w:rsid w:val="00A67B21"/>
    <w:rsid w:val="00A67B78"/>
    <w:rsid w:val="00A67D7A"/>
    <w:rsid w:val="00A67DDA"/>
    <w:rsid w:val="00A67EC6"/>
    <w:rsid w:val="00A67FCE"/>
    <w:rsid w:val="00A70471"/>
    <w:rsid w:val="00A70489"/>
    <w:rsid w:val="00A704CA"/>
    <w:rsid w:val="00A70576"/>
    <w:rsid w:val="00A706CD"/>
    <w:rsid w:val="00A7091B"/>
    <w:rsid w:val="00A70B2C"/>
    <w:rsid w:val="00A70BC4"/>
    <w:rsid w:val="00A70C60"/>
    <w:rsid w:val="00A70C83"/>
    <w:rsid w:val="00A70F29"/>
    <w:rsid w:val="00A70FC4"/>
    <w:rsid w:val="00A710A3"/>
    <w:rsid w:val="00A71117"/>
    <w:rsid w:val="00A711C8"/>
    <w:rsid w:val="00A71439"/>
    <w:rsid w:val="00A7143C"/>
    <w:rsid w:val="00A71462"/>
    <w:rsid w:val="00A71646"/>
    <w:rsid w:val="00A716A0"/>
    <w:rsid w:val="00A71761"/>
    <w:rsid w:val="00A7176F"/>
    <w:rsid w:val="00A717B9"/>
    <w:rsid w:val="00A719F8"/>
    <w:rsid w:val="00A71B83"/>
    <w:rsid w:val="00A71D94"/>
    <w:rsid w:val="00A71EA8"/>
    <w:rsid w:val="00A7206B"/>
    <w:rsid w:val="00A72109"/>
    <w:rsid w:val="00A7212B"/>
    <w:rsid w:val="00A722FF"/>
    <w:rsid w:val="00A72450"/>
    <w:rsid w:val="00A72476"/>
    <w:rsid w:val="00A72636"/>
    <w:rsid w:val="00A7284C"/>
    <w:rsid w:val="00A72859"/>
    <w:rsid w:val="00A72908"/>
    <w:rsid w:val="00A7293E"/>
    <w:rsid w:val="00A7298D"/>
    <w:rsid w:val="00A729F8"/>
    <w:rsid w:val="00A72B03"/>
    <w:rsid w:val="00A72CFF"/>
    <w:rsid w:val="00A72D62"/>
    <w:rsid w:val="00A7306C"/>
    <w:rsid w:val="00A73088"/>
    <w:rsid w:val="00A73270"/>
    <w:rsid w:val="00A737DE"/>
    <w:rsid w:val="00A738F1"/>
    <w:rsid w:val="00A738FE"/>
    <w:rsid w:val="00A73AA3"/>
    <w:rsid w:val="00A73CB8"/>
    <w:rsid w:val="00A73D04"/>
    <w:rsid w:val="00A73DB9"/>
    <w:rsid w:val="00A73E66"/>
    <w:rsid w:val="00A74102"/>
    <w:rsid w:val="00A741AE"/>
    <w:rsid w:val="00A74294"/>
    <w:rsid w:val="00A744EC"/>
    <w:rsid w:val="00A7466F"/>
    <w:rsid w:val="00A74737"/>
    <w:rsid w:val="00A7473A"/>
    <w:rsid w:val="00A749E2"/>
    <w:rsid w:val="00A74EA0"/>
    <w:rsid w:val="00A75038"/>
    <w:rsid w:val="00A751CF"/>
    <w:rsid w:val="00A75285"/>
    <w:rsid w:val="00A7529B"/>
    <w:rsid w:val="00A7539E"/>
    <w:rsid w:val="00A753C6"/>
    <w:rsid w:val="00A75458"/>
    <w:rsid w:val="00A7550F"/>
    <w:rsid w:val="00A7556C"/>
    <w:rsid w:val="00A7572F"/>
    <w:rsid w:val="00A758ED"/>
    <w:rsid w:val="00A75A14"/>
    <w:rsid w:val="00A75C92"/>
    <w:rsid w:val="00A75DB2"/>
    <w:rsid w:val="00A76224"/>
    <w:rsid w:val="00A7641D"/>
    <w:rsid w:val="00A764B3"/>
    <w:rsid w:val="00A76509"/>
    <w:rsid w:val="00A7658A"/>
    <w:rsid w:val="00A767E0"/>
    <w:rsid w:val="00A76A46"/>
    <w:rsid w:val="00A76A7F"/>
    <w:rsid w:val="00A76B16"/>
    <w:rsid w:val="00A76B40"/>
    <w:rsid w:val="00A76CA1"/>
    <w:rsid w:val="00A76CA8"/>
    <w:rsid w:val="00A76D23"/>
    <w:rsid w:val="00A76D9C"/>
    <w:rsid w:val="00A76DC3"/>
    <w:rsid w:val="00A76DCB"/>
    <w:rsid w:val="00A76E38"/>
    <w:rsid w:val="00A76FD7"/>
    <w:rsid w:val="00A7702C"/>
    <w:rsid w:val="00A77147"/>
    <w:rsid w:val="00A771E0"/>
    <w:rsid w:val="00A7729F"/>
    <w:rsid w:val="00A772AF"/>
    <w:rsid w:val="00A77351"/>
    <w:rsid w:val="00A77364"/>
    <w:rsid w:val="00A77682"/>
    <w:rsid w:val="00A776B6"/>
    <w:rsid w:val="00A77790"/>
    <w:rsid w:val="00A77796"/>
    <w:rsid w:val="00A777A8"/>
    <w:rsid w:val="00A77880"/>
    <w:rsid w:val="00A779C9"/>
    <w:rsid w:val="00A779DE"/>
    <w:rsid w:val="00A77A14"/>
    <w:rsid w:val="00A77ACE"/>
    <w:rsid w:val="00A77B57"/>
    <w:rsid w:val="00A77BC0"/>
    <w:rsid w:val="00A77C8F"/>
    <w:rsid w:val="00A77F00"/>
    <w:rsid w:val="00A80017"/>
    <w:rsid w:val="00A80080"/>
    <w:rsid w:val="00A800F3"/>
    <w:rsid w:val="00A800FB"/>
    <w:rsid w:val="00A80219"/>
    <w:rsid w:val="00A80282"/>
    <w:rsid w:val="00A802BA"/>
    <w:rsid w:val="00A803A7"/>
    <w:rsid w:val="00A806D7"/>
    <w:rsid w:val="00A806E4"/>
    <w:rsid w:val="00A8071C"/>
    <w:rsid w:val="00A80747"/>
    <w:rsid w:val="00A807DC"/>
    <w:rsid w:val="00A80830"/>
    <w:rsid w:val="00A80881"/>
    <w:rsid w:val="00A80A6E"/>
    <w:rsid w:val="00A80AA2"/>
    <w:rsid w:val="00A80AC6"/>
    <w:rsid w:val="00A80C64"/>
    <w:rsid w:val="00A80D20"/>
    <w:rsid w:val="00A80D77"/>
    <w:rsid w:val="00A80D85"/>
    <w:rsid w:val="00A80DE6"/>
    <w:rsid w:val="00A80FD1"/>
    <w:rsid w:val="00A811E6"/>
    <w:rsid w:val="00A8132B"/>
    <w:rsid w:val="00A8144F"/>
    <w:rsid w:val="00A814D8"/>
    <w:rsid w:val="00A81694"/>
    <w:rsid w:val="00A817A6"/>
    <w:rsid w:val="00A817A8"/>
    <w:rsid w:val="00A817DD"/>
    <w:rsid w:val="00A81ED5"/>
    <w:rsid w:val="00A8200F"/>
    <w:rsid w:val="00A820FF"/>
    <w:rsid w:val="00A8244B"/>
    <w:rsid w:val="00A8263B"/>
    <w:rsid w:val="00A8282C"/>
    <w:rsid w:val="00A82A66"/>
    <w:rsid w:val="00A82AF3"/>
    <w:rsid w:val="00A82BAE"/>
    <w:rsid w:val="00A82E2C"/>
    <w:rsid w:val="00A82F40"/>
    <w:rsid w:val="00A82FD3"/>
    <w:rsid w:val="00A83034"/>
    <w:rsid w:val="00A83297"/>
    <w:rsid w:val="00A83771"/>
    <w:rsid w:val="00A837DF"/>
    <w:rsid w:val="00A83946"/>
    <w:rsid w:val="00A83BDF"/>
    <w:rsid w:val="00A83D44"/>
    <w:rsid w:val="00A84443"/>
    <w:rsid w:val="00A8480B"/>
    <w:rsid w:val="00A84879"/>
    <w:rsid w:val="00A8491F"/>
    <w:rsid w:val="00A84930"/>
    <w:rsid w:val="00A8493B"/>
    <w:rsid w:val="00A84987"/>
    <w:rsid w:val="00A849A4"/>
    <w:rsid w:val="00A849E9"/>
    <w:rsid w:val="00A84A42"/>
    <w:rsid w:val="00A84AD0"/>
    <w:rsid w:val="00A84C6B"/>
    <w:rsid w:val="00A84DC9"/>
    <w:rsid w:val="00A85089"/>
    <w:rsid w:val="00A852A0"/>
    <w:rsid w:val="00A85471"/>
    <w:rsid w:val="00A854C2"/>
    <w:rsid w:val="00A85656"/>
    <w:rsid w:val="00A857E6"/>
    <w:rsid w:val="00A85827"/>
    <w:rsid w:val="00A85847"/>
    <w:rsid w:val="00A8589A"/>
    <w:rsid w:val="00A859E2"/>
    <w:rsid w:val="00A85CDE"/>
    <w:rsid w:val="00A85EAA"/>
    <w:rsid w:val="00A86011"/>
    <w:rsid w:val="00A8602F"/>
    <w:rsid w:val="00A8650D"/>
    <w:rsid w:val="00A86549"/>
    <w:rsid w:val="00A865E5"/>
    <w:rsid w:val="00A866EB"/>
    <w:rsid w:val="00A86A53"/>
    <w:rsid w:val="00A86AA4"/>
    <w:rsid w:val="00A86B5D"/>
    <w:rsid w:val="00A86BD7"/>
    <w:rsid w:val="00A86C15"/>
    <w:rsid w:val="00A86FA5"/>
    <w:rsid w:val="00A873AE"/>
    <w:rsid w:val="00A873C9"/>
    <w:rsid w:val="00A873D0"/>
    <w:rsid w:val="00A87504"/>
    <w:rsid w:val="00A8756E"/>
    <w:rsid w:val="00A875EE"/>
    <w:rsid w:val="00A87731"/>
    <w:rsid w:val="00A8791A"/>
    <w:rsid w:val="00A87C23"/>
    <w:rsid w:val="00A87E1D"/>
    <w:rsid w:val="00A87F12"/>
    <w:rsid w:val="00A90023"/>
    <w:rsid w:val="00A90252"/>
    <w:rsid w:val="00A9029F"/>
    <w:rsid w:val="00A90377"/>
    <w:rsid w:val="00A9054C"/>
    <w:rsid w:val="00A90570"/>
    <w:rsid w:val="00A90945"/>
    <w:rsid w:val="00A90B0C"/>
    <w:rsid w:val="00A90BAD"/>
    <w:rsid w:val="00A90BCB"/>
    <w:rsid w:val="00A90C8A"/>
    <w:rsid w:val="00A90ED5"/>
    <w:rsid w:val="00A91041"/>
    <w:rsid w:val="00A91208"/>
    <w:rsid w:val="00A9121F"/>
    <w:rsid w:val="00A912BF"/>
    <w:rsid w:val="00A91489"/>
    <w:rsid w:val="00A91506"/>
    <w:rsid w:val="00A9165B"/>
    <w:rsid w:val="00A917C5"/>
    <w:rsid w:val="00A91990"/>
    <w:rsid w:val="00A919B8"/>
    <w:rsid w:val="00A91A35"/>
    <w:rsid w:val="00A92033"/>
    <w:rsid w:val="00A9223C"/>
    <w:rsid w:val="00A923A7"/>
    <w:rsid w:val="00A92483"/>
    <w:rsid w:val="00A92502"/>
    <w:rsid w:val="00A926B9"/>
    <w:rsid w:val="00A92734"/>
    <w:rsid w:val="00A92947"/>
    <w:rsid w:val="00A9298B"/>
    <w:rsid w:val="00A92B2D"/>
    <w:rsid w:val="00A92B68"/>
    <w:rsid w:val="00A92C6C"/>
    <w:rsid w:val="00A92DBB"/>
    <w:rsid w:val="00A92FB7"/>
    <w:rsid w:val="00A9306B"/>
    <w:rsid w:val="00A93184"/>
    <w:rsid w:val="00A93221"/>
    <w:rsid w:val="00A933F3"/>
    <w:rsid w:val="00A93418"/>
    <w:rsid w:val="00A934A3"/>
    <w:rsid w:val="00A934B4"/>
    <w:rsid w:val="00A934E3"/>
    <w:rsid w:val="00A93507"/>
    <w:rsid w:val="00A936A3"/>
    <w:rsid w:val="00A9385A"/>
    <w:rsid w:val="00A93F34"/>
    <w:rsid w:val="00A93FCB"/>
    <w:rsid w:val="00A94248"/>
    <w:rsid w:val="00A94252"/>
    <w:rsid w:val="00A94259"/>
    <w:rsid w:val="00A94297"/>
    <w:rsid w:val="00A943D3"/>
    <w:rsid w:val="00A9458B"/>
    <w:rsid w:val="00A946EF"/>
    <w:rsid w:val="00A947D0"/>
    <w:rsid w:val="00A94824"/>
    <w:rsid w:val="00A9484E"/>
    <w:rsid w:val="00A94B52"/>
    <w:rsid w:val="00A94B7E"/>
    <w:rsid w:val="00A94C0E"/>
    <w:rsid w:val="00A94FF1"/>
    <w:rsid w:val="00A953A8"/>
    <w:rsid w:val="00A953B2"/>
    <w:rsid w:val="00A953CC"/>
    <w:rsid w:val="00A95AC2"/>
    <w:rsid w:val="00A95AF1"/>
    <w:rsid w:val="00A95B1D"/>
    <w:rsid w:val="00A95B86"/>
    <w:rsid w:val="00A96105"/>
    <w:rsid w:val="00A96231"/>
    <w:rsid w:val="00A962E6"/>
    <w:rsid w:val="00A962FD"/>
    <w:rsid w:val="00A96320"/>
    <w:rsid w:val="00A96349"/>
    <w:rsid w:val="00A963B6"/>
    <w:rsid w:val="00A963E2"/>
    <w:rsid w:val="00A96485"/>
    <w:rsid w:val="00A96516"/>
    <w:rsid w:val="00A96774"/>
    <w:rsid w:val="00A96785"/>
    <w:rsid w:val="00A967E1"/>
    <w:rsid w:val="00A96A06"/>
    <w:rsid w:val="00A96A15"/>
    <w:rsid w:val="00A96A91"/>
    <w:rsid w:val="00A96A99"/>
    <w:rsid w:val="00A96CF6"/>
    <w:rsid w:val="00A96DB1"/>
    <w:rsid w:val="00A96DBE"/>
    <w:rsid w:val="00A96E6F"/>
    <w:rsid w:val="00A97013"/>
    <w:rsid w:val="00A971E6"/>
    <w:rsid w:val="00A97580"/>
    <w:rsid w:val="00A9781B"/>
    <w:rsid w:val="00A97B5F"/>
    <w:rsid w:val="00A97C2D"/>
    <w:rsid w:val="00A97D79"/>
    <w:rsid w:val="00AA00BA"/>
    <w:rsid w:val="00AA01E6"/>
    <w:rsid w:val="00AA01F4"/>
    <w:rsid w:val="00AA021D"/>
    <w:rsid w:val="00AA021E"/>
    <w:rsid w:val="00AA0268"/>
    <w:rsid w:val="00AA0316"/>
    <w:rsid w:val="00AA0454"/>
    <w:rsid w:val="00AA055A"/>
    <w:rsid w:val="00AA06EE"/>
    <w:rsid w:val="00AA0777"/>
    <w:rsid w:val="00AA0873"/>
    <w:rsid w:val="00AA095C"/>
    <w:rsid w:val="00AA0ADC"/>
    <w:rsid w:val="00AA0B0E"/>
    <w:rsid w:val="00AA103D"/>
    <w:rsid w:val="00AA11F5"/>
    <w:rsid w:val="00AA129D"/>
    <w:rsid w:val="00AA12CB"/>
    <w:rsid w:val="00AA12F6"/>
    <w:rsid w:val="00AA130C"/>
    <w:rsid w:val="00AA1374"/>
    <w:rsid w:val="00AA1409"/>
    <w:rsid w:val="00AA143E"/>
    <w:rsid w:val="00AA15E5"/>
    <w:rsid w:val="00AA1688"/>
    <w:rsid w:val="00AA17A2"/>
    <w:rsid w:val="00AA185A"/>
    <w:rsid w:val="00AA186C"/>
    <w:rsid w:val="00AA194B"/>
    <w:rsid w:val="00AA195D"/>
    <w:rsid w:val="00AA1A6B"/>
    <w:rsid w:val="00AA1C74"/>
    <w:rsid w:val="00AA1DA6"/>
    <w:rsid w:val="00AA1F77"/>
    <w:rsid w:val="00AA202A"/>
    <w:rsid w:val="00AA20E3"/>
    <w:rsid w:val="00AA21D5"/>
    <w:rsid w:val="00AA2242"/>
    <w:rsid w:val="00AA22CC"/>
    <w:rsid w:val="00AA232C"/>
    <w:rsid w:val="00AA245E"/>
    <w:rsid w:val="00AA2539"/>
    <w:rsid w:val="00AA25F7"/>
    <w:rsid w:val="00AA2788"/>
    <w:rsid w:val="00AA27FB"/>
    <w:rsid w:val="00AA2958"/>
    <w:rsid w:val="00AA2B7F"/>
    <w:rsid w:val="00AA2BA1"/>
    <w:rsid w:val="00AA2BA4"/>
    <w:rsid w:val="00AA2FB8"/>
    <w:rsid w:val="00AA30A5"/>
    <w:rsid w:val="00AA315A"/>
    <w:rsid w:val="00AA3259"/>
    <w:rsid w:val="00AA335F"/>
    <w:rsid w:val="00AA341D"/>
    <w:rsid w:val="00AA348A"/>
    <w:rsid w:val="00AA34FD"/>
    <w:rsid w:val="00AA3965"/>
    <w:rsid w:val="00AA39AC"/>
    <w:rsid w:val="00AA3AC2"/>
    <w:rsid w:val="00AA3B09"/>
    <w:rsid w:val="00AA3B0B"/>
    <w:rsid w:val="00AA3C79"/>
    <w:rsid w:val="00AA3CA5"/>
    <w:rsid w:val="00AA3CCD"/>
    <w:rsid w:val="00AA3D9B"/>
    <w:rsid w:val="00AA3EDD"/>
    <w:rsid w:val="00AA4107"/>
    <w:rsid w:val="00AA4117"/>
    <w:rsid w:val="00AA4274"/>
    <w:rsid w:val="00AA42DE"/>
    <w:rsid w:val="00AA473C"/>
    <w:rsid w:val="00AA4829"/>
    <w:rsid w:val="00AA4BCA"/>
    <w:rsid w:val="00AA4C0E"/>
    <w:rsid w:val="00AA5092"/>
    <w:rsid w:val="00AA535D"/>
    <w:rsid w:val="00AA539E"/>
    <w:rsid w:val="00AA53D5"/>
    <w:rsid w:val="00AA5540"/>
    <w:rsid w:val="00AA55DB"/>
    <w:rsid w:val="00AA5622"/>
    <w:rsid w:val="00AA577A"/>
    <w:rsid w:val="00AA57A7"/>
    <w:rsid w:val="00AA595B"/>
    <w:rsid w:val="00AA5B4F"/>
    <w:rsid w:val="00AA5B99"/>
    <w:rsid w:val="00AA5C13"/>
    <w:rsid w:val="00AA5CF6"/>
    <w:rsid w:val="00AA5D1D"/>
    <w:rsid w:val="00AA5F02"/>
    <w:rsid w:val="00AA6172"/>
    <w:rsid w:val="00AA619A"/>
    <w:rsid w:val="00AA6365"/>
    <w:rsid w:val="00AA63B5"/>
    <w:rsid w:val="00AA63E6"/>
    <w:rsid w:val="00AA6454"/>
    <w:rsid w:val="00AA647A"/>
    <w:rsid w:val="00AA64B7"/>
    <w:rsid w:val="00AA64D5"/>
    <w:rsid w:val="00AA6516"/>
    <w:rsid w:val="00AA6537"/>
    <w:rsid w:val="00AA6592"/>
    <w:rsid w:val="00AA6677"/>
    <w:rsid w:val="00AA6678"/>
    <w:rsid w:val="00AA66DA"/>
    <w:rsid w:val="00AA66DD"/>
    <w:rsid w:val="00AA67C9"/>
    <w:rsid w:val="00AA6914"/>
    <w:rsid w:val="00AA6951"/>
    <w:rsid w:val="00AA6B0E"/>
    <w:rsid w:val="00AA6BBE"/>
    <w:rsid w:val="00AA6C1D"/>
    <w:rsid w:val="00AA6C77"/>
    <w:rsid w:val="00AA6D2C"/>
    <w:rsid w:val="00AA6F6B"/>
    <w:rsid w:val="00AA70E3"/>
    <w:rsid w:val="00AA7207"/>
    <w:rsid w:val="00AA727B"/>
    <w:rsid w:val="00AA732A"/>
    <w:rsid w:val="00AA733A"/>
    <w:rsid w:val="00AA7350"/>
    <w:rsid w:val="00AA744B"/>
    <w:rsid w:val="00AA755E"/>
    <w:rsid w:val="00AA7640"/>
    <w:rsid w:val="00AA76FB"/>
    <w:rsid w:val="00AA791A"/>
    <w:rsid w:val="00AA793D"/>
    <w:rsid w:val="00AA79C6"/>
    <w:rsid w:val="00AA7B56"/>
    <w:rsid w:val="00AA7C29"/>
    <w:rsid w:val="00AA7D5B"/>
    <w:rsid w:val="00AA7DA1"/>
    <w:rsid w:val="00AA7F69"/>
    <w:rsid w:val="00AB00B0"/>
    <w:rsid w:val="00AB00E6"/>
    <w:rsid w:val="00AB0151"/>
    <w:rsid w:val="00AB0289"/>
    <w:rsid w:val="00AB02C8"/>
    <w:rsid w:val="00AB0304"/>
    <w:rsid w:val="00AB0427"/>
    <w:rsid w:val="00AB0559"/>
    <w:rsid w:val="00AB058F"/>
    <w:rsid w:val="00AB05A9"/>
    <w:rsid w:val="00AB05BF"/>
    <w:rsid w:val="00AB079B"/>
    <w:rsid w:val="00AB086A"/>
    <w:rsid w:val="00AB0A92"/>
    <w:rsid w:val="00AB0BDA"/>
    <w:rsid w:val="00AB0DE8"/>
    <w:rsid w:val="00AB0F9C"/>
    <w:rsid w:val="00AB0FB7"/>
    <w:rsid w:val="00AB100A"/>
    <w:rsid w:val="00AB1017"/>
    <w:rsid w:val="00AB12F2"/>
    <w:rsid w:val="00AB1319"/>
    <w:rsid w:val="00AB1440"/>
    <w:rsid w:val="00AB14CE"/>
    <w:rsid w:val="00AB1569"/>
    <w:rsid w:val="00AB180F"/>
    <w:rsid w:val="00AB18B3"/>
    <w:rsid w:val="00AB18FE"/>
    <w:rsid w:val="00AB190F"/>
    <w:rsid w:val="00AB1A5F"/>
    <w:rsid w:val="00AB1B0E"/>
    <w:rsid w:val="00AB1B25"/>
    <w:rsid w:val="00AB1B32"/>
    <w:rsid w:val="00AB1DE2"/>
    <w:rsid w:val="00AB1DE3"/>
    <w:rsid w:val="00AB1E21"/>
    <w:rsid w:val="00AB1F28"/>
    <w:rsid w:val="00AB20E9"/>
    <w:rsid w:val="00AB22AF"/>
    <w:rsid w:val="00AB235B"/>
    <w:rsid w:val="00AB23D3"/>
    <w:rsid w:val="00AB248A"/>
    <w:rsid w:val="00AB254D"/>
    <w:rsid w:val="00AB25C8"/>
    <w:rsid w:val="00AB2852"/>
    <w:rsid w:val="00AB2863"/>
    <w:rsid w:val="00AB286A"/>
    <w:rsid w:val="00AB28B2"/>
    <w:rsid w:val="00AB2A2E"/>
    <w:rsid w:val="00AB2D48"/>
    <w:rsid w:val="00AB309F"/>
    <w:rsid w:val="00AB30F2"/>
    <w:rsid w:val="00AB320D"/>
    <w:rsid w:val="00AB325F"/>
    <w:rsid w:val="00AB3269"/>
    <w:rsid w:val="00AB32A1"/>
    <w:rsid w:val="00AB3337"/>
    <w:rsid w:val="00AB344A"/>
    <w:rsid w:val="00AB34A3"/>
    <w:rsid w:val="00AB35D7"/>
    <w:rsid w:val="00AB3616"/>
    <w:rsid w:val="00AB3701"/>
    <w:rsid w:val="00AB3719"/>
    <w:rsid w:val="00AB378E"/>
    <w:rsid w:val="00AB39A5"/>
    <w:rsid w:val="00AB3D0A"/>
    <w:rsid w:val="00AB3EA3"/>
    <w:rsid w:val="00AB3FA6"/>
    <w:rsid w:val="00AB4038"/>
    <w:rsid w:val="00AB4069"/>
    <w:rsid w:val="00AB4234"/>
    <w:rsid w:val="00AB426B"/>
    <w:rsid w:val="00AB446A"/>
    <w:rsid w:val="00AB4487"/>
    <w:rsid w:val="00AB44C0"/>
    <w:rsid w:val="00AB44F2"/>
    <w:rsid w:val="00AB45B5"/>
    <w:rsid w:val="00AB4650"/>
    <w:rsid w:val="00AB47A8"/>
    <w:rsid w:val="00AB4811"/>
    <w:rsid w:val="00AB4813"/>
    <w:rsid w:val="00AB4885"/>
    <w:rsid w:val="00AB48DC"/>
    <w:rsid w:val="00AB48EC"/>
    <w:rsid w:val="00AB4900"/>
    <w:rsid w:val="00AB4980"/>
    <w:rsid w:val="00AB49C7"/>
    <w:rsid w:val="00AB4A8A"/>
    <w:rsid w:val="00AB4C5E"/>
    <w:rsid w:val="00AB4EA6"/>
    <w:rsid w:val="00AB51CA"/>
    <w:rsid w:val="00AB5338"/>
    <w:rsid w:val="00AB547F"/>
    <w:rsid w:val="00AB5589"/>
    <w:rsid w:val="00AB55D7"/>
    <w:rsid w:val="00AB55E7"/>
    <w:rsid w:val="00AB563E"/>
    <w:rsid w:val="00AB5892"/>
    <w:rsid w:val="00AB5915"/>
    <w:rsid w:val="00AB59E7"/>
    <w:rsid w:val="00AB5B91"/>
    <w:rsid w:val="00AB5CD1"/>
    <w:rsid w:val="00AB5D14"/>
    <w:rsid w:val="00AB5D70"/>
    <w:rsid w:val="00AB5F43"/>
    <w:rsid w:val="00AB5F68"/>
    <w:rsid w:val="00AB6099"/>
    <w:rsid w:val="00AB6346"/>
    <w:rsid w:val="00AB63F1"/>
    <w:rsid w:val="00AB644D"/>
    <w:rsid w:val="00AB6489"/>
    <w:rsid w:val="00AB663A"/>
    <w:rsid w:val="00AB6779"/>
    <w:rsid w:val="00AB6821"/>
    <w:rsid w:val="00AB687F"/>
    <w:rsid w:val="00AB691A"/>
    <w:rsid w:val="00AB6A43"/>
    <w:rsid w:val="00AB6A9A"/>
    <w:rsid w:val="00AB6C29"/>
    <w:rsid w:val="00AB6C71"/>
    <w:rsid w:val="00AB6DC0"/>
    <w:rsid w:val="00AB70C0"/>
    <w:rsid w:val="00AB7130"/>
    <w:rsid w:val="00AB7175"/>
    <w:rsid w:val="00AB7363"/>
    <w:rsid w:val="00AB7443"/>
    <w:rsid w:val="00AB7488"/>
    <w:rsid w:val="00AB75C2"/>
    <w:rsid w:val="00AB77B2"/>
    <w:rsid w:val="00AB77C3"/>
    <w:rsid w:val="00AB78E6"/>
    <w:rsid w:val="00AB7977"/>
    <w:rsid w:val="00AB79CA"/>
    <w:rsid w:val="00AB7AB0"/>
    <w:rsid w:val="00AB7C6F"/>
    <w:rsid w:val="00AB7E83"/>
    <w:rsid w:val="00AB7E8D"/>
    <w:rsid w:val="00AC01A5"/>
    <w:rsid w:val="00AC02A1"/>
    <w:rsid w:val="00AC037F"/>
    <w:rsid w:val="00AC0400"/>
    <w:rsid w:val="00AC04EE"/>
    <w:rsid w:val="00AC05CC"/>
    <w:rsid w:val="00AC0646"/>
    <w:rsid w:val="00AC0826"/>
    <w:rsid w:val="00AC0877"/>
    <w:rsid w:val="00AC09B3"/>
    <w:rsid w:val="00AC0BCF"/>
    <w:rsid w:val="00AC0C55"/>
    <w:rsid w:val="00AC0EFC"/>
    <w:rsid w:val="00AC0F4A"/>
    <w:rsid w:val="00AC1037"/>
    <w:rsid w:val="00AC10DA"/>
    <w:rsid w:val="00AC1202"/>
    <w:rsid w:val="00AC120F"/>
    <w:rsid w:val="00AC12BB"/>
    <w:rsid w:val="00AC12D8"/>
    <w:rsid w:val="00AC131B"/>
    <w:rsid w:val="00AC1836"/>
    <w:rsid w:val="00AC1855"/>
    <w:rsid w:val="00AC1B30"/>
    <w:rsid w:val="00AC1B80"/>
    <w:rsid w:val="00AC1B9C"/>
    <w:rsid w:val="00AC1F3C"/>
    <w:rsid w:val="00AC1F75"/>
    <w:rsid w:val="00AC1F8F"/>
    <w:rsid w:val="00AC2030"/>
    <w:rsid w:val="00AC204D"/>
    <w:rsid w:val="00AC2075"/>
    <w:rsid w:val="00AC20F6"/>
    <w:rsid w:val="00AC211B"/>
    <w:rsid w:val="00AC212A"/>
    <w:rsid w:val="00AC224C"/>
    <w:rsid w:val="00AC2398"/>
    <w:rsid w:val="00AC23E9"/>
    <w:rsid w:val="00AC245C"/>
    <w:rsid w:val="00AC252F"/>
    <w:rsid w:val="00AC2593"/>
    <w:rsid w:val="00AC2662"/>
    <w:rsid w:val="00AC2701"/>
    <w:rsid w:val="00AC276C"/>
    <w:rsid w:val="00AC27C9"/>
    <w:rsid w:val="00AC2883"/>
    <w:rsid w:val="00AC2900"/>
    <w:rsid w:val="00AC2A95"/>
    <w:rsid w:val="00AC2C75"/>
    <w:rsid w:val="00AC2FD4"/>
    <w:rsid w:val="00AC30BE"/>
    <w:rsid w:val="00AC31E9"/>
    <w:rsid w:val="00AC338E"/>
    <w:rsid w:val="00AC33AA"/>
    <w:rsid w:val="00AC33AD"/>
    <w:rsid w:val="00AC35C8"/>
    <w:rsid w:val="00AC3841"/>
    <w:rsid w:val="00AC38DA"/>
    <w:rsid w:val="00AC38FD"/>
    <w:rsid w:val="00AC39F7"/>
    <w:rsid w:val="00AC3C3E"/>
    <w:rsid w:val="00AC3CFD"/>
    <w:rsid w:val="00AC3E36"/>
    <w:rsid w:val="00AC3E5F"/>
    <w:rsid w:val="00AC3E8C"/>
    <w:rsid w:val="00AC4118"/>
    <w:rsid w:val="00AC411C"/>
    <w:rsid w:val="00AC422C"/>
    <w:rsid w:val="00AC428E"/>
    <w:rsid w:val="00AC42DF"/>
    <w:rsid w:val="00AC4300"/>
    <w:rsid w:val="00AC4531"/>
    <w:rsid w:val="00AC49BD"/>
    <w:rsid w:val="00AC4D71"/>
    <w:rsid w:val="00AC4E75"/>
    <w:rsid w:val="00AC4F40"/>
    <w:rsid w:val="00AC5153"/>
    <w:rsid w:val="00AC515D"/>
    <w:rsid w:val="00AC51B4"/>
    <w:rsid w:val="00AC5254"/>
    <w:rsid w:val="00AC532E"/>
    <w:rsid w:val="00AC5704"/>
    <w:rsid w:val="00AC578D"/>
    <w:rsid w:val="00AC5822"/>
    <w:rsid w:val="00AC5826"/>
    <w:rsid w:val="00AC5883"/>
    <w:rsid w:val="00AC59A2"/>
    <w:rsid w:val="00AC5A98"/>
    <w:rsid w:val="00AC5ADF"/>
    <w:rsid w:val="00AC5B28"/>
    <w:rsid w:val="00AC5B3E"/>
    <w:rsid w:val="00AC5C9A"/>
    <w:rsid w:val="00AC5F5C"/>
    <w:rsid w:val="00AC5FB6"/>
    <w:rsid w:val="00AC5FFF"/>
    <w:rsid w:val="00AC6253"/>
    <w:rsid w:val="00AC6308"/>
    <w:rsid w:val="00AC63C5"/>
    <w:rsid w:val="00AC65BD"/>
    <w:rsid w:val="00AC6755"/>
    <w:rsid w:val="00AC679F"/>
    <w:rsid w:val="00AC684F"/>
    <w:rsid w:val="00AC692B"/>
    <w:rsid w:val="00AC698F"/>
    <w:rsid w:val="00AC6A06"/>
    <w:rsid w:val="00AC6A5D"/>
    <w:rsid w:val="00AC6AE3"/>
    <w:rsid w:val="00AC6C8E"/>
    <w:rsid w:val="00AC6C92"/>
    <w:rsid w:val="00AC6D58"/>
    <w:rsid w:val="00AC70CB"/>
    <w:rsid w:val="00AC71B4"/>
    <w:rsid w:val="00AC7214"/>
    <w:rsid w:val="00AC722B"/>
    <w:rsid w:val="00AC7299"/>
    <w:rsid w:val="00AC743B"/>
    <w:rsid w:val="00AC744D"/>
    <w:rsid w:val="00AC767B"/>
    <w:rsid w:val="00AC78B6"/>
    <w:rsid w:val="00AC78EE"/>
    <w:rsid w:val="00AC7A92"/>
    <w:rsid w:val="00AC7B22"/>
    <w:rsid w:val="00AC7E4A"/>
    <w:rsid w:val="00AC7E63"/>
    <w:rsid w:val="00AC7E98"/>
    <w:rsid w:val="00AC7E9D"/>
    <w:rsid w:val="00AC7F43"/>
    <w:rsid w:val="00AC7F57"/>
    <w:rsid w:val="00AC7F65"/>
    <w:rsid w:val="00AC7FA7"/>
    <w:rsid w:val="00AC7FE7"/>
    <w:rsid w:val="00AD019F"/>
    <w:rsid w:val="00AD01C1"/>
    <w:rsid w:val="00AD037B"/>
    <w:rsid w:val="00AD0392"/>
    <w:rsid w:val="00AD03CF"/>
    <w:rsid w:val="00AD03E3"/>
    <w:rsid w:val="00AD03FD"/>
    <w:rsid w:val="00AD048B"/>
    <w:rsid w:val="00AD0537"/>
    <w:rsid w:val="00AD0683"/>
    <w:rsid w:val="00AD06FD"/>
    <w:rsid w:val="00AD0754"/>
    <w:rsid w:val="00AD0968"/>
    <w:rsid w:val="00AD0A79"/>
    <w:rsid w:val="00AD0C85"/>
    <w:rsid w:val="00AD0E6C"/>
    <w:rsid w:val="00AD104C"/>
    <w:rsid w:val="00AD1084"/>
    <w:rsid w:val="00AD1397"/>
    <w:rsid w:val="00AD15D6"/>
    <w:rsid w:val="00AD1745"/>
    <w:rsid w:val="00AD1759"/>
    <w:rsid w:val="00AD1771"/>
    <w:rsid w:val="00AD1797"/>
    <w:rsid w:val="00AD17CF"/>
    <w:rsid w:val="00AD1A5F"/>
    <w:rsid w:val="00AD1B70"/>
    <w:rsid w:val="00AD1C5F"/>
    <w:rsid w:val="00AD2039"/>
    <w:rsid w:val="00AD20A2"/>
    <w:rsid w:val="00AD2232"/>
    <w:rsid w:val="00AD237F"/>
    <w:rsid w:val="00AD2490"/>
    <w:rsid w:val="00AD2572"/>
    <w:rsid w:val="00AD2756"/>
    <w:rsid w:val="00AD2A8C"/>
    <w:rsid w:val="00AD2C8D"/>
    <w:rsid w:val="00AD2C9B"/>
    <w:rsid w:val="00AD2F5A"/>
    <w:rsid w:val="00AD30A7"/>
    <w:rsid w:val="00AD30D3"/>
    <w:rsid w:val="00AD315A"/>
    <w:rsid w:val="00AD31E0"/>
    <w:rsid w:val="00AD32FC"/>
    <w:rsid w:val="00AD3320"/>
    <w:rsid w:val="00AD34E0"/>
    <w:rsid w:val="00AD355D"/>
    <w:rsid w:val="00AD35E7"/>
    <w:rsid w:val="00AD36CF"/>
    <w:rsid w:val="00AD3A74"/>
    <w:rsid w:val="00AD3B70"/>
    <w:rsid w:val="00AD3C6C"/>
    <w:rsid w:val="00AD3D1E"/>
    <w:rsid w:val="00AD3DAD"/>
    <w:rsid w:val="00AD3E8E"/>
    <w:rsid w:val="00AD3F17"/>
    <w:rsid w:val="00AD3FCE"/>
    <w:rsid w:val="00AD4130"/>
    <w:rsid w:val="00AD41D0"/>
    <w:rsid w:val="00AD420A"/>
    <w:rsid w:val="00AD4231"/>
    <w:rsid w:val="00AD4387"/>
    <w:rsid w:val="00AD4400"/>
    <w:rsid w:val="00AD452C"/>
    <w:rsid w:val="00AD47D3"/>
    <w:rsid w:val="00AD4804"/>
    <w:rsid w:val="00AD4805"/>
    <w:rsid w:val="00AD480D"/>
    <w:rsid w:val="00AD4926"/>
    <w:rsid w:val="00AD4A8E"/>
    <w:rsid w:val="00AD4E2F"/>
    <w:rsid w:val="00AD4E36"/>
    <w:rsid w:val="00AD4EAC"/>
    <w:rsid w:val="00AD4FF2"/>
    <w:rsid w:val="00AD5027"/>
    <w:rsid w:val="00AD50C6"/>
    <w:rsid w:val="00AD5131"/>
    <w:rsid w:val="00AD51E3"/>
    <w:rsid w:val="00AD530D"/>
    <w:rsid w:val="00AD5353"/>
    <w:rsid w:val="00AD5395"/>
    <w:rsid w:val="00AD540C"/>
    <w:rsid w:val="00AD5469"/>
    <w:rsid w:val="00AD5522"/>
    <w:rsid w:val="00AD5939"/>
    <w:rsid w:val="00AD5A51"/>
    <w:rsid w:val="00AD5B84"/>
    <w:rsid w:val="00AD5C4C"/>
    <w:rsid w:val="00AD5D23"/>
    <w:rsid w:val="00AD5D74"/>
    <w:rsid w:val="00AD5F90"/>
    <w:rsid w:val="00AD6076"/>
    <w:rsid w:val="00AD61A9"/>
    <w:rsid w:val="00AD653C"/>
    <w:rsid w:val="00AD655D"/>
    <w:rsid w:val="00AD664C"/>
    <w:rsid w:val="00AD66A5"/>
    <w:rsid w:val="00AD673A"/>
    <w:rsid w:val="00AD677F"/>
    <w:rsid w:val="00AD6848"/>
    <w:rsid w:val="00AD684A"/>
    <w:rsid w:val="00AD6907"/>
    <w:rsid w:val="00AD6A77"/>
    <w:rsid w:val="00AD6A90"/>
    <w:rsid w:val="00AD6A9F"/>
    <w:rsid w:val="00AD6C63"/>
    <w:rsid w:val="00AD6D21"/>
    <w:rsid w:val="00AD6D8B"/>
    <w:rsid w:val="00AD6DDA"/>
    <w:rsid w:val="00AD6FB8"/>
    <w:rsid w:val="00AD704E"/>
    <w:rsid w:val="00AD70D4"/>
    <w:rsid w:val="00AD713A"/>
    <w:rsid w:val="00AD74C8"/>
    <w:rsid w:val="00AD74DA"/>
    <w:rsid w:val="00AD763E"/>
    <w:rsid w:val="00AD76CD"/>
    <w:rsid w:val="00AD7810"/>
    <w:rsid w:val="00AD7A95"/>
    <w:rsid w:val="00AD7B71"/>
    <w:rsid w:val="00AD7BEF"/>
    <w:rsid w:val="00AD7C57"/>
    <w:rsid w:val="00AD7CF7"/>
    <w:rsid w:val="00AD7F03"/>
    <w:rsid w:val="00AD7F73"/>
    <w:rsid w:val="00AE0110"/>
    <w:rsid w:val="00AE02D1"/>
    <w:rsid w:val="00AE0453"/>
    <w:rsid w:val="00AE04B1"/>
    <w:rsid w:val="00AE04BA"/>
    <w:rsid w:val="00AE055A"/>
    <w:rsid w:val="00AE0590"/>
    <w:rsid w:val="00AE0624"/>
    <w:rsid w:val="00AE06DF"/>
    <w:rsid w:val="00AE0728"/>
    <w:rsid w:val="00AE0777"/>
    <w:rsid w:val="00AE0A20"/>
    <w:rsid w:val="00AE0AA6"/>
    <w:rsid w:val="00AE0AB3"/>
    <w:rsid w:val="00AE0ABA"/>
    <w:rsid w:val="00AE0AC8"/>
    <w:rsid w:val="00AE0BF7"/>
    <w:rsid w:val="00AE0CBA"/>
    <w:rsid w:val="00AE0D25"/>
    <w:rsid w:val="00AE0E5E"/>
    <w:rsid w:val="00AE0F4D"/>
    <w:rsid w:val="00AE10BC"/>
    <w:rsid w:val="00AE119C"/>
    <w:rsid w:val="00AE12B8"/>
    <w:rsid w:val="00AE1457"/>
    <w:rsid w:val="00AE1526"/>
    <w:rsid w:val="00AE1622"/>
    <w:rsid w:val="00AE16B2"/>
    <w:rsid w:val="00AE17CB"/>
    <w:rsid w:val="00AE1836"/>
    <w:rsid w:val="00AE1961"/>
    <w:rsid w:val="00AE199E"/>
    <w:rsid w:val="00AE19A6"/>
    <w:rsid w:val="00AE1C28"/>
    <w:rsid w:val="00AE1DA5"/>
    <w:rsid w:val="00AE1F22"/>
    <w:rsid w:val="00AE20A6"/>
    <w:rsid w:val="00AE20DF"/>
    <w:rsid w:val="00AE21D3"/>
    <w:rsid w:val="00AE2216"/>
    <w:rsid w:val="00AE227B"/>
    <w:rsid w:val="00AE22B4"/>
    <w:rsid w:val="00AE2687"/>
    <w:rsid w:val="00AE26D0"/>
    <w:rsid w:val="00AE28AD"/>
    <w:rsid w:val="00AE2BF4"/>
    <w:rsid w:val="00AE2C27"/>
    <w:rsid w:val="00AE2CF5"/>
    <w:rsid w:val="00AE2DBF"/>
    <w:rsid w:val="00AE2FA3"/>
    <w:rsid w:val="00AE2FE9"/>
    <w:rsid w:val="00AE300A"/>
    <w:rsid w:val="00AE306D"/>
    <w:rsid w:val="00AE3246"/>
    <w:rsid w:val="00AE361F"/>
    <w:rsid w:val="00AE3712"/>
    <w:rsid w:val="00AE3745"/>
    <w:rsid w:val="00AE37A5"/>
    <w:rsid w:val="00AE38A4"/>
    <w:rsid w:val="00AE3A5E"/>
    <w:rsid w:val="00AE3A9F"/>
    <w:rsid w:val="00AE3B26"/>
    <w:rsid w:val="00AE3CD8"/>
    <w:rsid w:val="00AE3D36"/>
    <w:rsid w:val="00AE3DDF"/>
    <w:rsid w:val="00AE3E3C"/>
    <w:rsid w:val="00AE3FD9"/>
    <w:rsid w:val="00AE409B"/>
    <w:rsid w:val="00AE40CE"/>
    <w:rsid w:val="00AE4149"/>
    <w:rsid w:val="00AE4420"/>
    <w:rsid w:val="00AE4587"/>
    <w:rsid w:val="00AE46B4"/>
    <w:rsid w:val="00AE4748"/>
    <w:rsid w:val="00AE4823"/>
    <w:rsid w:val="00AE4A8C"/>
    <w:rsid w:val="00AE4B56"/>
    <w:rsid w:val="00AE4CF5"/>
    <w:rsid w:val="00AE4DF8"/>
    <w:rsid w:val="00AE4E6B"/>
    <w:rsid w:val="00AE4EDB"/>
    <w:rsid w:val="00AE53D8"/>
    <w:rsid w:val="00AE5520"/>
    <w:rsid w:val="00AE56B7"/>
    <w:rsid w:val="00AE5720"/>
    <w:rsid w:val="00AE599D"/>
    <w:rsid w:val="00AE5A00"/>
    <w:rsid w:val="00AE5C42"/>
    <w:rsid w:val="00AE5D29"/>
    <w:rsid w:val="00AE5D63"/>
    <w:rsid w:val="00AE5E1D"/>
    <w:rsid w:val="00AE5E6D"/>
    <w:rsid w:val="00AE5E87"/>
    <w:rsid w:val="00AE5F4E"/>
    <w:rsid w:val="00AE613E"/>
    <w:rsid w:val="00AE6198"/>
    <w:rsid w:val="00AE6218"/>
    <w:rsid w:val="00AE6243"/>
    <w:rsid w:val="00AE63B3"/>
    <w:rsid w:val="00AE6437"/>
    <w:rsid w:val="00AE6544"/>
    <w:rsid w:val="00AE6598"/>
    <w:rsid w:val="00AE6641"/>
    <w:rsid w:val="00AE6929"/>
    <w:rsid w:val="00AE6952"/>
    <w:rsid w:val="00AE6BF8"/>
    <w:rsid w:val="00AE6CB8"/>
    <w:rsid w:val="00AE6D00"/>
    <w:rsid w:val="00AE736A"/>
    <w:rsid w:val="00AE7462"/>
    <w:rsid w:val="00AE7608"/>
    <w:rsid w:val="00AE7711"/>
    <w:rsid w:val="00AE7994"/>
    <w:rsid w:val="00AE79DF"/>
    <w:rsid w:val="00AE79E5"/>
    <w:rsid w:val="00AE7A0D"/>
    <w:rsid w:val="00AE7AA7"/>
    <w:rsid w:val="00AE7B31"/>
    <w:rsid w:val="00AE7BB0"/>
    <w:rsid w:val="00AE7F7A"/>
    <w:rsid w:val="00AF0013"/>
    <w:rsid w:val="00AF00B4"/>
    <w:rsid w:val="00AF011A"/>
    <w:rsid w:val="00AF0234"/>
    <w:rsid w:val="00AF024F"/>
    <w:rsid w:val="00AF03CE"/>
    <w:rsid w:val="00AF03D2"/>
    <w:rsid w:val="00AF03F5"/>
    <w:rsid w:val="00AF0402"/>
    <w:rsid w:val="00AF0407"/>
    <w:rsid w:val="00AF057E"/>
    <w:rsid w:val="00AF05A7"/>
    <w:rsid w:val="00AF0602"/>
    <w:rsid w:val="00AF09D4"/>
    <w:rsid w:val="00AF0A25"/>
    <w:rsid w:val="00AF0A70"/>
    <w:rsid w:val="00AF0B88"/>
    <w:rsid w:val="00AF0BF4"/>
    <w:rsid w:val="00AF0CB4"/>
    <w:rsid w:val="00AF0F53"/>
    <w:rsid w:val="00AF125A"/>
    <w:rsid w:val="00AF137A"/>
    <w:rsid w:val="00AF137C"/>
    <w:rsid w:val="00AF14BC"/>
    <w:rsid w:val="00AF1606"/>
    <w:rsid w:val="00AF1680"/>
    <w:rsid w:val="00AF1794"/>
    <w:rsid w:val="00AF1849"/>
    <w:rsid w:val="00AF187F"/>
    <w:rsid w:val="00AF1C34"/>
    <w:rsid w:val="00AF1C4E"/>
    <w:rsid w:val="00AF1DC7"/>
    <w:rsid w:val="00AF1EF0"/>
    <w:rsid w:val="00AF2065"/>
    <w:rsid w:val="00AF20BB"/>
    <w:rsid w:val="00AF2160"/>
    <w:rsid w:val="00AF2645"/>
    <w:rsid w:val="00AF2684"/>
    <w:rsid w:val="00AF26DB"/>
    <w:rsid w:val="00AF2708"/>
    <w:rsid w:val="00AF27B5"/>
    <w:rsid w:val="00AF2850"/>
    <w:rsid w:val="00AF28B8"/>
    <w:rsid w:val="00AF2949"/>
    <w:rsid w:val="00AF2A39"/>
    <w:rsid w:val="00AF2AC7"/>
    <w:rsid w:val="00AF2C15"/>
    <w:rsid w:val="00AF2D45"/>
    <w:rsid w:val="00AF2DA2"/>
    <w:rsid w:val="00AF2E29"/>
    <w:rsid w:val="00AF2E7E"/>
    <w:rsid w:val="00AF2F63"/>
    <w:rsid w:val="00AF2FC8"/>
    <w:rsid w:val="00AF2FFC"/>
    <w:rsid w:val="00AF3078"/>
    <w:rsid w:val="00AF307C"/>
    <w:rsid w:val="00AF3100"/>
    <w:rsid w:val="00AF310A"/>
    <w:rsid w:val="00AF314B"/>
    <w:rsid w:val="00AF3587"/>
    <w:rsid w:val="00AF37AC"/>
    <w:rsid w:val="00AF3946"/>
    <w:rsid w:val="00AF3948"/>
    <w:rsid w:val="00AF3AF2"/>
    <w:rsid w:val="00AF3E2D"/>
    <w:rsid w:val="00AF3F37"/>
    <w:rsid w:val="00AF3F61"/>
    <w:rsid w:val="00AF3FAA"/>
    <w:rsid w:val="00AF3FB3"/>
    <w:rsid w:val="00AF3FD4"/>
    <w:rsid w:val="00AF4021"/>
    <w:rsid w:val="00AF4046"/>
    <w:rsid w:val="00AF4096"/>
    <w:rsid w:val="00AF40F2"/>
    <w:rsid w:val="00AF4121"/>
    <w:rsid w:val="00AF4429"/>
    <w:rsid w:val="00AF4495"/>
    <w:rsid w:val="00AF4616"/>
    <w:rsid w:val="00AF4745"/>
    <w:rsid w:val="00AF4AFE"/>
    <w:rsid w:val="00AF4BAC"/>
    <w:rsid w:val="00AF4C33"/>
    <w:rsid w:val="00AF4D08"/>
    <w:rsid w:val="00AF4E0E"/>
    <w:rsid w:val="00AF4F6E"/>
    <w:rsid w:val="00AF5001"/>
    <w:rsid w:val="00AF506D"/>
    <w:rsid w:val="00AF5106"/>
    <w:rsid w:val="00AF5417"/>
    <w:rsid w:val="00AF5673"/>
    <w:rsid w:val="00AF5740"/>
    <w:rsid w:val="00AF57CB"/>
    <w:rsid w:val="00AF57CD"/>
    <w:rsid w:val="00AF58CE"/>
    <w:rsid w:val="00AF5920"/>
    <w:rsid w:val="00AF5A4F"/>
    <w:rsid w:val="00AF5B01"/>
    <w:rsid w:val="00AF5BDB"/>
    <w:rsid w:val="00AF5C78"/>
    <w:rsid w:val="00AF5D4B"/>
    <w:rsid w:val="00AF5ECB"/>
    <w:rsid w:val="00AF603A"/>
    <w:rsid w:val="00AF6083"/>
    <w:rsid w:val="00AF66A4"/>
    <w:rsid w:val="00AF6A97"/>
    <w:rsid w:val="00AF6B3F"/>
    <w:rsid w:val="00AF6BA8"/>
    <w:rsid w:val="00AF6D1E"/>
    <w:rsid w:val="00AF6DBC"/>
    <w:rsid w:val="00AF6E9D"/>
    <w:rsid w:val="00AF6F5C"/>
    <w:rsid w:val="00AF6FB0"/>
    <w:rsid w:val="00AF6FB3"/>
    <w:rsid w:val="00AF6FB7"/>
    <w:rsid w:val="00AF70B0"/>
    <w:rsid w:val="00AF7192"/>
    <w:rsid w:val="00AF7377"/>
    <w:rsid w:val="00AF7646"/>
    <w:rsid w:val="00AF7679"/>
    <w:rsid w:val="00AF7759"/>
    <w:rsid w:val="00AF77EC"/>
    <w:rsid w:val="00AF77EE"/>
    <w:rsid w:val="00AF786F"/>
    <w:rsid w:val="00AF7938"/>
    <w:rsid w:val="00AF7A54"/>
    <w:rsid w:val="00AF7B6D"/>
    <w:rsid w:val="00AF7B75"/>
    <w:rsid w:val="00AF7E09"/>
    <w:rsid w:val="00AF7F0D"/>
    <w:rsid w:val="00AFD006"/>
    <w:rsid w:val="00B0020E"/>
    <w:rsid w:val="00B004B8"/>
    <w:rsid w:val="00B004F8"/>
    <w:rsid w:val="00B00607"/>
    <w:rsid w:val="00B00624"/>
    <w:rsid w:val="00B007C4"/>
    <w:rsid w:val="00B008C0"/>
    <w:rsid w:val="00B009F5"/>
    <w:rsid w:val="00B00A1D"/>
    <w:rsid w:val="00B00A64"/>
    <w:rsid w:val="00B00BF1"/>
    <w:rsid w:val="00B00D31"/>
    <w:rsid w:val="00B00E41"/>
    <w:rsid w:val="00B00ED8"/>
    <w:rsid w:val="00B00FF4"/>
    <w:rsid w:val="00B012B1"/>
    <w:rsid w:val="00B0133F"/>
    <w:rsid w:val="00B0142C"/>
    <w:rsid w:val="00B0143F"/>
    <w:rsid w:val="00B015F4"/>
    <w:rsid w:val="00B01655"/>
    <w:rsid w:val="00B0187C"/>
    <w:rsid w:val="00B018D7"/>
    <w:rsid w:val="00B018EB"/>
    <w:rsid w:val="00B01A0E"/>
    <w:rsid w:val="00B01A8B"/>
    <w:rsid w:val="00B01C9A"/>
    <w:rsid w:val="00B02052"/>
    <w:rsid w:val="00B022B8"/>
    <w:rsid w:val="00B0239E"/>
    <w:rsid w:val="00B024B6"/>
    <w:rsid w:val="00B02592"/>
    <w:rsid w:val="00B0267F"/>
    <w:rsid w:val="00B027A2"/>
    <w:rsid w:val="00B029D8"/>
    <w:rsid w:val="00B02AFC"/>
    <w:rsid w:val="00B02B44"/>
    <w:rsid w:val="00B02D20"/>
    <w:rsid w:val="00B02D58"/>
    <w:rsid w:val="00B02DBF"/>
    <w:rsid w:val="00B02DCC"/>
    <w:rsid w:val="00B02EA6"/>
    <w:rsid w:val="00B02F13"/>
    <w:rsid w:val="00B02F30"/>
    <w:rsid w:val="00B02FD4"/>
    <w:rsid w:val="00B0310B"/>
    <w:rsid w:val="00B0310D"/>
    <w:rsid w:val="00B03243"/>
    <w:rsid w:val="00B0330C"/>
    <w:rsid w:val="00B0345E"/>
    <w:rsid w:val="00B034A2"/>
    <w:rsid w:val="00B037CF"/>
    <w:rsid w:val="00B037D9"/>
    <w:rsid w:val="00B038D0"/>
    <w:rsid w:val="00B039AE"/>
    <w:rsid w:val="00B03B27"/>
    <w:rsid w:val="00B03D82"/>
    <w:rsid w:val="00B03D91"/>
    <w:rsid w:val="00B03F44"/>
    <w:rsid w:val="00B03FA4"/>
    <w:rsid w:val="00B042C6"/>
    <w:rsid w:val="00B0432C"/>
    <w:rsid w:val="00B04373"/>
    <w:rsid w:val="00B04481"/>
    <w:rsid w:val="00B04A96"/>
    <w:rsid w:val="00B04DBE"/>
    <w:rsid w:val="00B0501C"/>
    <w:rsid w:val="00B05107"/>
    <w:rsid w:val="00B05192"/>
    <w:rsid w:val="00B052CB"/>
    <w:rsid w:val="00B05808"/>
    <w:rsid w:val="00B05A6D"/>
    <w:rsid w:val="00B05AE0"/>
    <w:rsid w:val="00B05BC8"/>
    <w:rsid w:val="00B05C15"/>
    <w:rsid w:val="00B05D38"/>
    <w:rsid w:val="00B05DA0"/>
    <w:rsid w:val="00B05EDA"/>
    <w:rsid w:val="00B05F36"/>
    <w:rsid w:val="00B061CD"/>
    <w:rsid w:val="00B06262"/>
    <w:rsid w:val="00B06317"/>
    <w:rsid w:val="00B06412"/>
    <w:rsid w:val="00B064E6"/>
    <w:rsid w:val="00B066D0"/>
    <w:rsid w:val="00B06824"/>
    <w:rsid w:val="00B06A2D"/>
    <w:rsid w:val="00B06B3C"/>
    <w:rsid w:val="00B06B45"/>
    <w:rsid w:val="00B06C63"/>
    <w:rsid w:val="00B06D13"/>
    <w:rsid w:val="00B06F1F"/>
    <w:rsid w:val="00B07049"/>
    <w:rsid w:val="00B07203"/>
    <w:rsid w:val="00B0726D"/>
    <w:rsid w:val="00B072EF"/>
    <w:rsid w:val="00B07311"/>
    <w:rsid w:val="00B07679"/>
    <w:rsid w:val="00B07786"/>
    <w:rsid w:val="00B079E8"/>
    <w:rsid w:val="00B07A81"/>
    <w:rsid w:val="00B07AFC"/>
    <w:rsid w:val="00B07C0F"/>
    <w:rsid w:val="00B07C35"/>
    <w:rsid w:val="00B07C43"/>
    <w:rsid w:val="00B07D44"/>
    <w:rsid w:val="00B07D84"/>
    <w:rsid w:val="00B07DA0"/>
    <w:rsid w:val="00B07EC1"/>
    <w:rsid w:val="00B10033"/>
    <w:rsid w:val="00B1008F"/>
    <w:rsid w:val="00B100FD"/>
    <w:rsid w:val="00B101CA"/>
    <w:rsid w:val="00B1029F"/>
    <w:rsid w:val="00B10398"/>
    <w:rsid w:val="00B103AD"/>
    <w:rsid w:val="00B105F7"/>
    <w:rsid w:val="00B10647"/>
    <w:rsid w:val="00B1065E"/>
    <w:rsid w:val="00B10895"/>
    <w:rsid w:val="00B108CA"/>
    <w:rsid w:val="00B108CD"/>
    <w:rsid w:val="00B10917"/>
    <w:rsid w:val="00B10AF1"/>
    <w:rsid w:val="00B10B70"/>
    <w:rsid w:val="00B10EB1"/>
    <w:rsid w:val="00B10EB2"/>
    <w:rsid w:val="00B10F39"/>
    <w:rsid w:val="00B11177"/>
    <w:rsid w:val="00B111F3"/>
    <w:rsid w:val="00B112F8"/>
    <w:rsid w:val="00B113DB"/>
    <w:rsid w:val="00B114E8"/>
    <w:rsid w:val="00B115A4"/>
    <w:rsid w:val="00B115E7"/>
    <w:rsid w:val="00B11633"/>
    <w:rsid w:val="00B11758"/>
    <w:rsid w:val="00B1192E"/>
    <w:rsid w:val="00B11D26"/>
    <w:rsid w:val="00B11D88"/>
    <w:rsid w:val="00B11E28"/>
    <w:rsid w:val="00B11E45"/>
    <w:rsid w:val="00B11E98"/>
    <w:rsid w:val="00B12111"/>
    <w:rsid w:val="00B1211A"/>
    <w:rsid w:val="00B12150"/>
    <w:rsid w:val="00B122BA"/>
    <w:rsid w:val="00B123AD"/>
    <w:rsid w:val="00B1243F"/>
    <w:rsid w:val="00B12488"/>
    <w:rsid w:val="00B1255C"/>
    <w:rsid w:val="00B12592"/>
    <w:rsid w:val="00B125F4"/>
    <w:rsid w:val="00B12762"/>
    <w:rsid w:val="00B12789"/>
    <w:rsid w:val="00B12817"/>
    <w:rsid w:val="00B12ACA"/>
    <w:rsid w:val="00B12BDB"/>
    <w:rsid w:val="00B12C2B"/>
    <w:rsid w:val="00B12C2C"/>
    <w:rsid w:val="00B12C92"/>
    <w:rsid w:val="00B12D20"/>
    <w:rsid w:val="00B12DD1"/>
    <w:rsid w:val="00B12F16"/>
    <w:rsid w:val="00B12F75"/>
    <w:rsid w:val="00B12FB2"/>
    <w:rsid w:val="00B130CC"/>
    <w:rsid w:val="00B130E1"/>
    <w:rsid w:val="00B1317B"/>
    <w:rsid w:val="00B132AE"/>
    <w:rsid w:val="00B13330"/>
    <w:rsid w:val="00B1335B"/>
    <w:rsid w:val="00B135DD"/>
    <w:rsid w:val="00B135DF"/>
    <w:rsid w:val="00B1360C"/>
    <w:rsid w:val="00B138B5"/>
    <w:rsid w:val="00B138E5"/>
    <w:rsid w:val="00B13ACF"/>
    <w:rsid w:val="00B13D7F"/>
    <w:rsid w:val="00B13E53"/>
    <w:rsid w:val="00B13E6A"/>
    <w:rsid w:val="00B13F4D"/>
    <w:rsid w:val="00B13FBA"/>
    <w:rsid w:val="00B14065"/>
    <w:rsid w:val="00B140D8"/>
    <w:rsid w:val="00B141A0"/>
    <w:rsid w:val="00B14272"/>
    <w:rsid w:val="00B14293"/>
    <w:rsid w:val="00B143B4"/>
    <w:rsid w:val="00B14473"/>
    <w:rsid w:val="00B14511"/>
    <w:rsid w:val="00B1474D"/>
    <w:rsid w:val="00B147BE"/>
    <w:rsid w:val="00B149A7"/>
    <w:rsid w:val="00B14C6B"/>
    <w:rsid w:val="00B14CAD"/>
    <w:rsid w:val="00B14CEC"/>
    <w:rsid w:val="00B14D98"/>
    <w:rsid w:val="00B14E13"/>
    <w:rsid w:val="00B14ED5"/>
    <w:rsid w:val="00B14F99"/>
    <w:rsid w:val="00B14FBF"/>
    <w:rsid w:val="00B14FCF"/>
    <w:rsid w:val="00B15122"/>
    <w:rsid w:val="00B15154"/>
    <w:rsid w:val="00B151CF"/>
    <w:rsid w:val="00B1527C"/>
    <w:rsid w:val="00B152E4"/>
    <w:rsid w:val="00B152EF"/>
    <w:rsid w:val="00B155C4"/>
    <w:rsid w:val="00B155FD"/>
    <w:rsid w:val="00B1595B"/>
    <w:rsid w:val="00B159C7"/>
    <w:rsid w:val="00B15ACE"/>
    <w:rsid w:val="00B15BCE"/>
    <w:rsid w:val="00B15D71"/>
    <w:rsid w:val="00B15DA4"/>
    <w:rsid w:val="00B15E79"/>
    <w:rsid w:val="00B15EDF"/>
    <w:rsid w:val="00B15F91"/>
    <w:rsid w:val="00B1615C"/>
    <w:rsid w:val="00B1628E"/>
    <w:rsid w:val="00B16413"/>
    <w:rsid w:val="00B1659D"/>
    <w:rsid w:val="00B165B4"/>
    <w:rsid w:val="00B1666A"/>
    <w:rsid w:val="00B166A2"/>
    <w:rsid w:val="00B1692E"/>
    <w:rsid w:val="00B169BE"/>
    <w:rsid w:val="00B16BF4"/>
    <w:rsid w:val="00B16C2C"/>
    <w:rsid w:val="00B16C94"/>
    <w:rsid w:val="00B16CD0"/>
    <w:rsid w:val="00B16D02"/>
    <w:rsid w:val="00B16D54"/>
    <w:rsid w:val="00B16DDE"/>
    <w:rsid w:val="00B16E7D"/>
    <w:rsid w:val="00B16FFD"/>
    <w:rsid w:val="00B17183"/>
    <w:rsid w:val="00B171F9"/>
    <w:rsid w:val="00B17238"/>
    <w:rsid w:val="00B17387"/>
    <w:rsid w:val="00B1746C"/>
    <w:rsid w:val="00B17489"/>
    <w:rsid w:val="00B17491"/>
    <w:rsid w:val="00B175CB"/>
    <w:rsid w:val="00B175CC"/>
    <w:rsid w:val="00B175E3"/>
    <w:rsid w:val="00B178CD"/>
    <w:rsid w:val="00B17BDA"/>
    <w:rsid w:val="00B17E91"/>
    <w:rsid w:val="00B17F96"/>
    <w:rsid w:val="00B17FD9"/>
    <w:rsid w:val="00B200A2"/>
    <w:rsid w:val="00B200B0"/>
    <w:rsid w:val="00B2026F"/>
    <w:rsid w:val="00B20340"/>
    <w:rsid w:val="00B203C2"/>
    <w:rsid w:val="00B20494"/>
    <w:rsid w:val="00B205E9"/>
    <w:rsid w:val="00B2060B"/>
    <w:rsid w:val="00B206C1"/>
    <w:rsid w:val="00B20753"/>
    <w:rsid w:val="00B208D6"/>
    <w:rsid w:val="00B2092D"/>
    <w:rsid w:val="00B20A48"/>
    <w:rsid w:val="00B20A90"/>
    <w:rsid w:val="00B20AB1"/>
    <w:rsid w:val="00B20AC4"/>
    <w:rsid w:val="00B20B34"/>
    <w:rsid w:val="00B20B85"/>
    <w:rsid w:val="00B20BAF"/>
    <w:rsid w:val="00B20BD5"/>
    <w:rsid w:val="00B20BED"/>
    <w:rsid w:val="00B20C97"/>
    <w:rsid w:val="00B20DA9"/>
    <w:rsid w:val="00B20E14"/>
    <w:rsid w:val="00B20FB9"/>
    <w:rsid w:val="00B2112E"/>
    <w:rsid w:val="00B21320"/>
    <w:rsid w:val="00B2137D"/>
    <w:rsid w:val="00B213A7"/>
    <w:rsid w:val="00B214DD"/>
    <w:rsid w:val="00B214F5"/>
    <w:rsid w:val="00B21525"/>
    <w:rsid w:val="00B21613"/>
    <w:rsid w:val="00B216FA"/>
    <w:rsid w:val="00B21743"/>
    <w:rsid w:val="00B21838"/>
    <w:rsid w:val="00B2184C"/>
    <w:rsid w:val="00B2199F"/>
    <w:rsid w:val="00B219BE"/>
    <w:rsid w:val="00B219D3"/>
    <w:rsid w:val="00B21AC8"/>
    <w:rsid w:val="00B21BA9"/>
    <w:rsid w:val="00B21C38"/>
    <w:rsid w:val="00B21C59"/>
    <w:rsid w:val="00B21C6D"/>
    <w:rsid w:val="00B21DC2"/>
    <w:rsid w:val="00B21ECA"/>
    <w:rsid w:val="00B22163"/>
    <w:rsid w:val="00B2216B"/>
    <w:rsid w:val="00B22228"/>
    <w:rsid w:val="00B222E3"/>
    <w:rsid w:val="00B222F3"/>
    <w:rsid w:val="00B2236C"/>
    <w:rsid w:val="00B2255A"/>
    <w:rsid w:val="00B22592"/>
    <w:rsid w:val="00B2265E"/>
    <w:rsid w:val="00B226C9"/>
    <w:rsid w:val="00B227B2"/>
    <w:rsid w:val="00B2280C"/>
    <w:rsid w:val="00B228DE"/>
    <w:rsid w:val="00B229B2"/>
    <w:rsid w:val="00B22BED"/>
    <w:rsid w:val="00B22C37"/>
    <w:rsid w:val="00B22EE7"/>
    <w:rsid w:val="00B23005"/>
    <w:rsid w:val="00B23011"/>
    <w:rsid w:val="00B23035"/>
    <w:rsid w:val="00B23284"/>
    <w:rsid w:val="00B232B8"/>
    <w:rsid w:val="00B2336E"/>
    <w:rsid w:val="00B2344B"/>
    <w:rsid w:val="00B237C6"/>
    <w:rsid w:val="00B239E2"/>
    <w:rsid w:val="00B239FE"/>
    <w:rsid w:val="00B23A20"/>
    <w:rsid w:val="00B23B04"/>
    <w:rsid w:val="00B23B0B"/>
    <w:rsid w:val="00B23B0D"/>
    <w:rsid w:val="00B23B57"/>
    <w:rsid w:val="00B23B98"/>
    <w:rsid w:val="00B23C51"/>
    <w:rsid w:val="00B23CD2"/>
    <w:rsid w:val="00B23CF5"/>
    <w:rsid w:val="00B23D28"/>
    <w:rsid w:val="00B23D52"/>
    <w:rsid w:val="00B23D7C"/>
    <w:rsid w:val="00B23D81"/>
    <w:rsid w:val="00B23E30"/>
    <w:rsid w:val="00B23EAA"/>
    <w:rsid w:val="00B23F1F"/>
    <w:rsid w:val="00B23F2C"/>
    <w:rsid w:val="00B23FE2"/>
    <w:rsid w:val="00B24221"/>
    <w:rsid w:val="00B242CD"/>
    <w:rsid w:val="00B24328"/>
    <w:rsid w:val="00B24435"/>
    <w:rsid w:val="00B24466"/>
    <w:rsid w:val="00B244EE"/>
    <w:rsid w:val="00B244F8"/>
    <w:rsid w:val="00B2452E"/>
    <w:rsid w:val="00B2462D"/>
    <w:rsid w:val="00B24830"/>
    <w:rsid w:val="00B249AD"/>
    <w:rsid w:val="00B24CA2"/>
    <w:rsid w:val="00B24CB5"/>
    <w:rsid w:val="00B25015"/>
    <w:rsid w:val="00B250AB"/>
    <w:rsid w:val="00B25184"/>
    <w:rsid w:val="00B25285"/>
    <w:rsid w:val="00B253BE"/>
    <w:rsid w:val="00B2551F"/>
    <w:rsid w:val="00B25570"/>
    <w:rsid w:val="00B255D5"/>
    <w:rsid w:val="00B2595E"/>
    <w:rsid w:val="00B259C9"/>
    <w:rsid w:val="00B25D17"/>
    <w:rsid w:val="00B25D37"/>
    <w:rsid w:val="00B25DA0"/>
    <w:rsid w:val="00B25EB5"/>
    <w:rsid w:val="00B25F03"/>
    <w:rsid w:val="00B2600F"/>
    <w:rsid w:val="00B2601D"/>
    <w:rsid w:val="00B260BA"/>
    <w:rsid w:val="00B260CA"/>
    <w:rsid w:val="00B26139"/>
    <w:rsid w:val="00B261C6"/>
    <w:rsid w:val="00B26286"/>
    <w:rsid w:val="00B263A2"/>
    <w:rsid w:val="00B26546"/>
    <w:rsid w:val="00B266D9"/>
    <w:rsid w:val="00B266ED"/>
    <w:rsid w:val="00B269B4"/>
    <w:rsid w:val="00B269C0"/>
    <w:rsid w:val="00B26DA1"/>
    <w:rsid w:val="00B26E80"/>
    <w:rsid w:val="00B26ED0"/>
    <w:rsid w:val="00B26F45"/>
    <w:rsid w:val="00B27030"/>
    <w:rsid w:val="00B27203"/>
    <w:rsid w:val="00B2720A"/>
    <w:rsid w:val="00B273BF"/>
    <w:rsid w:val="00B27663"/>
    <w:rsid w:val="00B276ED"/>
    <w:rsid w:val="00B27827"/>
    <w:rsid w:val="00B2782F"/>
    <w:rsid w:val="00B27B78"/>
    <w:rsid w:val="00B27C2B"/>
    <w:rsid w:val="00B27F46"/>
    <w:rsid w:val="00B30215"/>
    <w:rsid w:val="00B30611"/>
    <w:rsid w:val="00B307F5"/>
    <w:rsid w:val="00B308A7"/>
    <w:rsid w:val="00B30927"/>
    <w:rsid w:val="00B30AC9"/>
    <w:rsid w:val="00B30C64"/>
    <w:rsid w:val="00B30D40"/>
    <w:rsid w:val="00B30F36"/>
    <w:rsid w:val="00B31006"/>
    <w:rsid w:val="00B31013"/>
    <w:rsid w:val="00B310D3"/>
    <w:rsid w:val="00B31107"/>
    <w:rsid w:val="00B311C6"/>
    <w:rsid w:val="00B3120E"/>
    <w:rsid w:val="00B31266"/>
    <w:rsid w:val="00B3140A"/>
    <w:rsid w:val="00B31529"/>
    <w:rsid w:val="00B315A6"/>
    <w:rsid w:val="00B31639"/>
    <w:rsid w:val="00B317D5"/>
    <w:rsid w:val="00B31809"/>
    <w:rsid w:val="00B31852"/>
    <w:rsid w:val="00B31B17"/>
    <w:rsid w:val="00B31C5A"/>
    <w:rsid w:val="00B31D55"/>
    <w:rsid w:val="00B31DFA"/>
    <w:rsid w:val="00B31DFB"/>
    <w:rsid w:val="00B31F10"/>
    <w:rsid w:val="00B32132"/>
    <w:rsid w:val="00B32185"/>
    <w:rsid w:val="00B32225"/>
    <w:rsid w:val="00B322E4"/>
    <w:rsid w:val="00B32346"/>
    <w:rsid w:val="00B32356"/>
    <w:rsid w:val="00B32695"/>
    <w:rsid w:val="00B3281F"/>
    <w:rsid w:val="00B3289C"/>
    <w:rsid w:val="00B32B84"/>
    <w:rsid w:val="00B32CEE"/>
    <w:rsid w:val="00B32EC2"/>
    <w:rsid w:val="00B33233"/>
    <w:rsid w:val="00B33279"/>
    <w:rsid w:val="00B332CB"/>
    <w:rsid w:val="00B3331B"/>
    <w:rsid w:val="00B3336C"/>
    <w:rsid w:val="00B333F5"/>
    <w:rsid w:val="00B33424"/>
    <w:rsid w:val="00B33440"/>
    <w:rsid w:val="00B33518"/>
    <w:rsid w:val="00B335FD"/>
    <w:rsid w:val="00B337C3"/>
    <w:rsid w:val="00B33895"/>
    <w:rsid w:val="00B3393F"/>
    <w:rsid w:val="00B33989"/>
    <w:rsid w:val="00B33A75"/>
    <w:rsid w:val="00B33A90"/>
    <w:rsid w:val="00B33AEB"/>
    <w:rsid w:val="00B33BB9"/>
    <w:rsid w:val="00B33BDA"/>
    <w:rsid w:val="00B33C31"/>
    <w:rsid w:val="00B33C3A"/>
    <w:rsid w:val="00B33DB4"/>
    <w:rsid w:val="00B33EC5"/>
    <w:rsid w:val="00B340E5"/>
    <w:rsid w:val="00B34160"/>
    <w:rsid w:val="00B342F5"/>
    <w:rsid w:val="00B34377"/>
    <w:rsid w:val="00B343C7"/>
    <w:rsid w:val="00B344DA"/>
    <w:rsid w:val="00B345BB"/>
    <w:rsid w:val="00B345FA"/>
    <w:rsid w:val="00B346ED"/>
    <w:rsid w:val="00B347FD"/>
    <w:rsid w:val="00B3499A"/>
    <w:rsid w:val="00B34AE1"/>
    <w:rsid w:val="00B34BE6"/>
    <w:rsid w:val="00B34C19"/>
    <w:rsid w:val="00B34D91"/>
    <w:rsid w:val="00B34D95"/>
    <w:rsid w:val="00B34E19"/>
    <w:rsid w:val="00B34E3F"/>
    <w:rsid w:val="00B34F2C"/>
    <w:rsid w:val="00B35083"/>
    <w:rsid w:val="00B35139"/>
    <w:rsid w:val="00B3523D"/>
    <w:rsid w:val="00B352B2"/>
    <w:rsid w:val="00B3538E"/>
    <w:rsid w:val="00B354C8"/>
    <w:rsid w:val="00B35518"/>
    <w:rsid w:val="00B3565A"/>
    <w:rsid w:val="00B35705"/>
    <w:rsid w:val="00B358CA"/>
    <w:rsid w:val="00B35966"/>
    <w:rsid w:val="00B359BB"/>
    <w:rsid w:val="00B35B23"/>
    <w:rsid w:val="00B35D65"/>
    <w:rsid w:val="00B35E63"/>
    <w:rsid w:val="00B35E65"/>
    <w:rsid w:val="00B35FC5"/>
    <w:rsid w:val="00B361DD"/>
    <w:rsid w:val="00B3646F"/>
    <w:rsid w:val="00B36495"/>
    <w:rsid w:val="00B3660C"/>
    <w:rsid w:val="00B368D7"/>
    <w:rsid w:val="00B36B6D"/>
    <w:rsid w:val="00B36CAD"/>
    <w:rsid w:val="00B36D34"/>
    <w:rsid w:val="00B36DAD"/>
    <w:rsid w:val="00B36E0A"/>
    <w:rsid w:val="00B36E18"/>
    <w:rsid w:val="00B36EDF"/>
    <w:rsid w:val="00B36F3C"/>
    <w:rsid w:val="00B37008"/>
    <w:rsid w:val="00B3712B"/>
    <w:rsid w:val="00B37329"/>
    <w:rsid w:val="00B374E5"/>
    <w:rsid w:val="00B37503"/>
    <w:rsid w:val="00B37784"/>
    <w:rsid w:val="00B378E5"/>
    <w:rsid w:val="00B3796B"/>
    <w:rsid w:val="00B379D4"/>
    <w:rsid w:val="00B379DE"/>
    <w:rsid w:val="00B37A0F"/>
    <w:rsid w:val="00B37A59"/>
    <w:rsid w:val="00B37E8B"/>
    <w:rsid w:val="00B37E95"/>
    <w:rsid w:val="00B37E9E"/>
    <w:rsid w:val="00B37FB1"/>
    <w:rsid w:val="00B40089"/>
    <w:rsid w:val="00B40231"/>
    <w:rsid w:val="00B40488"/>
    <w:rsid w:val="00B40502"/>
    <w:rsid w:val="00B406C0"/>
    <w:rsid w:val="00B408A8"/>
    <w:rsid w:val="00B408FC"/>
    <w:rsid w:val="00B40918"/>
    <w:rsid w:val="00B40978"/>
    <w:rsid w:val="00B409E4"/>
    <w:rsid w:val="00B40A43"/>
    <w:rsid w:val="00B40B53"/>
    <w:rsid w:val="00B40F9F"/>
    <w:rsid w:val="00B4102A"/>
    <w:rsid w:val="00B410EB"/>
    <w:rsid w:val="00B411BD"/>
    <w:rsid w:val="00B412C8"/>
    <w:rsid w:val="00B412FA"/>
    <w:rsid w:val="00B41310"/>
    <w:rsid w:val="00B41502"/>
    <w:rsid w:val="00B41861"/>
    <w:rsid w:val="00B41CAA"/>
    <w:rsid w:val="00B41CD0"/>
    <w:rsid w:val="00B41CF5"/>
    <w:rsid w:val="00B41F4B"/>
    <w:rsid w:val="00B4204F"/>
    <w:rsid w:val="00B421CB"/>
    <w:rsid w:val="00B42416"/>
    <w:rsid w:val="00B425B2"/>
    <w:rsid w:val="00B4265E"/>
    <w:rsid w:val="00B426BB"/>
    <w:rsid w:val="00B42893"/>
    <w:rsid w:val="00B428A0"/>
    <w:rsid w:val="00B4295B"/>
    <w:rsid w:val="00B42B6F"/>
    <w:rsid w:val="00B42C90"/>
    <w:rsid w:val="00B42CDB"/>
    <w:rsid w:val="00B42E1E"/>
    <w:rsid w:val="00B42FAD"/>
    <w:rsid w:val="00B430C1"/>
    <w:rsid w:val="00B43232"/>
    <w:rsid w:val="00B43350"/>
    <w:rsid w:val="00B433B4"/>
    <w:rsid w:val="00B434BB"/>
    <w:rsid w:val="00B43568"/>
    <w:rsid w:val="00B4382F"/>
    <w:rsid w:val="00B439DF"/>
    <w:rsid w:val="00B43AAD"/>
    <w:rsid w:val="00B43C29"/>
    <w:rsid w:val="00B43D81"/>
    <w:rsid w:val="00B43FF4"/>
    <w:rsid w:val="00B442AE"/>
    <w:rsid w:val="00B447FF"/>
    <w:rsid w:val="00B44834"/>
    <w:rsid w:val="00B4499C"/>
    <w:rsid w:val="00B44B93"/>
    <w:rsid w:val="00B450E4"/>
    <w:rsid w:val="00B45581"/>
    <w:rsid w:val="00B45590"/>
    <w:rsid w:val="00B455FE"/>
    <w:rsid w:val="00B456F3"/>
    <w:rsid w:val="00B45804"/>
    <w:rsid w:val="00B45884"/>
    <w:rsid w:val="00B45904"/>
    <w:rsid w:val="00B45A35"/>
    <w:rsid w:val="00B45A68"/>
    <w:rsid w:val="00B45B20"/>
    <w:rsid w:val="00B45BB0"/>
    <w:rsid w:val="00B45C1D"/>
    <w:rsid w:val="00B45E7A"/>
    <w:rsid w:val="00B46157"/>
    <w:rsid w:val="00B461AA"/>
    <w:rsid w:val="00B461FB"/>
    <w:rsid w:val="00B46244"/>
    <w:rsid w:val="00B46260"/>
    <w:rsid w:val="00B46339"/>
    <w:rsid w:val="00B466F7"/>
    <w:rsid w:val="00B468C8"/>
    <w:rsid w:val="00B46940"/>
    <w:rsid w:val="00B469C2"/>
    <w:rsid w:val="00B46C59"/>
    <w:rsid w:val="00B46CEF"/>
    <w:rsid w:val="00B46E85"/>
    <w:rsid w:val="00B46EA4"/>
    <w:rsid w:val="00B46F6E"/>
    <w:rsid w:val="00B47011"/>
    <w:rsid w:val="00B470A5"/>
    <w:rsid w:val="00B4732B"/>
    <w:rsid w:val="00B474D0"/>
    <w:rsid w:val="00B475DA"/>
    <w:rsid w:val="00B475FF"/>
    <w:rsid w:val="00B47616"/>
    <w:rsid w:val="00B47665"/>
    <w:rsid w:val="00B4783F"/>
    <w:rsid w:val="00B478A4"/>
    <w:rsid w:val="00B478A7"/>
    <w:rsid w:val="00B47A35"/>
    <w:rsid w:val="00B47A79"/>
    <w:rsid w:val="00B47AB8"/>
    <w:rsid w:val="00B47B16"/>
    <w:rsid w:val="00B47D5A"/>
    <w:rsid w:val="00B47D68"/>
    <w:rsid w:val="00B47EB6"/>
    <w:rsid w:val="00B47F74"/>
    <w:rsid w:val="00B47F8C"/>
    <w:rsid w:val="00B50123"/>
    <w:rsid w:val="00B5018D"/>
    <w:rsid w:val="00B5051D"/>
    <w:rsid w:val="00B50531"/>
    <w:rsid w:val="00B505E1"/>
    <w:rsid w:val="00B50927"/>
    <w:rsid w:val="00B509B8"/>
    <w:rsid w:val="00B50AEF"/>
    <w:rsid w:val="00B50B2F"/>
    <w:rsid w:val="00B50DA8"/>
    <w:rsid w:val="00B50E79"/>
    <w:rsid w:val="00B50EFA"/>
    <w:rsid w:val="00B5103D"/>
    <w:rsid w:val="00B511F5"/>
    <w:rsid w:val="00B51205"/>
    <w:rsid w:val="00B512EB"/>
    <w:rsid w:val="00B518A9"/>
    <w:rsid w:val="00B518F9"/>
    <w:rsid w:val="00B5196F"/>
    <w:rsid w:val="00B51A57"/>
    <w:rsid w:val="00B51BC6"/>
    <w:rsid w:val="00B51C38"/>
    <w:rsid w:val="00B51C3F"/>
    <w:rsid w:val="00B51D25"/>
    <w:rsid w:val="00B51DB7"/>
    <w:rsid w:val="00B51DC2"/>
    <w:rsid w:val="00B51E27"/>
    <w:rsid w:val="00B51E4C"/>
    <w:rsid w:val="00B51F13"/>
    <w:rsid w:val="00B51F94"/>
    <w:rsid w:val="00B51FC1"/>
    <w:rsid w:val="00B52024"/>
    <w:rsid w:val="00B520EB"/>
    <w:rsid w:val="00B522B9"/>
    <w:rsid w:val="00B523F5"/>
    <w:rsid w:val="00B52406"/>
    <w:rsid w:val="00B52524"/>
    <w:rsid w:val="00B5254A"/>
    <w:rsid w:val="00B52595"/>
    <w:rsid w:val="00B525C3"/>
    <w:rsid w:val="00B52741"/>
    <w:rsid w:val="00B5287F"/>
    <w:rsid w:val="00B52888"/>
    <w:rsid w:val="00B5296B"/>
    <w:rsid w:val="00B52ACA"/>
    <w:rsid w:val="00B52BC8"/>
    <w:rsid w:val="00B52C83"/>
    <w:rsid w:val="00B52D38"/>
    <w:rsid w:val="00B532BA"/>
    <w:rsid w:val="00B533B0"/>
    <w:rsid w:val="00B5348B"/>
    <w:rsid w:val="00B534D4"/>
    <w:rsid w:val="00B534D5"/>
    <w:rsid w:val="00B53510"/>
    <w:rsid w:val="00B5373B"/>
    <w:rsid w:val="00B53799"/>
    <w:rsid w:val="00B537CC"/>
    <w:rsid w:val="00B5393A"/>
    <w:rsid w:val="00B53AD9"/>
    <w:rsid w:val="00B53CFC"/>
    <w:rsid w:val="00B53D12"/>
    <w:rsid w:val="00B53E47"/>
    <w:rsid w:val="00B54008"/>
    <w:rsid w:val="00B5401B"/>
    <w:rsid w:val="00B5427D"/>
    <w:rsid w:val="00B544E7"/>
    <w:rsid w:val="00B545D8"/>
    <w:rsid w:val="00B54644"/>
    <w:rsid w:val="00B54736"/>
    <w:rsid w:val="00B547D8"/>
    <w:rsid w:val="00B5484D"/>
    <w:rsid w:val="00B54850"/>
    <w:rsid w:val="00B54B54"/>
    <w:rsid w:val="00B54D6B"/>
    <w:rsid w:val="00B54DE6"/>
    <w:rsid w:val="00B54EF0"/>
    <w:rsid w:val="00B54EF3"/>
    <w:rsid w:val="00B54F57"/>
    <w:rsid w:val="00B55002"/>
    <w:rsid w:val="00B55044"/>
    <w:rsid w:val="00B550A8"/>
    <w:rsid w:val="00B550C1"/>
    <w:rsid w:val="00B550CE"/>
    <w:rsid w:val="00B551C3"/>
    <w:rsid w:val="00B551E7"/>
    <w:rsid w:val="00B551FE"/>
    <w:rsid w:val="00B5522E"/>
    <w:rsid w:val="00B552C2"/>
    <w:rsid w:val="00B552D8"/>
    <w:rsid w:val="00B552DA"/>
    <w:rsid w:val="00B55414"/>
    <w:rsid w:val="00B554E8"/>
    <w:rsid w:val="00B5562B"/>
    <w:rsid w:val="00B557D4"/>
    <w:rsid w:val="00B557FC"/>
    <w:rsid w:val="00B558CA"/>
    <w:rsid w:val="00B55A75"/>
    <w:rsid w:val="00B55B34"/>
    <w:rsid w:val="00B55C1C"/>
    <w:rsid w:val="00B55C68"/>
    <w:rsid w:val="00B55CDC"/>
    <w:rsid w:val="00B55CFD"/>
    <w:rsid w:val="00B55D05"/>
    <w:rsid w:val="00B55DFF"/>
    <w:rsid w:val="00B55E36"/>
    <w:rsid w:val="00B55FE4"/>
    <w:rsid w:val="00B56021"/>
    <w:rsid w:val="00B560FD"/>
    <w:rsid w:val="00B562A8"/>
    <w:rsid w:val="00B562B8"/>
    <w:rsid w:val="00B564FD"/>
    <w:rsid w:val="00B56775"/>
    <w:rsid w:val="00B56815"/>
    <w:rsid w:val="00B568E4"/>
    <w:rsid w:val="00B56ADA"/>
    <w:rsid w:val="00B56B4F"/>
    <w:rsid w:val="00B56BEF"/>
    <w:rsid w:val="00B56E00"/>
    <w:rsid w:val="00B56E29"/>
    <w:rsid w:val="00B56ECF"/>
    <w:rsid w:val="00B56F43"/>
    <w:rsid w:val="00B571F6"/>
    <w:rsid w:val="00B572E8"/>
    <w:rsid w:val="00B574D8"/>
    <w:rsid w:val="00B5761A"/>
    <w:rsid w:val="00B5766F"/>
    <w:rsid w:val="00B5787D"/>
    <w:rsid w:val="00B57C2F"/>
    <w:rsid w:val="00B57CB6"/>
    <w:rsid w:val="00B57CBF"/>
    <w:rsid w:val="00B6008A"/>
    <w:rsid w:val="00B601F6"/>
    <w:rsid w:val="00B60265"/>
    <w:rsid w:val="00B6041C"/>
    <w:rsid w:val="00B6048B"/>
    <w:rsid w:val="00B6060B"/>
    <w:rsid w:val="00B60655"/>
    <w:rsid w:val="00B60A05"/>
    <w:rsid w:val="00B60A68"/>
    <w:rsid w:val="00B60D1B"/>
    <w:rsid w:val="00B60E4E"/>
    <w:rsid w:val="00B60F0C"/>
    <w:rsid w:val="00B60FBA"/>
    <w:rsid w:val="00B61284"/>
    <w:rsid w:val="00B614EA"/>
    <w:rsid w:val="00B615F6"/>
    <w:rsid w:val="00B61737"/>
    <w:rsid w:val="00B61792"/>
    <w:rsid w:val="00B617E0"/>
    <w:rsid w:val="00B619D3"/>
    <w:rsid w:val="00B61A7F"/>
    <w:rsid w:val="00B61B51"/>
    <w:rsid w:val="00B61C00"/>
    <w:rsid w:val="00B61C33"/>
    <w:rsid w:val="00B61D25"/>
    <w:rsid w:val="00B620D1"/>
    <w:rsid w:val="00B62185"/>
    <w:rsid w:val="00B6225B"/>
    <w:rsid w:val="00B622E0"/>
    <w:rsid w:val="00B6252E"/>
    <w:rsid w:val="00B62817"/>
    <w:rsid w:val="00B629C3"/>
    <w:rsid w:val="00B62A27"/>
    <w:rsid w:val="00B62ACC"/>
    <w:rsid w:val="00B62D0F"/>
    <w:rsid w:val="00B62DA4"/>
    <w:rsid w:val="00B62ED8"/>
    <w:rsid w:val="00B62FA6"/>
    <w:rsid w:val="00B63014"/>
    <w:rsid w:val="00B630AB"/>
    <w:rsid w:val="00B63109"/>
    <w:rsid w:val="00B631A9"/>
    <w:rsid w:val="00B63226"/>
    <w:rsid w:val="00B6325A"/>
    <w:rsid w:val="00B63275"/>
    <w:rsid w:val="00B63554"/>
    <w:rsid w:val="00B63569"/>
    <w:rsid w:val="00B635B2"/>
    <w:rsid w:val="00B63620"/>
    <w:rsid w:val="00B6371A"/>
    <w:rsid w:val="00B63936"/>
    <w:rsid w:val="00B6394D"/>
    <w:rsid w:val="00B63AD5"/>
    <w:rsid w:val="00B63B7E"/>
    <w:rsid w:val="00B63C5A"/>
    <w:rsid w:val="00B63F69"/>
    <w:rsid w:val="00B6405D"/>
    <w:rsid w:val="00B640D0"/>
    <w:rsid w:val="00B64260"/>
    <w:rsid w:val="00B64488"/>
    <w:rsid w:val="00B64595"/>
    <w:rsid w:val="00B647AE"/>
    <w:rsid w:val="00B64800"/>
    <w:rsid w:val="00B64954"/>
    <w:rsid w:val="00B64A38"/>
    <w:rsid w:val="00B64C4F"/>
    <w:rsid w:val="00B64CAA"/>
    <w:rsid w:val="00B64D20"/>
    <w:rsid w:val="00B64D9E"/>
    <w:rsid w:val="00B64ECA"/>
    <w:rsid w:val="00B6501F"/>
    <w:rsid w:val="00B651F0"/>
    <w:rsid w:val="00B65239"/>
    <w:rsid w:val="00B65287"/>
    <w:rsid w:val="00B652CB"/>
    <w:rsid w:val="00B65556"/>
    <w:rsid w:val="00B6569A"/>
    <w:rsid w:val="00B65785"/>
    <w:rsid w:val="00B65936"/>
    <w:rsid w:val="00B65CBA"/>
    <w:rsid w:val="00B65F63"/>
    <w:rsid w:val="00B66054"/>
    <w:rsid w:val="00B6605D"/>
    <w:rsid w:val="00B661F0"/>
    <w:rsid w:val="00B66230"/>
    <w:rsid w:val="00B6648F"/>
    <w:rsid w:val="00B66537"/>
    <w:rsid w:val="00B666DF"/>
    <w:rsid w:val="00B66A23"/>
    <w:rsid w:val="00B66A7E"/>
    <w:rsid w:val="00B66E45"/>
    <w:rsid w:val="00B66EAB"/>
    <w:rsid w:val="00B67057"/>
    <w:rsid w:val="00B6733F"/>
    <w:rsid w:val="00B673AB"/>
    <w:rsid w:val="00B67578"/>
    <w:rsid w:val="00B675D3"/>
    <w:rsid w:val="00B67856"/>
    <w:rsid w:val="00B67A2C"/>
    <w:rsid w:val="00B67B0F"/>
    <w:rsid w:val="00B67B30"/>
    <w:rsid w:val="00B67CD3"/>
    <w:rsid w:val="00B67CFF"/>
    <w:rsid w:val="00B67D04"/>
    <w:rsid w:val="00B67E33"/>
    <w:rsid w:val="00B67E47"/>
    <w:rsid w:val="00B70123"/>
    <w:rsid w:val="00B70148"/>
    <w:rsid w:val="00B702B4"/>
    <w:rsid w:val="00B702B8"/>
    <w:rsid w:val="00B70304"/>
    <w:rsid w:val="00B7049B"/>
    <w:rsid w:val="00B70554"/>
    <w:rsid w:val="00B705F3"/>
    <w:rsid w:val="00B70647"/>
    <w:rsid w:val="00B7074B"/>
    <w:rsid w:val="00B708FD"/>
    <w:rsid w:val="00B70AAC"/>
    <w:rsid w:val="00B70ABA"/>
    <w:rsid w:val="00B70CC4"/>
    <w:rsid w:val="00B70CC7"/>
    <w:rsid w:val="00B70D02"/>
    <w:rsid w:val="00B70D10"/>
    <w:rsid w:val="00B70D3C"/>
    <w:rsid w:val="00B70DAD"/>
    <w:rsid w:val="00B70ED1"/>
    <w:rsid w:val="00B70F22"/>
    <w:rsid w:val="00B71079"/>
    <w:rsid w:val="00B71172"/>
    <w:rsid w:val="00B711D4"/>
    <w:rsid w:val="00B71250"/>
    <w:rsid w:val="00B71386"/>
    <w:rsid w:val="00B713FA"/>
    <w:rsid w:val="00B71465"/>
    <w:rsid w:val="00B7148D"/>
    <w:rsid w:val="00B7149F"/>
    <w:rsid w:val="00B714C9"/>
    <w:rsid w:val="00B715FE"/>
    <w:rsid w:val="00B71675"/>
    <w:rsid w:val="00B7180A"/>
    <w:rsid w:val="00B71839"/>
    <w:rsid w:val="00B718DF"/>
    <w:rsid w:val="00B71B82"/>
    <w:rsid w:val="00B71BBD"/>
    <w:rsid w:val="00B71C5B"/>
    <w:rsid w:val="00B71CFB"/>
    <w:rsid w:val="00B71DEA"/>
    <w:rsid w:val="00B71F34"/>
    <w:rsid w:val="00B71FFB"/>
    <w:rsid w:val="00B7223E"/>
    <w:rsid w:val="00B723A9"/>
    <w:rsid w:val="00B723AF"/>
    <w:rsid w:val="00B723E8"/>
    <w:rsid w:val="00B725A6"/>
    <w:rsid w:val="00B72684"/>
    <w:rsid w:val="00B72685"/>
    <w:rsid w:val="00B7286A"/>
    <w:rsid w:val="00B72902"/>
    <w:rsid w:val="00B72B0C"/>
    <w:rsid w:val="00B72D0C"/>
    <w:rsid w:val="00B72EE3"/>
    <w:rsid w:val="00B72FF5"/>
    <w:rsid w:val="00B7309B"/>
    <w:rsid w:val="00B730C9"/>
    <w:rsid w:val="00B731E2"/>
    <w:rsid w:val="00B73217"/>
    <w:rsid w:val="00B73320"/>
    <w:rsid w:val="00B734D5"/>
    <w:rsid w:val="00B73537"/>
    <w:rsid w:val="00B73734"/>
    <w:rsid w:val="00B73848"/>
    <w:rsid w:val="00B73AD3"/>
    <w:rsid w:val="00B73BF1"/>
    <w:rsid w:val="00B73E0C"/>
    <w:rsid w:val="00B73E2A"/>
    <w:rsid w:val="00B74189"/>
    <w:rsid w:val="00B7419B"/>
    <w:rsid w:val="00B741B2"/>
    <w:rsid w:val="00B741BC"/>
    <w:rsid w:val="00B74247"/>
    <w:rsid w:val="00B7428E"/>
    <w:rsid w:val="00B74523"/>
    <w:rsid w:val="00B74840"/>
    <w:rsid w:val="00B748A4"/>
    <w:rsid w:val="00B748C3"/>
    <w:rsid w:val="00B74924"/>
    <w:rsid w:val="00B74AA4"/>
    <w:rsid w:val="00B74B6D"/>
    <w:rsid w:val="00B74B9B"/>
    <w:rsid w:val="00B74BCA"/>
    <w:rsid w:val="00B74C14"/>
    <w:rsid w:val="00B74D2A"/>
    <w:rsid w:val="00B74D99"/>
    <w:rsid w:val="00B74F22"/>
    <w:rsid w:val="00B74FBD"/>
    <w:rsid w:val="00B74FDB"/>
    <w:rsid w:val="00B7507F"/>
    <w:rsid w:val="00B75101"/>
    <w:rsid w:val="00B751C3"/>
    <w:rsid w:val="00B75225"/>
    <w:rsid w:val="00B75491"/>
    <w:rsid w:val="00B754D8"/>
    <w:rsid w:val="00B755C4"/>
    <w:rsid w:val="00B7565F"/>
    <w:rsid w:val="00B75722"/>
    <w:rsid w:val="00B75777"/>
    <w:rsid w:val="00B75806"/>
    <w:rsid w:val="00B75913"/>
    <w:rsid w:val="00B75926"/>
    <w:rsid w:val="00B7598D"/>
    <w:rsid w:val="00B7599A"/>
    <w:rsid w:val="00B75AF5"/>
    <w:rsid w:val="00B75B5A"/>
    <w:rsid w:val="00B75E85"/>
    <w:rsid w:val="00B75ED1"/>
    <w:rsid w:val="00B75F72"/>
    <w:rsid w:val="00B760BA"/>
    <w:rsid w:val="00B761EC"/>
    <w:rsid w:val="00B762C7"/>
    <w:rsid w:val="00B76801"/>
    <w:rsid w:val="00B76884"/>
    <w:rsid w:val="00B769F2"/>
    <w:rsid w:val="00B76AF4"/>
    <w:rsid w:val="00B76B7D"/>
    <w:rsid w:val="00B76BF3"/>
    <w:rsid w:val="00B76C7C"/>
    <w:rsid w:val="00B76D20"/>
    <w:rsid w:val="00B76E81"/>
    <w:rsid w:val="00B76E9D"/>
    <w:rsid w:val="00B7710A"/>
    <w:rsid w:val="00B7712F"/>
    <w:rsid w:val="00B773B9"/>
    <w:rsid w:val="00B7759C"/>
    <w:rsid w:val="00B7793A"/>
    <w:rsid w:val="00B77C59"/>
    <w:rsid w:val="00B77CC3"/>
    <w:rsid w:val="00B77CDF"/>
    <w:rsid w:val="00B77EB1"/>
    <w:rsid w:val="00B77F6F"/>
    <w:rsid w:val="00B800C0"/>
    <w:rsid w:val="00B80128"/>
    <w:rsid w:val="00B803C3"/>
    <w:rsid w:val="00B803CD"/>
    <w:rsid w:val="00B80558"/>
    <w:rsid w:val="00B80572"/>
    <w:rsid w:val="00B805F6"/>
    <w:rsid w:val="00B805FA"/>
    <w:rsid w:val="00B8068C"/>
    <w:rsid w:val="00B8080B"/>
    <w:rsid w:val="00B80956"/>
    <w:rsid w:val="00B809C4"/>
    <w:rsid w:val="00B80BEA"/>
    <w:rsid w:val="00B80C50"/>
    <w:rsid w:val="00B80D79"/>
    <w:rsid w:val="00B80EDB"/>
    <w:rsid w:val="00B80F95"/>
    <w:rsid w:val="00B8104D"/>
    <w:rsid w:val="00B81198"/>
    <w:rsid w:val="00B813A1"/>
    <w:rsid w:val="00B813D5"/>
    <w:rsid w:val="00B81466"/>
    <w:rsid w:val="00B815AD"/>
    <w:rsid w:val="00B815B2"/>
    <w:rsid w:val="00B815C8"/>
    <w:rsid w:val="00B815EA"/>
    <w:rsid w:val="00B81761"/>
    <w:rsid w:val="00B81826"/>
    <w:rsid w:val="00B8187C"/>
    <w:rsid w:val="00B8189C"/>
    <w:rsid w:val="00B8197A"/>
    <w:rsid w:val="00B81C17"/>
    <w:rsid w:val="00B81C8B"/>
    <w:rsid w:val="00B81F5C"/>
    <w:rsid w:val="00B81F91"/>
    <w:rsid w:val="00B82054"/>
    <w:rsid w:val="00B82091"/>
    <w:rsid w:val="00B8219B"/>
    <w:rsid w:val="00B821A6"/>
    <w:rsid w:val="00B82223"/>
    <w:rsid w:val="00B82301"/>
    <w:rsid w:val="00B82407"/>
    <w:rsid w:val="00B824ED"/>
    <w:rsid w:val="00B8299F"/>
    <w:rsid w:val="00B829E0"/>
    <w:rsid w:val="00B82C1F"/>
    <w:rsid w:val="00B82D42"/>
    <w:rsid w:val="00B82D8A"/>
    <w:rsid w:val="00B83006"/>
    <w:rsid w:val="00B83072"/>
    <w:rsid w:val="00B830D0"/>
    <w:rsid w:val="00B8317B"/>
    <w:rsid w:val="00B831D7"/>
    <w:rsid w:val="00B83387"/>
    <w:rsid w:val="00B834AF"/>
    <w:rsid w:val="00B834E7"/>
    <w:rsid w:val="00B83547"/>
    <w:rsid w:val="00B836AC"/>
    <w:rsid w:val="00B836B0"/>
    <w:rsid w:val="00B836B8"/>
    <w:rsid w:val="00B836CC"/>
    <w:rsid w:val="00B83798"/>
    <w:rsid w:val="00B83817"/>
    <w:rsid w:val="00B83898"/>
    <w:rsid w:val="00B838E1"/>
    <w:rsid w:val="00B83A05"/>
    <w:rsid w:val="00B83A9F"/>
    <w:rsid w:val="00B83AAC"/>
    <w:rsid w:val="00B83C0C"/>
    <w:rsid w:val="00B83E20"/>
    <w:rsid w:val="00B83E25"/>
    <w:rsid w:val="00B83F53"/>
    <w:rsid w:val="00B84237"/>
    <w:rsid w:val="00B842B5"/>
    <w:rsid w:val="00B8449B"/>
    <w:rsid w:val="00B84556"/>
    <w:rsid w:val="00B8470E"/>
    <w:rsid w:val="00B84851"/>
    <w:rsid w:val="00B848F7"/>
    <w:rsid w:val="00B8492C"/>
    <w:rsid w:val="00B849B9"/>
    <w:rsid w:val="00B84AA3"/>
    <w:rsid w:val="00B84AEA"/>
    <w:rsid w:val="00B84E9F"/>
    <w:rsid w:val="00B84FAE"/>
    <w:rsid w:val="00B8511D"/>
    <w:rsid w:val="00B851F7"/>
    <w:rsid w:val="00B85553"/>
    <w:rsid w:val="00B85558"/>
    <w:rsid w:val="00B856C1"/>
    <w:rsid w:val="00B85764"/>
    <w:rsid w:val="00B85801"/>
    <w:rsid w:val="00B85825"/>
    <w:rsid w:val="00B8597B"/>
    <w:rsid w:val="00B85A17"/>
    <w:rsid w:val="00B85A18"/>
    <w:rsid w:val="00B85A69"/>
    <w:rsid w:val="00B85A7F"/>
    <w:rsid w:val="00B85AA1"/>
    <w:rsid w:val="00B85C33"/>
    <w:rsid w:val="00B85F27"/>
    <w:rsid w:val="00B86042"/>
    <w:rsid w:val="00B86116"/>
    <w:rsid w:val="00B86134"/>
    <w:rsid w:val="00B86135"/>
    <w:rsid w:val="00B861AA"/>
    <w:rsid w:val="00B86212"/>
    <w:rsid w:val="00B8621D"/>
    <w:rsid w:val="00B8635E"/>
    <w:rsid w:val="00B8656A"/>
    <w:rsid w:val="00B866BE"/>
    <w:rsid w:val="00B868E5"/>
    <w:rsid w:val="00B869A2"/>
    <w:rsid w:val="00B86C37"/>
    <w:rsid w:val="00B86C82"/>
    <w:rsid w:val="00B86CBD"/>
    <w:rsid w:val="00B86EEF"/>
    <w:rsid w:val="00B8701B"/>
    <w:rsid w:val="00B87026"/>
    <w:rsid w:val="00B87041"/>
    <w:rsid w:val="00B871D6"/>
    <w:rsid w:val="00B87795"/>
    <w:rsid w:val="00B87A9E"/>
    <w:rsid w:val="00B9008D"/>
    <w:rsid w:val="00B90096"/>
    <w:rsid w:val="00B9009B"/>
    <w:rsid w:val="00B90164"/>
    <w:rsid w:val="00B901F3"/>
    <w:rsid w:val="00B905AB"/>
    <w:rsid w:val="00B90A2F"/>
    <w:rsid w:val="00B90AE7"/>
    <w:rsid w:val="00B90B57"/>
    <w:rsid w:val="00B90D73"/>
    <w:rsid w:val="00B90EDC"/>
    <w:rsid w:val="00B910BB"/>
    <w:rsid w:val="00B910C1"/>
    <w:rsid w:val="00B91180"/>
    <w:rsid w:val="00B9120D"/>
    <w:rsid w:val="00B913CF"/>
    <w:rsid w:val="00B91502"/>
    <w:rsid w:val="00B91550"/>
    <w:rsid w:val="00B915E2"/>
    <w:rsid w:val="00B9173B"/>
    <w:rsid w:val="00B91748"/>
    <w:rsid w:val="00B9197F"/>
    <w:rsid w:val="00B919F0"/>
    <w:rsid w:val="00B91CA6"/>
    <w:rsid w:val="00B91CCF"/>
    <w:rsid w:val="00B91D06"/>
    <w:rsid w:val="00B91E86"/>
    <w:rsid w:val="00B91FCB"/>
    <w:rsid w:val="00B920ED"/>
    <w:rsid w:val="00B9211E"/>
    <w:rsid w:val="00B921FD"/>
    <w:rsid w:val="00B923D8"/>
    <w:rsid w:val="00B92548"/>
    <w:rsid w:val="00B9258C"/>
    <w:rsid w:val="00B925B0"/>
    <w:rsid w:val="00B926FF"/>
    <w:rsid w:val="00B92712"/>
    <w:rsid w:val="00B92750"/>
    <w:rsid w:val="00B9284F"/>
    <w:rsid w:val="00B928D8"/>
    <w:rsid w:val="00B92A3D"/>
    <w:rsid w:val="00B92A83"/>
    <w:rsid w:val="00B92AEA"/>
    <w:rsid w:val="00B92B05"/>
    <w:rsid w:val="00B92B9F"/>
    <w:rsid w:val="00B92C56"/>
    <w:rsid w:val="00B92D9A"/>
    <w:rsid w:val="00B92E54"/>
    <w:rsid w:val="00B92F97"/>
    <w:rsid w:val="00B92FE7"/>
    <w:rsid w:val="00B93072"/>
    <w:rsid w:val="00B9307C"/>
    <w:rsid w:val="00B930A8"/>
    <w:rsid w:val="00B93101"/>
    <w:rsid w:val="00B93219"/>
    <w:rsid w:val="00B93485"/>
    <w:rsid w:val="00B93511"/>
    <w:rsid w:val="00B9369D"/>
    <w:rsid w:val="00B93736"/>
    <w:rsid w:val="00B938C7"/>
    <w:rsid w:val="00B939DC"/>
    <w:rsid w:val="00B93A17"/>
    <w:rsid w:val="00B93A40"/>
    <w:rsid w:val="00B93ACA"/>
    <w:rsid w:val="00B93B80"/>
    <w:rsid w:val="00B93E26"/>
    <w:rsid w:val="00B93F08"/>
    <w:rsid w:val="00B9408F"/>
    <w:rsid w:val="00B94218"/>
    <w:rsid w:val="00B9424E"/>
    <w:rsid w:val="00B942EA"/>
    <w:rsid w:val="00B9432C"/>
    <w:rsid w:val="00B943FF"/>
    <w:rsid w:val="00B944FD"/>
    <w:rsid w:val="00B9471B"/>
    <w:rsid w:val="00B94739"/>
    <w:rsid w:val="00B948BF"/>
    <w:rsid w:val="00B948F2"/>
    <w:rsid w:val="00B94998"/>
    <w:rsid w:val="00B949CB"/>
    <w:rsid w:val="00B94A40"/>
    <w:rsid w:val="00B94A88"/>
    <w:rsid w:val="00B94B8E"/>
    <w:rsid w:val="00B94C2C"/>
    <w:rsid w:val="00B94C3F"/>
    <w:rsid w:val="00B94D0C"/>
    <w:rsid w:val="00B94D3B"/>
    <w:rsid w:val="00B94DA4"/>
    <w:rsid w:val="00B94DC4"/>
    <w:rsid w:val="00B94E65"/>
    <w:rsid w:val="00B95015"/>
    <w:rsid w:val="00B95033"/>
    <w:rsid w:val="00B9506F"/>
    <w:rsid w:val="00B95343"/>
    <w:rsid w:val="00B95395"/>
    <w:rsid w:val="00B9547A"/>
    <w:rsid w:val="00B95732"/>
    <w:rsid w:val="00B957F0"/>
    <w:rsid w:val="00B95B01"/>
    <w:rsid w:val="00B95B46"/>
    <w:rsid w:val="00B95CDA"/>
    <w:rsid w:val="00B95DF1"/>
    <w:rsid w:val="00B95E3F"/>
    <w:rsid w:val="00B95E99"/>
    <w:rsid w:val="00B95F11"/>
    <w:rsid w:val="00B95FFE"/>
    <w:rsid w:val="00B9617A"/>
    <w:rsid w:val="00B9618F"/>
    <w:rsid w:val="00B964F9"/>
    <w:rsid w:val="00B9690F"/>
    <w:rsid w:val="00B969E9"/>
    <w:rsid w:val="00B96A72"/>
    <w:rsid w:val="00B96AEE"/>
    <w:rsid w:val="00B96B9A"/>
    <w:rsid w:val="00B96C40"/>
    <w:rsid w:val="00B96F7A"/>
    <w:rsid w:val="00B9709D"/>
    <w:rsid w:val="00B97124"/>
    <w:rsid w:val="00B971A5"/>
    <w:rsid w:val="00B97265"/>
    <w:rsid w:val="00B97315"/>
    <w:rsid w:val="00B97344"/>
    <w:rsid w:val="00B973BE"/>
    <w:rsid w:val="00B976F9"/>
    <w:rsid w:val="00B977ED"/>
    <w:rsid w:val="00B97945"/>
    <w:rsid w:val="00B97ABC"/>
    <w:rsid w:val="00B97B08"/>
    <w:rsid w:val="00B97B76"/>
    <w:rsid w:val="00B97B7B"/>
    <w:rsid w:val="00B97CE2"/>
    <w:rsid w:val="00B97D62"/>
    <w:rsid w:val="00B97E2C"/>
    <w:rsid w:val="00B97F01"/>
    <w:rsid w:val="00B97F3A"/>
    <w:rsid w:val="00BA00E1"/>
    <w:rsid w:val="00BA02DC"/>
    <w:rsid w:val="00BA0752"/>
    <w:rsid w:val="00BA0A4E"/>
    <w:rsid w:val="00BA0B0E"/>
    <w:rsid w:val="00BA0B71"/>
    <w:rsid w:val="00BA0DE5"/>
    <w:rsid w:val="00BA0EEF"/>
    <w:rsid w:val="00BA0F6E"/>
    <w:rsid w:val="00BA0FFB"/>
    <w:rsid w:val="00BA1044"/>
    <w:rsid w:val="00BA1198"/>
    <w:rsid w:val="00BA14D5"/>
    <w:rsid w:val="00BA15B8"/>
    <w:rsid w:val="00BA1681"/>
    <w:rsid w:val="00BA19CB"/>
    <w:rsid w:val="00BA1B96"/>
    <w:rsid w:val="00BA1D34"/>
    <w:rsid w:val="00BA1D76"/>
    <w:rsid w:val="00BA21AA"/>
    <w:rsid w:val="00BA21E1"/>
    <w:rsid w:val="00BA23B0"/>
    <w:rsid w:val="00BA23E2"/>
    <w:rsid w:val="00BA24C9"/>
    <w:rsid w:val="00BA2518"/>
    <w:rsid w:val="00BA253D"/>
    <w:rsid w:val="00BA275A"/>
    <w:rsid w:val="00BA275D"/>
    <w:rsid w:val="00BA27D5"/>
    <w:rsid w:val="00BA29D9"/>
    <w:rsid w:val="00BA2C17"/>
    <w:rsid w:val="00BA2DE2"/>
    <w:rsid w:val="00BA2F5C"/>
    <w:rsid w:val="00BA2FE3"/>
    <w:rsid w:val="00BA307C"/>
    <w:rsid w:val="00BA3440"/>
    <w:rsid w:val="00BA35AB"/>
    <w:rsid w:val="00BA35F2"/>
    <w:rsid w:val="00BA3700"/>
    <w:rsid w:val="00BA370E"/>
    <w:rsid w:val="00BA3858"/>
    <w:rsid w:val="00BA38F4"/>
    <w:rsid w:val="00BA3900"/>
    <w:rsid w:val="00BA391A"/>
    <w:rsid w:val="00BA395D"/>
    <w:rsid w:val="00BA3995"/>
    <w:rsid w:val="00BA39E6"/>
    <w:rsid w:val="00BA3A74"/>
    <w:rsid w:val="00BA3C80"/>
    <w:rsid w:val="00BA3E84"/>
    <w:rsid w:val="00BA3EE0"/>
    <w:rsid w:val="00BA3F86"/>
    <w:rsid w:val="00BA405C"/>
    <w:rsid w:val="00BA4227"/>
    <w:rsid w:val="00BA42C7"/>
    <w:rsid w:val="00BA438F"/>
    <w:rsid w:val="00BA43B0"/>
    <w:rsid w:val="00BA4474"/>
    <w:rsid w:val="00BA44EA"/>
    <w:rsid w:val="00BA45E1"/>
    <w:rsid w:val="00BA478B"/>
    <w:rsid w:val="00BA4848"/>
    <w:rsid w:val="00BA487B"/>
    <w:rsid w:val="00BA49A9"/>
    <w:rsid w:val="00BA4C9F"/>
    <w:rsid w:val="00BA4E4B"/>
    <w:rsid w:val="00BA4FAE"/>
    <w:rsid w:val="00BA4FE5"/>
    <w:rsid w:val="00BA5059"/>
    <w:rsid w:val="00BA50AA"/>
    <w:rsid w:val="00BA50BE"/>
    <w:rsid w:val="00BA5191"/>
    <w:rsid w:val="00BA51CF"/>
    <w:rsid w:val="00BA5284"/>
    <w:rsid w:val="00BA566C"/>
    <w:rsid w:val="00BA5670"/>
    <w:rsid w:val="00BA5679"/>
    <w:rsid w:val="00BA56EE"/>
    <w:rsid w:val="00BA570C"/>
    <w:rsid w:val="00BA579E"/>
    <w:rsid w:val="00BA5861"/>
    <w:rsid w:val="00BA5941"/>
    <w:rsid w:val="00BA5A48"/>
    <w:rsid w:val="00BA5B00"/>
    <w:rsid w:val="00BA5B09"/>
    <w:rsid w:val="00BA5CF5"/>
    <w:rsid w:val="00BA5DA8"/>
    <w:rsid w:val="00BA62C8"/>
    <w:rsid w:val="00BA6490"/>
    <w:rsid w:val="00BA64A0"/>
    <w:rsid w:val="00BA65E8"/>
    <w:rsid w:val="00BA6603"/>
    <w:rsid w:val="00BA6820"/>
    <w:rsid w:val="00BA6827"/>
    <w:rsid w:val="00BA6B10"/>
    <w:rsid w:val="00BA6B87"/>
    <w:rsid w:val="00BA6CC3"/>
    <w:rsid w:val="00BA6D3C"/>
    <w:rsid w:val="00BA6D89"/>
    <w:rsid w:val="00BA6DCE"/>
    <w:rsid w:val="00BA6F04"/>
    <w:rsid w:val="00BA7061"/>
    <w:rsid w:val="00BA7095"/>
    <w:rsid w:val="00BA7239"/>
    <w:rsid w:val="00BA7263"/>
    <w:rsid w:val="00BA7342"/>
    <w:rsid w:val="00BA7378"/>
    <w:rsid w:val="00BA76B4"/>
    <w:rsid w:val="00BA76CC"/>
    <w:rsid w:val="00BA76E4"/>
    <w:rsid w:val="00BA7720"/>
    <w:rsid w:val="00BA7906"/>
    <w:rsid w:val="00BA7949"/>
    <w:rsid w:val="00BA7980"/>
    <w:rsid w:val="00BA7984"/>
    <w:rsid w:val="00BA7B1B"/>
    <w:rsid w:val="00BA7B47"/>
    <w:rsid w:val="00BA7C34"/>
    <w:rsid w:val="00BA7E68"/>
    <w:rsid w:val="00BA7E8A"/>
    <w:rsid w:val="00BA7F4D"/>
    <w:rsid w:val="00BA7F53"/>
    <w:rsid w:val="00BB001E"/>
    <w:rsid w:val="00BB0127"/>
    <w:rsid w:val="00BB01AA"/>
    <w:rsid w:val="00BB045D"/>
    <w:rsid w:val="00BB05E8"/>
    <w:rsid w:val="00BB068B"/>
    <w:rsid w:val="00BB06C2"/>
    <w:rsid w:val="00BB078E"/>
    <w:rsid w:val="00BB0999"/>
    <w:rsid w:val="00BB0A7D"/>
    <w:rsid w:val="00BB0ADB"/>
    <w:rsid w:val="00BB0B09"/>
    <w:rsid w:val="00BB0B9C"/>
    <w:rsid w:val="00BB0CAB"/>
    <w:rsid w:val="00BB0DED"/>
    <w:rsid w:val="00BB0EE9"/>
    <w:rsid w:val="00BB10CE"/>
    <w:rsid w:val="00BB1128"/>
    <w:rsid w:val="00BB11A6"/>
    <w:rsid w:val="00BB11F6"/>
    <w:rsid w:val="00BB130D"/>
    <w:rsid w:val="00BB14EF"/>
    <w:rsid w:val="00BB164E"/>
    <w:rsid w:val="00BB1B34"/>
    <w:rsid w:val="00BB1B88"/>
    <w:rsid w:val="00BB1BE6"/>
    <w:rsid w:val="00BB1CB4"/>
    <w:rsid w:val="00BB1CC4"/>
    <w:rsid w:val="00BB1D03"/>
    <w:rsid w:val="00BB1E3C"/>
    <w:rsid w:val="00BB1E8D"/>
    <w:rsid w:val="00BB202C"/>
    <w:rsid w:val="00BB20C7"/>
    <w:rsid w:val="00BB2336"/>
    <w:rsid w:val="00BB2733"/>
    <w:rsid w:val="00BB274E"/>
    <w:rsid w:val="00BB2759"/>
    <w:rsid w:val="00BB27D7"/>
    <w:rsid w:val="00BB2889"/>
    <w:rsid w:val="00BB2A03"/>
    <w:rsid w:val="00BB2B14"/>
    <w:rsid w:val="00BB2C0A"/>
    <w:rsid w:val="00BB2C6E"/>
    <w:rsid w:val="00BB2CE0"/>
    <w:rsid w:val="00BB2F3B"/>
    <w:rsid w:val="00BB3001"/>
    <w:rsid w:val="00BB308C"/>
    <w:rsid w:val="00BB30A8"/>
    <w:rsid w:val="00BB3119"/>
    <w:rsid w:val="00BB3240"/>
    <w:rsid w:val="00BB34AB"/>
    <w:rsid w:val="00BB3502"/>
    <w:rsid w:val="00BB352B"/>
    <w:rsid w:val="00BB35A9"/>
    <w:rsid w:val="00BB37DC"/>
    <w:rsid w:val="00BB3BA6"/>
    <w:rsid w:val="00BB3C0A"/>
    <w:rsid w:val="00BB3E9B"/>
    <w:rsid w:val="00BB3EFF"/>
    <w:rsid w:val="00BB3F1E"/>
    <w:rsid w:val="00BB4077"/>
    <w:rsid w:val="00BB407E"/>
    <w:rsid w:val="00BB44C9"/>
    <w:rsid w:val="00BB4585"/>
    <w:rsid w:val="00BB4680"/>
    <w:rsid w:val="00BB4786"/>
    <w:rsid w:val="00BB4854"/>
    <w:rsid w:val="00BB4A08"/>
    <w:rsid w:val="00BB4A45"/>
    <w:rsid w:val="00BB4A60"/>
    <w:rsid w:val="00BB4AFF"/>
    <w:rsid w:val="00BB4BAC"/>
    <w:rsid w:val="00BB4CB0"/>
    <w:rsid w:val="00BB4D5D"/>
    <w:rsid w:val="00BB4E93"/>
    <w:rsid w:val="00BB4F04"/>
    <w:rsid w:val="00BB5182"/>
    <w:rsid w:val="00BB524E"/>
    <w:rsid w:val="00BB5259"/>
    <w:rsid w:val="00BB528C"/>
    <w:rsid w:val="00BB546F"/>
    <w:rsid w:val="00BB556F"/>
    <w:rsid w:val="00BB55B1"/>
    <w:rsid w:val="00BB55C1"/>
    <w:rsid w:val="00BB56D1"/>
    <w:rsid w:val="00BB56FD"/>
    <w:rsid w:val="00BB581D"/>
    <w:rsid w:val="00BB585D"/>
    <w:rsid w:val="00BB587C"/>
    <w:rsid w:val="00BB58E4"/>
    <w:rsid w:val="00BB5A4C"/>
    <w:rsid w:val="00BB5A94"/>
    <w:rsid w:val="00BB5AD4"/>
    <w:rsid w:val="00BB5B42"/>
    <w:rsid w:val="00BB5BCE"/>
    <w:rsid w:val="00BB5BD3"/>
    <w:rsid w:val="00BB5D7B"/>
    <w:rsid w:val="00BB5FAC"/>
    <w:rsid w:val="00BB602E"/>
    <w:rsid w:val="00BB609B"/>
    <w:rsid w:val="00BB60B7"/>
    <w:rsid w:val="00BB6225"/>
    <w:rsid w:val="00BB6296"/>
    <w:rsid w:val="00BB638B"/>
    <w:rsid w:val="00BB65B7"/>
    <w:rsid w:val="00BB67A3"/>
    <w:rsid w:val="00BB6A35"/>
    <w:rsid w:val="00BB6B1C"/>
    <w:rsid w:val="00BB6B56"/>
    <w:rsid w:val="00BB6BE2"/>
    <w:rsid w:val="00BB6C14"/>
    <w:rsid w:val="00BB6C4F"/>
    <w:rsid w:val="00BB700E"/>
    <w:rsid w:val="00BB7013"/>
    <w:rsid w:val="00BB701D"/>
    <w:rsid w:val="00BB71B2"/>
    <w:rsid w:val="00BB7311"/>
    <w:rsid w:val="00BB7398"/>
    <w:rsid w:val="00BB73D1"/>
    <w:rsid w:val="00BB743E"/>
    <w:rsid w:val="00BB7619"/>
    <w:rsid w:val="00BB7730"/>
    <w:rsid w:val="00BB7799"/>
    <w:rsid w:val="00BB7892"/>
    <w:rsid w:val="00BB79D2"/>
    <w:rsid w:val="00BB7A5A"/>
    <w:rsid w:val="00BB7B20"/>
    <w:rsid w:val="00BB7B37"/>
    <w:rsid w:val="00BB7BDF"/>
    <w:rsid w:val="00BB7CA5"/>
    <w:rsid w:val="00BB7D80"/>
    <w:rsid w:val="00BB7D9B"/>
    <w:rsid w:val="00BB7EA0"/>
    <w:rsid w:val="00BB7EB2"/>
    <w:rsid w:val="00BB7EF6"/>
    <w:rsid w:val="00BB7F59"/>
    <w:rsid w:val="00BB7F91"/>
    <w:rsid w:val="00BB7FFC"/>
    <w:rsid w:val="00BC0040"/>
    <w:rsid w:val="00BC00B9"/>
    <w:rsid w:val="00BC0136"/>
    <w:rsid w:val="00BC01C1"/>
    <w:rsid w:val="00BC01C9"/>
    <w:rsid w:val="00BC0220"/>
    <w:rsid w:val="00BC02CE"/>
    <w:rsid w:val="00BC04B2"/>
    <w:rsid w:val="00BC0583"/>
    <w:rsid w:val="00BC06BC"/>
    <w:rsid w:val="00BC083B"/>
    <w:rsid w:val="00BC087B"/>
    <w:rsid w:val="00BC097E"/>
    <w:rsid w:val="00BC0A7F"/>
    <w:rsid w:val="00BC0A86"/>
    <w:rsid w:val="00BC0AD8"/>
    <w:rsid w:val="00BC0B98"/>
    <w:rsid w:val="00BC0BC8"/>
    <w:rsid w:val="00BC0D9D"/>
    <w:rsid w:val="00BC0E1F"/>
    <w:rsid w:val="00BC0F00"/>
    <w:rsid w:val="00BC1193"/>
    <w:rsid w:val="00BC1295"/>
    <w:rsid w:val="00BC1571"/>
    <w:rsid w:val="00BC168B"/>
    <w:rsid w:val="00BC17E2"/>
    <w:rsid w:val="00BC18ED"/>
    <w:rsid w:val="00BC19D5"/>
    <w:rsid w:val="00BC1AE1"/>
    <w:rsid w:val="00BC1BD1"/>
    <w:rsid w:val="00BC1C53"/>
    <w:rsid w:val="00BC1F9A"/>
    <w:rsid w:val="00BC20D0"/>
    <w:rsid w:val="00BC234F"/>
    <w:rsid w:val="00BC2393"/>
    <w:rsid w:val="00BC247C"/>
    <w:rsid w:val="00BC24BC"/>
    <w:rsid w:val="00BC25BC"/>
    <w:rsid w:val="00BC267A"/>
    <w:rsid w:val="00BC26EA"/>
    <w:rsid w:val="00BC279E"/>
    <w:rsid w:val="00BC27A7"/>
    <w:rsid w:val="00BC2841"/>
    <w:rsid w:val="00BC28CA"/>
    <w:rsid w:val="00BC28DD"/>
    <w:rsid w:val="00BC2B0E"/>
    <w:rsid w:val="00BC2B63"/>
    <w:rsid w:val="00BC2DA0"/>
    <w:rsid w:val="00BC3074"/>
    <w:rsid w:val="00BC30FE"/>
    <w:rsid w:val="00BC318D"/>
    <w:rsid w:val="00BC3236"/>
    <w:rsid w:val="00BC3407"/>
    <w:rsid w:val="00BC3460"/>
    <w:rsid w:val="00BC3578"/>
    <w:rsid w:val="00BC3599"/>
    <w:rsid w:val="00BC3807"/>
    <w:rsid w:val="00BC381A"/>
    <w:rsid w:val="00BC3822"/>
    <w:rsid w:val="00BC38A1"/>
    <w:rsid w:val="00BC3933"/>
    <w:rsid w:val="00BC39C9"/>
    <w:rsid w:val="00BC3A03"/>
    <w:rsid w:val="00BC3A8A"/>
    <w:rsid w:val="00BC3D38"/>
    <w:rsid w:val="00BC3DC0"/>
    <w:rsid w:val="00BC3DC6"/>
    <w:rsid w:val="00BC3E10"/>
    <w:rsid w:val="00BC3E7B"/>
    <w:rsid w:val="00BC3EC8"/>
    <w:rsid w:val="00BC3ED4"/>
    <w:rsid w:val="00BC3FD3"/>
    <w:rsid w:val="00BC408A"/>
    <w:rsid w:val="00BC413C"/>
    <w:rsid w:val="00BC41CB"/>
    <w:rsid w:val="00BC42AB"/>
    <w:rsid w:val="00BC42AD"/>
    <w:rsid w:val="00BC44B1"/>
    <w:rsid w:val="00BC44C8"/>
    <w:rsid w:val="00BC4804"/>
    <w:rsid w:val="00BC4908"/>
    <w:rsid w:val="00BC49E8"/>
    <w:rsid w:val="00BC4E92"/>
    <w:rsid w:val="00BC4EC0"/>
    <w:rsid w:val="00BC4F41"/>
    <w:rsid w:val="00BC4F95"/>
    <w:rsid w:val="00BC5172"/>
    <w:rsid w:val="00BC51B4"/>
    <w:rsid w:val="00BC51FB"/>
    <w:rsid w:val="00BC5409"/>
    <w:rsid w:val="00BC551C"/>
    <w:rsid w:val="00BC558D"/>
    <w:rsid w:val="00BC55B3"/>
    <w:rsid w:val="00BC55BE"/>
    <w:rsid w:val="00BC56B0"/>
    <w:rsid w:val="00BC5783"/>
    <w:rsid w:val="00BC5B40"/>
    <w:rsid w:val="00BC5D5F"/>
    <w:rsid w:val="00BC5E34"/>
    <w:rsid w:val="00BC5E96"/>
    <w:rsid w:val="00BC5ED7"/>
    <w:rsid w:val="00BC6052"/>
    <w:rsid w:val="00BC61FB"/>
    <w:rsid w:val="00BC625D"/>
    <w:rsid w:val="00BC62EB"/>
    <w:rsid w:val="00BC6472"/>
    <w:rsid w:val="00BC6478"/>
    <w:rsid w:val="00BC656E"/>
    <w:rsid w:val="00BC699D"/>
    <w:rsid w:val="00BC7098"/>
    <w:rsid w:val="00BC7269"/>
    <w:rsid w:val="00BC7367"/>
    <w:rsid w:val="00BC7471"/>
    <w:rsid w:val="00BC7484"/>
    <w:rsid w:val="00BC7584"/>
    <w:rsid w:val="00BC75B9"/>
    <w:rsid w:val="00BC7631"/>
    <w:rsid w:val="00BC76F8"/>
    <w:rsid w:val="00BC76FD"/>
    <w:rsid w:val="00BC7771"/>
    <w:rsid w:val="00BC78F7"/>
    <w:rsid w:val="00BC79A8"/>
    <w:rsid w:val="00BC7A2F"/>
    <w:rsid w:val="00BC7AC1"/>
    <w:rsid w:val="00BC7AD1"/>
    <w:rsid w:val="00BC7AFB"/>
    <w:rsid w:val="00BC7AFF"/>
    <w:rsid w:val="00BC7C16"/>
    <w:rsid w:val="00BC7C5A"/>
    <w:rsid w:val="00BC7D97"/>
    <w:rsid w:val="00BC7EB7"/>
    <w:rsid w:val="00BC7F08"/>
    <w:rsid w:val="00BC7F4E"/>
    <w:rsid w:val="00BD0358"/>
    <w:rsid w:val="00BD03A1"/>
    <w:rsid w:val="00BD0462"/>
    <w:rsid w:val="00BD05F0"/>
    <w:rsid w:val="00BD0654"/>
    <w:rsid w:val="00BD07A0"/>
    <w:rsid w:val="00BD08D1"/>
    <w:rsid w:val="00BD09D7"/>
    <w:rsid w:val="00BD0BD3"/>
    <w:rsid w:val="00BD0EFC"/>
    <w:rsid w:val="00BD101C"/>
    <w:rsid w:val="00BD1047"/>
    <w:rsid w:val="00BD15B3"/>
    <w:rsid w:val="00BD1627"/>
    <w:rsid w:val="00BD1843"/>
    <w:rsid w:val="00BD1B5A"/>
    <w:rsid w:val="00BD1BE5"/>
    <w:rsid w:val="00BD1D12"/>
    <w:rsid w:val="00BD1E02"/>
    <w:rsid w:val="00BD2028"/>
    <w:rsid w:val="00BD2046"/>
    <w:rsid w:val="00BD2083"/>
    <w:rsid w:val="00BD21EC"/>
    <w:rsid w:val="00BD2340"/>
    <w:rsid w:val="00BD2397"/>
    <w:rsid w:val="00BD2733"/>
    <w:rsid w:val="00BD28B9"/>
    <w:rsid w:val="00BD2D9D"/>
    <w:rsid w:val="00BD2E1C"/>
    <w:rsid w:val="00BD2E7D"/>
    <w:rsid w:val="00BD2F5F"/>
    <w:rsid w:val="00BD3034"/>
    <w:rsid w:val="00BD30F8"/>
    <w:rsid w:val="00BD3155"/>
    <w:rsid w:val="00BD32BC"/>
    <w:rsid w:val="00BD33F3"/>
    <w:rsid w:val="00BD359D"/>
    <w:rsid w:val="00BD379E"/>
    <w:rsid w:val="00BD3822"/>
    <w:rsid w:val="00BD389C"/>
    <w:rsid w:val="00BD39D9"/>
    <w:rsid w:val="00BD3B6D"/>
    <w:rsid w:val="00BD3C15"/>
    <w:rsid w:val="00BD3E3A"/>
    <w:rsid w:val="00BD4089"/>
    <w:rsid w:val="00BD4128"/>
    <w:rsid w:val="00BD414A"/>
    <w:rsid w:val="00BD43CC"/>
    <w:rsid w:val="00BD443C"/>
    <w:rsid w:val="00BD4514"/>
    <w:rsid w:val="00BD480A"/>
    <w:rsid w:val="00BD4861"/>
    <w:rsid w:val="00BD487B"/>
    <w:rsid w:val="00BD4896"/>
    <w:rsid w:val="00BD489A"/>
    <w:rsid w:val="00BD4A23"/>
    <w:rsid w:val="00BD4AB7"/>
    <w:rsid w:val="00BD4B14"/>
    <w:rsid w:val="00BD4CB6"/>
    <w:rsid w:val="00BD4D20"/>
    <w:rsid w:val="00BD5092"/>
    <w:rsid w:val="00BD5255"/>
    <w:rsid w:val="00BD5297"/>
    <w:rsid w:val="00BD52CF"/>
    <w:rsid w:val="00BD5372"/>
    <w:rsid w:val="00BD552F"/>
    <w:rsid w:val="00BD5732"/>
    <w:rsid w:val="00BD5759"/>
    <w:rsid w:val="00BD57CC"/>
    <w:rsid w:val="00BD582F"/>
    <w:rsid w:val="00BD5923"/>
    <w:rsid w:val="00BD5B61"/>
    <w:rsid w:val="00BD5C44"/>
    <w:rsid w:val="00BD5C53"/>
    <w:rsid w:val="00BD5E9D"/>
    <w:rsid w:val="00BD5EE6"/>
    <w:rsid w:val="00BD5F57"/>
    <w:rsid w:val="00BD6031"/>
    <w:rsid w:val="00BD6221"/>
    <w:rsid w:val="00BD641F"/>
    <w:rsid w:val="00BD642F"/>
    <w:rsid w:val="00BD6478"/>
    <w:rsid w:val="00BD6590"/>
    <w:rsid w:val="00BD67CF"/>
    <w:rsid w:val="00BD6A5A"/>
    <w:rsid w:val="00BD6F67"/>
    <w:rsid w:val="00BD70C7"/>
    <w:rsid w:val="00BD74FD"/>
    <w:rsid w:val="00BD7564"/>
    <w:rsid w:val="00BD75AC"/>
    <w:rsid w:val="00BD7631"/>
    <w:rsid w:val="00BD76D6"/>
    <w:rsid w:val="00BD7806"/>
    <w:rsid w:val="00BD7820"/>
    <w:rsid w:val="00BD7837"/>
    <w:rsid w:val="00BD784F"/>
    <w:rsid w:val="00BD79A8"/>
    <w:rsid w:val="00BD7C14"/>
    <w:rsid w:val="00BD7D04"/>
    <w:rsid w:val="00BD7D67"/>
    <w:rsid w:val="00BD7F48"/>
    <w:rsid w:val="00BD7FB3"/>
    <w:rsid w:val="00BD7FBA"/>
    <w:rsid w:val="00BDD331"/>
    <w:rsid w:val="00BE00E9"/>
    <w:rsid w:val="00BE0254"/>
    <w:rsid w:val="00BE0310"/>
    <w:rsid w:val="00BE0376"/>
    <w:rsid w:val="00BE05D7"/>
    <w:rsid w:val="00BE075F"/>
    <w:rsid w:val="00BE0871"/>
    <w:rsid w:val="00BE0889"/>
    <w:rsid w:val="00BE08FE"/>
    <w:rsid w:val="00BE0975"/>
    <w:rsid w:val="00BE107D"/>
    <w:rsid w:val="00BE11AD"/>
    <w:rsid w:val="00BE1341"/>
    <w:rsid w:val="00BE1344"/>
    <w:rsid w:val="00BE165A"/>
    <w:rsid w:val="00BE19A6"/>
    <w:rsid w:val="00BE2003"/>
    <w:rsid w:val="00BE2032"/>
    <w:rsid w:val="00BE2295"/>
    <w:rsid w:val="00BE2306"/>
    <w:rsid w:val="00BE23A3"/>
    <w:rsid w:val="00BE23B3"/>
    <w:rsid w:val="00BE23CE"/>
    <w:rsid w:val="00BE2586"/>
    <w:rsid w:val="00BE25B8"/>
    <w:rsid w:val="00BE2A8B"/>
    <w:rsid w:val="00BE2B85"/>
    <w:rsid w:val="00BE2BE4"/>
    <w:rsid w:val="00BE2BEC"/>
    <w:rsid w:val="00BE2CDD"/>
    <w:rsid w:val="00BE2CE9"/>
    <w:rsid w:val="00BE2D41"/>
    <w:rsid w:val="00BE2D5B"/>
    <w:rsid w:val="00BE2EB5"/>
    <w:rsid w:val="00BE2EFF"/>
    <w:rsid w:val="00BE3238"/>
    <w:rsid w:val="00BE3274"/>
    <w:rsid w:val="00BE327A"/>
    <w:rsid w:val="00BE32BD"/>
    <w:rsid w:val="00BE3468"/>
    <w:rsid w:val="00BE37CF"/>
    <w:rsid w:val="00BE382D"/>
    <w:rsid w:val="00BE3864"/>
    <w:rsid w:val="00BE3883"/>
    <w:rsid w:val="00BE3C1C"/>
    <w:rsid w:val="00BE3C9F"/>
    <w:rsid w:val="00BE3D4C"/>
    <w:rsid w:val="00BE45B9"/>
    <w:rsid w:val="00BE47A6"/>
    <w:rsid w:val="00BE4922"/>
    <w:rsid w:val="00BE499F"/>
    <w:rsid w:val="00BE4A00"/>
    <w:rsid w:val="00BE4A7B"/>
    <w:rsid w:val="00BE4B95"/>
    <w:rsid w:val="00BE4C00"/>
    <w:rsid w:val="00BE4C43"/>
    <w:rsid w:val="00BE4F93"/>
    <w:rsid w:val="00BE500F"/>
    <w:rsid w:val="00BE5016"/>
    <w:rsid w:val="00BE5062"/>
    <w:rsid w:val="00BE51FD"/>
    <w:rsid w:val="00BE532D"/>
    <w:rsid w:val="00BE54B0"/>
    <w:rsid w:val="00BE573A"/>
    <w:rsid w:val="00BE57B5"/>
    <w:rsid w:val="00BE57D4"/>
    <w:rsid w:val="00BE57D6"/>
    <w:rsid w:val="00BE59AF"/>
    <w:rsid w:val="00BE5A24"/>
    <w:rsid w:val="00BE5A4C"/>
    <w:rsid w:val="00BE5A6A"/>
    <w:rsid w:val="00BE5B49"/>
    <w:rsid w:val="00BE5C58"/>
    <w:rsid w:val="00BE5D09"/>
    <w:rsid w:val="00BE5E06"/>
    <w:rsid w:val="00BE5E24"/>
    <w:rsid w:val="00BE5FA1"/>
    <w:rsid w:val="00BE5FB3"/>
    <w:rsid w:val="00BE5FD4"/>
    <w:rsid w:val="00BE60B7"/>
    <w:rsid w:val="00BE6108"/>
    <w:rsid w:val="00BE616F"/>
    <w:rsid w:val="00BE64D3"/>
    <w:rsid w:val="00BE6503"/>
    <w:rsid w:val="00BE65FE"/>
    <w:rsid w:val="00BE67B5"/>
    <w:rsid w:val="00BE68A1"/>
    <w:rsid w:val="00BE68C7"/>
    <w:rsid w:val="00BE68D9"/>
    <w:rsid w:val="00BE693D"/>
    <w:rsid w:val="00BE6EFD"/>
    <w:rsid w:val="00BE7164"/>
    <w:rsid w:val="00BE719B"/>
    <w:rsid w:val="00BE72FE"/>
    <w:rsid w:val="00BE7391"/>
    <w:rsid w:val="00BE77AC"/>
    <w:rsid w:val="00BE782E"/>
    <w:rsid w:val="00BE782F"/>
    <w:rsid w:val="00BE7946"/>
    <w:rsid w:val="00BE7AF1"/>
    <w:rsid w:val="00BE7B00"/>
    <w:rsid w:val="00BE7D08"/>
    <w:rsid w:val="00BE7DAB"/>
    <w:rsid w:val="00BE7DE6"/>
    <w:rsid w:val="00BE7DEA"/>
    <w:rsid w:val="00BF0011"/>
    <w:rsid w:val="00BF01ED"/>
    <w:rsid w:val="00BF0291"/>
    <w:rsid w:val="00BF0334"/>
    <w:rsid w:val="00BF0335"/>
    <w:rsid w:val="00BF049E"/>
    <w:rsid w:val="00BF04C3"/>
    <w:rsid w:val="00BF04DB"/>
    <w:rsid w:val="00BF0586"/>
    <w:rsid w:val="00BF0592"/>
    <w:rsid w:val="00BF0621"/>
    <w:rsid w:val="00BF082D"/>
    <w:rsid w:val="00BF08E4"/>
    <w:rsid w:val="00BF0934"/>
    <w:rsid w:val="00BF0968"/>
    <w:rsid w:val="00BF09E6"/>
    <w:rsid w:val="00BF0B48"/>
    <w:rsid w:val="00BF0C05"/>
    <w:rsid w:val="00BF0C9B"/>
    <w:rsid w:val="00BF0D25"/>
    <w:rsid w:val="00BF0DFE"/>
    <w:rsid w:val="00BF1062"/>
    <w:rsid w:val="00BF113C"/>
    <w:rsid w:val="00BF1242"/>
    <w:rsid w:val="00BF1333"/>
    <w:rsid w:val="00BF13A3"/>
    <w:rsid w:val="00BF1543"/>
    <w:rsid w:val="00BF1574"/>
    <w:rsid w:val="00BF15C6"/>
    <w:rsid w:val="00BF18E2"/>
    <w:rsid w:val="00BF1B7E"/>
    <w:rsid w:val="00BF1C91"/>
    <w:rsid w:val="00BF2135"/>
    <w:rsid w:val="00BF213A"/>
    <w:rsid w:val="00BF243C"/>
    <w:rsid w:val="00BF24D4"/>
    <w:rsid w:val="00BF253A"/>
    <w:rsid w:val="00BF25DE"/>
    <w:rsid w:val="00BF2810"/>
    <w:rsid w:val="00BF2916"/>
    <w:rsid w:val="00BF2962"/>
    <w:rsid w:val="00BF2AD9"/>
    <w:rsid w:val="00BF2C2E"/>
    <w:rsid w:val="00BF2F66"/>
    <w:rsid w:val="00BF30DE"/>
    <w:rsid w:val="00BF322F"/>
    <w:rsid w:val="00BF3234"/>
    <w:rsid w:val="00BF3330"/>
    <w:rsid w:val="00BF3352"/>
    <w:rsid w:val="00BF3369"/>
    <w:rsid w:val="00BF33F1"/>
    <w:rsid w:val="00BF36CB"/>
    <w:rsid w:val="00BF3A38"/>
    <w:rsid w:val="00BF3B10"/>
    <w:rsid w:val="00BF3BF7"/>
    <w:rsid w:val="00BF3DEC"/>
    <w:rsid w:val="00BF3EE0"/>
    <w:rsid w:val="00BF4207"/>
    <w:rsid w:val="00BF449E"/>
    <w:rsid w:val="00BF4550"/>
    <w:rsid w:val="00BF4614"/>
    <w:rsid w:val="00BF4621"/>
    <w:rsid w:val="00BF4820"/>
    <w:rsid w:val="00BF49BA"/>
    <w:rsid w:val="00BF49DA"/>
    <w:rsid w:val="00BF4A1F"/>
    <w:rsid w:val="00BF4A25"/>
    <w:rsid w:val="00BF4B4F"/>
    <w:rsid w:val="00BF4BD1"/>
    <w:rsid w:val="00BF51EC"/>
    <w:rsid w:val="00BF543C"/>
    <w:rsid w:val="00BF5534"/>
    <w:rsid w:val="00BF553B"/>
    <w:rsid w:val="00BF566A"/>
    <w:rsid w:val="00BF568C"/>
    <w:rsid w:val="00BF5839"/>
    <w:rsid w:val="00BF59E3"/>
    <w:rsid w:val="00BF5A06"/>
    <w:rsid w:val="00BF5C46"/>
    <w:rsid w:val="00BF5E08"/>
    <w:rsid w:val="00BF5F2D"/>
    <w:rsid w:val="00BF5F39"/>
    <w:rsid w:val="00BF62D3"/>
    <w:rsid w:val="00BF6336"/>
    <w:rsid w:val="00BF6571"/>
    <w:rsid w:val="00BF69F4"/>
    <w:rsid w:val="00BF6A0D"/>
    <w:rsid w:val="00BF6CAE"/>
    <w:rsid w:val="00BF6E2C"/>
    <w:rsid w:val="00BF6F62"/>
    <w:rsid w:val="00BF6FA7"/>
    <w:rsid w:val="00BF7093"/>
    <w:rsid w:val="00BF724C"/>
    <w:rsid w:val="00BF7347"/>
    <w:rsid w:val="00BF73FA"/>
    <w:rsid w:val="00BF7449"/>
    <w:rsid w:val="00BF7742"/>
    <w:rsid w:val="00BF7806"/>
    <w:rsid w:val="00BF788F"/>
    <w:rsid w:val="00BF78EC"/>
    <w:rsid w:val="00BF792C"/>
    <w:rsid w:val="00BF7A05"/>
    <w:rsid w:val="00BF7A46"/>
    <w:rsid w:val="00BF7B16"/>
    <w:rsid w:val="00BF7C41"/>
    <w:rsid w:val="00BF7C4B"/>
    <w:rsid w:val="00BF7F05"/>
    <w:rsid w:val="00BF7F83"/>
    <w:rsid w:val="00C000D1"/>
    <w:rsid w:val="00C002EB"/>
    <w:rsid w:val="00C00305"/>
    <w:rsid w:val="00C0035D"/>
    <w:rsid w:val="00C00388"/>
    <w:rsid w:val="00C003C3"/>
    <w:rsid w:val="00C00502"/>
    <w:rsid w:val="00C00653"/>
    <w:rsid w:val="00C00806"/>
    <w:rsid w:val="00C0086D"/>
    <w:rsid w:val="00C0091E"/>
    <w:rsid w:val="00C00CB3"/>
    <w:rsid w:val="00C00CF1"/>
    <w:rsid w:val="00C00F7B"/>
    <w:rsid w:val="00C00FDA"/>
    <w:rsid w:val="00C0101B"/>
    <w:rsid w:val="00C01097"/>
    <w:rsid w:val="00C010C1"/>
    <w:rsid w:val="00C01364"/>
    <w:rsid w:val="00C0148A"/>
    <w:rsid w:val="00C014AE"/>
    <w:rsid w:val="00C015EA"/>
    <w:rsid w:val="00C017AE"/>
    <w:rsid w:val="00C01AE9"/>
    <w:rsid w:val="00C01B2D"/>
    <w:rsid w:val="00C01C06"/>
    <w:rsid w:val="00C01C7C"/>
    <w:rsid w:val="00C01D97"/>
    <w:rsid w:val="00C01FCE"/>
    <w:rsid w:val="00C01FD2"/>
    <w:rsid w:val="00C0200B"/>
    <w:rsid w:val="00C0216D"/>
    <w:rsid w:val="00C02193"/>
    <w:rsid w:val="00C021D1"/>
    <w:rsid w:val="00C02242"/>
    <w:rsid w:val="00C0225E"/>
    <w:rsid w:val="00C02413"/>
    <w:rsid w:val="00C02530"/>
    <w:rsid w:val="00C0264B"/>
    <w:rsid w:val="00C026A5"/>
    <w:rsid w:val="00C029DC"/>
    <w:rsid w:val="00C02A54"/>
    <w:rsid w:val="00C02B2E"/>
    <w:rsid w:val="00C02BD0"/>
    <w:rsid w:val="00C02D89"/>
    <w:rsid w:val="00C02E3A"/>
    <w:rsid w:val="00C02E69"/>
    <w:rsid w:val="00C02F9B"/>
    <w:rsid w:val="00C03069"/>
    <w:rsid w:val="00C03076"/>
    <w:rsid w:val="00C032E7"/>
    <w:rsid w:val="00C0337A"/>
    <w:rsid w:val="00C033C8"/>
    <w:rsid w:val="00C035A9"/>
    <w:rsid w:val="00C03766"/>
    <w:rsid w:val="00C03770"/>
    <w:rsid w:val="00C038EA"/>
    <w:rsid w:val="00C039BB"/>
    <w:rsid w:val="00C039D7"/>
    <w:rsid w:val="00C03C69"/>
    <w:rsid w:val="00C03D2E"/>
    <w:rsid w:val="00C03D92"/>
    <w:rsid w:val="00C03DF2"/>
    <w:rsid w:val="00C03F4B"/>
    <w:rsid w:val="00C03F64"/>
    <w:rsid w:val="00C03F86"/>
    <w:rsid w:val="00C04038"/>
    <w:rsid w:val="00C042DF"/>
    <w:rsid w:val="00C042F1"/>
    <w:rsid w:val="00C04316"/>
    <w:rsid w:val="00C0431B"/>
    <w:rsid w:val="00C0431D"/>
    <w:rsid w:val="00C04448"/>
    <w:rsid w:val="00C04524"/>
    <w:rsid w:val="00C04560"/>
    <w:rsid w:val="00C04570"/>
    <w:rsid w:val="00C04617"/>
    <w:rsid w:val="00C04623"/>
    <w:rsid w:val="00C04636"/>
    <w:rsid w:val="00C0488E"/>
    <w:rsid w:val="00C04AD7"/>
    <w:rsid w:val="00C04D38"/>
    <w:rsid w:val="00C04D65"/>
    <w:rsid w:val="00C04FC5"/>
    <w:rsid w:val="00C0524C"/>
    <w:rsid w:val="00C052F9"/>
    <w:rsid w:val="00C05333"/>
    <w:rsid w:val="00C053CD"/>
    <w:rsid w:val="00C054EA"/>
    <w:rsid w:val="00C055C4"/>
    <w:rsid w:val="00C05616"/>
    <w:rsid w:val="00C05727"/>
    <w:rsid w:val="00C0583F"/>
    <w:rsid w:val="00C05A27"/>
    <w:rsid w:val="00C05A8A"/>
    <w:rsid w:val="00C05BF4"/>
    <w:rsid w:val="00C05D50"/>
    <w:rsid w:val="00C05D98"/>
    <w:rsid w:val="00C05DB7"/>
    <w:rsid w:val="00C05DCC"/>
    <w:rsid w:val="00C05E30"/>
    <w:rsid w:val="00C05E6E"/>
    <w:rsid w:val="00C0601D"/>
    <w:rsid w:val="00C06061"/>
    <w:rsid w:val="00C060A7"/>
    <w:rsid w:val="00C0624D"/>
    <w:rsid w:val="00C062DC"/>
    <w:rsid w:val="00C062FE"/>
    <w:rsid w:val="00C06499"/>
    <w:rsid w:val="00C0656C"/>
    <w:rsid w:val="00C066EB"/>
    <w:rsid w:val="00C066F1"/>
    <w:rsid w:val="00C067C0"/>
    <w:rsid w:val="00C067EB"/>
    <w:rsid w:val="00C06814"/>
    <w:rsid w:val="00C06E4E"/>
    <w:rsid w:val="00C06FA0"/>
    <w:rsid w:val="00C07088"/>
    <w:rsid w:val="00C070C6"/>
    <w:rsid w:val="00C070C7"/>
    <w:rsid w:val="00C070FF"/>
    <w:rsid w:val="00C071CA"/>
    <w:rsid w:val="00C07383"/>
    <w:rsid w:val="00C0742B"/>
    <w:rsid w:val="00C0752D"/>
    <w:rsid w:val="00C07643"/>
    <w:rsid w:val="00C07672"/>
    <w:rsid w:val="00C076EC"/>
    <w:rsid w:val="00C07717"/>
    <w:rsid w:val="00C07728"/>
    <w:rsid w:val="00C077A9"/>
    <w:rsid w:val="00C077BB"/>
    <w:rsid w:val="00C078EB"/>
    <w:rsid w:val="00C07936"/>
    <w:rsid w:val="00C07950"/>
    <w:rsid w:val="00C07A72"/>
    <w:rsid w:val="00C07B2D"/>
    <w:rsid w:val="00C07C87"/>
    <w:rsid w:val="00C07D9A"/>
    <w:rsid w:val="00C07EE5"/>
    <w:rsid w:val="00C07F2C"/>
    <w:rsid w:val="00C07F32"/>
    <w:rsid w:val="00C07FF7"/>
    <w:rsid w:val="00C102B1"/>
    <w:rsid w:val="00C10301"/>
    <w:rsid w:val="00C10401"/>
    <w:rsid w:val="00C10425"/>
    <w:rsid w:val="00C1042E"/>
    <w:rsid w:val="00C104B0"/>
    <w:rsid w:val="00C10870"/>
    <w:rsid w:val="00C10AFC"/>
    <w:rsid w:val="00C10D70"/>
    <w:rsid w:val="00C10DC6"/>
    <w:rsid w:val="00C10E8F"/>
    <w:rsid w:val="00C10EF6"/>
    <w:rsid w:val="00C10F72"/>
    <w:rsid w:val="00C1107B"/>
    <w:rsid w:val="00C11124"/>
    <w:rsid w:val="00C11144"/>
    <w:rsid w:val="00C11281"/>
    <w:rsid w:val="00C1130B"/>
    <w:rsid w:val="00C114F2"/>
    <w:rsid w:val="00C115BE"/>
    <w:rsid w:val="00C115DB"/>
    <w:rsid w:val="00C11628"/>
    <w:rsid w:val="00C1163B"/>
    <w:rsid w:val="00C11740"/>
    <w:rsid w:val="00C1190E"/>
    <w:rsid w:val="00C11A64"/>
    <w:rsid w:val="00C11A8B"/>
    <w:rsid w:val="00C11B0F"/>
    <w:rsid w:val="00C11EDE"/>
    <w:rsid w:val="00C11F27"/>
    <w:rsid w:val="00C1214A"/>
    <w:rsid w:val="00C12215"/>
    <w:rsid w:val="00C1223F"/>
    <w:rsid w:val="00C12269"/>
    <w:rsid w:val="00C1235C"/>
    <w:rsid w:val="00C12398"/>
    <w:rsid w:val="00C12412"/>
    <w:rsid w:val="00C1244F"/>
    <w:rsid w:val="00C125D1"/>
    <w:rsid w:val="00C12664"/>
    <w:rsid w:val="00C1274E"/>
    <w:rsid w:val="00C1277D"/>
    <w:rsid w:val="00C12808"/>
    <w:rsid w:val="00C128EC"/>
    <w:rsid w:val="00C12AD7"/>
    <w:rsid w:val="00C12AFD"/>
    <w:rsid w:val="00C12B56"/>
    <w:rsid w:val="00C12B93"/>
    <w:rsid w:val="00C12BC3"/>
    <w:rsid w:val="00C12BDE"/>
    <w:rsid w:val="00C12C15"/>
    <w:rsid w:val="00C12D31"/>
    <w:rsid w:val="00C12DA2"/>
    <w:rsid w:val="00C12EBE"/>
    <w:rsid w:val="00C12F57"/>
    <w:rsid w:val="00C130F2"/>
    <w:rsid w:val="00C130F5"/>
    <w:rsid w:val="00C13132"/>
    <w:rsid w:val="00C133CC"/>
    <w:rsid w:val="00C133EC"/>
    <w:rsid w:val="00C1399F"/>
    <w:rsid w:val="00C13B56"/>
    <w:rsid w:val="00C13BE5"/>
    <w:rsid w:val="00C13ED1"/>
    <w:rsid w:val="00C13F6A"/>
    <w:rsid w:val="00C142DB"/>
    <w:rsid w:val="00C147AD"/>
    <w:rsid w:val="00C147E1"/>
    <w:rsid w:val="00C147EB"/>
    <w:rsid w:val="00C14A58"/>
    <w:rsid w:val="00C14B3D"/>
    <w:rsid w:val="00C14BDA"/>
    <w:rsid w:val="00C14C3F"/>
    <w:rsid w:val="00C14F3F"/>
    <w:rsid w:val="00C14FB7"/>
    <w:rsid w:val="00C15255"/>
    <w:rsid w:val="00C1537C"/>
    <w:rsid w:val="00C15417"/>
    <w:rsid w:val="00C155D6"/>
    <w:rsid w:val="00C15654"/>
    <w:rsid w:val="00C15777"/>
    <w:rsid w:val="00C15786"/>
    <w:rsid w:val="00C1580A"/>
    <w:rsid w:val="00C1584C"/>
    <w:rsid w:val="00C15957"/>
    <w:rsid w:val="00C159F2"/>
    <w:rsid w:val="00C15A21"/>
    <w:rsid w:val="00C15AF7"/>
    <w:rsid w:val="00C15D25"/>
    <w:rsid w:val="00C15D5D"/>
    <w:rsid w:val="00C15D89"/>
    <w:rsid w:val="00C15E19"/>
    <w:rsid w:val="00C160D7"/>
    <w:rsid w:val="00C162A8"/>
    <w:rsid w:val="00C16454"/>
    <w:rsid w:val="00C16632"/>
    <w:rsid w:val="00C16711"/>
    <w:rsid w:val="00C16751"/>
    <w:rsid w:val="00C1680B"/>
    <w:rsid w:val="00C16877"/>
    <w:rsid w:val="00C168EB"/>
    <w:rsid w:val="00C1699D"/>
    <w:rsid w:val="00C169A8"/>
    <w:rsid w:val="00C169C3"/>
    <w:rsid w:val="00C169F1"/>
    <w:rsid w:val="00C16ADC"/>
    <w:rsid w:val="00C16AE8"/>
    <w:rsid w:val="00C16B7E"/>
    <w:rsid w:val="00C16C29"/>
    <w:rsid w:val="00C16D73"/>
    <w:rsid w:val="00C16E58"/>
    <w:rsid w:val="00C16FA1"/>
    <w:rsid w:val="00C16FDD"/>
    <w:rsid w:val="00C170C0"/>
    <w:rsid w:val="00C17284"/>
    <w:rsid w:val="00C17298"/>
    <w:rsid w:val="00C172BF"/>
    <w:rsid w:val="00C1741C"/>
    <w:rsid w:val="00C174C3"/>
    <w:rsid w:val="00C1752C"/>
    <w:rsid w:val="00C175A6"/>
    <w:rsid w:val="00C17850"/>
    <w:rsid w:val="00C178D9"/>
    <w:rsid w:val="00C1798A"/>
    <w:rsid w:val="00C179A9"/>
    <w:rsid w:val="00C17CC5"/>
    <w:rsid w:val="00C17D06"/>
    <w:rsid w:val="00C17DDC"/>
    <w:rsid w:val="00C2021F"/>
    <w:rsid w:val="00C2026A"/>
    <w:rsid w:val="00C2050C"/>
    <w:rsid w:val="00C205A0"/>
    <w:rsid w:val="00C2065D"/>
    <w:rsid w:val="00C206B3"/>
    <w:rsid w:val="00C206E6"/>
    <w:rsid w:val="00C2070A"/>
    <w:rsid w:val="00C20745"/>
    <w:rsid w:val="00C2080A"/>
    <w:rsid w:val="00C209E8"/>
    <w:rsid w:val="00C20A01"/>
    <w:rsid w:val="00C20AB5"/>
    <w:rsid w:val="00C20AB7"/>
    <w:rsid w:val="00C20AE3"/>
    <w:rsid w:val="00C20D00"/>
    <w:rsid w:val="00C20EC3"/>
    <w:rsid w:val="00C20F6A"/>
    <w:rsid w:val="00C20F7E"/>
    <w:rsid w:val="00C21048"/>
    <w:rsid w:val="00C2106D"/>
    <w:rsid w:val="00C2154C"/>
    <w:rsid w:val="00C215AD"/>
    <w:rsid w:val="00C215EC"/>
    <w:rsid w:val="00C2167A"/>
    <w:rsid w:val="00C21789"/>
    <w:rsid w:val="00C21941"/>
    <w:rsid w:val="00C21A66"/>
    <w:rsid w:val="00C21B81"/>
    <w:rsid w:val="00C21C12"/>
    <w:rsid w:val="00C21FDB"/>
    <w:rsid w:val="00C220F8"/>
    <w:rsid w:val="00C22206"/>
    <w:rsid w:val="00C2238D"/>
    <w:rsid w:val="00C22431"/>
    <w:rsid w:val="00C22462"/>
    <w:rsid w:val="00C224DC"/>
    <w:rsid w:val="00C224DF"/>
    <w:rsid w:val="00C224E8"/>
    <w:rsid w:val="00C225B3"/>
    <w:rsid w:val="00C226AE"/>
    <w:rsid w:val="00C226C4"/>
    <w:rsid w:val="00C22727"/>
    <w:rsid w:val="00C227EC"/>
    <w:rsid w:val="00C2283E"/>
    <w:rsid w:val="00C228A6"/>
    <w:rsid w:val="00C2297F"/>
    <w:rsid w:val="00C229C8"/>
    <w:rsid w:val="00C22A37"/>
    <w:rsid w:val="00C22B7F"/>
    <w:rsid w:val="00C22C72"/>
    <w:rsid w:val="00C22CC1"/>
    <w:rsid w:val="00C22E2E"/>
    <w:rsid w:val="00C230C9"/>
    <w:rsid w:val="00C2322F"/>
    <w:rsid w:val="00C232F8"/>
    <w:rsid w:val="00C2332B"/>
    <w:rsid w:val="00C23349"/>
    <w:rsid w:val="00C23576"/>
    <w:rsid w:val="00C2366A"/>
    <w:rsid w:val="00C237DB"/>
    <w:rsid w:val="00C23811"/>
    <w:rsid w:val="00C23A2E"/>
    <w:rsid w:val="00C23B8D"/>
    <w:rsid w:val="00C23CDC"/>
    <w:rsid w:val="00C23D6E"/>
    <w:rsid w:val="00C23D84"/>
    <w:rsid w:val="00C23EED"/>
    <w:rsid w:val="00C24049"/>
    <w:rsid w:val="00C2416E"/>
    <w:rsid w:val="00C24436"/>
    <w:rsid w:val="00C24456"/>
    <w:rsid w:val="00C24473"/>
    <w:rsid w:val="00C24491"/>
    <w:rsid w:val="00C24543"/>
    <w:rsid w:val="00C24603"/>
    <w:rsid w:val="00C246D8"/>
    <w:rsid w:val="00C2482E"/>
    <w:rsid w:val="00C248D8"/>
    <w:rsid w:val="00C24905"/>
    <w:rsid w:val="00C24A1C"/>
    <w:rsid w:val="00C24A92"/>
    <w:rsid w:val="00C24BF0"/>
    <w:rsid w:val="00C24C63"/>
    <w:rsid w:val="00C24C67"/>
    <w:rsid w:val="00C24D46"/>
    <w:rsid w:val="00C24E0C"/>
    <w:rsid w:val="00C25007"/>
    <w:rsid w:val="00C2500B"/>
    <w:rsid w:val="00C25059"/>
    <w:rsid w:val="00C2514E"/>
    <w:rsid w:val="00C251CE"/>
    <w:rsid w:val="00C252CF"/>
    <w:rsid w:val="00C25386"/>
    <w:rsid w:val="00C259A1"/>
    <w:rsid w:val="00C25A4C"/>
    <w:rsid w:val="00C25DF3"/>
    <w:rsid w:val="00C25E8F"/>
    <w:rsid w:val="00C25F44"/>
    <w:rsid w:val="00C25F98"/>
    <w:rsid w:val="00C2610C"/>
    <w:rsid w:val="00C26194"/>
    <w:rsid w:val="00C26247"/>
    <w:rsid w:val="00C263F0"/>
    <w:rsid w:val="00C2663A"/>
    <w:rsid w:val="00C26979"/>
    <w:rsid w:val="00C26A57"/>
    <w:rsid w:val="00C26A7E"/>
    <w:rsid w:val="00C26B3C"/>
    <w:rsid w:val="00C26B5D"/>
    <w:rsid w:val="00C26BC3"/>
    <w:rsid w:val="00C26C12"/>
    <w:rsid w:val="00C26D79"/>
    <w:rsid w:val="00C26DAD"/>
    <w:rsid w:val="00C271D2"/>
    <w:rsid w:val="00C2731D"/>
    <w:rsid w:val="00C273C9"/>
    <w:rsid w:val="00C2744D"/>
    <w:rsid w:val="00C275E0"/>
    <w:rsid w:val="00C2777B"/>
    <w:rsid w:val="00C279CF"/>
    <w:rsid w:val="00C27A96"/>
    <w:rsid w:val="00C27B26"/>
    <w:rsid w:val="00C27B40"/>
    <w:rsid w:val="00C27CCC"/>
    <w:rsid w:val="00C27D47"/>
    <w:rsid w:val="00C27DB8"/>
    <w:rsid w:val="00C27DD0"/>
    <w:rsid w:val="00C27DF2"/>
    <w:rsid w:val="00C300FB"/>
    <w:rsid w:val="00C302C0"/>
    <w:rsid w:val="00C30313"/>
    <w:rsid w:val="00C30709"/>
    <w:rsid w:val="00C30785"/>
    <w:rsid w:val="00C307DD"/>
    <w:rsid w:val="00C30985"/>
    <w:rsid w:val="00C309BC"/>
    <w:rsid w:val="00C30A9B"/>
    <w:rsid w:val="00C30D84"/>
    <w:rsid w:val="00C30DA6"/>
    <w:rsid w:val="00C30F04"/>
    <w:rsid w:val="00C30F40"/>
    <w:rsid w:val="00C30F6B"/>
    <w:rsid w:val="00C30FD6"/>
    <w:rsid w:val="00C31108"/>
    <w:rsid w:val="00C31286"/>
    <w:rsid w:val="00C31465"/>
    <w:rsid w:val="00C31905"/>
    <w:rsid w:val="00C31B47"/>
    <w:rsid w:val="00C31C22"/>
    <w:rsid w:val="00C31D01"/>
    <w:rsid w:val="00C31D19"/>
    <w:rsid w:val="00C31DE4"/>
    <w:rsid w:val="00C31E5B"/>
    <w:rsid w:val="00C31F2E"/>
    <w:rsid w:val="00C32287"/>
    <w:rsid w:val="00C322E0"/>
    <w:rsid w:val="00C324CA"/>
    <w:rsid w:val="00C324F4"/>
    <w:rsid w:val="00C32523"/>
    <w:rsid w:val="00C328A2"/>
    <w:rsid w:val="00C32929"/>
    <w:rsid w:val="00C32AEE"/>
    <w:rsid w:val="00C32B70"/>
    <w:rsid w:val="00C32D36"/>
    <w:rsid w:val="00C32DB3"/>
    <w:rsid w:val="00C32DE1"/>
    <w:rsid w:val="00C32E1C"/>
    <w:rsid w:val="00C3301C"/>
    <w:rsid w:val="00C33217"/>
    <w:rsid w:val="00C336D4"/>
    <w:rsid w:val="00C3376E"/>
    <w:rsid w:val="00C33772"/>
    <w:rsid w:val="00C33882"/>
    <w:rsid w:val="00C33C00"/>
    <w:rsid w:val="00C33C09"/>
    <w:rsid w:val="00C33CED"/>
    <w:rsid w:val="00C33DCC"/>
    <w:rsid w:val="00C33DFA"/>
    <w:rsid w:val="00C33ED8"/>
    <w:rsid w:val="00C33F94"/>
    <w:rsid w:val="00C33FBA"/>
    <w:rsid w:val="00C341C3"/>
    <w:rsid w:val="00C342F3"/>
    <w:rsid w:val="00C343C0"/>
    <w:rsid w:val="00C343F5"/>
    <w:rsid w:val="00C3442D"/>
    <w:rsid w:val="00C346B5"/>
    <w:rsid w:val="00C346F0"/>
    <w:rsid w:val="00C34739"/>
    <w:rsid w:val="00C34842"/>
    <w:rsid w:val="00C34987"/>
    <w:rsid w:val="00C34A90"/>
    <w:rsid w:val="00C34B30"/>
    <w:rsid w:val="00C34CF0"/>
    <w:rsid w:val="00C34CFB"/>
    <w:rsid w:val="00C34ECF"/>
    <w:rsid w:val="00C3509D"/>
    <w:rsid w:val="00C35166"/>
    <w:rsid w:val="00C35199"/>
    <w:rsid w:val="00C35227"/>
    <w:rsid w:val="00C3526A"/>
    <w:rsid w:val="00C354AF"/>
    <w:rsid w:val="00C354D9"/>
    <w:rsid w:val="00C355F9"/>
    <w:rsid w:val="00C35693"/>
    <w:rsid w:val="00C357FA"/>
    <w:rsid w:val="00C35853"/>
    <w:rsid w:val="00C358E5"/>
    <w:rsid w:val="00C359A7"/>
    <w:rsid w:val="00C35B73"/>
    <w:rsid w:val="00C35C34"/>
    <w:rsid w:val="00C35E4E"/>
    <w:rsid w:val="00C35EC0"/>
    <w:rsid w:val="00C35F05"/>
    <w:rsid w:val="00C35F5A"/>
    <w:rsid w:val="00C35FCE"/>
    <w:rsid w:val="00C36215"/>
    <w:rsid w:val="00C36289"/>
    <w:rsid w:val="00C363A5"/>
    <w:rsid w:val="00C363B9"/>
    <w:rsid w:val="00C36410"/>
    <w:rsid w:val="00C36509"/>
    <w:rsid w:val="00C3651C"/>
    <w:rsid w:val="00C36681"/>
    <w:rsid w:val="00C36921"/>
    <w:rsid w:val="00C36C34"/>
    <w:rsid w:val="00C36F6D"/>
    <w:rsid w:val="00C36FFF"/>
    <w:rsid w:val="00C370A1"/>
    <w:rsid w:val="00C371D1"/>
    <w:rsid w:val="00C3723A"/>
    <w:rsid w:val="00C3727B"/>
    <w:rsid w:val="00C37499"/>
    <w:rsid w:val="00C3777C"/>
    <w:rsid w:val="00C37799"/>
    <w:rsid w:val="00C37947"/>
    <w:rsid w:val="00C37B4C"/>
    <w:rsid w:val="00C37C9E"/>
    <w:rsid w:val="00C37E4A"/>
    <w:rsid w:val="00C37F92"/>
    <w:rsid w:val="00C4013D"/>
    <w:rsid w:val="00C40250"/>
    <w:rsid w:val="00C40350"/>
    <w:rsid w:val="00C40469"/>
    <w:rsid w:val="00C405BF"/>
    <w:rsid w:val="00C40630"/>
    <w:rsid w:val="00C40710"/>
    <w:rsid w:val="00C4085E"/>
    <w:rsid w:val="00C408DD"/>
    <w:rsid w:val="00C409F6"/>
    <w:rsid w:val="00C40F30"/>
    <w:rsid w:val="00C40F54"/>
    <w:rsid w:val="00C41056"/>
    <w:rsid w:val="00C411F5"/>
    <w:rsid w:val="00C412DE"/>
    <w:rsid w:val="00C41376"/>
    <w:rsid w:val="00C41394"/>
    <w:rsid w:val="00C413C7"/>
    <w:rsid w:val="00C41416"/>
    <w:rsid w:val="00C41573"/>
    <w:rsid w:val="00C41706"/>
    <w:rsid w:val="00C417F7"/>
    <w:rsid w:val="00C4185C"/>
    <w:rsid w:val="00C419B6"/>
    <w:rsid w:val="00C41B1F"/>
    <w:rsid w:val="00C41BAF"/>
    <w:rsid w:val="00C41BB3"/>
    <w:rsid w:val="00C41CAB"/>
    <w:rsid w:val="00C41D32"/>
    <w:rsid w:val="00C41E07"/>
    <w:rsid w:val="00C41F7C"/>
    <w:rsid w:val="00C41F7F"/>
    <w:rsid w:val="00C42054"/>
    <w:rsid w:val="00C420F7"/>
    <w:rsid w:val="00C42296"/>
    <w:rsid w:val="00C4231A"/>
    <w:rsid w:val="00C42376"/>
    <w:rsid w:val="00C42680"/>
    <w:rsid w:val="00C427FD"/>
    <w:rsid w:val="00C4297C"/>
    <w:rsid w:val="00C4316F"/>
    <w:rsid w:val="00C43220"/>
    <w:rsid w:val="00C43276"/>
    <w:rsid w:val="00C4329A"/>
    <w:rsid w:val="00C4346C"/>
    <w:rsid w:val="00C435C6"/>
    <w:rsid w:val="00C43626"/>
    <w:rsid w:val="00C437E3"/>
    <w:rsid w:val="00C43A6A"/>
    <w:rsid w:val="00C43A81"/>
    <w:rsid w:val="00C43D55"/>
    <w:rsid w:val="00C43DEE"/>
    <w:rsid w:val="00C43EE5"/>
    <w:rsid w:val="00C44081"/>
    <w:rsid w:val="00C444A6"/>
    <w:rsid w:val="00C44546"/>
    <w:rsid w:val="00C44593"/>
    <w:rsid w:val="00C44648"/>
    <w:rsid w:val="00C446E8"/>
    <w:rsid w:val="00C446F3"/>
    <w:rsid w:val="00C44795"/>
    <w:rsid w:val="00C44853"/>
    <w:rsid w:val="00C44A5B"/>
    <w:rsid w:val="00C44A89"/>
    <w:rsid w:val="00C44B3B"/>
    <w:rsid w:val="00C44BB3"/>
    <w:rsid w:val="00C44C39"/>
    <w:rsid w:val="00C44CBE"/>
    <w:rsid w:val="00C44F0A"/>
    <w:rsid w:val="00C450D3"/>
    <w:rsid w:val="00C4512D"/>
    <w:rsid w:val="00C451BA"/>
    <w:rsid w:val="00C45698"/>
    <w:rsid w:val="00C456AC"/>
    <w:rsid w:val="00C457CF"/>
    <w:rsid w:val="00C457D4"/>
    <w:rsid w:val="00C45C98"/>
    <w:rsid w:val="00C45CA9"/>
    <w:rsid w:val="00C45E7F"/>
    <w:rsid w:val="00C45F51"/>
    <w:rsid w:val="00C45FE5"/>
    <w:rsid w:val="00C4613A"/>
    <w:rsid w:val="00C46415"/>
    <w:rsid w:val="00C4684A"/>
    <w:rsid w:val="00C46876"/>
    <w:rsid w:val="00C46919"/>
    <w:rsid w:val="00C4695B"/>
    <w:rsid w:val="00C46A90"/>
    <w:rsid w:val="00C46B4E"/>
    <w:rsid w:val="00C46BBE"/>
    <w:rsid w:val="00C46BF3"/>
    <w:rsid w:val="00C46CB9"/>
    <w:rsid w:val="00C46D75"/>
    <w:rsid w:val="00C46EBE"/>
    <w:rsid w:val="00C46EE0"/>
    <w:rsid w:val="00C46F06"/>
    <w:rsid w:val="00C46F3F"/>
    <w:rsid w:val="00C47056"/>
    <w:rsid w:val="00C47119"/>
    <w:rsid w:val="00C471A1"/>
    <w:rsid w:val="00C471BA"/>
    <w:rsid w:val="00C471C6"/>
    <w:rsid w:val="00C47325"/>
    <w:rsid w:val="00C47434"/>
    <w:rsid w:val="00C474A8"/>
    <w:rsid w:val="00C4752C"/>
    <w:rsid w:val="00C47579"/>
    <w:rsid w:val="00C47707"/>
    <w:rsid w:val="00C478DC"/>
    <w:rsid w:val="00C479C2"/>
    <w:rsid w:val="00C47B8A"/>
    <w:rsid w:val="00C47C4D"/>
    <w:rsid w:val="00C47CA3"/>
    <w:rsid w:val="00C47DE3"/>
    <w:rsid w:val="00C47FC5"/>
    <w:rsid w:val="00C47FF2"/>
    <w:rsid w:val="00C501B5"/>
    <w:rsid w:val="00C50220"/>
    <w:rsid w:val="00C50320"/>
    <w:rsid w:val="00C503A7"/>
    <w:rsid w:val="00C5057E"/>
    <w:rsid w:val="00C506A0"/>
    <w:rsid w:val="00C50800"/>
    <w:rsid w:val="00C5087E"/>
    <w:rsid w:val="00C5088F"/>
    <w:rsid w:val="00C508C2"/>
    <w:rsid w:val="00C50957"/>
    <w:rsid w:val="00C50B4E"/>
    <w:rsid w:val="00C50BEB"/>
    <w:rsid w:val="00C50C04"/>
    <w:rsid w:val="00C50D0B"/>
    <w:rsid w:val="00C511AA"/>
    <w:rsid w:val="00C5120B"/>
    <w:rsid w:val="00C51586"/>
    <w:rsid w:val="00C5164A"/>
    <w:rsid w:val="00C517B7"/>
    <w:rsid w:val="00C518F8"/>
    <w:rsid w:val="00C51A57"/>
    <w:rsid w:val="00C51B6E"/>
    <w:rsid w:val="00C51BF9"/>
    <w:rsid w:val="00C51F6C"/>
    <w:rsid w:val="00C520B6"/>
    <w:rsid w:val="00C5218D"/>
    <w:rsid w:val="00C521CD"/>
    <w:rsid w:val="00C52254"/>
    <w:rsid w:val="00C5244B"/>
    <w:rsid w:val="00C52550"/>
    <w:rsid w:val="00C52559"/>
    <w:rsid w:val="00C52660"/>
    <w:rsid w:val="00C52707"/>
    <w:rsid w:val="00C52856"/>
    <w:rsid w:val="00C52A12"/>
    <w:rsid w:val="00C52B93"/>
    <w:rsid w:val="00C52B9D"/>
    <w:rsid w:val="00C52DC9"/>
    <w:rsid w:val="00C52E23"/>
    <w:rsid w:val="00C52F77"/>
    <w:rsid w:val="00C53045"/>
    <w:rsid w:val="00C5305C"/>
    <w:rsid w:val="00C530DC"/>
    <w:rsid w:val="00C531C4"/>
    <w:rsid w:val="00C5333A"/>
    <w:rsid w:val="00C535F1"/>
    <w:rsid w:val="00C5377D"/>
    <w:rsid w:val="00C53B0B"/>
    <w:rsid w:val="00C53B5A"/>
    <w:rsid w:val="00C53C28"/>
    <w:rsid w:val="00C53C4D"/>
    <w:rsid w:val="00C53C57"/>
    <w:rsid w:val="00C53CD3"/>
    <w:rsid w:val="00C53E6F"/>
    <w:rsid w:val="00C53EF7"/>
    <w:rsid w:val="00C54032"/>
    <w:rsid w:val="00C541A4"/>
    <w:rsid w:val="00C541E8"/>
    <w:rsid w:val="00C5431B"/>
    <w:rsid w:val="00C543D5"/>
    <w:rsid w:val="00C54447"/>
    <w:rsid w:val="00C5455A"/>
    <w:rsid w:val="00C546A0"/>
    <w:rsid w:val="00C546A6"/>
    <w:rsid w:val="00C546CC"/>
    <w:rsid w:val="00C54788"/>
    <w:rsid w:val="00C548C6"/>
    <w:rsid w:val="00C54BDA"/>
    <w:rsid w:val="00C54CB0"/>
    <w:rsid w:val="00C54D9F"/>
    <w:rsid w:val="00C54E43"/>
    <w:rsid w:val="00C552A8"/>
    <w:rsid w:val="00C5530A"/>
    <w:rsid w:val="00C5538F"/>
    <w:rsid w:val="00C5543B"/>
    <w:rsid w:val="00C55447"/>
    <w:rsid w:val="00C554F5"/>
    <w:rsid w:val="00C5571E"/>
    <w:rsid w:val="00C55A98"/>
    <w:rsid w:val="00C55E28"/>
    <w:rsid w:val="00C56192"/>
    <w:rsid w:val="00C56786"/>
    <w:rsid w:val="00C56876"/>
    <w:rsid w:val="00C569C8"/>
    <w:rsid w:val="00C56A22"/>
    <w:rsid w:val="00C56A4B"/>
    <w:rsid w:val="00C56AB6"/>
    <w:rsid w:val="00C56DB5"/>
    <w:rsid w:val="00C56EF0"/>
    <w:rsid w:val="00C56F38"/>
    <w:rsid w:val="00C56FF3"/>
    <w:rsid w:val="00C5701D"/>
    <w:rsid w:val="00C57108"/>
    <w:rsid w:val="00C5718A"/>
    <w:rsid w:val="00C571EE"/>
    <w:rsid w:val="00C57340"/>
    <w:rsid w:val="00C5739A"/>
    <w:rsid w:val="00C57549"/>
    <w:rsid w:val="00C57660"/>
    <w:rsid w:val="00C576AA"/>
    <w:rsid w:val="00C576E0"/>
    <w:rsid w:val="00C57865"/>
    <w:rsid w:val="00C5789D"/>
    <w:rsid w:val="00C5791E"/>
    <w:rsid w:val="00C57D83"/>
    <w:rsid w:val="00C57DAF"/>
    <w:rsid w:val="00C57FB7"/>
    <w:rsid w:val="00C6021F"/>
    <w:rsid w:val="00C60434"/>
    <w:rsid w:val="00C60496"/>
    <w:rsid w:val="00C606A6"/>
    <w:rsid w:val="00C60725"/>
    <w:rsid w:val="00C60806"/>
    <w:rsid w:val="00C60812"/>
    <w:rsid w:val="00C6096A"/>
    <w:rsid w:val="00C60BD4"/>
    <w:rsid w:val="00C60C2B"/>
    <w:rsid w:val="00C60D6C"/>
    <w:rsid w:val="00C60DE9"/>
    <w:rsid w:val="00C60F30"/>
    <w:rsid w:val="00C61066"/>
    <w:rsid w:val="00C610CE"/>
    <w:rsid w:val="00C610EE"/>
    <w:rsid w:val="00C61101"/>
    <w:rsid w:val="00C6120B"/>
    <w:rsid w:val="00C61246"/>
    <w:rsid w:val="00C61323"/>
    <w:rsid w:val="00C61350"/>
    <w:rsid w:val="00C61631"/>
    <w:rsid w:val="00C6169B"/>
    <w:rsid w:val="00C617EB"/>
    <w:rsid w:val="00C619C1"/>
    <w:rsid w:val="00C61A87"/>
    <w:rsid w:val="00C61AAA"/>
    <w:rsid w:val="00C61B6A"/>
    <w:rsid w:val="00C61C7D"/>
    <w:rsid w:val="00C61F8C"/>
    <w:rsid w:val="00C61FC9"/>
    <w:rsid w:val="00C620D1"/>
    <w:rsid w:val="00C621E4"/>
    <w:rsid w:val="00C622EF"/>
    <w:rsid w:val="00C62419"/>
    <w:rsid w:val="00C62634"/>
    <w:rsid w:val="00C6264B"/>
    <w:rsid w:val="00C62676"/>
    <w:rsid w:val="00C627FB"/>
    <w:rsid w:val="00C629C0"/>
    <w:rsid w:val="00C62B86"/>
    <w:rsid w:val="00C62B99"/>
    <w:rsid w:val="00C62BF2"/>
    <w:rsid w:val="00C62D20"/>
    <w:rsid w:val="00C62E49"/>
    <w:rsid w:val="00C630C4"/>
    <w:rsid w:val="00C63154"/>
    <w:rsid w:val="00C631AA"/>
    <w:rsid w:val="00C631F3"/>
    <w:rsid w:val="00C633D5"/>
    <w:rsid w:val="00C63413"/>
    <w:rsid w:val="00C6359B"/>
    <w:rsid w:val="00C6364C"/>
    <w:rsid w:val="00C6373C"/>
    <w:rsid w:val="00C637FC"/>
    <w:rsid w:val="00C638E9"/>
    <w:rsid w:val="00C63955"/>
    <w:rsid w:val="00C63AF7"/>
    <w:rsid w:val="00C63CE1"/>
    <w:rsid w:val="00C63D64"/>
    <w:rsid w:val="00C63DC9"/>
    <w:rsid w:val="00C63E8B"/>
    <w:rsid w:val="00C64031"/>
    <w:rsid w:val="00C64032"/>
    <w:rsid w:val="00C641CB"/>
    <w:rsid w:val="00C64368"/>
    <w:rsid w:val="00C64372"/>
    <w:rsid w:val="00C64449"/>
    <w:rsid w:val="00C6447C"/>
    <w:rsid w:val="00C644BB"/>
    <w:rsid w:val="00C64676"/>
    <w:rsid w:val="00C647C3"/>
    <w:rsid w:val="00C648E2"/>
    <w:rsid w:val="00C64AF3"/>
    <w:rsid w:val="00C64BAE"/>
    <w:rsid w:val="00C64BC5"/>
    <w:rsid w:val="00C64BEE"/>
    <w:rsid w:val="00C64D3E"/>
    <w:rsid w:val="00C6504F"/>
    <w:rsid w:val="00C650F4"/>
    <w:rsid w:val="00C65271"/>
    <w:rsid w:val="00C65477"/>
    <w:rsid w:val="00C65584"/>
    <w:rsid w:val="00C65738"/>
    <w:rsid w:val="00C659DB"/>
    <w:rsid w:val="00C65A19"/>
    <w:rsid w:val="00C65A56"/>
    <w:rsid w:val="00C65B1D"/>
    <w:rsid w:val="00C65C1D"/>
    <w:rsid w:val="00C65C9F"/>
    <w:rsid w:val="00C65D03"/>
    <w:rsid w:val="00C65D0C"/>
    <w:rsid w:val="00C65D81"/>
    <w:rsid w:val="00C65DFC"/>
    <w:rsid w:val="00C65E43"/>
    <w:rsid w:val="00C65FD5"/>
    <w:rsid w:val="00C66141"/>
    <w:rsid w:val="00C66154"/>
    <w:rsid w:val="00C66405"/>
    <w:rsid w:val="00C66452"/>
    <w:rsid w:val="00C6690D"/>
    <w:rsid w:val="00C669FE"/>
    <w:rsid w:val="00C66AD6"/>
    <w:rsid w:val="00C66C89"/>
    <w:rsid w:val="00C66E54"/>
    <w:rsid w:val="00C66F26"/>
    <w:rsid w:val="00C6703D"/>
    <w:rsid w:val="00C670FC"/>
    <w:rsid w:val="00C671B4"/>
    <w:rsid w:val="00C672D5"/>
    <w:rsid w:val="00C67357"/>
    <w:rsid w:val="00C6761D"/>
    <w:rsid w:val="00C6763F"/>
    <w:rsid w:val="00C67783"/>
    <w:rsid w:val="00C679D7"/>
    <w:rsid w:val="00C67A84"/>
    <w:rsid w:val="00C67AD6"/>
    <w:rsid w:val="00C67C84"/>
    <w:rsid w:val="00C67E37"/>
    <w:rsid w:val="00C67EC1"/>
    <w:rsid w:val="00C701C1"/>
    <w:rsid w:val="00C701E5"/>
    <w:rsid w:val="00C703C5"/>
    <w:rsid w:val="00C704AB"/>
    <w:rsid w:val="00C706BA"/>
    <w:rsid w:val="00C7075D"/>
    <w:rsid w:val="00C7089B"/>
    <w:rsid w:val="00C70924"/>
    <w:rsid w:val="00C70962"/>
    <w:rsid w:val="00C70AA1"/>
    <w:rsid w:val="00C70F93"/>
    <w:rsid w:val="00C70FA0"/>
    <w:rsid w:val="00C716CD"/>
    <w:rsid w:val="00C71712"/>
    <w:rsid w:val="00C71713"/>
    <w:rsid w:val="00C7198B"/>
    <w:rsid w:val="00C719B7"/>
    <w:rsid w:val="00C71B47"/>
    <w:rsid w:val="00C71B95"/>
    <w:rsid w:val="00C71E68"/>
    <w:rsid w:val="00C71E81"/>
    <w:rsid w:val="00C71F90"/>
    <w:rsid w:val="00C71FBE"/>
    <w:rsid w:val="00C72148"/>
    <w:rsid w:val="00C72156"/>
    <w:rsid w:val="00C72218"/>
    <w:rsid w:val="00C724D5"/>
    <w:rsid w:val="00C724F6"/>
    <w:rsid w:val="00C7261F"/>
    <w:rsid w:val="00C7265C"/>
    <w:rsid w:val="00C726B7"/>
    <w:rsid w:val="00C72855"/>
    <w:rsid w:val="00C728C2"/>
    <w:rsid w:val="00C72935"/>
    <w:rsid w:val="00C72CDF"/>
    <w:rsid w:val="00C72D3B"/>
    <w:rsid w:val="00C72DD7"/>
    <w:rsid w:val="00C72E29"/>
    <w:rsid w:val="00C730AF"/>
    <w:rsid w:val="00C732AD"/>
    <w:rsid w:val="00C7331D"/>
    <w:rsid w:val="00C73375"/>
    <w:rsid w:val="00C7343B"/>
    <w:rsid w:val="00C73445"/>
    <w:rsid w:val="00C734A7"/>
    <w:rsid w:val="00C734DB"/>
    <w:rsid w:val="00C7369F"/>
    <w:rsid w:val="00C736D4"/>
    <w:rsid w:val="00C73A4A"/>
    <w:rsid w:val="00C73ADC"/>
    <w:rsid w:val="00C73B24"/>
    <w:rsid w:val="00C73CFF"/>
    <w:rsid w:val="00C73FFF"/>
    <w:rsid w:val="00C7400B"/>
    <w:rsid w:val="00C74144"/>
    <w:rsid w:val="00C74212"/>
    <w:rsid w:val="00C74508"/>
    <w:rsid w:val="00C7453F"/>
    <w:rsid w:val="00C74556"/>
    <w:rsid w:val="00C74655"/>
    <w:rsid w:val="00C746DF"/>
    <w:rsid w:val="00C749BF"/>
    <w:rsid w:val="00C74A9E"/>
    <w:rsid w:val="00C74AB8"/>
    <w:rsid w:val="00C74ABB"/>
    <w:rsid w:val="00C75015"/>
    <w:rsid w:val="00C750D5"/>
    <w:rsid w:val="00C75228"/>
    <w:rsid w:val="00C75467"/>
    <w:rsid w:val="00C75557"/>
    <w:rsid w:val="00C75747"/>
    <w:rsid w:val="00C7583B"/>
    <w:rsid w:val="00C75881"/>
    <w:rsid w:val="00C759C9"/>
    <w:rsid w:val="00C75A0A"/>
    <w:rsid w:val="00C75D83"/>
    <w:rsid w:val="00C75EA7"/>
    <w:rsid w:val="00C75ECF"/>
    <w:rsid w:val="00C76052"/>
    <w:rsid w:val="00C761B7"/>
    <w:rsid w:val="00C7626E"/>
    <w:rsid w:val="00C762E8"/>
    <w:rsid w:val="00C763D2"/>
    <w:rsid w:val="00C76406"/>
    <w:rsid w:val="00C765CE"/>
    <w:rsid w:val="00C765D4"/>
    <w:rsid w:val="00C76675"/>
    <w:rsid w:val="00C7668F"/>
    <w:rsid w:val="00C7677A"/>
    <w:rsid w:val="00C76920"/>
    <w:rsid w:val="00C769E8"/>
    <w:rsid w:val="00C76A23"/>
    <w:rsid w:val="00C76A2F"/>
    <w:rsid w:val="00C76C03"/>
    <w:rsid w:val="00C76C74"/>
    <w:rsid w:val="00C76E8A"/>
    <w:rsid w:val="00C7712E"/>
    <w:rsid w:val="00C771CC"/>
    <w:rsid w:val="00C771E4"/>
    <w:rsid w:val="00C7746F"/>
    <w:rsid w:val="00C774F8"/>
    <w:rsid w:val="00C7758C"/>
    <w:rsid w:val="00C775E6"/>
    <w:rsid w:val="00C77610"/>
    <w:rsid w:val="00C77716"/>
    <w:rsid w:val="00C777D1"/>
    <w:rsid w:val="00C778F6"/>
    <w:rsid w:val="00C7793A"/>
    <w:rsid w:val="00C77990"/>
    <w:rsid w:val="00C77AAE"/>
    <w:rsid w:val="00C77AB9"/>
    <w:rsid w:val="00C77AD6"/>
    <w:rsid w:val="00C77B10"/>
    <w:rsid w:val="00C77BEB"/>
    <w:rsid w:val="00C77C1C"/>
    <w:rsid w:val="00C77E12"/>
    <w:rsid w:val="00C77F8E"/>
    <w:rsid w:val="00C800D8"/>
    <w:rsid w:val="00C80369"/>
    <w:rsid w:val="00C80684"/>
    <w:rsid w:val="00C8079B"/>
    <w:rsid w:val="00C80949"/>
    <w:rsid w:val="00C80ABE"/>
    <w:rsid w:val="00C80B49"/>
    <w:rsid w:val="00C80C7E"/>
    <w:rsid w:val="00C80CD4"/>
    <w:rsid w:val="00C80D03"/>
    <w:rsid w:val="00C80F53"/>
    <w:rsid w:val="00C813D1"/>
    <w:rsid w:val="00C81754"/>
    <w:rsid w:val="00C817C0"/>
    <w:rsid w:val="00C8186D"/>
    <w:rsid w:val="00C81947"/>
    <w:rsid w:val="00C81A06"/>
    <w:rsid w:val="00C81BD8"/>
    <w:rsid w:val="00C81DD0"/>
    <w:rsid w:val="00C81EF4"/>
    <w:rsid w:val="00C820CE"/>
    <w:rsid w:val="00C82128"/>
    <w:rsid w:val="00C82147"/>
    <w:rsid w:val="00C823C9"/>
    <w:rsid w:val="00C823FE"/>
    <w:rsid w:val="00C825D3"/>
    <w:rsid w:val="00C826C6"/>
    <w:rsid w:val="00C829D4"/>
    <w:rsid w:val="00C82A9A"/>
    <w:rsid w:val="00C82AA5"/>
    <w:rsid w:val="00C82AB5"/>
    <w:rsid w:val="00C82C9C"/>
    <w:rsid w:val="00C82EB8"/>
    <w:rsid w:val="00C82F1F"/>
    <w:rsid w:val="00C82F5E"/>
    <w:rsid w:val="00C82FDA"/>
    <w:rsid w:val="00C83032"/>
    <w:rsid w:val="00C8307B"/>
    <w:rsid w:val="00C830AE"/>
    <w:rsid w:val="00C830CC"/>
    <w:rsid w:val="00C8312A"/>
    <w:rsid w:val="00C83293"/>
    <w:rsid w:val="00C83383"/>
    <w:rsid w:val="00C8344B"/>
    <w:rsid w:val="00C834EE"/>
    <w:rsid w:val="00C834F0"/>
    <w:rsid w:val="00C835AF"/>
    <w:rsid w:val="00C83611"/>
    <w:rsid w:val="00C83850"/>
    <w:rsid w:val="00C8387D"/>
    <w:rsid w:val="00C839AA"/>
    <w:rsid w:val="00C83B1A"/>
    <w:rsid w:val="00C83C70"/>
    <w:rsid w:val="00C83DA4"/>
    <w:rsid w:val="00C83DE1"/>
    <w:rsid w:val="00C83E04"/>
    <w:rsid w:val="00C83EE8"/>
    <w:rsid w:val="00C84275"/>
    <w:rsid w:val="00C84311"/>
    <w:rsid w:val="00C84349"/>
    <w:rsid w:val="00C844CF"/>
    <w:rsid w:val="00C84824"/>
    <w:rsid w:val="00C8489B"/>
    <w:rsid w:val="00C84909"/>
    <w:rsid w:val="00C84A09"/>
    <w:rsid w:val="00C84BDD"/>
    <w:rsid w:val="00C84C2A"/>
    <w:rsid w:val="00C84D7D"/>
    <w:rsid w:val="00C84EC5"/>
    <w:rsid w:val="00C85042"/>
    <w:rsid w:val="00C85056"/>
    <w:rsid w:val="00C85350"/>
    <w:rsid w:val="00C85358"/>
    <w:rsid w:val="00C854E2"/>
    <w:rsid w:val="00C8555A"/>
    <w:rsid w:val="00C8575C"/>
    <w:rsid w:val="00C85950"/>
    <w:rsid w:val="00C85972"/>
    <w:rsid w:val="00C859A7"/>
    <w:rsid w:val="00C85B23"/>
    <w:rsid w:val="00C85B54"/>
    <w:rsid w:val="00C85C2B"/>
    <w:rsid w:val="00C85CA9"/>
    <w:rsid w:val="00C85D5C"/>
    <w:rsid w:val="00C85FE9"/>
    <w:rsid w:val="00C8605E"/>
    <w:rsid w:val="00C86111"/>
    <w:rsid w:val="00C86289"/>
    <w:rsid w:val="00C862D8"/>
    <w:rsid w:val="00C8641B"/>
    <w:rsid w:val="00C86438"/>
    <w:rsid w:val="00C86597"/>
    <w:rsid w:val="00C866A8"/>
    <w:rsid w:val="00C86767"/>
    <w:rsid w:val="00C86834"/>
    <w:rsid w:val="00C868DB"/>
    <w:rsid w:val="00C86AAE"/>
    <w:rsid w:val="00C86AEE"/>
    <w:rsid w:val="00C86BB1"/>
    <w:rsid w:val="00C86BFA"/>
    <w:rsid w:val="00C86C43"/>
    <w:rsid w:val="00C86D1D"/>
    <w:rsid w:val="00C86D27"/>
    <w:rsid w:val="00C86E4C"/>
    <w:rsid w:val="00C8712B"/>
    <w:rsid w:val="00C873DF"/>
    <w:rsid w:val="00C87441"/>
    <w:rsid w:val="00C874C8"/>
    <w:rsid w:val="00C8751D"/>
    <w:rsid w:val="00C875F6"/>
    <w:rsid w:val="00C8762A"/>
    <w:rsid w:val="00C8768A"/>
    <w:rsid w:val="00C876C7"/>
    <w:rsid w:val="00C87729"/>
    <w:rsid w:val="00C878C5"/>
    <w:rsid w:val="00C878DB"/>
    <w:rsid w:val="00C878E1"/>
    <w:rsid w:val="00C878EA"/>
    <w:rsid w:val="00C87918"/>
    <w:rsid w:val="00C87ECF"/>
    <w:rsid w:val="00C90048"/>
    <w:rsid w:val="00C90276"/>
    <w:rsid w:val="00C9028A"/>
    <w:rsid w:val="00C902CE"/>
    <w:rsid w:val="00C90447"/>
    <w:rsid w:val="00C904E1"/>
    <w:rsid w:val="00C904F7"/>
    <w:rsid w:val="00C90634"/>
    <w:rsid w:val="00C908D9"/>
    <w:rsid w:val="00C9093A"/>
    <w:rsid w:val="00C90A8E"/>
    <w:rsid w:val="00C90CEB"/>
    <w:rsid w:val="00C90D84"/>
    <w:rsid w:val="00C90D8E"/>
    <w:rsid w:val="00C90DA4"/>
    <w:rsid w:val="00C90EE1"/>
    <w:rsid w:val="00C90F0F"/>
    <w:rsid w:val="00C91037"/>
    <w:rsid w:val="00C9110D"/>
    <w:rsid w:val="00C9110E"/>
    <w:rsid w:val="00C9110F"/>
    <w:rsid w:val="00C91183"/>
    <w:rsid w:val="00C911E0"/>
    <w:rsid w:val="00C9133C"/>
    <w:rsid w:val="00C91345"/>
    <w:rsid w:val="00C91450"/>
    <w:rsid w:val="00C917D1"/>
    <w:rsid w:val="00C917D9"/>
    <w:rsid w:val="00C917DB"/>
    <w:rsid w:val="00C918EB"/>
    <w:rsid w:val="00C918F4"/>
    <w:rsid w:val="00C919E4"/>
    <w:rsid w:val="00C919E7"/>
    <w:rsid w:val="00C91B1F"/>
    <w:rsid w:val="00C91B67"/>
    <w:rsid w:val="00C91C11"/>
    <w:rsid w:val="00C91D32"/>
    <w:rsid w:val="00C91DA1"/>
    <w:rsid w:val="00C91DF9"/>
    <w:rsid w:val="00C91F3E"/>
    <w:rsid w:val="00C91FB3"/>
    <w:rsid w:val="00C92116"/>
    <w:rsid w:val="00C92294"/>
    <w:rsid w:val="00C923F4"/>
    <w:rsid w:val="00C9243F"/>
    <w:rsid w:val="00C92493"/>
    <w:rsid w:val="00C925CA"/>
    <w:rsid w:val="00C926B8"/>
    <w:rsid w:val="00C929FB"/>
    <w:rsid w:val="00C92BC1"/>
    <w:rsid w:val="00C92C6B"/>
    <w:rsid w:val="00C92E30"/>
    <w:rsid w:val="00C92F07"/>
    <w:rsid w:val="00C92F27"/>
    <w:rsid w:val="00C92F81"/>
    <w:rsid w:val="00C92FA5"/>
    <w:rsid w:val="00C93078"/>
    <w:rsid w:val="00C93150"/>
    <w:rsid w:val="00C9324A"/>
    <w:rsid w:val="00C932EF"/>
    <w:rsid w:val="00C9350C"/>
    <w:rsid w:val="00C93734"/>
    <w:rsid w:val="00C93769"/>
    <w:rsid w:val="00C93793"/>
    <w:rsid w:val="00C93A41"/>
    <w:rsid w:val="00C93BA5"/>
    <w:rsid w:val="00C93BCB"/>
    <w:rsid w:val="00C93C67"/>
    <w:rsid w:val="00C93F78"/>
    <w:rsid w:val="00C941E7"/>
    <w:rsid w:val="00C942A6"/>
    <w:rsid w:val="00C943C4"/>
    <w:rsid w:val="00C94442"/>
    <w:rsid w:val="00C9450D"/>
    <w:rsid w:val="00C945EE"/>
    <w:rsid w:val="00C94BBF"/>
    <w:rsid w:val="00C94D20"/>
    <w:rsid w:val="00C94DDB"/>
    <w:rsid w:val="00C94F72"/>
    <w:rsid w:val="00C95018"/>
    <w:rsid w:val="00C9509D"/>
    <w:rsid w:val="00C950BF"/>
    <w:rsid w:val="00C95217"/>
    <w:rsid w:val="00C9526F"/>
    <w:rsid w:val="00C9528C"/>
    <w:rsid w:val="00C95296"/>
    <w:rsid w:val="00C95425"/>
    <w:rsid w:val="00C956B1"/>
    <w:rsid w:val="00C95874"/>
    <w:rsid w:val="00C959CA"/>
    <w:rsid w:val="00C95C31"/>
    <w:rsid w:val="00C95C54"/>
    <w:rsid w:val="00C95EFB"/>
    <w:rsid w:val="00C95FBE"/>
    <w:rsid w:val="00C9600F"/>
    <w:rsid w:val="00C9619D"/>
    <w:rsid w:val="00C9620C"/>
    <w:rsid w:val="00C96247"/>
    <w:rsid w:val="00C963D7"/>
    <w:rsid w:val="00C96414"/>
    <w:rsid w:val="00C9646D"/>
    <w:rsid w:val="00C96594"/>
    <w:rsid w:val="00C9667B"/>
    <w:rsid w:val="00C96948"/>
    <w:rsid w:val="00C96A14"/>
    <w:rsid w:val="00C96A99"/>
    <w:rsid w:val="00C96CD2"/>
    <w:rsid w:val="00C96DF1"/>
    <w:rsid w:val="00C96E0A"/>
    <w:rsid w:val="00C96E16"/>
    <w:rsid w:val="00C96E57"/>
    <w:rsid w:val="00C96EE3"/>
    <w:rsid w:val="00C96F22"/>
    <w:rsid w:val="00C96F29"/>
    <w:rsid w:val="00C970CB"/>
    <w:rsid w:val="00C97215"/>
    <w:rsid w:val="00C972A7"/>
    <w:rsid w:val="00C9736B"/>
    <w:rsid w:val="00C973FD"/>
    <w:rsid w:val="00C9741E"/>
    <w:rsid w:val="00C97466"/>
    <w:rsid w:val="00C97482"/>
    <w:rsid w:val="00C97498"/>
    <w:rsid w:val="00C974B6"/>
    <w:rsid w:val="00C976E3"/>
    <w:rsid w:val="00C979C5"/>
    <w:rsid w:val="00C97A72"/>
    <w:rsid w:val="00C97A8A"/>
    <w:rsid w:val="00C97D15"/>
    <w:rsid w:val="00C97D2B"/>
    <w:rsid w:val="00C97E16"/>
    <w:rsid w:val="00C97E3B"/>
    <w:rsid w:val="00C97F4C"/>
    <w:rsid w:val="00CA007B"/>
    <w:rsid w:val="00CA0144"/>
    <w:rsid w:val="00CA01E4"/>
    <w:rsid w:val="00CA02C1"/>
    <w:rsid w:val="00CA03FC"/>
    <w:rsid w:val="00CA04FB"/>
    <w:rsid w:val="00CA0565"/>
    <w:rsid w:val="00CA07ED"/>
    <w:rsid w:val="00CA090A"/>
    <w:rsid w:val="00CA0977"/>
    <w:rsid w:val="00CA0A64"/>
    <w:rsid w:val="00CA0B5A"/>
    <w:rsid w:val="00CA0C78"/>
    <w:rsid w:val="00CA0D0D"/>
    <w:rsid w:val="00CA0DEF"/>
    <w:rsid w:val="00CA0DFC"/>
    <w:rsid w:val="00CA0FB2"/>
    <w:rsid w:val="00CA0FFC"/>
    <w:rsid w:val="00CA109E"/>
    <w:rsid w:val="00CA1143"/>
    <w:rsid w:val="00CA11F3"/>
    <w:rsid w:val="00CA137F"/>
    <w:rsid w:val="00CA16EA"/>
    <w:rsid w:val="00CA1831"/>
    <w:rsid w:val="00CA18C5"/>
    <w:rsid w:val="00CA1966"/>
    <w:rsid w:val="00CA1B6F"/>
    <w:rsid w:val="00CA1D8E"/>
    <w:rsid w:val="00CA1FB3"/>
    <w:rsid w:val="00CA2303"/>
    <w:rsid w:val="00CA2591"/>
    <w:rsid w:val="00CA2641"/>
    <w:rsid w:val="00CA26C1"/>
    <w:rsid w:val="00CA2759"/>
    <w:rsid w:val="00CA284C"/>
    <w:rsid w:val="00CA2A2A"/>
    <w:rsid w:val="00CA2C56"/>
    <w:rsid w:val="00CA2C9B"/>
    <w:rsid w:val="00CA2DC9"/>
    <w:rsid w:val="00CA2E51"/>
    <w:rsid w:val="00CA2FAF"/>
    <w:rsid w:val="00CA3179"/>
    <w:rsid w:val="00CA3457"/>
    <w:rsid w:val="00CA35AD"/>
    <w:rsid w:val="00CA3811"/>
    <w:rsid w:val="00CA39CB"/>
    <w:rsid w:val="00CA3B80"/>
    <w:rsid w:val="00CA3B81"/>
    <w:rsid w:val="00CA3BD0"/>
    <w:rsid w:val="00CA3D92"/>
    <w:rsid w:val="00CA3F1F"/>
    <w:rsid w:val="00CA4175"/>
    <w:rsid w:val="00CA42BA"/>
    <w:rsid w:val="00CA44F5"/>
    <w:rsid w:val="00CA46BD"/>
    <w:rsid w:val="00CA473C"/>
    <w:rsid w:val="00CA477F"/>
    <w:rsid w:val="00CA4806"/>
    <w:rsid w:val="00CA48C5"/>
    <w:rsid w:val="00CA497E"/>
    <w:rsid w:val="00CA4D4C"/>
    <w:rsid w:val="00CA4D85"/>
    <w:rsid w:val="00CA4FD1"/>
    <w:rsid w:val="00CA511C"/>
    <w:rsid w:val="00CA5321"/>
    <w:rsid w:val="00CA547F"/>
    <w:rsid w:val="00CA54CE"/>
    <w:rsid w:val="00CA5566"/>
    <w:rsid w:val="00CA55B4"/>
    <w:rsid w:val="00CA5866"/>
    <w:rsid w:val="00CA58EE"/>
    <w:rsid w:val="00CA5B2E"/>
    <w:rsid w:val="00CA5CDB"/>
    <w:rsid w:val="00CA5E9F"/>
    <w:rsid w:val="00CA5EC5"/>
    <w:rsid w:val="00CA5F06"/>
    <w:rsid w:val="00CA5F81"/>
    <w:rsid w:val="00CA60BB"/>
    <w:rsid w:val="00CA60D4"/>
    <w:rsid w:val="00CA6172"/>
    <w:rsid w:val="00CA62EC"/>
    <w:rsid w:val="00CA6661"/>
    <w:rsid w:val="00CA66A5"/>
    <w:rsid w:val="00CA671D"/>
    <w:rsid w:val="00CA6842"/>
    <w:rsid w:val="00CA697D"/>
    <w:rsid w:val="00CA69EC"/>
    <w:rsid w:val="00CA6B72"/>
    <w:rsid w:val="00CA6BA3"/>
    <w:rsid w:val="00CA6D61"/>
    <w:rsid w:val="00CA6E54"/>
    <w:rsid w:val="00CA6E65"/>
    <w:rsid w:val="00CA6FC7"/>
    <w:rsid w:val="00CA70A5"/>
    <w:rsid w:val="00CA70D7"/>
    <w:rsid w:val="00CA7168"/>
    <w:rsid w:val="00CA718D"/>
    <w:rsid w:val="00CA71BB"/>
    <w:rsid w:val="00CA727A"/>
    <w:rsid w:val="00CA73CD"/>
    <w:rsid w:val="00CA74CE"/>
    <w:rsid w:val="00CA74D5"/>
    <w:rsid w:val="00CA7556"/>
    <w:rsid w:val="00CA75F9"/>
    <w:rsid w:val="00CA76BF"/>
    <w:rsid w:val="00CA77FD"/>
    <w:rsid w:val="00CA7B02"/>
    <w:rsid w:val="00CA7C49"/>
    <w:rsid w:val="00CA7F10"/>
    <w:rsid w:val="00CB0007"/>
    <w:rsid w:val="00CB0217"/>
    <w:rsid w:val="00CB03AA"/>
    <w:rsid w:val="00CB0436"/>
    <w:rsid w:val="00CB04D0"/>
    <w:rsid w:val="00CB06EF"/>
    <w:rsid w:val="00CB072F"/>
    <w:rsid w:val="00CB0778"/>
    <w:rsid w:val="00CB0832"/>
    <w:rsid w:val="00CB08A9"/>
    <w:rsid w:val="00CB0CCD"/>
    <w:rsid w:val="00CB0D3B"/>
    <w:rsid w:val="00CB0F93"/>
    <w:rsid w:val="00CB1143"/>
    <w:rsid w:val="00CB12F8"/>
    <w:rsid w:val="00CB142E"/>
    <w:rsid w:val="00CB15A6"/>
    <w:rsid w:val="00CB16D5"/>
    <w:rsid w:val="00CB1701"/>
    <w:rsid w:val="00CB1777"/>
    <w:rsid w:val="00CB17B4"/>
    <w:rsid w:val="00CB1838"/>
    <w:rsid w:val="00CB1931"/>
    <w:rsid w:val="00CB198A"/>
    <w:rsid w:val="00CB19B0"/>
    <w:rsid w:val="00CB19BD"/>
    <w:rsid w:val="00CB1A20"/>
    <w:rsid w:val="00CB1ACD"/>
    <w:rsid w:val="00CB1C2E"/>
    <w:rsid w:val="00CB1E2A"/>
    <w:rsid w:val="00CB1FE6"/>
    <w:rsid w:val="00CB203C"/>
    <w:rsid w:val="00CB2104"/>
    <w:rsid w:val="00CB211C"/>
    <w:rsid w:val="00CB2432"/>
    <w:rsid w:val="00CB2462"/>
    <w:rsid w:val="00CB24F4"/>
    <w:rsid w:val="00CB25DD"/>
    <w:rsid w:val="00CB2746"/>
    <w:rsid w:val="00CB29E8"/>
    <w:rsid w:val="00CB2ACF"/>
    <w:rsid w:val="00CB3149"/>
    <w:rsid w:val="00CB31BF"/>
    <w:rsid w:val="00CB3217"/>
    <w:rsid w:val="00CB32C1"/>
    <w:rsid w:val="00CB33AB"/>
    <w:rsid w:val="00CB34E6"/>
    <w:rsid w:val="00CB350E"/>
    <w:rsid w:val="00CB3652"/>
    <w:rsid w:val="00CB3A1A"/>
    <w:rsid w:val="00CB3B59"/>
    <w:rsid w:val="00CB3B6D"/>
    <w:rsid w:val="00CB3CA0"/>
    <w:rsid w:val="00CB3DCB"/>
    <w:rsid w:val="00CB3EC7"/>
    <w:rsid w:val="00CB3F5C"/>
    <w:rsid w:val="00CB3F64"/>
    <w:rsid w:val="00CB3F8C"/>
    <w:rsid w:val="00CB413F"/>
    <w:rsid w:val="00CB42C8"/>
    <w:rsid w:val="00CB4309"/>
    <w:rsid w:val="00CB470B"/>
    <w:rsid w:val="00CB478D"/>
    <w:rsid w:val="00CB481F"/>
    <w:rsid w:val="00CB4856"/>
    <w:rsid w:val="00CB4A14"/>
    <w:rsid w:val="00CB4B3C"/>
    <w:rsid w:val="00CB4BA6"/>
    <w:rsid w:val="00CB4D35"/>
    <w:rsid w:val="00CB4D57"/>
    <w:rsid w:val="00CB5166"/>
    <w:rsid w:val="00CB5234"/>
    <w:rsid w:val="00CB524D"/>
    <w:rsid w:val="00CB526C"/>
    <w:rsid w:val="00CB5273"/>
    <w:rsid w:val="00CB52E1"/>
    <w:rsid w:val="00CB539C"/>
    <w:rsid w:val="00CB565B"/>
    <w:rsid w:val="00CB57D9"/>
    <w:rsid w:val="00CB5902"/>
    <w:rsid w:val="00CB59E1"/>
    <w:rsid w:val="00CB5A56"/>
    <w:rsid w:val="00CB5C69"/>
    <w:rsid w:val="00CB5CAC"/>
    <w:rsid w:val="00CB5CB9"/>
    <w:rsid w:val="00CB5E2B"/>
    <w:rsid w:val="00CB5E58"/>
    <w:rsid w:val="00CB5E7F"/>
    <w:rsid w:val="00CB5F6D"/>
    <w:rsid w:val="00CB6033"/>
    <w:rsid w:val="00CB60F0"/>
    <w:rsid w:val="00CB612C"/>
    <w:rsid w:val="00CB63E1"/>
    <w:rsid w:val="00CB6504"/>
    <w:rsid w:val="00CB65A8"/>
    <w:rsid w:val="00CB65CB"/>
    <w:rsid w:val="00CB65DD"/>
    <w:rsid w:val="00CB6670"/>
    <w:rsid w:val="00CB66C8"/>
    <w:rsid w:val="00CB6719"/>
    <w:rsid w:val="00CB6943"/>
    <w:rsid w:val="00CB6B89"/>
    <w:rsid w:val="00CB6BF3"/>
    <w:rsid w:val="00CB6F13"/>
    <w:rsid w:val="00CB6F7A"/>
    <w:rsid w:val="00CB70B2"/>
    <w:rsid w:val="00CB7298"/>
    <w:rsid w:val="00CB72BC"/>
    <w:rsid w:val="00CB7468"/>
    <w:rsid w:val="00CB74A9"/>
    <w:rsid w:val="00CB74C4"/>
    <w:rsid w:val="00CB7517"/>
    <w:rsid w:val="00CB767D"/>
    <w:rsid w:val="00CB76CE"/>
    <w:rsid w:val="00CB7718"/>
    <w:rsid w:val="00CB7789"/>
    <w:rsid w:val="00CB779C"/>
    <w:rsid w:val="00CB78D6"/>
    <w:rsid w:val="00CB79BC"/>
    <w:rsid w:val="00CB7C0B"/>
    <w:rsid w:val="00CB7CF5"/>
    <w:rsid w:val="00CB7EF3"/>
    <w:rsid w:val="00CB7F1D"/>
    <w:rsid w:val="00CB7FBD"/>
    <w:rsid w:val="00CC000E"/>
    <w:rsid w:val="00CC0015"/>
    <w:rsid w:val="00CC009D"/>
    <w:rsid w:val="00CC023F"/>
    <w:rsid w:val="00CC0466"/>
    <w:rsid w:val="00CC04D6"/>
    <w:rsid w:val="00CC053F"/>
    <w:rsid w:val="00CC06DC"/>
    <w:rsid w:val="00CC080C"/>
    <w:rsid w:val="00CC08CD"/>
    <w:rsid w:val="00CC0915"/>
    <w:rsid w:val="00CC096F"/>
    <w:rsid w:val="00CC0A7C"/>
    <w:rsid w:val="00CC0B1E"/>
    <w:rsid w:val="00CC0DC8"/>
    <w:rsid w:val="00CC0EC7"/>
    <w:rsid w:val="00CC10F4"/>
    <w:rsid w:val="00CC1155"/>
    <w:rsid w:val="00CC127A"/>
    <w:rsid w:val="00CC12EF"/>
    <w:rsid w:val="00CC1325"/>
    <w:rsid w:val="00CC142A"/>
    <w:rsid w:val="00CC152B"/>
    <w:rsid w:val="00CC152F"/>
    <w:rsid w:val="00CC1699"/>
    <w:rsid w:val="00CC16F5"/>
    <w:rsid w:val="00CC17BE"/>
    <w:rsid w:val="00CC1820"/>
    <w:rsid w:val="00CC184F"/>
    <w:rsid w:val="00CC19BA"/>
    <w:rsid w:val="00CC1B1D"/>
    <w:rsid w:val="00CC1CBD"/>
    <w:rsid w:val="00CC1DC1"/>
    <w:rsid w:val="00CC1E68"/>
    <w:rsid w:val="00CC1E8B"/>
    <w:rsid w:val="00CC1F61"/>
    <w:rsid w:val="00CC1FFB"/>
    <w:rsid w:val="00CC20DA"/>
    <w:rsid w:val="00CC20E9"/>
    <w:rsid w:val="00CC2467"/>
    <w:rsid w:val="00CC255E"/>
    <w:rsid w:val="00CC256B"/>
    <w:rsid w:val="00CC259D"/>
    <w:rsid w:val="00CC273E"/>
    <w:rsid w:val="00CC275A"/>
    <w:rsid w:val="00CC2BE6"/>
    <w:rsid w:val="00CC2C02"/>
    <w:rsid w:val="00CC2C41"/>
    <w:rsid w:val="00CC2C56"/>
    <w:rsid w:val="00CC2D30"/>
    <w:rsid w:val="00CC2DF4"/>
    <w:rsid w:val="00CC2EDB"/>
    <w:rsid w:val="00CC2F31"/>
    <w:rsid w:val="00CC320D"/>
    <w:rsid w:val="00CC3223"/>
    <w:rsid w:val="00CC33FA"/>
    <w:rsid w:val="00CC3927"/>
    <w:rsid w:val="00CC3991"/>
    <w:rsid w:val="00CC39B4"/>
    <w:rsid w:val="00CC39F7"/>
    <w:rsid w:val="00CC3A53"/>
    <w:rsid w:val="00CC3A81"/>
    <w:rsid w:val="00CC3B24"/>
    <w:rsid w:val="00CC3BCD"/>
    <w:rsid w:val="00CC3C82"/>
    <w:rsid w:val="00CC3C98"/>
    <w:rsid w:val="00CC3ECD"/>
    <w:rsid w:val="00CC3FB9"/>
    <w:rsid w:val="00CC4031"/>
    <w:rsid w:val="00CC41A8"/>
    <w:rsid w:val="00CC41DE"/>
    <w:rsid w:val="00CC42B5"/>
    <w:rsid w:val="00CC4332"/>
    <w:rsid w:val="00CC43BD"/>
    <w:rsid w:val="00CC43BE"/>
    <w:rsid w:val="00CC4407"/>
    <w:rsid w:val="00CC44D4"/>
    <w:rsid w:val="00CC4967"/>
    <w:rsid w:val="00CC49A6"/>
    <w:rsid w:val="00CC4A82"/>
    <w:rsid w:val="00CC4AE9"/>
    <w:rsid w:val="00CC4BEF"/>
    <w:rsid w:val="00CC4DB7"/>
    <w:rsid w:val="00CC4DBD"/>
    <w:rsid w:val="00CC5108"/>
    <w:rsid w:val="00CC5294"/>
    <w:rsid w:val="00CC52AC"/>
    <w:rsid w:val="00CC5429"/>
    <w:rsid w:val="00CC545B"/>
    <w:rsid w:val="00CC5609"/>
    <w:rsid w:val="00CC57FF"/>
    <w:rsid w:val="00CC5973"/>
    <w:rsid w:val="00CC5ACD"/>
    <w:rsid w:val="00CC5B23"/>
    <w:rsid w:val="00CC5D07"/>
    <w:rsid w:val="00CC5D1E"/>
    <w:rsid w:val="00CC5D49"/>
    <w:rsid w:val="00CC5EB0"/>
    <w:rsid w:val="00CC5EF8"/>
    <w:rsid w:val="00CC5F3C"/>
    <w:rsid w:val="00CC60D1"/>
    <w:rsid w:val="00CC60DB"/>
    <w:rsid w:val="00CC620C"/>
    <w:rsid w:val="00CC63C7"/>
    <w:rsid w:val="00CC6431"/>
    <w:rsid w:val="00CC64A3"/>
    <w:rsid w:val="00CC653A"/>
    <w:rsid w:val="00CC65A1"/>
    <w:rsid w:val="00CC65D4"/>
    <w:rsid w:val="00CC66D6"/>
    <w:rsid w:val="00CC66E5"/>
    <w:rsid w:val="00CC6937"/>
    <w:rsid w:val="00CC69BC"/>
    <w:rsid w:val="00CC6A79"/>
    <w:rsid w:val="00CC6A96"/>
    <w:rsid w:val="00CC6B8D"/>
    <w:rsid w:val="00CC6C2C"/>
    <w:rsid w:val="00CC6C30"/>
    <w:rsid w:val="00CC6CCA"/>
    <w:rsid w:val="00CC6D5D"/>
    <w:rsid w:val="00CC6DAA"/>
    <w:rsid w:val="00CC6DDA"/>
    <w:rsid w:val="00CC700A"/>
    <w:rsid w:val="00CC70EA"/>
    <w:rsid w:val="00CC715D"/>
    <w:rsid w:val="00CC71A7"/>
    <w:rsid w:val="00CC71F0"/>
    <w:rsid w:val="00CC7223"/>
    <w:rsid w:val="00CC7348"/>
    <w:rsid w:val="00CC73A1"/>
    <w:rsid w:val="00CC740F"/>
    <w:rsid w:val="00CC74E8"/>
    <w:rsid w:val="00CC74FB"/>
    <w:rsid w:val="00CC7523"/>
    <w:rsid w:val="00CC7562"/>
    <w:rsid w:val="00CC75EB"/>
    <w:rsid w:val="00CC7685"/>
    <w:rsid w:val="00CC7697"/>
    <w:rsid w:val="00CC7757"/>
    <w:rsid w:val="00CC7899"/>
    <w:rsid w:val="00CC7927"/>
    <w:rsid w:val="00CC7A21"/>
    <w:rsid w:val="00CC7AAD"/>
    <w:rsid w:val="00CC7B69"/>
    <w:rsid w:val="00CC7E27"/>
    <w:rsid w:val="00CC7F08"/>
    <w:rsid w:val="00CD0156"/>
    <w:rsid w:val="00CD029B"/>
    <w:rsid w:val="00CD03F5"/>
    <w:rsid w:val="00CD041F"/>
    <w:rsid w:val="00CD049A"/>
    <w:rsid w:val="00CD05E8"/>
    <w:rsid w:val="00CD0688"/>
    <w:rsid w:val="00CD0850"/>
    <w:rsid w:val="00CD0965"/>
    <w:rsid w:val="00CD0C42"/>
    <w:rsid w:val="00CD0CD3"/>
    <w:rsid w:val="00CD0DE8"/>
    <w:rsid w:val="00CD0DF0"/>
    <w:rsid w:val="00CD0E2B"/>
    <w:rsid w:val="00CD0ECA"/>
    <w:rsid w:val="00CD0ECC"/>
    <w:rsid w:val="00CD0F12"/>
    <w:rsid w:val="00CD10FB"/>
    <w:rsid w:val="00CD115D"/>
    <w:rsid w:val="00CD125E"/>
    <w:rsid w:val="00CD12B1"/>
    <w:rsid w:val="00CD12C3"/>
    <w:rsid w:val="00CD12EE"/>
    <w:rsid w:val="00CD14DA"/>
    <w:rsid w:val="00CD14E3"/>
    <w:rsid w:val="00CD1611"/>
    <w:rsid w:val="00CD1667"/>
    <w:rsid w:val="00CD17E4"/>
    <w:rsid w:val="00CD1857"/>
    <w:rsid w:val="00CD1AE4"/>
    <w:rsid w:val="00CD1BD9"/>
    <w:rsid w:val="00CD1C1F"/>
    <w:rsid w:val="00CD1CA2"/>
    <w:rsid w:val="00CD1D08"/>
    <w:rsid w:val="00CD2008"/>
    <w:rsid w:val="00CD2135"/>
    <w:rsid w:val="00CD2264"/>
    <w:rsid w:val="00CD2306"/>
    <w:rsid w:val="00CD267D"/>
    <w:rsid w:val="00CD2750"/>
    <w:rsid w:val="00CD27CE"/>
    <w:rsid w:val="00CD28B7"/>
    <w:rsid w:val="00CD28CC"/>
    <w:rsid w:val="00CD28EB"/>
    <w:rsid w:val="00CD2964"/>
    <w:rsid w:val="00CD29B9"/>
    <w:rsid w:val="00CD2C79"/>
    <w:rsid w:val="00CD2D0C"/>
    <w:rsid w:val="00CD2E34"/>
    <w:rsid w:val="00CD2FDE"/>
    <w:rsid w:val="00CD31DF"/>
    <w:rsid w:val="00CD32AF"/>
    <w:rsid w:val="00CD36AD"/>
    <w:rsid w:val="00CD3980"/>
    <w:rsid w:val="00CD399C"/>
    <w:rsid w:val="00CD39F5"/>
    <w:rsid w:val="00CD3BE1"/>
    <w:rsid w:val="00CD3C2C"/>
    <w:rsid w:val="00CD3EE2"/>
    <w:rsid w:val="00CD3FAF"/>
    <w:rsid w:val="00CD402A"/>
    <w:rsid w:val="00CD40B4"/>
    <w:rsid w:val="00CD40C2"/>
    <w:rsid w:val="00CD41ED"/>
    <w:rsid w:val="00CD4538"/>
    <w:rsid w:val="00CD455B"/>
    <w:rsid w:val="00CD45F0"/>
    <w:rsid w:val="00CD4697"/>
    <w:rsid w:val="00CD476D"/>
    <w:rsid w:val="00CD477E"/>
    <w:rsid w:val="00CD47F8"/>
    <w:rsid w:val="00CD4850"/>
    <w:rsid w:val="00CD48AB"/>
    <w:rsid w:val="00CD492E"/>
    <w:rsid w:val="00CD49CE"/>
    <w:rsid w:val="00CD4B49"/>
    <w:rsid w:val="00CD4B90"/>
    <w:rsid w:val="00CD4CCC"/>
    <w:rsid w:val="00CD4F48"/>
    <w:rsid w:val="00CD5074"/>
    <w:rsid w:val="00CD50C8"/>
    <w:rsid w:val="00CD5163"/>
    <w:rsid w:val="00CD517B"/>
    <w:rsid w:val="00CD533F"/>
    <w:rsid w:val="00CD53E5"/>
    <w:rsid w:val="00CD5459"/>
    <w:rsid w:val="00CD548B"/>
    <w:rsid w:val="00CD5623"/>
    <w:rsid w:val="00CD56D8"/>
    <w:rsid w:val="00CD56F9"/>
    <w:rsid w:val="00CD6056"/>
    <w:rsid w:val="00CD60E9"/>
    <w:rsid w:val="00CD61DA"/>
    <w:rsid w:val="00CD6315"/>
    <w:rsid w:val="00CD631F"/>
    <w:rsid w:val="00CD6341"/>
    <w:rsid w:val="00CD63B9"/>
    <w:rsid w:val="00CD6481"/>
    <w:rsid w:val="00CD65AB"/>
    <w:rsid w:val="00CD667D"/>
    <w:rsid w:val="00CD669E"/>
    <w:rsid w:val="00CD66C4"/>
    <w:rsid w:val="00CD675F"/>
    <w:rsid w:val="00CD687B"/>
    <w:rsid w:val="00CD689F"/>
    <w:rsid w:val="00CD699F"/>
    <w:rsid w:val="00CD6A72"/>
    <w:rsid w:val="00CD6A76"/>
    <w:rsid w:val="00CD6AB1"/>
    <w:rsid w:val="00CD6B76"/>
    <w:rsid w:val="00CD6B83"/>
    <w:rsid w:val="00CD71B1"/>
    <w:rsid w:val="00CD732A"/>
    <w:rsid w:val="00CD7621"/>
    <w:rsid w:val="00CD768D"/>
    <w:rsid w:val="00CD7751"/>
    <w:rsid w:val="00CD7864"/>
    <w:rsid w:val="00CD78D2"/>
    <w:rsid w:val="00CD7C34"/>
    <w:rsid w:val="00CD7DC9"/>
    <w:rsid w:val="00CD7F7B"/>
    <w:rsid w:val="00CD7F9A"/>
    <w:rsid w:val="00CE038C"/>
    <w:rsid w:val="00CE03D2"/>
    <w:rsid w:val="00CE055B"/>
    <w:rsid w:val="00CE0772"/>
    <w:rsid w:val="00CE0815"/>
    <w:rsid w:val="00CE0889"/>
    <w:rsid w:val="00CE0A50"/>
    <w:rsid w:val="00CE0CB0"/>
    <w:rsid w:val="00CE0EA9"/>
    <w:rsid w:val="00CE102A"/>
    <w:rsid w:val="00CE115C"/>
    <w:rsid w:val="00CE125E"/>
    <w:rsid w:val="00CE12D4"/>
    <w:rsid w:val="00CE13C6"/>
    <w:rsid w:val="00CE13D0"/>
    <w:rsid w:val="00CE14C7"/>
    <w:rsid w:val="00CE14DC"/>
    <w:rsid w:val="00CE1600"/>
    <w:rsid w:val="00CE19B4"/>
    <w:rsid w:val="00CE1DEF"/>
    <w:rsid w:val="00CE1F9E"/>
    <w:rsid w:val="00CE2179"/>
    <w:rsid w:val="00CE236D"/>
    <w:rsid w:val="00CE23B7"/>
    <w:rsid w:val="00CE2638"/>
    <w:rsid w:val="00CE26F7"/>
    <w:rsid w:val="00CE2773"/>
    <w:rsid w:val="00CE28A9"/>
    <w:rsid w:val="00CE293C"/>
    <w:rsid w:val="00CE29ED"/>
    <w:rsid w:val="00CE2A2F"/>
    <w:rsid w:val="00CE2CD7"/>
    <w:rsid w:val="00CE2CEA"/>
    <w:rsid w:val="00CE2DC2"/>
    <w:rsid w:val="00CE2E16"/>
    <w:rsid w:val="00CE2FA7"/>
    <w:rsid w:val="00CE2FCA"/>
    <w:rsid w:val="00CE3048"/>
    <w:rsid w:val="00CE3138"/>
    <w:rsid w:val="00CE3320"/>
    <w:rsid w:val="00CE37CE"/>
    <w:rsid w:val="00CE3A2D"/>
    <w:rsid w:val="00CE3CA2"/>
    <w:rsid w:val="00CE3D3A"/>
    <w:rsid w:val="00CE3DC3"/>
    <w:rsid w:val="00CE3DDF"/>
    <w:rsid w:val="00CE3ED6"/>
    <w:rsid w:val="00CE3F87"/>
    <w:rsid w:val="00CE4098"/>
    <w:rsid w:val="00CE40EA"/>
    <w:rsid w:val="00CE4540"/>
    <w:rsid w:val="00CE45B0"/>
    <w:rsid w:val="00CE45EC"/>
    <w:rsid w:val="00CE4697"/>
    <w:rsid w:val="00CE46D6"/>
    <w:rsid w:val="00CE4700"/>
    <w:rsid w:val="00CE4857"/>
    <w:rsid w:val="00CE4858"/>
    <w:rsid w:val="00CE4892"/>
    <w:rsid w:val="00CE4912"/>
    <w:rsid w:val="00CE4953"/>
    <w:rsid w:val="00CE4989"/>
    <w:rsid w:val="00CE4A69"/>
    <w:rsid w:val="00CE4AA7"/>
    <w:rsid w:val="00CE4B68"/>
    <w:rsid w:val="00CE4C86"/>
    <w:rsid w:val="00CE4D66"/>
    <w:rsid w:val="00CE4DD9"/>
    <w:rsid w:val="00CE5073"/>
    <w:rsid w:val="00CE519D"/>
    <w:rsid w:val="00CE54AA"/>
    <w:rsid w:val="00CE556E"/>
    <w:rsid w:val="00CE5620"/>
    <w:rsid w:val="00CE564B"/>
    <w:rsid w:val="00CE58B8"/>
    <w:rsid w:val="00CE58D0"/>
    <w:rsid w:val="00CE590F"/>
    <w:rsid w:val="00CE5938"/>
    <w:rsid w:val="00CE5B8D"/>
    <w:rsid w:val="00CE5CAA"/>
    <w:rsid w:val="00CE5CB1"/>
    <w:rsid w:val="00CE5D53"/>
    <w:rsid w:val="00CE5FC4"/>
    <w:rsid w:val="00CE6116"/>
    <w:rsid w:val="00CE62DE"/>
    <w:rsid w:val="00CE644A"/>
    <w:rsid w:val="00CE64AD"/>
    <w:rsid w:val="00CE64FF"/>
    <w:rsid w:val="00CE6645"/>
    <w:rsid w:val="00CE66D2"/>
    <w:rsid w:val="00CE66F9"/>
    <w:rsid w:val="00CE6771"/>
    <w:rsid w:val="00CE6982"/>
    <w:rsid w:val="00CE6AE2"/>
    <w:rsid w:val="00CE6D13"/>
    <w:rsid w:val="00CE6D42"/>
    <w:rsid w:val="00CE6DDB"/>
    <w:rsid w:val="00CE6E59"/>
    <w:rsid w:val="00CE6F46"/>
    <w:rsid w:val="00CE711E"/>
    <w:rsid w:val="00CE713E"/>
    <w:rsid w:val="00CE72AD"/>
    <w:rsid w:val="00CE73E6"/>
    <w:rsid w:val="00CE74F8"/>
    <w:rsid w:val="00CE7633"/>
    <w:rsid w:val="00CE7762"/>
    <w:rsid w:val="00CE785A"/>
    <w:rsid w:val="00CE7869"/>
    <w:rsid w:val="00CE7A53"/>
    <w:rsid w:val="00CE7BCA"/>
    <w:rsid w:val="00CE7CAE"/>
    <w:rsid w:val="00CE7CF9"/>
    <w:rsid w:val="00CE7E99"/>
    <w:rsid w:val="00CF0026"/>
    <w:rsid w:val="00CF0052"/>
    <w:rsid w:val="00CF0164"/>
    <w:rsid w:val="00CF0274"/>
    <w:rsid w:val="00CF0373"/>
    <w:rsid w:val="00CF054E"/>
    <w:rsid w:val="00CF05CA"/>
    <w:rsid w:val="00CF068A"/>
    <w:rsid w:val="00CF06A9"/>
    <w:rsid w:val="00CF081F"/>
    <w:rsid w:val="00CF09A1"/>
    <w:rsid w:val="00CF0A72"/>
    <w:rsid w:val="00CF0AE2"/>
    <w:rsid w:val="00CF0B64"/>
    <w:rsid w:val="00CF0B93"/>
    <w:rsid w:val="00CF0C3B"/>
    <w:rsid w:val="00CF0E3F"/>
    <w:rsid w:val="00CF0E74"/>
    <w:rsid w:val="00CF0EE7"/>
    <w:rsid w:val="00CF0F64"/>
    <w:rsid w:val="00CF100F"/>
    <w:rsid w:val="00CF10E4"/>
    <w:rsid w:val="00CF1158"/>
    <w:rsid w:val="00CF125D"/>
    <w:rsid w:val="00CF12C5"/>
    <w:rsid w:val="00CF12DA"/>
    <w:rsid w:val="00CF1338"/>
    <w:rsid w:val="00CF143E"/>
    <w:rsid w:val="00CF15DC"/>
    <w:rsid w:val="00CF1725"/>
    <w:rsid w:val="00CF1B2B"/>
    <w:rsid w:val="00CF1CF4"/>
    <w:rsid w:val="00CF1D54"/>
    <w:rsid w:val="00CF1D60"/>
    <w:rsid w:val="00CF1E32"/>
    <w:rsid w:val="00CF204E"/>
    <w:rsid w:val="00CF270E"/>
    <w:rsid w:val="00CF278D"/>
    <w:rsid w:val="00CF2BCF"/>
    <w:rsid w:val="00CF2D3C"/>
    <w:rsid w:val="00CF2DB4"/>
    <w:rsid w:val="00CF2F07"/>
    <w:rsid w:val="00CF2F63"/>
    <w:rsid w:val="00CF2FE1"/>
    <w:rsid w:val="00CF3095"/>
    <w:rsid w:val="00CF3166"/>
    <w:rsid w:val="00CF336D"/>
    <w:rsid w:val="00CF33B7"/>
    <w:rsid w:val="00CF35E4"/>
    <w:rsid w:val="00CF36D8"/>
    <w:rsid w:val="00CF3728"/>
    <w:rsid w:val="00CF377A"/>
    <w:rsid w:val="00CF379D"/>
    <w:rsid w:val="00CF3883"/>
    <w:rsid w:val="00CF38D7"/>
    <w:rsid w:val="00CF3A57"/>
    <w:rsid w:val="00CF3B3A"/>
    <w:rsid w:val="00CF3C06"/>
    <w:rsid w:val="00CF3CE4"/>
    <w:rsid w:val="00CF3CEB"/>
    <w:rsid w:val="00CF3EA2"/>
    <w:rsid w:val="00CF403B"/>
    <w:rsid w:val="00CF4132"/>
    <w:rsid w:val="00CF414A"/>
    <w:rsid w:val="00CF41CF"/>
    <w:rsid w:val="00CF4233"/>
    <w:rsid w:val="00CF4326"/>
    <w:rsid w:val="00CF432E"/>
    <w:rsid w:val="00CF43D9"/>
    <w:rsid w:val="00CF44E8"/>
    <w:rsid w:val="00CF46C5"/>
    <w:rsid w:val="00CF488E"/>
    <w:rsid w:val="00CF48EF"/>
    <w:rsid w:val="00CF4953"/>
    <w:rsid w:val="00CF497C"/>
    <w:rsid w:val="00CF4BC0"/>
    <w:rsid w:val="00CF4D44"/>
    <w:rsid w:val="00CF4DD3"/>
    <w:rsid w:val="00CF4F2D"/>
    <w:rsid w:val="00CF4F9E"/>
    <w:rsid w:val="00CF5040"/>
    <w:rsid w:val="00CF511C"/>
    <w:rsid w:val="00CF515B"/>
    <w:rsid w:val="00CF54D0"/>
    <w:rsid w:val="00CF55A9"/>
    <w:rsid w:val="00CF57A4"/>
    <w:rsid w:val="00CF5BAF"/>
    <w:rsid w:val="00CF5D7D"/>
    <w:rsid w:val="00CF5DDB"/>
    <w:rsid w:val="00CF5DED"/>
    <w:rsid w:val="00CF5E20"/>
    <w:rsid w:val="00CF5E41"/>
    <w:rsid w:val="00CF5F8E"/>
    <w:rsid w:val="00CF5FB0"/>
    <w:rsid w:val="00CF6092"/>
    <w:rsid w:val="00CF6106"/>
    <w:rsid w:val="00CF61E4"/>
    <w:rsid w:val="00CF6363"/>
    <w:rsid w:val="00CF6463"/>
    <w:rsid w:val="00CF6479"/>
    <w:rsid w:val="00CF666A"/>
    <w:rsid w:val="00CF6799"/>
    <w:rsid w:val="00CF68EC"/>
    <w:rsid w:val="00CF69AA"/>
    <w:rsid w:val="00CF6ABB"/>
    <w:rsid w:val="00CF6CD9"/>
    <w:rsid w:val="00CF7028"/>
    <w:rsid w:val="00CF703B"/>
    <w:rsid w:val="00CF7187"/>
    <w:rsid w:val="00CF71EF"/>
    <w:rsid w:val="00CF7213"/>
    <w:rsid w:val="00CF7257"/>
    <w:rsid w:val="00CF7328"/>
    <w:rsid w:val="00CF73DE"/>
    <w:rsid w:val="00CF73E0"/>
    <w:rsid w:val="00CF73E9"/>
    <w:rsid w:val="00CF757F"/>
    <w:rsid w:val="00CF7898"/>
    <w:rsid w:val="00CF7997"/>
    <w:rsid w:val="00CF79AC"/>
    <w:rsid w:val="00CF79E1"/>
    <w:rsid w:val="00CF7A0A"/>
    <w:rsid w:val="00CF7A15"/>
    <w:rsid w:val="00CF7B7D"/>
    <w:rsid w:val="00CF7BA5"/>
    <w:rsid w:val="00CF7C15"/>
    <w:rsid w:val="00CF7C47"/>
    <w:rsid w:val="00D0004C"/>
    <w:rsid w:val="00D002C6"/>
    <w:rsid w:val="00D002CB"/>
    <w:rsid w:val="00D00348"/>
    <w:rsid w:val="00D0037E"/>
    <w:rsid w:val="00D00380"/>
    <w:rsid w:val="00D003E9"/>
    <w:rsid w:val="00D00439"/>
    <w:rsid w:val="00D004AF"/>
    <w:rsid w:val="00D0053F"/>
    <w:rsid w:val="00D0059D"/>
    <w:rsid w:val="00D006C3"/>
    <w:rsid w:val="00D00721"/>
    <w:rsid w:val="00D009A5"/>
    <w:rsid w:val="00D009EE"/>
    <w:rsid w:val="00D00D47"/>
    <w:rsid w:val="00D00F7B"/>
    <w:rsid w:val="00D012DF"/>
    <w:rsid w:val="00D01380"/>
    <w:rsid w:val="00D0138F"/>
    <w:rsid w:val="00D014C1"/>
    <w:rsid w:val="00D017D8"/>
    <w:rsid w:val="00D0194B"/>
    <w:rsid w:val="00D019F4"/>
    <w:rsid w:val="00D01AD8"/>
    <w:rsid w:val="00D01B25"/>
    <w:rsid w:val="00D01B34"/>
    <w:rsid w:val="00D01B8D"/>
    <w:rsid w:val="00D01BF7"/>
    <w:rsid w:val="00D01E18"/>
    <w:rsid w:val="00D01F06"/>
    <w:rsid w:val="00D01F61"/>
    <w:rsid w:val="00D0202B"/>
    <w:rsid w:val="00D0216D"/>
    <w:rsid w:val="00D0219F"/>
    <w:rsid w:val="00D02244"/>
    <w:rsid w:val="00D023D4"/>
    <w:rsid w:val="00D0245B"/>
    <w:rsid w:val="00D0248B"/>
    <w:rsid w:val="00D02554"/>
    <w:rsid w:val="00D025BC"/>
    <w:rsid w:val="00D026CB"/>
    <w:rsid w:val="00D026F6"/>
    <w:rsid w:val="00D02702"/>
    <w:rsid w:val="00D02823"/>
    <w:rsid w:val="00D02C77"/>
    <w:rsid w:val="00D02FCB"/>
    <w:rsid w:val="00D02FE8"/>
    <w:rsid w:val="00D03048"/>
    <w:rsid w:val="00D0325A"/>
    <w:rsid w:val="00D033CF"/>
    <w:rsid w:val="00D0347E"/>
    <w:rsid w:val="00D038D4"/>
    <w:rsid w:val="00D0396A"/>
    <w:rsid w:val="00D03A33"/>
    <w:rsid w:val="00D03A6D"/>
    <w:rsid w:val="00D03AA7"/>
    <w:rsid w:val="00D03B17"/>
    <w:rsid w:val="00D03C41"/>
    <w:rsid w:val="00D03DC6"/>
    <w:rsid w:val="00D03F18"/>
    <w:rsid w:val="00D03F5E"/>
    <w:rsid w:val="00D03FCA"/>
    <w:rsid w:val="00D03FE6"/>
    <w:rsid w:val="00D04159"/>
    <w:rsid w:val="00D04212"/>
    <w:rsid w:val="00D042A8"/>
    <w:rsid w:val="00D04459"/>
    <w:rsid w:val="00D0450B"/>
    <w:rsid w:val="00D046D2"/>
    <w:rsid w:val="00D04890"/>
    <w:rsid w:val="00D0489B"/>
    <w:rsid w:val="00D048EF"/>
    <w:rsid w:val="00D049C4"/>
    <w:rsid w:val="00D04AAE"/>
    <w:rsid w:val="00D04B30"/>
    <w:rsid w:val="00D04D6F"/>
    <w:rsid w:val="00D04E23"/>
    <w:rsid w:val="00D050C0"/>
    <w:rsid w:val="00D0529B"/>
    <w:rsid w:val="00D0534F"/>
    <w:rsid w:val="00D05551"/>
    <w:rsid w:val="00D05730"/>
    <w:rsid w:val="00D0577F"/>
    <w:rsid w:val="00D05816"/>
    <w:rsid w:val="00D05B7D"/>
    <w:rsid w:val="00D05C06"/>
    <w:rsid w:val="00D05C4F"/>
    <w:rsid w:val="00D05CFC"/>
    <w:rsid w:val="00D05F31"/>
    <w:rsid w:val="00D0651B"/>
    <w:rsid w:val="00D065FB"/>
    <w:rsid w:val="00D0664D"/>
    <w:rsid w:val="00D06A73"/>
    <w:rsid w:val="00D06BFB"/>
    <w:rsid w:val="00D06D40"/>
    <w:rsid w:val="00D06D42"/>
    <w:rsid w:val="00D06DE4"/>
    <w:rsid w:val="00D070AA"/>
    <w:rsid w:val="00D074A8"/>
    <w:rsid w:val="00D074C2"/>
    <w:rsid w:val="00D0752C"/>
    <w:rsid w:val="00D07579"/>
    <w:rsid w:val="00D07902"/>
    <w:rsid w:val="00D07940"/>
    <w:rsid w:val="00D07A3D"/>
    <w:rsid w:val="00D10122"/>
    <w:rsid w:val="00D10186"/>
    <w:rsid w:val="00D101EA"/>
    <w:rsid w:val="00D10248"/>
    <w:rsid w:val="00D10303"/>
    <w:rsid w:val="00D103E1"/>
    <w:rsid w:val="00D10457"/>
    <w:rsid w:val="00D106F6"/>
    <w:rsid w:val="00D1074C"/>
    <w:rsid w:val="00D1095D"/>
    <w:rsid w:val="00D10B6F"/>
    <w:rsid w:val="00D10C31"/>
    <w:rsid w:val="00D10D03"/>
    <w:rsid w:val="00D10D32"/>
    <w:rsid w:val="00D10F86"/>
    <w:rsid w:val="00D10FEF"/>
    <w:rsid w:val="00D1127B"/>
    <w:rsid w:val="00D11306"/>
    <w:rsid w:val="00D1132A"/>
    <w:rsid w:val="00D1149E"/>
    <w:rsid w:val="00D11681"/>
    <w:rsid w:val="00D117D6"/>
    <w:rsid w:val="00D11876"/>
    <w:rsid w:val="00D1188C"/>
    <w:rsid w:val="00D1193F"/>
    <w:rsid w:val="00D11955"/>
    <w:rsid w:val="00D11A78"/>
    <w:rsid w:val="00D11B94"/>
    <w:rsid w:val="00D11BCE"/>
    <w:rsid w:val="00D11C56"/>
    <w:rsid w:val="00D11D4D"/>
    <w:rsid w:val="00D12077"/>
    <w:rsid w:val="00D122A6"/>
    <w:rsid w:val="00D122F1"/>
    <w:rsid w:val="00D123E8"/>
    <w:rsid w:val="00D12562"/>
    <w:rsid w:val="00D1268B"/>
    <w:rsid w:val="00D12774"/>
    <w:rsid w:val="00D12BF9"/>
    <w:rsid w:val="00D12C88"/>
    <w:rsid w:val="00D12DB1"/>
    <w:rsid w:val="00D12E2B"/>
    <w:rsid w:val="00D12E6B"/>
    <w:rsid w:val="00D12F1C"/>
    <w:rsid w:val="00D12F1D"/>
    <w:rsid w:val="00D12FD4"/>
    <w:rsid w:val="00D132C5"/>
    <w:rsid w:val="00D132E1"/>
    <w:rsid w:val="00D133A9"/>
    <w:rsid w:val="00D133C0"/>
    <w:rsid w:val="00D133F7"/>
    <w:rsid w:val="00D1345E"/>
    <w:rsid w:val="00D13532"/>
    <w:rsid w:val="00D13585"/>
    <w:rsid w:val="00D1360D"/>
    <w:rsid w:val="00D13702"/>
    <w:rsid w:val="00D137C5"/>
    <w:rsid w:val="00D137D1"/>
    <w:rsid w:val="00D13931"/>
    <w:rsid w:val="00D13A08"/>
    <w:rsid w:val="00D13ABE"/>
    <w:rsid w:val="00D13CC3"/>
    <w:rsid w:val="00D13F8D"/>
    <w:rsid w:val="00D14108"/>
    <w:rsid w:val="00D14175"/>
    <w:rsid w:val="00D142E3"/>
    <w:rsid w:val="00D1450F"/>
    <w:rsid w:val="00D14613"/>
    <w:rsid w:val="00D146AB"/>
    <w:rsid w:val="00D1479E"/>
    <w:rsid w:val="00D147B0"/>
    <w:rsid w:val="00D147BC"/>
    <w:rsid w:val="00D14C6A"/>
    <w:rsid w:val="00D14DFA"/>
    <w:rsid w:val="00D14E43"/>
    <w:rsid w:val="00D14EAE"/>
    <w:rsid w:val="00D14EE2"/>
    <w:rsid w:val="00D14F88"/>
    <w:rsid w:val="00D1515D"/>
    <w:rsid w:val="00D152E3"/>
    <w:rsid w:val="00D154E0"/>
    <w:rsid w:val="00D15552"/>
    <w:rsid w:val="00D155A5"/>
    <w:rsid w:val="00D157CE"/>
    <w:rsid w:val="00D159F2"/>
    <w:rsid w:val="00D15AB5"/>
    <w:rsid w:val="00D15B36"/>
    <w:rsid w:val="00D15B73"/>
    <w:rsid w:val="00D15C59"/>
    <w:rsid w:val="00D15DF5"/>
    <w:rsid w:val="00D15F50"/>
    <w:rsid w:val="00D1602E"/>
    <w:rsid w:val="00D160A2"/>
    <w:rsid w:val="00D16103"/>
    <w:rsid w:val="00D161AC"/>
    <w:rsid w:val="00D161F1"/>
    <w:rsid w:val="00D1635E"/>
    <w:rsid w:val="00D163AB"/>
    <w:rsid w:val="00D165EB"/>
    <w:rsid w:val="00D16708"/>
    <w:rsid w:val="00D1674B"/>
    <w:rsid w:val="00D167B2"/>
    <w:rsid w:val="00D16891"/>
    <w:rsid w:val="00D16CF7"/>
    <w:rsid w:val="00D16DA7"/>
    <w:rsid w:val="00D16E55"/>
    <w:rsid w:val="00D16E78"/>
    <w:rsid w:val="00D16F52"/>
    <w:rsid w:val="00D16F71"/>
    <w:rsid w:val="00D172CF"/>
    <w:rsid w:val="00D1733A"/>
    <w:rsid w:val="00D173D1"/>
    <w:rsid w:val="00D17596"/>
    <w:rsid w:val="00D17823"/>
    <w:rsid w:val="00D17848"/>
    <w:rsid w:val="00D17867"/>
    <w:rsid w:val="00D17920"/>
    <w:rsid w:val="00D179DF"/>
    <w:rsid w:val="00D17A12"/>
    <w:rsid w:val="00D17C34"/>
    <w:rsid w:val="00D17C67"/>
    <w:rsid w:val="00D17E0D"/>
    <w:rsid w:val="00D17E50"/>
    <w:rsid w:val="00D17E62"/>
    <w:rsid w:val="00D17F1E"/>
    <w:rsid w:val="00D17F20"/>
    <w:rsid w:val="00D17F21"/>
    <w:rsid w:val="00D17F28"/>
    <w:rsid w:val="00D2006A"/>
    <w:rsid w:val="00D202F0"/>
    <w:rsid w:val="00D2042B"/>
    <w:rsid w:val="00D2060F"/>
    <w:rsid w:val="00D20638"/>
    <w:rsid w:val="00D206BA"/>
    <w:rsid w:val="00D206E0"/>
    <w:rsid w:val="00D20846"/>
    <w:rsid w:val="00D20AC2"/>
    <w:rsid w:val="00D20BCE"/>
    <w:rsid w:val="00D20F24"/>
    <w:rsid w:val="00D20F40"/>
    <w:rsid w:val="00D2130D"/>
    <w:rsid w:val="00D21441"/>
    <w:rsid w:val="00D215B3"/>
    <w:rsid w:val="00D215CD"/>
    <w:rsid w:val="00D215CF"/>
    <w:rsid w:val="00D21686"/>
    <w:rsid w:val="00D218A0"/>
    <w:rsid w:val="00D21BC3"/>
    <w:rsid w:val="00D21CC3"/>
    <w:rsid w:val="00D21CEB"/>
    <w:rsid w:val="00D21DCE"/>
    <w:rsid w:val="00D21ECB"/>
    <w:rsid w:val="00D21F68"/>
    <w:rsid w:val="00D22261"/>
    <w:rsid w:val="00D222DA"/>
    <w:rsid w:val="00D22361"/>
    <w:rsid w:val="00D22381"/>
    <w:rsid w:val="00D223F9"/>
    <w:rsid w:val="00D224BA"/>
    <w:rsid w:val="00D22588"/>
    <w:rsid w:val="00D2270F"/>
    <w:rsid w:val="00D22770"/>
    <w:rsid w:val="00D227A8"/>
    <w:rsid w:val="00D227E1"/>
    <w:rsid w:val="00D22870"/>
    <w:rsid w:val="00D22A7D"/>
    <w:rsid w:val="00D22B62"/>
    <w:rsid w:val="00D22BDC"/>
    <w:rsid w:val="00D22C01"/>
    <w:rsid w:val="00D22F06"/>
    <w:rsid w:val="00D22F6F"/>
    <w:rsid w:val="00D22F8D"/>
    <w:rsid w:val="00D230B8"/>
    <w:rsid w:val="00D230E3"/>
    <w:rsid w:val="00D23332"/>
    <w:rsid w:val="00D234D4"/>
    <w:rsid w:val="00D23536"/>
    <w:rsid w:val="00D23717"/>
    <w:rsid w:val="00D237CA"/>
    <w:rsid w:val="00D23891"/>
    <w:rsid w:val="00D23BC0"/>
    <w:rsid w:val="00D23D10"/>
    <w:rsid w:val="00D23DA6"/>
    <w:rsid w:val="00D23EF2"/>
    <w:rsid w:val="00D24220"/>
    <w:rsid w:val="00D24266"/>
    <w:rsid w:val="00D2437C"/>
    <w:rsid w:val="00D2448D"/>
    <w:rsid w:val="00D246BF"/>
    <w:rsid w:val="00D2479E"/>
    <w:rsid w:val="00D248B2"/>
    <w:rsid w:val="00D248C1"/>
    <w:rsid w:val="00D24B05"/>
    <w:rsid w:val="00D24BBA"/>
    <w:rsid w:val="00D24C30"/>
    <w:rsid w:val="00D24C55"/>
    <w:rsid w:val="00D24DD6"/>
    <w:rsid w:val="00D24E70"/>
    <w:rsid w:val="00D24F89"/>
    <w:rsid w:val="00D25025"/>
    <w:rsid w:val="00D25062"/>
    <w:rsid w:val="00D250CD"/>
    <w:rsid w:val="00D251FF"/>
    <w:rsid w:val="00D252D1"/>
    <w:rsid w:val="00D253E8"/>
    <w:rsid w:val="00D25593"/>
    <w:rsid w:val="00D256DF"/>
    <w:rsid w:val="00D25BBD"/>
    <w:rsid w:val="00D25BEE"/>
    <w:rsid w:val="00D25D11"/>
    <w:rsid w:val="00D25EB0"/>
    <w:rsid w:val="00D26032"/>
    <w:rsid w:val="00D260EA"/>
    <w:rsid w:val="00D2614E"/>
    <w:rsid w:val="00D26240"/>
    <w:rsid w:val="00D265ED"/>
    <w:rsid w:val="00D26697"/>
    <w:rsid w:val="00D26815"/>
    <w:rsid w:val="00D26825"/>
    <w:rsid w:val="00D26913"/>
    <w:rsid w:val="00D26962"/>
    <w:rsid w:val="00D26A6E"/>
    <w:rsid w:val="00D26BBC"/>
    <w:rsid w:val="00D26C87"/>
    <w:rsid w:val="00D26C8E"/>
    <w:rsid w:val="00D26CF5"/>
    <w:rsid w:val="00D26E64"/>
    <w:rsid w:val="00D26F30"/>
    <w:rsid w:val="00D26FB5"/>
    <w:rsid w:val="00D26FE2"/>
    <w:rsid w:val="00D27037"/>
    <w:rsid w:val="00D270DF"/>
    <w:rsid w:val="00D271E9"/>
    <w:rsid w:val="00D27258"/>
    <w:rsid w:val="00D2730C"/>
    <w:rsid w:val="00D27599"/>
    <w:rsid w:val="00D275CE"/>
    <w:rsid w:val="00D275DF"/>
    <w:rsid w:val="00D278AE"/>
    <w:rsid w:val="00D278FD"/>
    <w:rsid w:val="00D278FE"/>
    <w:rsid w:val="00D27990"/>
    <w:rsid w:val="00D27A09"/>
    <w:rsid w:val="00D27A38"/>
    <w:rsid w:val="00D27AD9"/>
    <w:rsid w:val="00D27DD2"/>
    <w:rsid w:val="00D27E40"/>
    <w:rsid w:val="00D27E92"/>
    <w:rsid w:val="00D27F93"/>
    <w:rsid w:val="00D3034F"/>
    <w:rsid w:val="00D3036A"/>
    <w:rsid w:val="00D303CB"/>
    <w:rsid w:val="00D303F4"/>
    <w:rsid w:val="00D30759"/>
    <w:rsid w:val="00D30A03"/>
    <w:rsid w:val="00D30C15"/>
    <w:rsid w:val="00D30C37"/>
    <w:rsid w:val="00D30C89"/>
    <w:rsid w:val="00D30D26"/>
    <w:rsid w:val="00D30F51"/>
    <w:rsid w:val="00D30FB9"/>
    <w:rsid w:val="00D310A8"/>
    <w:rsid w:val="00D31190"/>
    <w:rsid w:val="00D31375"/>
    <w:rsid w:val="00D31598"/>
    <w:rsid w:val="00D31622"/>
    <w:rsid w:val="00D31693"/>
    <w:rsid w:val="00D3169C"/>
    <w:rsid w:val="00D316DD"/>
    <w:rsid w:val="00D31842"/>
    <w:rsid w:val="00D31962"/>
    <w:rsid w:val="00D3198F"/>
    <w:rsid w:val="00D31A18"/>
    <w:rsid w:val="00D31B0F"/>
    <w:rsid w:val="00D31B35"/>
    <w:rsid w:val="00D31B6F"/>
    <w:rsid w:val="00D31DED"/>
    <w:rsid w:val="00D32267"/>
    <w:rsid w:val="00D3254F"/>
    <w:rsid w:val="00D325C2"/>
    <w:rsid w:val="00D328C1"/>
    <w:rsid w:val="00D32AC4"/>
    <w:rsid w:val="00D32AE5"/>
    <w:rsid w:val="00D32B8C"/>
    <w:rsid w:val="00D32C02"/>
    <w:rsid w:val="00D32D5F"/>
    <w:rsid w:val="00D32D7D"/>
    <w:rsid w:val="00D33012"/>
    <w:rsid w:val="00D3317F"/>
    <w:rsid w:val="00D332EF"/>
    <w:rsid w:val="00D3335A"/>
    <w:rsid w:val="00D333AF"/>
    <w:rsid w:val="00D334E3"/>
    <w:rsid w:val="00D336FD"/>
    <w:rsid w:val="00D33890"/>
    <w:rsid w:val="00D338DD"/>
    <w:rsid w:val="00D33974"/>
    <w:rsid w:val="00D33A8B"/>
    <w:rsid w:val="00D33AA8"/>
    <w:rsid w:val="00D33BBD"/>
    <w:rsid w:val="00D33CAE"/>
    <w:rsid w:val="00D33E32"/>
    <w:rsid w:val="00D33E62"/>
    <w:rsid w:val="00D3402E"/>
    <w:rsid w:val="00D34217"/>
    <w:rsid w:val="00D342AD"/>
    <w:rsid w:val="00D3450D"/>
    <w:rsid w:val="00D34524"/>
    <w:rsid w:val="00D3456B"/>
    <w:rsid w:val="00D34758"/>
    <w:rsid w:val="00D348A7"/>
    <w:rsid w:val="00D34951"/>
    <w:rsid w:val="00D34998"/>
    <w:rsid w:val="00D349C5"/>
    <w:rsid w:val="00D34B49"/>
    <w:rsid w:val="00D34C64"/>
    <w:rsid w:val="00D34CC9"/>
    <w:rsid w:val="00D34EB9"/>
    <w:rsid w:val="00D34EBC"/>
    <w:rsid w:val="00D350F8"/>
    <w:rsid w:val="00D35146"/>
    <w:rsid w:val="00D353F8"/>
    <w:rsid w:val="00D3555E"/>
    <w:rsid w:val="00D35646"/>
    <w:rsid w:val="00D35722"/>
    <w:rsid w:val="00D35AA3"/>
    <w:rsid w:val="00D35CFA"/>
    <w:rsid w:val="00D35DE4"/>
    <w:rsid w:val="00D35ED1"/>
    <w:rsid w:val="00D3640B"/>
    <w:rsid w:val="00D36484"/>
    <w:rsid w:val="00D36719"/>
    <w:rsid w:val="00D36894"/>
    <w:rsid w:val="00D36912"/>
    <w:rsid w:val="00D3695A"/>
    <w:rsid w:val="00D36A1C"/>
    <w:rsid w:val="00D36A41"/>
    <w:rsid w:val="00D36B00"/>
    <w:rsid w:val="00D36CC3"/>
    <w:rsid w:val="00D36D34"/>
    <w:rsid w:val="00D36EFB"/>
    <w:rsid w:val="00D36F3D"/>
    <w:rsid w:val="00D36F6D"/>
    <w:rsid w:val="00D371D8"/>
    <w:rsid w:val="00D3749A"/>
    <w:rsid w:val="00D374D8"/>
    <w:rsid w:val="00D375D0"/>
    <w:rsid w:val="00D375FD"/>
    <w:rsid w:val="00D3760A"/>
    <w:rsid w:val="00D37745"/>
    <w:rsid w:val="00D378E2"/>
    <w:rsid w:val="00D379BC"/>
    <w:rsid w:val="00D37B70"/>
    <w:rsid w:val="00D37B9D"/>
    <w:rsid w:val="00D37BF3"/>
    <w:rsid w:val="00D37C26"/>
    <w:rsid w:val="00D37F9E"/>
    <w:rsid w:val="00D40032"/>
    <w:rsid w:val="00D400B5"/>
    <w:rsid w:val="00D40127"/>
    <w:rsid w:val="00D401ED"/>
    <w:rsid w:val="00D40289"/>
    <w:rsid w:val="00D404D9"/>
    <w:rsid w:val="00D40752"/>
    <w:rsid w:val="00D407D8"/>
    <w:rsid w:val="00D408EF"/>
    <w:rsid w:val="00D408FA"/>
    <w:rsid w:val="00D40B31"/>
    <w:rsid w:val="00D40BA8"/>
    <w:rsid w:val="00D40BCF"/>
    <w:rsid w:val="00D40CCA"/>
    <w:rsid w:val="00D40F24"/>
    <w:rsid w:val="00D41034"/>
    <w:rsid w:val="00D4116D"/>
    <w:rsid w:val="00D411D5"/>
    <w:rsid w:val="00D41368"/>
    <w:rsid w:val="00D41708"/>
    <w:rsid w:val="00D41940"/>
    <w:rsid w:val="00D41950"/>
    <w:rsid w:val="00D41A7A"/>
    <w:rsid w:val="00D41B0A"/>
    <w:rsid w:val="00D41B13"/>
    <w:rsid w:val="00D41C2C"/>
    <w:rsid w:val="00D41CC3"/>
    <w:rsid w:val="00D41D33"/>
    <w:rsid w:val="00D41EB3"/>
    <w:rsid w:val="00D41EFA"/>
    <w:rsid w:val="00D41FB2"/>
    <w:rsid w:val="00D42123"/>
    <w:rsid w:val="00D42285"/>
    <w:rsid w:val="00D42410"/>
    <w:rsid w:val="00D42470"/>
    <w:rsid w:val="00D4259F"/>
    <w:rsid w:val="00D426F8"/>
    <w:rsid w:val="00D428C9"/>
    <w:rsid w:val="00D42A3D"/>
    <w:rsid w:val="00D42B08"/>
    <w:rsid w:val="00D42B3B"/>
    <w:rsid w:val="00D42C5F"/>
    <w:rsid w:val="00D4349B"/>
    <w:rsid w:val="00D43814"/>
    <w:rsid w:val="00D43826"/>
    <w:rsid w:val="00D4391D"/>
    <w:rsid w:val="00D439C3"/>
    <w:rsid w:val="00D43BD6"/>
    <w:rsid w:val="00D43DC2"/>
    <w:rsid w:val="00D43E35"/>
    <w:rsid w:val="00D43F0D"/>
    <w:rsid w:val="00D441E2"/>
    <w:rsid w:val="00D442AE"/>
    <w:rsid w:val="00D442F7"/>
    <w:rsid w:val="00D4431F"/>
    <w:rsid w:val="00D443DD"/>
    <w:rsid w:val="00D443E6"/>
    <w:rsid w:val="00D44406"/>
    <w:rsid w:val="00D445B5"/>
    <w:rsid w:val="00D4474D"/>
    <w:rsid w:val="00D4482B"/>
    <w:rsid w:val="00D4494A"/>
    <w:rsid w:val="00D44A8E"/>
    <w:rsid w:val="00D44B67"/>
    <w:rsid w:val="00D44BAD"/>
    <w:rsid w:val="00D44C72"/>
    <w:rsid w:val="00D44DE1"/>
    <w:rsid w:val="00D44F7D"/>
    <w:rsid w:val="00D44F98"/>
    <w:rsid w:val="00D45228"/>
    <w:rsid w:val="00D45267"/>
    <w:rsid w:val="00D452BD"/>
    <w:rsid w:val="00D453D0"/>
    <w:rsid w:val="00D4543A"/>
    <w:rsid w:val="00D45515"/>
    <w:rsid w:val="00D45551"/>
    <w:rsid w:val="00D4570A"/>
    <w:rsid w:val="00D4594C"/>
    <w:rsid w:val="00D4596A"/>
    <w:rsid w:val="00D45A95"/>
    <w:rsid w:val="00D45AC4"/>
    <w:rsid w:val="00D45C5F"/>
    <w:rsid w:val="00D45CD3"/>
    <w:rsid w:val="00D45D0A"/>
    <w:rsid w:val="00D465BA"/>
    <w:rsid w:val="00D466B7"/>
    <w:rsid w:val="00D466DE"/>
    <w:rsid w:val="00D469BE"/>
    <w:rsid w:val="00D46C47"/>
    <w:rsid w:val="00D46F39"/>
    <w:rsid w:val="00D46F82"/>
    <w:rsid w:val="00D473F5"/>
    <w:rsid w:val="00D47A8B"/>
    <w:rsid w:val="00D47ADD"/>
    <w:rsid w:val="00D47AEF"/>
    <w:rsid w:val="00D47B82"/>
    <w:rsid w:val="00D47D79"/>
    <w:rsid w:val="00D47DAA"/>
    <w:rsid w:val="00D47E2E"/>
    <w:rsid w:val="00D50010"/>
    <w:rsid w:val="00D50094"/>
    <w:rsid w:val="00D5018A"/>
    <w:rsid w:val="00D5019F"/>
    <w:rsid w:val="00D5020D"/>
    <w:rsid w:val="00D50354"/>
    <w:rsid w:val="00D50382"/>
    <w:rsid w:val="00D50551"/>
    <w:rsid w:val="00D505B8"/>
    <w:rsid w:val="00D505F1"/>
    <w:rsid w:val="00D508E2"/>
    <w:rsid w:val="00D50B44"/>
    <w:rsid w:val="00D50BA8"/>
    <w:rsid w:val="00D50C23"/>
    <w:rsid w:val="00D50D19"/>
    <w:rsid w:val="00D50DB7"/>
    <w:rsid w:val="00D50E45"/>
    <w:rsid w:val="00D50E99"/>
    <w:rsid w:val="00D50F45"/>
    <w:rsid w:val="00D5112B"/>
    <w:rsid w:val="00D51221"/>
    <w:rsid w:val="00D51253"/>
    <w:rsid w:val="00D51255"/>
    <w:rsid w:val="00D512BA"/>
    <w:rsid w:val="00D5130F"/>
    <w:rsid w:val="00D5139A"/>
    <w:rsid w:val="00D5159F"/>
    <w:rsid w:val="00D51601"/>
    <w:rsid w:val="00D51769"/>
    <w:rsid w:val="00D517BD"/>
    <w:rsid w:val="00D51838"/>
    <w:rsid w:val="00D51B3D"/>
    <w:rsid w:val="00D51E0B"/>
    <w:rsid w:val="00D51F5E"/>
    <w:rsid w:val="00D5205F"/>
    <w:rsid w:val="00D52210"/>
    <w:rsid w:val="00D523F1"/>
    <w:rsid w:val="00D5249B"/>
    <w:rsid w:val="00D5271D"/>
    <w:rsid w:val="00D52A25"/>
    <w:rsid w:val="00D52B79"/>
    <w:rsid w:val="00D53034"/>
    <w:rsid w:val="00D53060"/>
    <w:rsid w:val="00D530E9"/>
    <w:rsid w:val="00D53207"/>
    <w:rsid w:val="00D53223"/>
    <w:rsid w:val="00D53226"/>
    <w:rsid w:val="00D535F9"/>
    <w:rsid w:val="00D536B3"/>
    <w:rsid w:val="00D5386C"/>
    <w:rsid w:val="00D53997"/>
    <w:rsid w:val="00D53A73"/>
    <w:rsid w:val="00D53C08"/>
    <w:rsid w:val="00D53C89"/>
    <w:rsid w:val="00D53D27"/>
    <w:rsid w:val="00D53D82"/>
    <w:rsid w:val="00D53DBA"/>
    <w:rsid w:val="00D53E41"/>
    <w:rsid w:val="00D53E62"/>
    <w:rsid w:val="00D53E7A"/>
    <w:rsid w:val="00D54114"/>
    <w:rsid w:val="00D542F7"/>
    <w:rsid w:val="00D54390"/>
    <w:rsid w:val="00D543D7"/>
    <w:rsid w:val="00D54744"/>
    <w:rsid w:val="00D5481E"/>
    <w:rsid w:val="00D54B1F"/>
    <w:rsid w:val="00D54B26"/>
    <w:rsid w:val="00D54B6B"/>
    <w:rsid w:val="00D54BC6"/>
    <w:rsid w:val="00D54E36"/>
    <w:rsid w:val="00D54F53"/>
    <w:rsid w:val="00D54FB3"/>
    <w:rsid w:val="00D54FE5"/>
    <w:rsid w:val="00D55023"/>
    <w:rsid w:val="00D550A2"/>
    <w:rsid w:val="00D550BC"/>
    <w:rsid w:val="00D5522B"/>
    <w:rsid w:val="00D5529C"/>
    <w:rsid w:val="00D55626"/>
    <w:rsid w:val="00D55720"/>
    <w:rsid w:val="00D55928"/>
    <w:rsid w:val="00D5595D"/>
    <w:rsid w:val="00D55BF4"/>
    <w:rsid w:val="00D55C08"/>
    <w:rsid w:val="00D55D08"/>
    <w:rsid w:val="00D55FA8"/>
    <w:rsid w:val="00D56114"/>
    <w:rsid w:val="00D5612D"/>
    <w:rsid w:val="00D5638A"/>
    <w:rsid w:val="00D563D7"/>
    <w:rsid w:val="00D563EF"/>
    <w:rsid w:val="00D56618"/>
    <w:rsid w:val="00D56672"/>
    <w:rsid w:val="00D567D4"/>
    <w:rsid w:val="00D569CB"/>
    <w:rsid w:val="00D56A1E"/>
    <w:rsid w:val="00D56A94"/>
    <w:rsid w:val="00D56B82"/>
    <w:rsid w:val="00D56C19"/>
    <w:rsid w:val="00D56EFB"/>
    <w:rsid w:val="00D5712A"/>
    <w:rsid w:val="00D57473"/>
    <w:rsid w:val="00D574A3"/>
    <w:rsid w:val="00D574AA"/>
    <w:rsid w:val="00D5761C"/>
    <w:rsid w:val="00D5765C"/>
    <w:rsid w:val="00D5769B"/>
    <w:rsid w:val="00D576EC"/>
    <w:rsid w:val="00D5774A"/>
    <w:rsid w:val="00D57776"/>
    <w:rsid w:val="00D57862"/>
    <w:rsid w:val="00D57990"/>
    <w:rsid w:val="00D579D1"/>
    <w:rsid w:val="00D57CC9"/>
    <w:rsid w:val="00D57EF4"/>
    <w:rsid w:val="00D57FAF"/>
    <w:rsid w:val="00D57FDE"/>
    <w:rsid w:val="00D601D4"/>
    <w:rsid w:val="00D601F1"/>
    <w:rsid w:val="00D60246"/>
    <w:rsid w:val="00D60506"/>
    <w:rsid w:val="00D60646"/>
    <w:rsid w:val="00D606C4"/>
    <w:rsid w:val="00D60770"/>
    <w:rsid w:val="00D607CC"/>
    <w:rsid w:val="00D6081C"/>
    <w:rsid w:val="00D6084B"/>
    <w:rsid w:val="00D60934"/>
    <w:rsid w:val="00D609DF"/>
    <w:rsid w:val="00D60A65"/>
    <w:rsid w:val="00D60B5D"/>
    <w:rsid w:val="00D60B89"/>
    <w:rsid w:val="00D60C23"/>
    <w:rsid w:val="00D60D09"/>
    <w:rsid w:val="00D60D9C"/>
    <w:rsid w:val="00D61296"/>
    <w:rsid w:val="00D612BA"/>
    <w:rsid w:val="00D613D9"/>
    <w:rsid w:val="00D61420"/>
    <w:rsid w:val="00D614FD"/>
    <w:rsid w:val="00D61539"/>
    <w:rsid w:val="00D61545"/>
    <w:rsid w:val="00D61716"/>
    <w:rsid w:val="00D61799"/>
    <w:rsid w:val="00D61827"/>
    <w:rsid w:val="00D61840"/>
    <w:rsid w:val="00D61851"/>
    <w:rsid w:val="00D6196B"/>
    <w:rsid w:val="00D61A50"/>
    <w:rsid w:val="00D61B02"/>
    <w:rsid w:val="00D61E45"/>
    <w:rsid w:val="00D61E56"/>
    <w:rsid w:val="00D61FC0"/>
    <w:rsid w:val="00D6211F"/>
    <w:rsid w:val="00D621FC"/>
    <w:rsid w:val="00D62243"/>
    <w:rsid w:val="00D622CA"/>
    <w:rsid w:val="00D62595"/>
    <w:rsid w:val="00D62625"/>
    <w:rsid w:val="00D62716"/>
    <w:rsid w:val="00D627AF"/>
    <w:rsid w:val="00D62A69"/>
    <w:rsid w:val="00D62AF9"/>
    <w:rsid w:val="00D62B2D"/>
    <w:rsid w:val="00D62C4B"/>
    <w:rsid w:val="00D62E3F"/>
    <w:rsid w:val="00D62EB7"/>
    <w:rsid w:val="00D62EFC"/>
    <w:rsid w:val="00D62F69"/>
    <w:rsid w:val="00D63172"/>
    <w:rsid w:val="00D633FB"/>
    <w:rsid w:val="00D63483"/>
    <w:rsid w:val="00D635AA"/>
    <w:rsid w:val="00D6364E"/>
    <w:rsid w:val="00D636AF"/>
    <w:rsid w:val="00D6384B"/>
    <w:rsid w:val="00D638FE"/>
    <w:rsid w:val="00D63ADF"/>
    <w:rsid w:val="00D63B83"/>
    <w:rsid w:val="00D63CEA"/>
    <w:rsid w:val="00D63DA8"/>
    <w:rsid w:val="00D63E65"/>
    <w:rsid w:val="00D63F38"/>
    <w:rsid w:val="00D6401C"/>
    <w:rsid w:val="00D6405C"/>
    <w:rsid w:val="00D641B6"/>
    <w:rsid w:val="00D6432B"/>
    <w:rsid w:val="00D643A6"/>
    <w:rsid w:val="00D643B1"/>
    <w:rsid w:val="00D6446E"/>
    <w:rsid w:val="00D64476"/>
    <w:rsid w:val="00D64584"/>
    <w:rsid w:val="00D64633"/>
    <w:rsid w:val="00D64747"/>
    <w:rsid w:val="00D6475A"/>
    <w:rsid w:val="00D647A0"/>
    <w:rsid w:val="00D647C7"/>
    <w:rsid w:val="00D64C5A"/>
    <w:rsid w:val="00D64DD6"/>
    <w:rsid w:val="00D64E6F"/>
    <w:rsid w:val="00D64ED4"/>
    <w:rsid w:val="00D650EE"/>
    <w:rsid w:val="00D651FD"/>
    <w:rsid w:val="00D651FE"/>
    <w:rsid w:val="00D652C6"/>
    <w:rsid w:val="00D65373"/>
    <w:rsid w:val="00D65437"/>
    <w:rsid w:val="00D654A0"/>
    <w:rsid w:val="00D65575"/>
    <w:rsid w:val="00D656DB"/>
    <w:rsid w:val="00D65906"/>
    <w:rsid w:val="00D65978"/>
    <w:rsid w:val="00D65D9A"/>
    <w:rsid w:val="00D65E44"/>
    <w:rsid w:val="00D65F47"/>
    <w:rsid w:val="00D6626A"/>
    <w:rsid w:val="00D662A9"/>
    <w:rsid w:val="00D664B7"/>
    <w:rsid w:val="00D664C4"/>
    <w:rsid w:val="00D664C7"/>
    <w:rsid w:val="00D66516"/>
    <w:rsid w:val="00D667A4"/>
    <w:rsid w:val="00D667EF"/>
    <w:rsid w:val="00D66846"/>
    <w:rsid w:val="00D66877"/>
    <w:rsid w:val="00D66ADB"/>
    <w:rsid w:val="00D6719D"/>
    <w:rsid w:val="00D6725A"/>
    <w:rsid w:val="00D6728D"/>
    <w:rsid w:val="00D672E4"/>
    <w:rsid w:val="00D675CC"/>
    <w:rsid w:val="00D67762"/>
    <w:rsid w:val="00D677A8"/>
    <w:rsid w:val="00D678AA"/>
    <w:rsid w:val="00D67B30"/>
    <w:rsid w:val="00D67D96"/>
    <w:rsid w:val="00D67DA5"/>
    <w:rsid w:val="00D67DC4"/>
    <w:rsid w:val="00D67E99"/>
    <w:rsid w:val="00D67ECF"/>
    <w:rsid w:val="00D7000A"/>
    <w:rsid w:val="00D700C9"/>
    <w:rsid w:val="00D70270"/>
    <w:rsid w:val="00D702FE"/>
    <w:rsid w:val="00D7072D"/>
    <w:rsid w:val="00D7099A"/>
    <w:rsid w:val="00D709C8"/>
    <w:rsid w:val="00D70A2E"/>
    <w:rsid w:val="00D70C3B"/>
    <w:rsid w:val="00D70C6F"/>
    <w:rsid w:val="00D70D0F"/>
    <w:rsid w:val="00D70E36"/>
    <w:rsid w:val="00D70EAF"/>
    <w:rsid w:val="00D70F24"/>
    <w:rsid w:val="00D710EE"/>
    <w:rsid w:val="00D7116C"/>
    <w:rsid w:val="00D7139A"/>
    <w:rsid w:val="00D716F4"/>
    <w:rsid w:val="00D7172D"/>
    <w:rsid w:val="00D7189B"/>
    <w:rsid w:val="00D718AE"/>
    <w:rsid w:val="00D71AA2"/>
    <w:rsid w:val="00D71C3A"/>
    <w:rsid w:val="00D71D7D"/>
    <w:rsid w:val="00D71DEC"/>
    <w:rsid w:val="00D71F34"/>
    <w:rsid w:val="00D71F3F"/>
    <w:rsid w:val="00D720D2"/>
    <w:rsid w:val="00D722BC"/>
    <w:rsid w:val="00D72668"/>
    <w:rsid w:val="00D726B9"/>
    <w:rsid w:val="00D7283D"/>
    <w:rsid w:val="00D72922"/>
    <w:rsid w:val="00D729E9"/>
    <w:rsid w:val="00D729EA"/>
    <w:rsid w:val="00D72A3F"/>
    <w:rsid w:val="00D72A61"/>
    <w:rsid w:val="00D72B50"/>
    <w:rsid w:val="00D72B6B"/>
    <w:rsid w:val="00D72DCD"/>
    <w:rsid w:val="00D72E7B"/>
    <w:rsid w:val="00D72EF8"/>
    <w:rsid w:val="00D72FD5"/>
    <w:rsid w:val="00D73106"/>
    <w:rsid w:val="00D73111"/>
    <w:rsid w:val="00D732B1"/>
    <w:rsid w:val="00D733C1"/>
    <w:rsid w:val="00D733CA"/>
    <w:rsid w:val="00D73432"/>
    <w:rsid w:val="00D734CA"/>
    <w:rsid w:val="00D73716"/>
    <w:rsid w:val="00D73727"/>
    <w:rsid w:val="00D73781"/>
    <w:rsid w:val="00D73804"/>
    <w:rsid w:val="00D73883"/>
    <w:rsid w:val="00D738A5"/>
    <w:rsid w:val="00D739AD"/>
    <w:rsid w:val="00D73D89"/>
    <w:rsid w:val="00D73E72"/>
    <w:rsid w:val="00D73F40"/>
    <w:rsid w:val="00D74027"/>
    <w:rsid w:val="00D74140"/>
    <w:rsid w:val="00D742A8"/>
    <w:rsid w:val="00D74378"/>
    <w:rsid w:val="00D74516"/>
    <w:rsid w:val="00D74762"/>
    <w:rsid w:val="00D74763"/>
    <w:rsid w:val="00D74839"/>
    <w:rsid w:val="00D74924"/>
    <w:rsid w:val="00D74A3A"/>
    <w:rsid w:val="00D74AFF"/>
    <w:rsid w:val="00D74B1E"/>
    <w:rsid w:val="00D74B31"/>
    <w:rsid w:val="00D74C1D"/>
    <w:rsid w:val="00D74EC5"/>
    <w:rsid w:val="00D74ED2"/>
    <w:rsid w:val="00D74FF4"/>
    <w:rsid w:val="00D75101"/>
    <w:rsid w:val="00D75302"/>
    <w:rsid w:val="00D753EE"/>
    <w:rsid w:val="00D754A7"/>
    <w:rsid w:val="00D754C9"/>
    <w:rsid w:val="00D75509"/>
    <w:rsid w:val="00D7563F"/>
    <w:rsid w:val="00D75710"/>
    <w:rsid w:val="00D75786"/>
    <w:rsid w:val="00D7599F"/>
    <w:rsid w:val="00D75A94"/>
    <w:rsid w:val="00D75B09"/>
    <w:rsid w:val="00D75B11"/>
    <w:rsid w:val="00D75D98"/>
    <w:rsid w:val="00D75F9B"/>
    <w:rsid w:val="00D76057"/>
    <w:rsid w:val="00D760F2"/>
    <w:rsid w:val="00D76128"/>
    <w:rsid w:val="00D76284"/>
    <w:rsid w:val="00D76513"/>
    <w:rsid w:val="00D76751"/>
    <w:rsid w:val="00D7676E"/>
    <w:rsid w:val="00D76943"/>
    <w:rsid w:val="00D76C4F"/>
    <w:rsid w:val="00D76CC8"/>
    <w:rsid w:val="00D76E82"/>
    <w:rsid w:val="00D77141"/>
    <w:rsid w:val="00D771AD"/>
    <w:rsid w:val="00D774F7"/>
    <w:rsid w:val="00D7784B"/>
    <w:rsid w:val="00D7788F"/>
    <w:rsid w:val="00D77ACB"/>
    <w:rsid w:val="00D77B62"/>
    <w:rsid w:val="00D77C1E"/>
    <w:rsid w:val="00D77CBA"/>
    <w:rsid w:val="00D77DF7"/>
    <w:rsid w:val="00D77E89"/>
    <w:rsid w:val="00D77FA2"/>
    <w:rsid w:val="00D77FD6"/>
    <w:rsid w:val="00D77FE8"/>
    <w:rsid w:val="00D8016E"/>
    <w:rsid w:val="00D80220"/>
    <w:rsid w:val="00D80812"/>
    <w:rsid w:val="00D8084F"/>
    <w:rsid w:val="00D80914"/>
    <w:rsid w:val="00D80952"/>
    <w:rsid w:val="00D80A1D"/>
    <w:rsid w:val="00D80B3A"/>
    <w:rsid w:val="00D80B9B"/>
    <w:rsid w:val="00D80BA6"/>
    <w:rsid w:val="00D80DEE"/>
    <w:rsid w:val="00D80EE5"/>
    <w:rsid w:val="00D80F46"/>
    <w:rsid w:val="00D810D6"/>
    <w:rsid w:val="00D81146"/>
    <w:rsid w:val="00D813E6"/>
    <w:rsid w:val="00D81503"/>
    <w:rsid w:val="00D8157B"/>
    <w:rsid w:val="00D8158D"/>
    <w:rsid w:val="00D815D6"/>
    <w:rsid w:val="00D81614"/>
    <w:rsid w:val="00D81767"/>
    <w:rsid w:val="00D81805"/>
    <w:rsid w:val="00D818B7"/>
    <w:rsid w:val="00D81918"/>
    <w:rsid w:val="00D81931"/>
    <w:rsid w:val="00D819F6"/>
    <w:rsid w:val="00D81A17"/>
    <w:rsid w:val="00D81AAE"/>
    <w:rsid w:val="00D81BC3"/>
    <w:rsid w:val="00D81D4B"/>
    <w:rsid w:val="00D81DFC"/>
    <w:rsid w:val="00D81EF5"/>
    <w:rsid w:val="00D81F0D"/>
    <w:rsid w:val="00D82134"/>
    <w:rsid w:val="00D82312"/>
    <w:rsid w:val="00D8231D"/>
    <w:rsid w:val="00D82563"/>
    <w:rsid w:val="00D82748"/>
    <w:rsid w:val="00D829DF"/>
    <w:rsid w:val="00D829E4"/>
    <w:rsid w:val="00D82A7C"/>
    <w:rsid w:val="00D82AC4"/>
    <w:rsid w:val="00D82DFE"/>
    <w:rsid w:val="00D82E4D"/>
    <w:rsid w:val="00D8300B"/>
    <w:rsid w:val="00D8327F"/>
    <w:rsid w:val="00D83352"/>
    <w:rsid w:val="00D833AB"/>
    <w:rsid w:val="00D833E2"/>
    <w:rsid w:val="00D8396A"/>
    <w:rsid w:val="00D83A1D"/>
    <w:rsid w:val="00D83AD3"/>
    <w:rsid w:val="00D83BE6"/>
    <w:rsid w:val="00D83C5C"/>
    <w:rsid w:val="00D83C87"/>
    <w:rsid w:val="00D83E35"/>
    <w:rsid w:val="00D83F70"/>
    <w:rsid w:val="00D840A0"/>
    <w:rsid w:val="00D840AD"/>
    <w:rsid w:val="00D84109"/>
    <w:rsid w:val="00D8412C"/>
    <w:rsid w:val="00D84176"/>
    <w:rsid w:val="00D84188"/>
    <w:rsid w:val="00D84217"/>
    <w:rsid w:val="00D842DF"/>
    <w:rsid w:val="00D84350"/>
    <w:rsid w:val="00D84375"/>
    <w:rsid w:val="00D844DC"/>
    <w:rsid w:val="00D8469A"/>
    <w:rsid w:val="00D84807"/>
    <w:rsid w:val="00D84890"/>
    <w:rsid w:val="00D84899"/>
    <w:rsid w:val="00D848D6"/>
    <w:rsid w:val="00D8492B"/>
    <w:rsid w:val="00D84A84"/>
    <w:rsid w:val="00D84A8C"/>
    <w:rsid w:val="00D84C36"/>
    <w:rsid w:val="00D84D5C"/>
    <w:rsid w:val="00D84E05"/>
    <w:rsid w:val="00D85066"/>
    <w:rsid w:val="00D852D3"/>
    <w:rsid w:val="00D852DB"/>
    <w:rsid w:val="00D853C4"/>
    <w:rsid w:val="00D853EC"/>
    <w:rsid w:val="00D8542F"/>
    <w:rsid w:val="00D85611"/>
    <w:rsid w:val="00D8566D"/>
    <w:rsid w:val="00D8570A"/>
    <w:rsid w:val="00D8570F"/>
    <w:rsid w:val="00D85755"/>
    <w:rsid w:val="00D857DF"/>
    <w:rsid w:val="00D85A0A"/>
    <w:rsid w:val="00D85B62"/>
    <w:rsid w:val="00D85C2A"/>
    <w:rsid w:val="00D85CBB"/>
    <w:rsid w:val="00D85CD3"/>
    <w:rsid w:val="00D85D05"/>
    <w:rsid w:val="00D85EB8"/>
    <w:rsid w:val="00D85ECC"/>
    <w:rsid w:val="00D85EE4"/>
    <w:rsid w:val="00D86132"/>
    <w:rsid w:val="00D862ED"/>
    <w:rsid w:val="00D863A8"/>
    <w:rsid w:val="00D864A3"/>
    <w:rsid w:val="00D86716"/>
    <w:rsid w:val="00D86784"/>
    <w:rsid w:val="00D86845"/>
    <w:rsid w:val="00D86881"/>
    <w:rsid w:val="00D868B3"/>
    <w:rsid w:val="00D868EA"/>
    <w:rsid w:val="00D86B34"/>
    <w:rsid w:val="00D86C72"/>
    <w:rsid w:val="00D86FF9"/>
    <w:rsid w:val="00D87065"/>
    <w:rsid w:val="00D8711F"/>
    <w:rsid w:val="00D871EB"/>
    <w:rsid w:val="00D87324"/>
    <w:rsid w:val="00D8732B"/>
    <w:rsid w:val="00D87392"/>
    <w:rsid w:val="00D87477"/>
    <w:rsid w:val="00D874EE"/>
    <w:rsid w:val="00D87520"/>
    <w:rsid w:val="00D87561"/>
    <w:rsid w:val="00D876C4"/>
    <w:rsid w:val="00D879EE"/>
    <w:rsid w:val="00D87A3B"/>
    <w:rsid w:val="00D87C6C"/>
    <w:rsid w:val="00D87C77"/>
    <w:rsid w:val="00D87C92"/>
    <w:rsid w:val="00D87DD7"/>
    <w:rsid w:val="00D87E7D"/>
    <w:rsid w:val="00D87EFE"/>
    <w:rsid w:val="00D87F4F"/>
    <w:rsid w:val="00D87F6B"/>
    <w:rsid w:val="00D900A0"/>
    <w:rsid w:val="00D90127"/>
    <w:rsid w:val="00D9014D"/>
    <w:rsid w:val="00D90164"/>
    <w:rsid w:val="00D90177"/>
    <w:rsid w:val="00D9036D"/>
    <w:rsid w:val="00D90503"/>
    <w:rsid w:val="00D9075B"/>
    <w:rsid w:val="00D908DA"/>
    <w:rsid w:val="00D909CF"/>
    <w:rsid w:val="00D90B94"/>
    <w:rsid w:val="00D90C16"/>
    <w:rsid w:val="00D90D5D"/>
    <w:rsid w:val="00D90DB9"/>
    <w:rsid w:val="00D90F63"/>
    <w:rsid w:val="00D91075"/>
    <w:rsid w:val="00D9107E"/>
    <w:rsid w:val="00D9111B"/>
    <w:rsid w:val="00D915BB"/>
    <w:rsid w:val="00D91651"/>
    <w:rsid w:val="00D919BB"/>
    <w:rsid w:val="00D91C32"/>
    <w:rsid w:val="00D91D21"/>
    <w:rsid w:val="00D91DBA"/>
    <w:rsid w:val="00D91DF3"/>
    <w:rsid w:val="00D91E25"/>
    <w:rsid w:val="00D91E44"/>
    <w:rsid w:val="00D91E78"/>
    <w:rsid w:val="00D91FCD"/>
    <w:rsid w:val="00D91FD6"/>
    <w:rsid w:val="00D92050"/>
    <w:rsid w:val="00D92137"/>
    <w:rsid w:val="00D92242"/>
    <w:rsid w:val="00D9228F"/>
    <w:rsid w:val="00D922D4"/>
    <w:rsid w:val="00D92339"/>
    <w:rsid w:val="00D9247E"/>
    <w:rsid w:val="00D92885"/>
    <w:rsid w:val="00D92951"/>
    <w:rsid w:val="00D92975"/>
    <w:rsid w:val="00D9298A"/>
    <w:rsid w:val="00D92A40"/>
    <w:rsid w:val="00D92A5A"/>
    <w:rsid w:val="00D92AB5"/>
    <w:rsid w:val="00D92ABD"/>
    <w:rsid w:val="00D92B5F"/>
    <w:rsid w:val="00D92BC6"/>
    <w:rsid w:val="00D92BCE"/>
    <w:rsid w:val="00D92BE9"/>
    <w:rsid w:val="00D92C40"/>
    <w:rsid w:val="00D92C69"/>
    <w:rsid w:val="00D92C89"/>
    <w:rsid w:val="00D92D24"/>
    <w:rsid w:val="00D9306F"/>
    <w:rsid w:val="00D9311E"/>
    <w:rsid w:val="00D9312A"/>
    <w:rsid w:val="00D9326D"/>
    <w:rsid w:val="00D9334C"/>
    <w:rsid w:val="00D93372"/>
    <w:rsid w:val="00D93583"/>
    <w:rsid w:val="00D93690"/>
    <w:rsid w:val="00D936E1"/>
    <w:rsid w:val="00D936E5"/>
    <w:rsid w:val="00D937C7"/>
    <w:rsid w:val="00D938DD"/>
    <w:rsid w:val="00D93944"/>
    <w:rsid w:val="00D939F2"/>
    <w:rsid w:val="00D93B48"/>
    <w:rsid w:val="00D93C58"/>
    <w:rsid w:val="00D93C87"/>
    <w:rsid w:val="00D93D2D"/>
    <w:rsid w:val="00D93D98"/>
    <w:rsid w:val="00D93DEF"/>
    <w:rsid w:val="00D93FAA"/>
    <w:rsid w:val="00D93FC8"/>
    <w:rsid w:val="00D94110"/>
    <w:rsid w:val="00D94250"/>
    <w:rsid w:val="00D943D6"/>
    <w:rsid w:val="00D94487"/>
    <w:rsid w:val="00D947D0"/>
    <w:rsid w:val="00D94853"/>
    <w:rsid w:val="00D94BA7"/>
    <w:rsid w:val="00D94C19"/>
    <w:rsid w:val="00D94C63"/>
    <w:rsid w:val="00D94D5C"/>
    <w:rsid w:val="00D94D77"/>
    <w:rsid w:val="00D94F45"/>
    <w:rsid w:val="00D9512B"/>
    <w:rsid w:val="00D9513D"/>
    <w:rsid w:val="00D95226"/>
    <w:rsid w:val="00D9524F"/>
    <w:rsid w:val="00D95260"/>
    <w:rsid w:val="00D95328"/>
    <w:rsid w:val="00D953E4"/>
    <w:rsid w:val="00D95557"/>
    <w:rsid w:val="00D9572C"/>
    <w:rsid w:val="00D95841"/>
    <w:rsid w:val="00D9596E"/>
    <w:rsid w:val="00D959CE"/>
    <w:rsid w:val="00D95C44"/>
    <w:rsid w:val="00D95E10"/>
    <w:rsid w:val="00D95E6A"/>
    <w:rsid w:val="00D95F35"/>
    <w:rsid w:val="00D95F4B"/>
    <w:rsid w:val="00D95FC0"/>
    <w:rsid w:val="00D960A0"/>
    <w:rsid w:val="00D960B6"/>
    <w:rsid w:val="00D9618F"/>
    <w:rsid w:val="00D963EA"/>
    <w:rsid w:val="00D96663"/>
    <w:rsid w:val="00D967C4"/>
    <w:rsid w:val="00D968B0"/>
    <w:rsid w:val="00D96908"/>
    <w:rsid w:val="00D96969"/>
    <w:rsid w:val="00D96A7F"/>
    <w:rsid w:val="00D96D78"/>
    <w:rsid w:val="00D971D7"/>
    <w:rsid w:val="00D97203"/>
    <w:rsid w:val="00D97268"/>
    <w:rsid w:val="00D97277"/>
    <w:rsid w:val="00D972E1"/>
    <w:rsid w:val="00D97365"/>
    <w:rsid w:val="00D97393"/>
    <w:rsid w:val="00D97631"/>
    <w:rsid w:val="00D977BD"/>
    <w:rsid w:val="00D9793B"/>
    <w:rsid w:val="00D97944"/>
    <w:rsid w:val="00D97ADE"/>
    <w:rsid w:val="00D97CD9"/>
    <w:rsid w:val="00D97D4E"/>
    <w:rsid w:val="00D97F69"/>
    <w:rsid w:val="00D97F7C"/>
    <w:rsid w:val="00D97FA3"/>
    <w:rsid w:val="00D97FC4"/>
    <w:rsid w:val="00D97FCD"/>
    <w:rsid w:val="00DA03E4"/>
    <w:rsid w:val="00DA0417"/>
    <w:rsid w:val="00DA0450"/>
    <w:rsid w:val="00DA05B7"/>
    <w:rsid w:val="00DA05CB"/>
    <w:rsid w:val="00DA074E"/>
    <w:rsid w:val="00DA0816"/>
    <w:rsid w:val="00DA08A5"/>
    <w:rsid w:val="00DA0A17"/>
    <w:rsid w:val="00DA0DF1"/>
    <w:rsid w:val="00DA0EE1"/>
    <w:rsid w:val="00DA1023"/>
    <w:rsid w:val="00DA10AF"/>
    <w:rsid w:val="00DA10D0"/>
    <w:rsid w:val="00DA11F6"/>
    <w:rsid w:val="00DA12F6"/>
    <w:rsid w:val="00DA133E"/>
    <w:rsid w:val="00DA14B6"/>
    <w:rsid w:val="00DA15C6"/>
    <w:rsid w:val="00DA16A9"/>
    <w:rsid w:val="00DA16F3"/>
    <w:rsid w:val="00DA1757"/>
    <w:rsid w:val="00DA17EC"/>
    <w:rsid w:val="00DA17F2"/>
    <w:rsid w:val="00DA17FD"/>
    <w:rsid w:val="00DA1A2D"/>
    <w:rsid w:val="00DA1A3A"/>
    <w:rsid w:val="00DA1AB5"/>
    <w:rsid w:val="00DA1B87"/>
    <w:rsid w:val="00DA1BF0"/>
    <w:rsid w:val="00DA2494"/>
    <w:rsid w:val="00DA24DD"/>
    <w:rsid w:val="00DA250E"/>
    <w:rsid w:val="00DA2747"/>
    <w:rsid w:val="00DA2768"/>
    <w:rsid w:val="00DA27DD"/>
    <w:rsid w:val="00DA27F0"/>
    <w:rsid w:val="00DA284D"/>
    <w:rsid w:val="00DA2905"/>
    <w:rsid w:val="00DA293A"/>
    <w:rsid w:val="00DA29BE"/>
    <w:rsid w:val="00DA2A0D"/>
    <w:rsid w:val="00DA2A12"/>
    <w:rsid w:val="00DA2A9C"/>
    <w:rsid w:val="00DA2AA7"/>
    <w:rsid w:val="00DA2D1A"/>
    <w:rsid w:val="00DA2EDB"/>
    <w:rsid w:val="00DA2F9D"/>
    <w:rsid w:val="00DA306A"/>
    <w:rsid w:val="00DA30CB"/>
    <w:rsid w:val="00DA3150"/>
    <w:rsid w:val="00DA31F7"/>
    <w:rsid w:val="00DA329A"/>
    <w:rsid w:val="00DA34A0"/>
    <w:rsid w:val="00DA353E"/>
    <w:rsid w:val="00DA358D"/>
    <w:rsid w:val="00DA3594"/>
    <w:rsid w:val="00DA3812"/>
    <w:rsid w:val="00DA39DA"/>
    <w:rsid w:val="00DA3A72"/>
    <w:rsid w:val="00DA3A90"/>
    <w:rsid w:val="00DA3A93"/>
    <w:rsid w:val="00DA3B11"/>
    <w:rsid w:val="00DA3C4B"/>
    <w:rsid w:val="00DA3C78"/>
    <w:rsid w:val="00DA3CC7"/>
    <w:rsid w:val="00DA3D4B"/>
    <w:rsid w:val="00DA3DAC"/>
    <w:rsid w:val="00DA3FE9"/>
    <w:rsid w:val="00DA40BA"/>
    <w:rsid w:val="00DA4282"/>
    <w:rsid w:val="00DA4412"/>
    <w:rsid w:val="00DA4758"/>
    <w:rsid w:val="00DA499E"/>
    <w:rsid w:val="00DA49B5"/>
    <w:rsid w:val="00DA4D78"/>
    <w:rsid w:val="00DA4F4C"/>
    <w:rsid w:val="00DA4F84"/>
    <w:rsid w:val="00DA4FC4"/>
    <w:rsid w:val="00DA507E"/>
    <w:rsid w:val="00DA5167"/>
    <w:rsid w:val="00DA51AB"/>
    <w:rsid w:val="00DA51D9"/>
    <w:rsid w:val="00DA51E4"/>
    <w:rsid w:val="00DA51E9"/>
    <w:rsid w:val="00DA534E"/>
    <w:rsid w:val="00DA5368"/>
    <w:rsid w:val="00DA53DB"/>
    <w:rsid w:val="00DA5508"/>
    <w:rsid w:val="00DA5543"/>
    <w:rsid w:val="00DA5571"/>
    <w:rsid w:val="00DA558B"/>
    <w:rsid w:val="00DA55A6"/>
    <w:rsid w:val="00DA56CF"/>
    <w:rsid w:val="00DA577A"/>
    <w:rsid w:val="00DA59F2"/>
    <w:rsid w:val="00DA5A04"/>
    <w:rsid w:val="00DA5CDF"/>
    <w:rsid w:val="00DA5E96"/>
    <w:rsid w:val="00DA62C9"/>
    <w:rsid w:val="00DA640A"/>
    <w:rsid w:val="00DA6720"/>
    <w:rsid w:val="00DA675A"/>
    <w:rsid w:val="00DA685A"/>
    <w:rsid w:val="00DA6A81"/>
    <w:rsid w:val="00DA6B1C"/>
    <w:rsid w:val="00DA6BAE"/>
    <w:rsid w:val="00DA6C70"/>
    <w:rsid w:val="00DA6D82"/>
    <w:rsid w:val="00DA6DA3"/>
    <w:rsid w:val="00DA710C"/>
    <w:rsid w:val="00DA726A"/>
    <w:rsid w:val="00DA730B"/>
    <w:rsid w:val="00DA7456"/>
    <w:rsid w:val="00DA761A"/>
    <w:rsid w:val="00DA7787"/>
    <w:rsid w:val="00DA7885"/>
    <w:rsid w:val="00DA7923"/>
    <w:rsid w:val="00DA7A1E"/>
    <w:rsid w:val="00DA7ACC"/>
    <w:rsid w:val="00DA7B85"/>
    <w:rsid w:val="00DA7CC8"/>
    <w:rsid w:val="00DA7E47"/>
    <w:rsid w:val="00DA7F52"/>
    <w:rsid w:val="00DB0112"/>
    <w:rsid w:val="00DB03F7"/>
    <w:rsid w:val="00DB040B"/>
    <w:rsid w:val="00DB06A0"/>
    <w:rsid w:val="00DB0815"/>
    <w:rsid w:val="00DB0951"/>
    <w:rsid w:val="00DB0AE2"/>
    <w:rsid w:val="00DB0BC7"/>
    <w:rsid w:val="00DB0C11"/>
    <w:rsid w:val="00DB0D7A"/>
    <w:rsid w:val="00DB0EDC"/>
    <w:rsid w:val="00DB0F48"/>
    <w:rsid w:val="00DB1170"/>
    <w:rsid w:val="00DB129D"/>
    <w:rsid w:val="00DB1368"/>
    <w:rsid w:val="00DB1405"/>
    <w:rsid w:val="00DB1731"/>
    <w:rsid w:val="00DB17AD"/>
    <w:rsid w:val="00DB17CA"/>
    <w:rsid w:val="00DB1841"/>
    <w:rsid w:val="00DB1A1B"/>
    <w:rsid w:val="00DB1A2B"/>
    <w:rsid w:val="00DB1B8E"/>
    <w:rsid w:val="00DB1DF8"/>
    <w:rsid w:val="00DB1DFA"/>
    <w:rsid w:val="00DB2060"/>
    <w:rsid w:val="00DB20CF"/>
    <w:rsid w:val="00DB2348"/>
    <w:rsid w:val="00DB2492"/>
    <w:rsid w:val="00DB268F"/>
    <w:rsid w:val="00DB26CA"/>
    <w:rsid w:val="00DB27A0"/>
    <w:rsid w:val="00DB27A5"/>
    <w:rsid w:val="00DB27EE"/>
    <w:rsid w:val="00DB2B37"/>
    <w:rsid w:val="00DB2C1B"/>
    <w:rsid w:val="00DB2D6C"/>
    <w:rsid w:val="00DB2D8E"/>
    <w:rsid w:val="00DB2E63"/>
    <w:rsid w:val="00DB2FF2"/>
    <w:rsid w:val="00DB3034"/>
    <w:rsid w:val="00DB3052"/>
    <w:rsid w:val="00DB3230"/>
    <w:rsid w:val="00DB32D7"/>
    <w:rsid w:val="00DB347E"/>
    <w:rsid w:val="00DB367E"/>
    <w:rsid w:val="00DB3700"/>
    <w:rsid w:val="00DB3713"/>
    <w:rsid w:val="00DB3859"/>
    <w:rsid w:val="00DB399A"/>
    <w:rsid w:val="00DB3A3F"/>
    <w:rsid w:val="00DB3D12"/>
    <w:rsid w:val="00DB3D56"/>
    <w:rsid w:val="00DB3E31"/>
    <w:rsid w:val="00DB3E90"/>
    <w:rsid w:val="00DB3EA3"/>
    <w:rsid w:val="00DB4129"/>
    <w:rsid w:val="00DB42C8"/>
    <w:rsid w:val="00DB4312"/>
    <w:rsid w:val="00DB431F"/>
    <w:rsid w:val="00DB435B"/>
    <w:rsid w:val="00DB4778"/>
    <w:rsid w:val="00DB489E"/>
    <w:rsid w:val="00DB48CF"/>
    <w:rsid w:val="00DB4974"/>
    <w:rsid w:val="00DB49FA"/>
    <w:rsid w:val="00DB4A41"/>
    <w:rsid w:val="00DB4B2E"/>
    <w:rsid w:val="00DB4B9F"/>
    <w:rsid w:val="00DB4DC0"/>
    <w:rsid w:val="00DB4DF9"/>
    <w:rsid w:val="00DB4E46"/>
    <w:rsid w:val="00DB4FAF"/>
    <w:rsid w:val="00DB4FE9"/>
    <w:rsid w:val="00DB5091"/>
    <w:rsid w:val="00DB5154"/>
    <w:rsid w:val="00DB5179"/>
    <w:rsid w:val="00DB52F1"/>
    <w:rsid w:val="00DB545F"/>
    <w:rsid w:val="00DB549B"/>
    <w:rsid w:val="00DB55CA"/>
    <w:rsid w:val="00DB5692"/>
    <w:rsid w:val="00DB56A5"/>
    <w:rsid w:val="00DB57B3"/>
    <w:rsid w:val="00DB595E"/>
    <w:rsid w:val="00DB5E3A"/>
    <w:rsid w:val="00DB5EF0"/>
    <w:rsid w:val="00DB5F12"/>
    <w:rsid w:val="00DB60D0"/>
    <w:rsid w:val="00DB615C"/>
    <w:rsid w:val="00DB6430"/>
    <w:rsid w:val="00DB6873"/>
    <w:rsid w:val="00DB68AC"/>
    <w:rsid w:val="00DB68DF"/>
    <w:rsid w:val="00DB6B6A"/>
    <w:rsid w:val="00DB6C66"/>
    <w:rsid w:val="00DB6C8C"/>
    <w:rsid w:val="00DB6E24"/>
    <w:rsid w:val="00DB7054"/>
    <w:rsid w:val="00DB734B"/>
    <w:rsid w:val="00DB746C"/>
    <w:rsid w:val="00DB74A8"/>
    <w:rsid w:val="00DB75A4"/>
    <w:rsid w:val="00DB76AF"/>
    <w:rsid w:val="00DB7CD3"/>
    <w:rsid w:val="00DB7ED5"/>
    <w:rsid w:val="00DB7F6B"/>
    <w:rsid w:val="00DC004B"/>
    <w:rsid w:val="00DC0327"/>
    <w:rsid w:val="00DC035F"/>
    <w:rsid w:val="00DC039B"/>
    <w:rsid w:val="00DC05C5"/>
    <w:rsid w:val="00DC061C"/>
    <w:rsid w:val="00DC0647"/>
    <w:rsid w:val="00DC0A08"/>
    <w:rsid w:val="00DC0BD7"/>
    <w:rsid w:val="00DC0E47"/>
    <w:rsid w:val="00DC0FB0"/>
    <w:rsid w:val="00DC1048"/>
    <w:rsid w:val="00DC104D"/>
    <w:rsid w:val="00DC123B"/>
    <w:rsid w:val="00DC1324"/>
    <w:rsid w:val="00DC134D"/>
    <w:rsid w:val="00DC13C2"/>
    <w:rsid w:val="00DC13D0"/>
    <w:rsid w:val="00DC18EC"/>
    <w:rsid w:val="00DC1965"/>
    <w:rsid w:val="00DC19AE"/>
    <w:rsid w:val="00DC1A5B"/>
    <w:rsid w:val="00DC1A93"/>
    <w:rsid w:val="00DC1E4B"/>
    <w:rsid w:val="00DC1F09"/>
    <w:rsid w:val="00DC1F98"/>
    <w:rsid w:val="00DC1FC1"/>
    <w:rsid w:val="00DC201C"/>
    <w:rsid w:val="00DC2359"/>
    <w:rsid w:val="00DC23AA"/>
    <w:rsid w:val="00DC2495"/>
    <w:rsid w:val="00DC265D"/>
    <w:rsid w:val="00DC285C"/>
    <w:rsid w:val="00DC29B8"/>
    <w:rsid w:val="00DC29E1"/>
    <w:rsid w:val="00DC2A5C"/>
    <w:rsid w:val="00DC2BD2"/>
    <w:rsid w:val="00DC2BDE"/>
    <w:rsid w:val="00DC3079"/>
    <w:rsid w:val="00DC30CB"/>
    <w:rsid w:val="00DC30DD"/>
    <w:rsid w:val="00DC3212"/>
    <w:rsid w:val="00DC32CB"/>
    <w:rsid w:val="00DC3416"/>
    <w:rsid w:val="00DC354F"/>
    <w:rsid w:val="00DC3605"/>
    <w:rsid w:val="00DC367C"/>
    <w:rsid w:val="00DC3737"/>
    <w:rsid w:val="00DC3976"/>
    <w:rsid w:val="00DC3B4B"/>
    <w:rsid w:val="00DC3C31"/>
    <w:rsid w:val="00DC3DA0"/>
    <w:rsid w:val="00DC3E47"/>
    <w:rsid w:val="00DC3F23"/>
    <w:rsid w:val="00DC403C"/>
    <w:rsid w:val="00DC43D8"/>
    <w:rsid w:val="00DC43DC"/>
    <w:rsid w:val="00DC43EF"/>
    <w:rsid w:val="00DC4478"/>
    <w:rsid w:val="00DC450D"/>
    <w:rsid w:val="00DC4600"/>
    <w:rsid w:val="00DC4620"/>
    <w:rsid w:val="00DC489C"/>
    <w:rsid w:val="00DC4A22"/>
    <w:rsid w:val="00DC4F01"/>
    <w:rsid w:val="00DC5034"/>
    <w:rsid w:val="00DC5163"/>
    <w:rsid w:val="00DC526F"/>
    <w:rsid w:val="00DC52C6"/>
    <w:rsid w:val="00DC5301"/>
    <w:rsid w:val="00DC5347"/>
    <w:rsid w:val="00DC5684"/>
    <w:rsid w:val="00DC5750"/>
    <w:rsid w:val="00DC5A35"/>
    <w:rsid w:val="00DC5AAD"/>
    <w:rsid w:val="00DC5B82"/>
    <w:rsid w:val="00DC5BB9"/>
    <w:rsid w:val="00DC5BBD"/>
    <w:rsid w:val="00DC5C68"/>
    <w:rsid w:val="00DC639A"/>
    <w:rsid w:val="00DC63BE"/>
    <w:rsid w:val="00DC6505"/>
    <w:rsid w:val="00DC6572"/>
    <w:rsid w:val="00DC67A0"/>
    <w:rsid w:val="00DC67C7"/>
    <w:rsid w:val="00DC68A5"/>
    <w:rsid w:val="00DC68C7"/>
    <w:rsid w:val="00DC68EC"/>
    <w:rsid w:val="00DC694C"/>
    <w:rsid w:val="00DC696F"/>
    <w:rsid w:val="00DC6984"/>
    <w:rsid w:val="00DC69F8"/>
    <w:rsid w:val="00DC6B73"/>
    <w:rsid w:val="00DC6C36"/>
    <w:rsid w:val="00DC6C9B"/>
    <w:rsid w:val="00DC6CD9"/>
    <w:rsid w:val="00DC6CE2"/>
    <w:rsid w:val="00DC6DC7"/>
    <w:rsid w:val="00DC6FB6"/>
    <w:rsid w:val="00DC7133"/>
    <w:rsid w:val="00DC7259"/>
    <w:rsid w:val="00DC725D"/>
    <w:rsid w:val="00DC72D6"/>
    <w:rsid w:val="00DC72F7"/>
    <w:rsid w:val="00DC72FC"/>
    <w:rsid w:val="00DC73DA"/>
    <w:rsid w:val="00DC73FD"/>
    <w:rsid w:val="00DC74DE"/>
    <w:rsid w:val="00DC7571"/>
    <w:rsid w:val="00DC7877"/>
    <w:rsid w:val="00DC78C1"/>
    <w:rsid w:val="00DC7BC8"/>
    <w:rsid w:val="00DC7E67"/>
    <w:rsid w:val="00DD009B"/>
    <w:rsid w:val="00DD03FF"/>
    <w:rsid w:val="00DD0507"/>
    <w:rsid w:val="00DD070E"/>
    <w:rsid w:val="00DD07B0"/>
    <w:rsid w:val="00DD09D5"/>
    <w:rsid w:val="00DD0F1E"/>
    <w:rsid w:val="00DD106D"/>
    <w:rsid w:val="00DD13B2"/>
    <w:rsid w:val="00DD13D2"/>
    <w:rsid w:val="00DD13D3"/>
    <w:rsid w:val="00DD155B"/>
    <w:rsid w:val="00DD164E"/>
    <w:rsid w:val="00DD17AE"/>
    <w:rsid w:val="00DD1860"/>
    <w:rsid w:val="00DD1963"/>
    <w:rsid w:val="00DD199A"/>
    <w:rsid w:val="00DD19CC"/>
    <w:rsid w:val="00DD1B97"/>
    <w:rsid w:val="00DD1BE6"/>
    <w:rsid w:val="00DD1C79"/>
    <w:rsid w:val="00DD1CAE"/>
    <w:rsid w:val="00DD1DE8"/>
    <w:rsid w:val="00DD21A6"/>
    <w:rsid w:val="00DD23A9"/>
    <w:rsid w:val="00DD2415"/>
    <w:rsid w:val="00DD24AD"/>
    <w:rsid w:val="00DD2530"/>
    <w:rsid w:val="00DD25F9"/>
    <w:rsid w:val="00DD2817"/>
    <w:rsid w:val="00DD2987"/>
    <w:rsid w:val="00DD29F8"/>
    <w:rsid w:val="00DD2A85"/>
    <w:rsid w:val="00DD2B24"/>
    <w:rsid w:val="00DD2DC0"/>
    <w:rsid w:val="00DD2E91"/>
    <w:rsid w:val="00DD2EF5"/>
    <w:rsid w:val="00DD305C"/>
    <w:rsid w:val="00DD31F1"/>
    <w:rsid w:val="00DD3357"/>
    <w:rsid w:val="00DD3537"/>
    <w:rsid w:val="00DD3574"/>
    <w:rsid w:val="00DD36E1"/>
    <w:rsid w:val="00DD38A5"/>
    <w:rsid w:val="00DD39B1"/>
    <w:rsid w:val="00DD3A03"/>
    <w:rsid w:val="00DD3BC0"/>
    <w:rsid w:val="00DD3BE6"/>
    <w:rsid w:val="00DD3F5B"/>
    <w:rsid w:val="00DD4043"/>
    <w:rsid w:val="00DD40FD"/>
    <w:rsid w:val="00DD4162"/>
    <w:rsid w:val="00DD4170"/>
    <w:rsid w:val="00DD44A4"/>
    <w:rsid w:val="00DD44C4"/>
    <w:rsid w:val="00DD47D7"/>
    <w:rsid w:val="00DD487A"/>
    <w:rsid w:val="00DD496F"/>
    <w:rsid w:val="00DD4B47"/>
    <w:rsid w:val="00DD4B85"/>
    <w:rsid w:val="00DD4E4E"/>
    <w:rsid w:val="00DD4E78"/>
    <w:rsid w:val="00DD4FBF"/>
    <w:rsid w:val="00DD518D"/>
    <w:rsid w:val="00DD5277"/>
    <w:rsid w:val="00DD52FC"/>
    <w:rsid w:val="00DD530E"/>
    <w:rsid w:val="00DD5352"/>
    <w:rsid w:val="00DD53C9"/>
    <w:rsid w:val="00DD5435"/>
    <w:rsid w:val="00DD55EF"/>
    <w:rsid w:val="00DD5650"/>
    <w:rsid w:val="00DD56B8"/>
    <w:rsid w:val="00DD570B"/>
    <w:rsid w:val="00DD577C"/>
    <w:rsid w:val="00DD581F"/>
    <w:rsid w:val="00DD590C"/>
    <w:rsid w:val="00DD59A9"/>
    <w:rsid w:val="00DD5A54"/>
    <w:rsid w:val="00DD5BD8"/>
    <w:rsid w:val="00DD5C30"/>
    <w:rsid w:val="00DD5D81"/>
    <w:rsid w:val="00DD5DD9"/>
    <w:rsid w:val="00DD5E6C"/>
    <w:rsid w:val="00DD5FBD"/>
    <w:rsid w:val="00DD6006"/>
    <w:rsid w:val="00DD6018"/>
    <w:rsid w:val="00DD6047"/>
    <w:rsid w:val="00DD60D4"/>
    <w:rsid w:val="00DD610B"/>
    <w:rsid w:val="00DD615A"/>
    <w:rsid w:val="00DD618C"/>
    <w:rsid w:val="00DD62E8"/>
    <w:rsid w:val="00DD65BE"/>
    <w:rsid w:val="00DD67B4"/>
    <w:rsid w:val="00DD67B6"/>
    <w:rsid w:val="00DD67DE"/>
    <w:rsid w:val="00DD68BF"/>
    <w:rsid w:val="00DD6C12"/>
    <w:rsid w:val="00DD6E49"/>
    <w:rsid w:val="00DD6F09"/>
    <w:rsid w:val="00DD6FA5"/>
    <w:rsid w:val="00DD7027"/>
    <w:rsid w:val="00DD70D6"/>
    <w:rsid w:val="00DD71B2"/>
    <w:rsid w:val="00DD72F8"/>
    <w:rsid w:val="00DD7304"/>
    <w:rsid w:val="00DD7341"/>
    <w:rsid w:val="00DD7351"/>
    <w:rsid w:val="00DD737C"/>
    <w:rsid w:val="00DD742D"/>
    <w:rsid w:val="00DD777D"/>
    <w:rsid w:val="00DD77F3"/>
    <w:rsid w:val="00DD78D8"/>
    <w:rsid w:val="00DD79B1"/>
    <w:rsid w:val="00DD7B77"/>
    <w:rsid w:val="00DD7BD9"/>
    <w:rsid w:val="00DD7BE7"/>
    <w:rsid w:val="00DD7C41"/>
    <w:rsid w:val="00DD7EDA"/>
    <w:rsid w:val="00DE0112"/>
    <w:rsid w:val="00DE01A8"/>
    <w:rsid w:val="00DE01AE"/>
    <w:rsid w:val="00DE0208"/>
    <w:rsid w:val="00DE044B"/>
    <w:rsid w:val="00DE0670"/>
    <w:rsid w:val="00DE06A1"/>
    <w:rsid w:val="00DE0885"/>
    <w:rsid w:val="00DE0966"/>
    <w:rsid w:val="00DE09A3"/>
    <w:rsid w:val="00DE09FA"/>
    <w:rsid w:val="00DE0B95"/>
    <w:rsid w:val="00DE0D0B"/>
    <w:rsid w:val="00DE0D80"/>
    <w:rsid w:val="00DE0E7F"/>
    <w:rsid w:val="00DE0F81"/>
    <w:rsid w:val="00DE1074"/>
    <w:rsid w:val="00DE119E"/>
    <w:rsid w:val="00DE11FE"/>
    <w:rsid w:val="00DE142B"/>
    <w:rsid w:val="00DE17CF"/>
    <w:rsid w:val="00DE1814"/>
    <w:rsid w:val="00DE1835"/>
    <w:rsid w:val="00DE1880"/>
    <w:rsid w:val="00DE18CF"/>
    <w:rsid w:val="00DE1AAD"/>
    <w:rsid w:val="00DE1E87"/>
    <w:rsid w:val="00DE1EC5"/>
    <w:rsid w:val="00DE21D4"/>
    <w:rsid w:val="00DE2290"/>
    <w:rsid w:val="00DE22AC"/>
    <w:rsid w:val="00DE23C8"/>
    <w:rsid w:val="00DE2685"/>
    <w:rsid w:val="00DE2A17"/>
    <w:rsid w:val="00DE2B11"/>
    <w:rsid w:val="00DE2B91"/>
    <w:rsid w:val="00DE2CCD"/>
    <w:rsid w:val="00DE2ECF"/>
    <w:rsid w:val="00DE2FC0"/>
    <w:rsid w:val="00DE3372"/>
    <w:rsid w:val="00DE3481"/>
    <w:rsid w:val="00DE34DE"/>
    <w:rsid w:val="00DE350C"/>
    <w:rsid w:val="00DE3562"/>
    <w:rsid w:val="00DE35A7"/>
    <w:rsid w:val="00DE3623"/>
    <w:rsid w:val="00DE36A4"/>
    <w:rsid w:val="00DE3764"/>
    <w:rsid w:val="00DE392C"/>
    <w:rsid w:val="00DE39E4"/>
    <w:rsid w:val="00DE3C3D"/>
    <w:rsid w:val="00DE3DA3"/>
    <w:rsid w:val="00DE3FD8"/>
    <w:rsid w:val="00DE4007"/>
    <w:rsid w:val="00DE4162"/>
    <w:rsid w:val="00DE4345"/>
    <w:rsid w:val="00DE440B"/>
    <w:rsid w:val="00DE460D"/>
    <w:rsid w:val="00DE4875"/>
    <w:rsid w:val="00DE4933"/>
    <w:rsid w:val="00DE494A"/>
    <w:rsid w:val="00DE494D"/>
    <w:rsid w:val="00DE49E3"/>
    <w:rsid w:val="00DE4A39"/>
    <w:rsid w:val="00DE4A96"/>
    <w:rsid w:val="00DE4BFB"/>
    <w:rsid w:val="00DE4D6D"/>
    <w:rsid w:val="00DE4D89"/>
    <w:rsid w:val="00DE4DD3"/>
    <w:rsid w:val="00DE50DE"/>
    <w:rsid w:val="00DE50FE"/>
    <w:rsid w:val="00DE5222"/>
    <w:rsid w:val="00DE5336"/>
    <w:rsid w:val="00DE5403"/>
    <w:rsid w:val="00DE5431"/>
    <w:rsid w:val="00DE54B1"/>
    <w:rsid w:val="00DE54C2"/>
    <w:rsid w:val="00DE5638"/>
    <w:rsid w:val="00DE5639"/>
    <w:rsid w:val="00DE56BC"/>
    <w:rsid w:val="00DE57F7"/>
    <w:rsid w:val="00DE5859"/>
    <w:rsid w:val="00DE58C2"/>
    <w:rsid w:val="00DE5A47"/>
    <w:rsid w:val="00DE5A74"/>
    <w:rsid w:val="00DE5B33"/>
    <w:rsid w:val="00DE5C36"/>
    <w:rsid w:val="00DE5D20"/>
    <w:rsid w:val="00DE5DD5"/>
    <w:rsid w:val="00DE5EA9"/>
    <w:rsid w:val="00DE6039"/>
    <w:rsid w:val="00DE6116"/>
    <w:rsid w:val="00DE615F"/>
    <w:rsid w:val="00DE6180"/>
    <w:rsid w:val="00DE6334"/>
    <w:rsid w:val="00DE6351"/>
    <w:rsid w:val="00DE63B0"/>
    <w:rsid w:val="00DE6422"/>
    <w:rsid w:val="00DE651B"/>
    <w:rsid w:val="00DE65C3"/>
    <w:rsid w:val="00DE672B"/>
    <w:rsid w:val="00DE6798"/>
    <w:rsid w:val="00DE69D5"/>
    <w:rsid w:val="00DE6A14"/>
    <w:rsid w:val="00DE6A95"/>
    <w:rsid w:val="00DE6B01"/>
    <w:rsid w:val="00DE6BB1"/>
    <w:rsid w:val="00DE6CC2"/>
    <w:rsid w:val="00DE6D99"/>
    <w:rsid w:val="00DE6E29"/>
    <w:rsid w:val="00DE6F30"/>
    <w:rsid w:val="00DE6FEF"/>
    <w:rsid w:val="00DE724C"/>
    <w:rsid w:val="00DE73D9"/>
    <w:rsid w:val="00DE7492"/>
    <w:rsid w:val="00DE75D4"/>
    <w:rsid w:val="00DE7602"/>
    <w:rsid w:val="00DE7640"/>
    <w:rsid w:val="00DE7742"/>
    <w:rsid w:val="00DE77F4"/>
    <w:rsid w:val="00DE7885"/>
    <w:rsid w:val="00DE79AC"/>
    <w:rsid w:val="00DE7A0B"/>
    <w:rsid w:val="00DE7BE1"/>
    <w:rsid w:val="00DE7C08"/>
    <w:rsid w:val="00DE7C36"/>
    <w:rsid w:val="00DE7CEE"/>
    <w:rsid w:val="00DE7E52"/>
    <w:rsid w:val="00DE7E5D"/>
    <w:rsid w:val="00DE7EFB"/>
    <w:rsid w:val="00DE7F33"/>
    <w:rsid w:val="00DE7F3E"/>
    <w:rsid w:val="00DF00A1"/>
    <w:rsid w:val="00DF0118"/>
    <w:rsid w:val="00DF019D"/>
    <w:rsid w:val="00DF0272"/>
    <w:rsid w:val="00DF0702"/>
    <w:rsid w:val="00DF0A00"/>
    <w:rsid w:val="00DF0A66"/>
    <w:rsid w:val="00DF0B21"/>
    <w:rsid w:val="00DF0B41"/>
    <w:rsid w:val="00DF0C8F"/>
    <w:rsid w:val="00DF0CEE"/>
    <w:rsid w:val="00DF0CFC"/>
    <w:rsid w:val="00DF0D3C"/>
    <w:rsid w:val="00DF0D65"/>
    <w:rsid w:val="00DF0FCF"/>
    <w:rsid w:val="00DF1255"/>
    <w:rsid w:val="00DF1269"/>
    <w:rsid w:val="00DF1279"/>
    <w:rsid w:val="00DF12DD"/>
    <w:rsid w:val="00DF1505"/>
    <w:rsid w:val="00DF1679"/>
    <w:rsid w:val="00DF1A85"/>
    <w:rsid w:val="00DF1B51"/>
    <w:rsid w:val="00DF1C1A"/>
    <w:rsid w:val="00DF1C6A"/>
    <w:rsid w:val="00DF1D06"/>
    <w:rsid w:val="00DF1F7E"/>
    <w:rsid w:val="00DF1FC3"/>
    <w:rsid w:val="00DF1FDD"/>
    <w:rsid w:val="00DF24B5"/>
    <w:rsid w:val="00DF24CB"/>
    <w:rsid w:val="00DF24E8"/>
    <w:rsid w:val="00DF267A"/>
    <w:rsid w:val="00DF2680"/>
    <w:rsid w:val="00DF27CA"/>
    <w:rsid w:val="00DF2AAB"/>
    <w:rsid w:val="00DF2B63"/>
    <w:rsid w:val="00DF2C27"/>
    <w:rsid w:val="00DF2C77"/>
    <w:rsid w:val="00DF2C89"/>
    <w:rsid w:val="00DF2CC1"/>
    <w:rsid w:val="00DF2E49"/>
    <w:rsid w:val="00DF2F55"/>
    <w:rsid w:val="00DF2F96"/>
    <w:rsid w:val="00DF2FAE"/>
    <w:rsid w:val="00DF303A"/>
    <w:rsid w:val="00DF306D"/>
    <w:rsid w:val="00DF3362"/>
    <w:rsid w:val="00DF3377"/>
    <w:rsid w:val="00DF3431"/>
    <w:rsid w:val="00DF35FA"/>
    <w:rsid w:val="00DF36F1"/>
    <w:rsid w:val="00DF37D7"/>
    <w:rsid w:val="00DF3957"/>
    <w:rsid w:val="00DF39F2"/>
    <w:rsid w:val="00DF3A91"/>
    <w:rsid w:val="00DF3B69"/>
    <w:rsid w:val="00DF3D06"/>
    <w:rsid w:val="00DF3E08"/>
    <w:rsid w:val="00DF3E3E"/>
    <w:rsid w:val="00DF3E86"/>
    <w:rsid w:val="00DF3E9D"/>
    <w:rsid w:val="00DF4023"/>
    <w:rsid w:val="00DF419E"/>
    <w:rsid w:val="00DF4248"/>
    <w:rsid w:val="00DF4281"/>
    <w:rsid w:val="00DF4288"/>
    <w:rsid w:val="00DF43D5"/>
    <w:rsid w:val="00DF43ED"/>
    <w:rsid w:val="00DF443D"/>
    <w:rsid w:val="00DF4681"/>
    <w:rsid w:val="00DF47D8"/>
    <w:rsid w:val="00DF49C1"/>
    <w:rsid w:val="00DF4D10"/>
    <w:rsid w:val="00DF4D58"/>
    <w:rsid w:val="00DF4E21"/>
    <w:rsid w:val="00DF4EC6"/>
    <w:rsid w:val="00DF4F2C"/>
    <w:rsid w:val="00DF5097"/>
    <w:rsid w:val="00DF5368"/>
    <w:rsid w:val="00DF543A"/>
    <w:rsid w:val="00DF5499"/>
    <w:rsid w:val="00DF555C"/>
    <w:rsid w:val="00DF5727"/>
    <w:rsid w:val="00DF58E4"/>
    <w:rsid w:val="00DF59B5"/>
    <w:rsid w:val="00DF5DA1"/>
    <w:rsid w:val="00DF5DBC"/>
    <w:rsid w:val="00DF5EE4"/>
    <w:rsid w:val="00DF5FB1"/>
    <w:rsid w:val="00DF6072"/>
    <w:rsid w:val="00DF60C8"/>
    <w:rsid w:val="00DF62F6"/>
    <w:rsid w:val="00DF631F"/>
    <w:rsid w:val="00DF6350"/>
    <w:rsid w:val="00DF6583"/>
    <w:rsid w:val="00DF65A3"/>
    <w:rsid w:val="00DF65FF"/>
    <w:rsid w:val="00DF668A"/>
    <w:rsid w:val="00DF66CD"/>
    <w:rsid w:val="00DF671A"/>
    <w:rsid w:val="00DF6723"/>
    <w:rsid w:val="00DF68AC"/>
    <w:rsid w:val="00DF68B5"/>
    <w:rsid w:val="00DF69AF"/>
    <w:rsid w:val="00DF6A9D"/>
    <w:rsid w:val="00DF6CAF"/>
    <w:rsid w:val="00DF6CFF"/>
    <w:rsid w:val="00DF6DCD"/>
    <w:rsid w:val="00DF6DD4"/>
    <w:rsid w:val="00DF6ED4"/>
    <w:rsid w:val="00DF717B"/>
    <w:rsid w:val="00DF7280"/>
    <w:rsid w:val="00DF74B8"/>
    <w:rsid w:val="00DF761C"/>
    <w:rsid w:val="00DF7640"/>
    <w:rsid w:val="00DF781E"/>
    <w:rsid w:val="00DF78D3"/>
    <w:rsid w:val="00DF7976"/>
    <w:rsid w:val="00DF79A6"/>
    <w:rsid w:val="00DF7A92"/>
    <w:rsid w:val="00E00478"/>
    <w:rsid w:val="00E004F9"/>
    <w:rsid w:val="00E006E9"/>
    <w:rsid w:val="00E007FF"/>
    <w:rsid w:val="00E0090A"/>
    <w:rsid w:val="00E00D49"/>
    <w:rsid w:val="00E00D65"/>
    <w:rsid w:val="00E00DBC"/>
    <w:rsid w:val="00E00F10"/>
    <w:rsid w:val="00E010CA"/>
    <w:rsid w:val="00E010E4"/>
    <w:rsid w:val="00E011F5"/>
    <w:rsid w:val="00E01776"/>
    <w:rsid w:val="00E018E4"/>
    <w:rsid w:val="00E01984"/>
    <w:rsid w:val="00E01A2F"/>
    <w:rsid w:val="00E01A6F"/>
    <w:rsid w:val="00E01AFF"/>
    <w:rsid w:val="00E01B3C"/>
    <w:rsid w:val="00E01B5B"/>
    <w:rsid w:val="00E01BFE"/>
    <w:rsid w:val="00E01C11"/>
    <w:rsid w:val="00E01CBE"/>
    <w:rsid w:val="00E01ED3"/>
    <w:rsid w:val="00E01F64"/>
    <w:rsid w:val="00E01F90"/>
    <w:rsid w:val="00E02086"/>
    <w:rsid w:val="00E023D5"/>
    <w:rsid w:val="00E02495"/>
    <w:rsid w:val="00E0281D"/>
    <w:rsid w:val="00E0290C"/>
    <w:rsid w:val="00E029D0"/>
    <w:rsid w:val="00E02AD1"/>
    <w:rsid w:val="00E02CDD"/>
    <w:rsid w:val="00E02D30"/>
    <w:rsid w:val="00E02DE0"/>
    <w:rsid w:val="00E02E8F"/>
    <w:rsid w:val="00E02F7C"/>
    <w:rsid w:val="00E030DA"/>
    <w:rsid w:val="00E03104"/>
    <w:rsid w:val="00E031EF"/>
    <w:rsid w:val="00E03239"/>
    <w:rsid w:val="00E032E7"/>
    <w:rsid w:val="00E033AF"/>
    <w:rsid w:val="00E035AA"/>
    <w:rsid w:val="00E0387D"/>
    <w:rsid w:val="00E038CC"/>
    <w:rsid w:val="00E03976"/>
    <w:rsid w:val="00E039FA"/>
    <w:rsid w:val="00E03A7F"/>
    <w:rsid w:val="00E03C16"/>
    <w:rsid w:val="00E03D6B"/>
    <w:rsid w:val="00E03D8E"/>
    <w:rsid w:val="00E03DAE"/>
    <w:rsid w:val="00E03DDC"/>
    <w:rsid w:val="00E03EFF"/>
    <w:rsid w:val="00E03F05"/>
    <w:rsid w:val="00E04154"/>
    <w:rsid w:val="00E044B8"/>
    <w:rsid w:val="00E044CB"/>
    <w:rsid w:val="00E04586"/>
    <w:rsid w:val="00E045B3"/>
    <w:rsid w:val="00E045FB"/>
    <w:rsid w:val="00E04640"/>
    <w:rsid w:val="00E046E2"/>
    <w:rsid w:val="00E04746"/>
    <w:rsid w:val="00E04C0A"/>
    <w:rsid w:val="00E04C7D"/>
    <w:rsid w:val="00E04C9B"/>
    <w:rsid w:val="00E04FDB"/>
    <w:rsid w:val="00E050DE"/>
    <w:rsid w:val="00E05399"/>
    <w:rsid w:val="00E053F5"/>
    <w:rsid w:val="00E05427"/>
    <w:rsid w:val="00E0547F"/>
    <w:rsid w:val="00E054CD"/>
    <w:rsid w:val="00E054E6"/>
    <w:rsid w:val="00E055A6"/>
    <w:rsid w:val="00E05621"/>
    <w:rsid w:val="00E05777"/>
    <w:rsid w:val="00E057AA"/>
    <w:rsid w:val="00E059F4"/>
    <w:rsid w:val="00E05A24"/>
    <w:rsid w:val="00E05A76"/>
    <w:rsid w:val="00E05A82"/>
    <w:rsid w:val="00E05B72"/>
    <w:rsid w:val="00E05BBF"/>
    <w:rsid w:val="00E05DA1"/>
    <w:rsid w:val="00E05FB0"/>
    <w:rsid w:val="00E06060"/>
    <w:rsid w:val="00E06181"/>
    <w:rsid w:val="00E06273"/>
    <w:rsid w:val="00E062FC"/>
    <w:rsid w:val="00E0661D"/>
    <w:rsid w:val="00E06669"/>
    <w:rsid w:val="00E06715"/>
    <w:rsid w:val="00E06A77"/>
    <w:rsid w:val="00E06AF0"/>
    <w:rsid w:val="00E06D1A"/>
    <w:rsid w:val="00E06D28"/>
    <w:rsid w:val="00E06E56"/>
    <w:rsid w:val="00E06F27"/>
    <w:rsid w:val="00E06F82"/>
    <w:rsid w:val="00E06FFE"/>
    <w:rsid w:val="00E070BA"/>
    <w:rsid w:val="00E070E0"/>
    <w:rsid w:val="00E072F0"/>
    <w:rsid w:val="00E07364"/>
    <w:rsid w:val="00E07477"/>
    <w:rsid w:val="00E07516"/>
    <w:rsid w:val="00E075D9"/>
    <w:rsid w:val="00E0775A"/>
    <w:rsid w:val="00E0778D"/>
    <w:rsid w:val="00E07869"/>
    <w:rsid w:val="00E0790F"/>
    <w:rsid w:val="00E07C38"/>
    <w:rsid w:val="00E07CE5"/>
    <w:rsid w:val="00E07D68"/>
    <w:rsid w:val="00E07DD1"/>
    <w:rsid w:val="00E07F43"/>
    <w:rsid w:val="00E07F95"/>
    <w:rsid w:val="00E10084"/>
    <w:rsid w:val="00E10109"/>
    <w:rsid w:val="00E10270"/>
    <w:rsid w:val="00E1034C"/>
    <w:rsid w:val="00E1047D"/>
    <w:rsid w:val="00E10580"/>
    <w:rsid w:val="00E106B4"/>
    <w:rsid w:val="00E10715"/>
    <w:rsid w:val="00E109A9"/>
    <w:rsid w:val="00E10B59"/>
    <w:rsid w:val="00E10CE2"/>
    <w:rsid w:val="00E10CF4"/>
    <w:rsid w:val="00E10D4E"/>
    <w:rsid w:val="00E1107E"/>
    <w:rsid w:val="00E110CB"/>
    <w:rsid w:val="00E11250"/>
    <w:rsid w:val="00E115B4"/>
    <w:rsid w:val="00E11793"/>
    <w:rsid w:val="00E11839"/>
    <w:rsid w:val="00E118D7"/>
    <w:rsid w:val="00E119DB"/>
    <w:rsid w:val="00E11AFB"/>
    <w:rsid w:val="00E11D5C"/>
    <w:rsid w:val="00E11DB8"/>
    <w:rsid w:val="00E11DF2"/>
    <w:rsid w:val="00E11EC2"/>
    <w:rsid w:val="00E12129"/>
    <w:rsid w:val="00E125B6"/>
    <w:rsid w:val="00E126A6"/>
    <w:rsid w:val="00E126F7"/>
    <w:rsid w:val="00E12EF1"/>
    <w:rsid w:val="00E1329C"/>
    <w:rsid w:val="00E1348B"/>
    <w:rsid w:val="00E134D8"/>
    <w:rsid w:val="00E135C6"/>
    <w:rsid w:val="00E13679"/>
    <w:rsid w:val="00E13836"/>
    <w:rsid w:val="00E13917"/>
    <w:rsid w:val="00E13A1B"/>
    <w:rsid w:val="00E13A35"/>
    <w:rsid w:val="00E13A3F"/>
    <w:rsid w:val="00E13BC0"/>
    <w:rsid w:val="00E13D69"/>
    <w:rsid w:val="00E13D7E"/>
    <w:rsid w:val="00E13E1A"/>
    <w:rsid w:val="00E14141"/>
    <w:rsid w:val="00E14534"/>
    <w:rsid w:val="00E145F8"/>
    <w:rsid w:val="00E14835"/>
    <w:rsid w:val="00E148B7"/>
    <w:rsid w:val="00E149D5"/>
    <w:rsid w:val="00E14A22"/>
    <w:rsid w:val="00E14B9B"/>
    <w:rsid w:val="00E14BC7"/>
    <w:rsid w:val="00E14BD2"/>
    <w:rsid w:val="00E14D65"/>
    <w:rsid w:val="00E14D98"/>
    <w:rsid w:val="00E14E80"/>
    <w:rsid w:val="00E1500B"/>
    <w:rsid w:val="00E15051"/>
    <w:rsid w:val="00E1506E"/>
    <w:rsid w:val="00E15175"/>
    <w:rsid w:val="00E15583"/>
    <w:rsid w:val="00E155C6"/>
    <w:rsid w:val="00E155E0"/>
    <w:rsid w:val="00E156AC"/>
    <w:rsid w:val="00E157CA"/>
    <w:rsid w:val="00E15951"/>
    <w:rsid w:val="00E15B94"/>
    <w:rsid w:val="00E15BB7"/>
    <w:rsid w:val="00E15C66"/>
    <w:rsid w:val="00E15CF1"/>
    <w:rsid w:val="00E15DC7"/>
    <w:rsid w:val="00E15E69"/>
    <w:rsid w:val="00E16032"/>
    <w:rsid w:val="00E160B3"/>
    <w:rsid w:val="00E16329"/>
    <w:rsid w:val="00E165C4"/>
    <w:rsid w:val="00E16631"/>
    <w:rsid w:val="00E166FE"/>
    <w:rsid w:val="00E167EB"/>
    <w:rsid w:val="00E168B1"/>
    <w:rsid w:val="00E16934"/>
    <w:rsid w:val="00E16BB4"/>
    <w:rsid w:val="00E16C53"/>
    <w:rsid w:val="00E16D93"/>
    <w:rsid w:val="00E16E49"/>
    <w:rsid w:val="00E16FF0"/>
    <w:rsid w:val="00E17015"/>
    <w:rsid w:val="00E172AC"/>
    <w:rsid w:val="00E172B8"/>
    <w:rsid w:val="00E172D2"/>
    <w:rsid w:val="00E173A1"/>
    <w:rsid w:val="00E17502"/>
    <w:rsid w:val="00E175EC"/>
    <w:rsid w:val="00E1775A"/>
    <w:rsid w:val="00E177A9"/>
    <w:rsid w:val="00E1783E"/>
    <w:rsid w:val="00E178EA"/>
    <w:rsid w:val="00E17913"/>
    <w:rsid w:val="00E17A2A"/>
    <w:rsid w:val="00E17B5C"/>
    <w:rsid w:val="00E17BEF"/>
    <w:rsid w:val="00E17C13"/>
    <w:rsid w:val="00E17D36"/>
    <w:rsid w:val="00E17D73"/>
    <w:rsid w:val="00E1F850"/>
    <w:rsid w:val="00E200E5"/>
    <w:rsid w:val="00E20146"/>
    <w:rsid w:val="00E20270"/>
    <w:rsid w:val="00E2028B"/>
    <w:rsid w:val="00E20396"/>
    <w:rsid w:val="00E2041C"/>
    <w:rsid w:val="00E206F1"/>
    <w:rsid w:val="00E209BC"/>
    <w:rsid w:val="00E20AC3"/>
    <w:rsid w:val="00E20BA0"/>
    <w:rsid w:val="00E20BB8"/>
    <w:rsid w:val="00E20DFB"/>
    <w:rsid w:val="00E20ED0"/>
    <w:rsid w:val="00E20ED1"/>
    <w:rsid w:val="00E21027"/>
    <w:rsid w:val="00E21317"/>
    <w:rsid w:val="00E21356"/>
    <w:rsid w:val="00E2141D"/>
    <w:rsid w:val="00E21487"/>
    <w:rsid w:val="00E21522"/>
    <w:rsid w:val="00E21803"/>
    <w:rsid w:val="00E218CD"/>
    <w:rsid w:val="00E21916"/>
    <w:rsid w:val="00E219D2"/>
    <w:rsid w:val="00E21AF2"/>
    <w:rsid w:val="00E21AFD"/>
    <w:rsid w:val="00E21B29"/>
    <w:rsid w:val="00E21BCC"/>
    <w:rsid w:val="00E21BFF"/>
    <w:rsid w:val="00E21C68"/>
    <w:rsid w:val="00E21DDE"/>
    <w:rsid w:val="00E21E0C"/>
    <w:rsid w:val="00E21E21"/>
    <w:rsid w:val="00E22012"/>
    <w:rsid w:val="00E2205C"/>
    <w:rsid w:val="00E220B5"/>
    <w:rsid w:val="00E2226F"/>
    <w:rsid w:val="00E2233A"/>
    <w:rsid w:val="00E223EA"/>
    <w:rsid w:val="00E22689"/>
    <w:rsid w:val="00E226E7"/>
    <w:rsid w:val="00E227C1"/>
    <w:rsid w:val="00E227DD"/>
    <w:rsid w:val="00E2280F"/>
    <w:rsid w:val="00E2284A"/>
    <w:rsid w:val="00E22878"/>
    <w:rsid w:val="00E2292E"/>
    <w:rsid w:val="00E229BE"/>
    <w:rsid w:val="00E22D8D"/>
    <w:rsid w:val="00E22FF9"/>
    <w:rsid w:val="00E23179"/>
    <w:rsid w:val="00E232A3"/>
    <w:rsid w:val="00E2351E"/>
    <w:rsid w:val="00E236B6"/>
    <w:rsid w:val="00E2370C"/>
    <w:rsid w:val="00E23813"/>
    <w:rsid w:val="00E23890"/>
    <w:rsid w:val="00E23919"/>
    <w:rsid w:val="00E2392A"/>
    <w:rsid w:val="00E23AA5"/>
    <w:rsid w:val="00E23B53"/>
    <w:rsid w:val="00E23C89"/>
    <w:rsid w:val="00E23FCB"/>
    <w:rsid w:val="00E23FD6"/>
    <w:rsid w:val="00E23FD9"/>
    <w:rsid w:val="00E24044"/>
    <w:rsid w:val="00E2416E"/>
    <w:rsid w:val="00E24186"/>
    <w:rsid w:val="00E24343"/>
    <w:rsid w:val="00E2449F"/>
    <w:rsid w:val="00E244B4"/>
    <w:rsid w:val="00E245AB"/>
    <w:rsid w:val="00E24788"/>
    <w:rsid w:val="00E247B9"/>
    <w:rsid w:val="00E24CCF"/>
    <w:rsid w:val="00E24DDF"/>
    <w:rsid w:val="00E24E0E"/>
    <w:rsid w:val="00E24FE8"/>
    <w:rsid w:val="00E25102"/>
    <w:rsid w:val="00E251F4"/>
    <w:rsid w:val="00E25328"/>
    <w:rsid w:val="00E2541A"/>
    <w:rsid w:val="00E254BB"/>
    <w:rsid w:val="00E2572B"/>
    <w:rsid w:val="00E2574D"/>
    <w:rsid w:val="00E25843"/>
    <w:rsid w:val="00E25920"/>
    <w:rsid w:val="00E25B9D"/>
    <w:rsid w:val="00E25D40"/>
    <w:rsid w:val="00E25D72"/>
    <w:rsid w:val="00E25E5D"/>
    <w:rsid w:val="00E25E73"/>
    <w:rsid w:val="00E25EEF"/>
    <w:rsid w:val="00E25F2B"/>
    <w:rsid w:val="00E26025"/>
    <w:rsid w:val="00E260E7"/>
    <w:rsid w:val="00E260EA"/>
    <w:rsid w:val="00E26314"/>
    <w:rsid w:val="00E263E1"/>
    <w:rsid w:val="00E26435"/>
    <w:rsid w:val="00E264B8"/>
    <w:rsid w:val="00E264D4"/>
    <w:rsid w:val="00E264F3"/>
    <w:rsid w:val="00E26538"/>
    <w:rsid w:val="00E26849"/>
    <w:rsid w:val="00E2685E"/>
    <w:rsid w:val="00E268C8"/>
    <w:rsid w:val="00E26915"/>
    <w:rsid w:val="00E2696E"/>
    <w:rsid w:val="00E26AAE"/>
    <w:rsid w:val="00E26B9B"/>
    <w:rsid w:val="00E26CC8"/>
    <w:rsid w:val="00E26D36"/>
    <w:rsid w:val="00E26D7D"/>
    <w:rsid w:val="00E2708E"/>
    <w:rsid w:val="00E2761D"/>
    <w:rsid w:val="00E276C6"/>
    <w:rsid w:val="00E2771C"/>
    <w:rsid w:val="00E27905"/>
    <w:rsid w:val="00E27A11"/>
    <w:rsid w:val="00E27BB7"/>
    <w:rsid w:val="00E27D18"/>
    <w:rsid w:val="00E27DC0"/>
    <w:rsid w:val="00E27E7C"/>
    <w:rsid w:val="00E300B1"/>
    <w:rsid w:val="00E300D8"/>
    <w:rsid w:val="00E3019F"/>
    <w:rsid w:val="00E301A8"/>
    <w:rsid w:val="00E301DD"/>
    <w:rsid w:val="00E304CD"/>
    <w:rsid w:val="00E304E9"/>
    <w:rsid w:val="00E3056D"/>
    <w:rsid w:val="00E3060B"/>
    <w:rsid w:val="00E30612"/>
    <w:rsid w:val="00E30673"/>
    <w:rsid w:val="00E30685"/>
    <w:rsid w:val="00E30720"/>
    <w:rsid w:val="00E3094E"/>
    <w:rsid w:val="00E309B1"/>
    <w:rsid w:val="00E309C8"/>
    <w:rsid w:val="00E309E1"/>
    <w:rsid w:val="00E30AD0"/>
    <w:rsid w:val="00E30B9B"/>
    <w:rsid w:val="00E30C1B"/>
    <w:rsid w:val="00E30C8D"/>
    <w:rsid w:val="00E30DB8"/>
    <w:rsid w:val="00E30EC6"/>
    <w:rsid w:val="00E311B4"/>
    <w:rsid w:val="00E311E0"/>
    <w:rsid w:val="00E31378"/>
    <w:rsid w:val="00E31B87"/>
    <w:rsid w:val="00E31C26"/>
    <w:rsid w:val="00E31D4E"/>
    <w:rsid w:val="00E31D93"/>
    <w:rsid w:val="00E32162"/>
    <w:rsid w:val="00E32165"/>
    <w:rsid w:val="00E32220"/>
    <w:rsid w:val="00E32384"/>
    <w:rsid w:val="00E3240D"/>
    <w:rsid w:val="00E32482"/>
    <w:rsid w:val="00E32490"/>
    <w:rsid w:val="00E32785"/>
    <w:rsid w:val="00E328E5"/>
    <w:rsid w:val="00E32B50"/>
    <w:rsid w:val="00E32CCD"/>
    <w:rsid w:val="00E32D15"/>
    <w:rsid w:val="00E32D4A"/>
    <w:rsid w:val="00E32DA2"/>
    <w:rsid w:val="00E32E18"/>
    <w:rsid w:val="00E32FBD"/>
    <w:rsid w:val="00E33014"/>
    <w:rsid w:val="00E33258"/>
    <w:rsid w:val="00E332BA"/>
    <w:rsid w:val="00E333B9"/>
    <w:rsid w:val="00E33410"/>
    <w:rsid w:val="00E33414"/>
    <w:rsid w:val="00E337A7"/>
    <w:rsid w:val="00E33800"/>
    <w:rsid w:val="00E339EA"/>
    <w:rsid w:val="00E33B84"/>
    <w:rsid w:val="00E33CC4"/>
    <w:rsid w:val="00E33E79"/>
    <w:rsid w:val="00E33E9C"/>
    <w:rsid w:val="00E3401F"/>
    <w:rsid w:val="00E340FA"/>
    <w:rsid w:val="00E34165"/>
    <w:rsid w:val="00E34180"/>
    <w:rsid w:val="00E343AD"/>
    <w:rsid w:val="00E34837"/>
    <w:rsid w:val="00E348E7"/>
    <w:rsid w:val="00E3493D"/>
    <w:rsid w:val="00E34957"/>
    <w:rsid w:val="00E349D4"/>
    <w:rsid w:val="00E34AA6"/>
    <w:rsid w:val="00E34D15"/>
    <w:rsid w:val="00E3533D"/>
    <w:rsid w:val="00E353A3"/>
    <w:rsid w:val="00E353A5"/>
    <w:rsid w:val="00E355D6"/>
    <w:rsid w:val="00E35728"/>
    <w:rsid w:val="00E357D1"/>
    <w:rsid w:val="00E35B67"/>
    <w:rsid w:val="00E35BAF"/>
    <w:rsid w:val="00E35BFB"/>
    <w:rsid w:val="00E35C15"/>
    <w:rsid w:val="00E35C66"/>
    <w:rsid w:val="00E35C7B"/>
    <w:rsid w:val="00E35E48"/>
    <w:rsid w:val="00E36179"/>
    <w:rsid w:val="00E36279"/>
    <w:rsid w:val="00E362BB"/>
    <w:rsid w:val="00E364D9"/>
    <w:rsid w:val="00E36666"/>
    <w:rsid w:val="00E36691"/>
    <w:rsid w:val="00E36863"/>
    <w:rsid w:val="00E369AE"/>
    <w:rsid w:val="00E36B65"/>
    <w:rsid w:val="00E36E8F"/>
    <w:rsid w:val="00E36FC4"/>
    <w:rsid w:val="00E36FC8"/>
    <w:rsid w:val="00E36FE1"/>
    <w:rsid w:val="00E37277"/>
    <w:rsid w:val="00E37317"/>
    <w:rsid w:val="00E3731C"/>
    <w:rsid w:val="00E3739B"/>
    <w:rsid w:val="00E37448"/>
    <w:rsid w:val="00E37543"/>
    <w:rsid w:val="00E376DE"/>
    <w:rsid w:val="00E37776"/>
    <w:rsid w:val="00E377F8"/>
    <w:rsid w:val="00E3789C"/>
    <w:rsid w:val="00E37947"/>
    <w:rsid w:val="00E379D0"/>
    <w:rsid w:val="00E37A97"/>
    <w:rsid w:val="00E37AE8"/>
    <w:rsid w:val="00E37BA9"/>
    <w:rsid w:val="00E37C3D"/>
    <w:rsid w:val="00E37CA3"/>
    <w:rsid w:val="00E37CB4"/>
    <w:rsid w:val="00E37D3D"/>
    <w:rsid w:val="00E37E28"/>
    <w:rsid w:val="00E37F54"/>
    <w:rsid w:val="00E37FBE"/>
    <w:rsid w:val="00E4009F"/>
    <w:rsid w:val="00E40153"/>
    <w:rsid w:val="00E401D2"/>
    <w:rsid w:val="00E40222"/>
    <w:rsid w:val="00E402A8"/>
    <w:rsid w:val="00E402C8"/>
    <w:rsid w:val="00E405FA"/>
    <w:rsid w:val="00E4071E"/>
    <w:rsid w:val="00E4094A"/>
    <w:rsid w:val="00E40AA8"/>
    <w:rsid w:val="00E40AD9"/>
    <w:rsid w:val="00E40ADB"/>
    <w:rsid w:val="00E40BF2"/>
    <w:rsid w:val="00E40C4E"/>
    <w:rsid w:val="00E40CE8"/>
    <w:rsid w:val="00E40D7D"/>
    <w:rsid w:val="00E40EE2"/>
    <w:rsid w:val="00E41079"/>
    <w:rsid w:val="00E4120C"/>
    <w:rsid w:val="00E412A7"/>
    <w:rsid w:val="00E412F4"/>
    <w:rsid w:val="00E41303"/>
    <w:rsid w:val="00E41364"/>
    <w:rsid w:val="00E413B8"/>
    <w:rsid w:val="00E41564"/>
    <w:rsid w:val="00E415AD"/>
    <w:rsid w:val="00E41664"/>
    <w:rsid w:val="00E418A6"/>
    <w:rsid w:val="00E419EC"/>
    <w:rsid w:val="00E41CA2"/>
    <w:rsid w:val="00E41D66"/>
    <w:rsid w:val="00E41E95"/>
    <w:rsid w:val="00E41EC1"/>
    <w:rsid w:val="00E4212B"/>
    <w:rsid w:val="00E422EB"/>
    <w:rsid w:val="00E42317"/>
    <w:rsid w:val="00E42374"/>
    <w:rsid w:val="00E4245E"/>
    <w:rsid w:val="00E4252E"/>
    <w:rsid w:val="00E42533"/>
    <w:rsid w:val="00E425F5"/>
    <w:rsid w:val="00E4264E"/>
    <w:rsid w:val="00E426FF"/>
    <w:rsid w:val="00E427B5"/>
    <w:rsid w:val="00E42900"/>
    <w:rsid w:val="00E42947"/>
    <w:rsid w:val="00E42B1A"/>
    <w:rsid w:val="00E42CE2"/>
    <w:rsid w:val="00E43017"/>
    <w:rsid w:val="00E430CD"/>
    <w:rsid w:val="00E4325D"/>
    <w:rsid w:val="00E43306"/>
    <w:rsid w:val="00E4337C"/>
    <w:rsid w:val="00E433F2"/>
    <w:rsid w:val="00E434D2"/>
    <w:rsid w:val="00E434D9"/>
    <w:rsid w:val="00E4352B"/>
    <w:rsid w:val="00E438D9"/>
    <w:rsid w:val="00E438F9"/>
    <w:rsid w:val="00E43A42"/>
    <w:rsid w:val="00E43E75"/>
    <w:rsid w:val="00E44094"/>
    <w:rsid w:val="00E4432F"/>
    <w:rsid w:val="00E44368"/>
    <w:rsid w:val="00E44443"/>
    <w:rsid w:val="00E445B3"/>
    <w:rsid w:val="00E4461B"/>
    <w:rsid w:val="00E44670"/>
    <w:rsid w:val="00E44736"/>
    <w:rsid w:val="00E44870"/>
    <w:rsid w:val="00E44A0A"/>
    <w:rsid w:val="00E44BFD"/>
    <w:rsid w:val="00E44CEC"/>
    <w:rsid w:val="00E44EA8"/>
    <w:rsid w:val="00E44EAF"/>
    <w:rsid w:val="00E451F5"/>
    <w:rsid w:val="00E452F9"/>
    <w:rsid w:val="00E4550B"/>
    <w:rsid w:val="00E455E1"/>
    <w:rsid w:val="00E4563E"/>
    <w:rsid w:val="00E4570F"/>
    <w:rsid w:val="00E45800"/>
    <w:rsid w:val="00E459C0"/>
    <w:rsid w:val="00E45A51"/>
    <w:rsid w:val="00E45E13"/>
    <w:rsid w:val="00E4602A"/>
    <w:rsid w:val="00E460AA"/>
    <w:rsid w:val="00E460BD"/>
    <w:rsid w:val="00E460CB"/>
    <w:rsid w:val="00E46381"/>
    <w:rsid w:val="00E46518"/>
    <w:rsid w:val="00E465D8"/>
    <w:rsid w:val="00E465E8"/>
    <w:rsid w:val="00E46713"/>
    <w:rsid w:val="00E46735"/>
    <w:rsid w:val="00E46796"/>
    <w:rsid w:val="00E467A6"/>
    <w:rsid w:val="00E46831"/>
    <w:rsid w:val="00E46C88"/>
    <w:rsid w:val="00E46C98"/>
    <w:rsid w:val="00E46CC3"/>
    <w:rsid w:val="00E46D8F"/>
    <w:rsid w:val="00E46DB3"/>
    <w:rsid w:val="00E46E05"/>
    <w:rsid w:val="00E46F4B"/>
    <w:rsid w:val="00E46F51"/>
    <w:rsid w:val="00E470DD"/>
    <w:rsid w:val="00E47128"/>
    <w:rsid w:val="00E472AE"/>
    <w:rsid w:val="00E4736D"/>
    <w:rsid w:val="00E473D7"/>
    <w:rsid w:val="00E473DA"/>
    <w:rsid w:val="00E475A6"/>
    <w:rsid w:val="00E4772F"/>
    <w:rsid w:val="00E47900"/>
    <w:rsid w:val="00E479BF"/>
    <w:rsid w:val="00E479C9"/>
    <w:rsid w:val="00E47DFD"/>
    <w:rsid w:val="00E47E53"/>
    <w:rsid w:val="00E47FAC"/>
    <w:rsid w:val="00E500E0"/>
    <w:rsid w:val="00E5038C"/>
    <w:rsid w:val="00E503B9"/>
    <w:rsid w:val="00E504A8"/>
    <w:rsid w:val="00E505C3"/>
    <w:rsid w:val="00E505E0"/>
    <w:rsid w:val="00E506B0"/>
    <w:rsid w:val="00E507BC"/>
    <w:rsid w:val="00E5098D"/>
    <w:rsid w:val="00E50CDA"/>
    <w:rsid w:val="00E50D8A"/>
    <w:rsid w:val="00E50ED4"/>
    <w:rsid w:val="00E50F44"/>
    <w:rsid w:val="00E5108B"/>
    <w:rsid w:val="00E51620"/>
    <w:rsid w:val="00E51630"/>
    <w:rsid w:val="00E51647"/>
    <w:rsid w:val="00E51C17"/>
    <w:rsid w:val="00E51C45"/>
    <w:rsid w:val="00E51F5B"/>
    <w:rsid w:val="00E5210B"/>
    <w:rsid w:val="00E5222A"/>
    <w:rsid w:val="00E52257"/>
    <w:rsid w:val="00E524DB"/>
    <w:rsid w:val="00E525F2"/>
    <w:rsid w:val="00E526A6"/>
    <w:rsid w:val="00E52BA2"/>
    <w:rsid w:val="00E52BCD"/>
    <w:rsid w:val="00E52EAF"/>
    <w:rsid w:val="00E5322C"/>
    <w:rsid w:val="00E53326"/>
    <w:rsid w:val="00E5347A"/>
    <w:rsid w:val="00E53499"/>
    <w:rsid w:val="00E53713"/>
    <w:rsid w:val="00E539E2"/>
    <w:rsid w:val="00E53BE9"/>
    <w:rsid w:val="00E53CEA"/>
    <w:rsid w:val="00E53D9D"/>
    <w:rsid w:val="00E53F04"/>
    <w:rsid w:val="00E53F1D"/>
    <w:rsid w:val="00E53F80"/>
    <w:rsid w:val="00E53FDC"/>
    <w:rsid w:val="00E54055"/>
    <w:rsid w:val="00E5407B"/>
    <w:rsid w:val="00E54275"/>
    <w:rsid w:val="00E5430E"/>
    <w:rsid w:val="00E543D7"/>
    <w:rsid w:val="00E54441"/>
    <w:rsid w:val="00E544A1"/>
    <w:rsid w:val="00E5456C"/>
    <w:rsid w:val="00E5457B"/>
    <w:rsid w:val="00E5459B"/>
    <w:rsid w:val="00E54810"/>
    <w:rsid w:val="00E5482B"/>
    <w:rsid w:val="00E54927"/>
    <w:rsid w:val="00E549DA"/>
    <w:rsid w:val="00E54B21"/>
    <w:rsid w:val="00E54DA5"/>
    <w:rsid w:val="00E54E7E"/>
    <w:rsid w:val="00E54EF1"/>
    <w:rsid w:val="00E54FC2"/>
    <w:rsid w:val="00E55007"/>
    <w:rsid w:val="00E55095"/>
    <w:rsid w:val="00E550F0"/>
    <w:rsid w:val="00E5519F"/>
    <w:rsid w:val="00E551A9"/>
    <w:rsid w:val="00E55344"/>
    <w:rsid w:val="00E55657"/>
    <w:rsid w:val="00E556BD"/>
    <w:rsid w:val="00E556D4"/>
    <w:rsid w:val="00E55798"/>
    <w:rsid w:val="00E55872"/>
    <w:rsid w:val="00E55943"/>
    <w:rsid w:val="00E559B6"/>
    <w:rsid w:val="00E559C5"/>
    <w:rsid w:val="00E55A58"/>
    <w:rsid w:val="00E55AC2"/>
    <w:rsid w:val="00E55BBB"/>
    <w:rsid w:val="00E55C71"/>
    <w:rsid w:val="00E55D20"/>
    <w:rsid w:val="00E55F25"/>
    <w:rsid w:val="00E55F49"/>
    <w:rsid w:val="00E55FC7"/>
    <w:rsid w:val="00E55FED"/>
    <w:rsid w:val="00E56057"/>
    <w:rsid w:val="00E56090"/>
    <w:rsid w:val="00E560A8"/>
    <w:rsid w:val="00E560F6"/>
    <w:rsid w:val="00E563AB"/>
    <w:rsid w:val="00E56542"/>
    <w:rsid w:val="00E566F6"/>
    <w:rsid w:val="00E56833"/>
    <w:rsid w:val="00E568BC"/>
    <w:rsid w:val="00E568F2"/>
    <w:rsid w:val="00E56ACF"/>
    <w:rsid w:val="00E56B48"/>
    <w:rsid w:val="00E56CA1"/>
    <w:rsid w:val="00E56E9E"/>
    <w:rsid w:val="00E56EDB"/>
    <w:rsid w:val="00E56F82"/>
    <w:rsid w:val="00E56FAE"/>
    <w:rsid w:val="00E571AE"/>
    <w:rsid w:val="00E572A5"/>
    <w:rsid w:val="00E572A9"/>
    <w:rsid w:val="00E57402"/>
    <w:rsid w:val="00E575E6"/>
    <w:rsid w:val="00E576FB"/>
    <w:rsid w:val="00E5784E"/>
    <w:rsid w:val="00E57871"/>
    <w:rsid w:val="00E5788C"/>
    <w:rsid w:val="00E57B4E"/>
    <w:rsid w:val="00E57B82"/>
    <w:rsid w:val="00E57BCF"/>
    <w:rsid w:val="00E57C50"/>
    <w:rsid w:val="00E57E33"/>
    <w:rsid w:val="00E60116"/>
    <w:rsid w:val="00E601B0"/>
    <w:rsid w:val="00E601B4"/>
    <w:rsid w:val="00E601C9"/>
    <w:rsid w:val="00E6021C"/>
    <w:rsid w:val="00E60360"/>
    <w:rsid w:val="00E60426"/>
    <w:rsid w:val="00E60451"/>
    <w:rsid w:val="00E6049B"/>
    <w:rsid w:val="00E605B2"/>
    <w:rsid w:val="00E607B3"/>
    <w:rsid w:val="00E60AB1"/>
    <w:rsid w:val="00E60C61"/>
    <w:rsid w:val="00E60CA0"/>
    <w:rsid w:val="00E60CDE"/>
    <w:rsid w:val="00E60EC5"/>
    <w:rsid w:val="00E60FC0"/>
    <w:rsid w:val="00E6102C"/>
    <w:rsid w:val="00E61276"/>
    <w:rsid w:val="00E612A6"/>
    <w:rsid w:val="00E61458"/>
    <w:rsid w:val="00E61691"/>
    <w:rsid w:val="00E616DC"/>
    <w:rsid w:val="00E617DA"/>
    <w:rsid w:val="00E618FE"/>
    <w:rsid w:val="00E61987"/>
    <w:rsid w:val="00E61990"/>
    <w:rsid w:val="00E61C10"/>
    <w:rsid w:val="00E61F9E"/>
    <w:rsid w:val="00E61FEC"/>
    <w:rsid w:val="00E620FF"/>
    <w:rsid w:val="00E62158"/>
    <w:rsid w:val="00E62185"/>
    <w:rsid w:val="00E622A3"/>
    <w:rsid w:val="00E62360"/>
    <w:rsid w:val="00E625C7"/>
    <w:rsid w:val="00E62632"/>
    <w:rsid w:val="00E626A5"/>
    <w:rsid w:val="00E626A7"/>
    <w:rsid w:val="00E62823"/>
    <w:rsid w:val="00E6294D"/>
    <w:rsid w:val="00E62ABE"/>
    <w:rsid w:val="00E62C4D"/>
    <w:rsid w:val="00E62F2A"/>
    <w:rsid w:val="00E630DD"/>
    <w:rsid w:val="00E6310A"/>
    <w:rsid w:val="00E6333C"/>
    <w:rsid w:val="00E6359E"/>
    <w:rsid w:val="00E63822"/>
    <w:rsid w:val="00E639F6"/>
    <w:rsid w:val="00E63D53"/>
    <w:rsid w:val="00E63EDC"/>
    <w:rsid w:val="00E63FA1"/>
    <w:rsid w:val="00E63FF2"/>
    <w:rsid w:val="00E63FF9"/>
    <w:rsid w:val="00E64089"/>
    <w:rsid w:val="00E6423C"/>
    <w:rsid w:val="00E64393"/>
    <w:rsid w:val="00E6452D"/>
    <w:rsid w:val="00E64702"/>
    <w:rsid w:val="00E6488F"/>
    <w:rsid w:val="00E649D8"/>
    <w:rsid w:val="00E64A0D"/>
    <w:rsid w:val="00E64A3C"/>
    <w:rsid w:val="00E64ACF"/>
    <w:rsid w:val="00E64CBC"/>
    <w:rsid w:val="00E64DB8"/>
    <w:rsid w:val="00E64E8C"/>
    <w:rsid w:val="00E64F02"/>
    <w:rsid w:val="00E64F89"/>
    <w:rsid w:val="00E650A8"/>
    <w:rsid w:val="00E65163"/>
    <w:rsid w:val="00E6575F"/>
    <w:rsid w:val="00E65765"/>
    <w:rsid w:val="00E65885"/>
    <w:rsid w:val="00E65947"/>
    <w:rsid w:val="00E65A8F"/>
    <w:rsid w:val="00E65B66"/>
    <w:rsid w:val="00E65BD0"/>
    <w:rsid w:val="00E65C0F"/>
    <w:rsid w:val="00E65C5A"/>
    <w:rsid w:val="00E65E02"/>
    <w:rsid w:val="00E65E6A"/>
    <w:rsid w:val="00E6601C"/>
    <w:rsid w:val="00E66225"/>
    <w:rsid w:val="00E6626E"/>
    <w:rsid w:val="00E66327"/>
    <w:rsid w:val="00E664BC"/>
    <w:rsid w:val="00E66707"/>
    <w:rsid w:val="00E667B6"/>
    <w:rsid w:val="00E6690B"/>
    <w:rsid w:val="00E66A27"/>
    <w:rsid w:val="00E66BF5"/>
    <w:rsid w:val="00E66C87"/>
    <w:rsid w:val="00E66E66"/>
    <w:rsid w:val="00E66EA1"/>
    <w:rsid w:val="00E66F5E"/>
    <w:rsid w:val="00E66F97"/>
    <w:rsid w:val="00E66FCE"/>
    <w:rsid w:val="00E670CF"/>
    <w:rsid w:val="00E6716F"/>
    <w:rsid w:val="00E67173"/>
    <w:rsid w:val="00E67449"/>
    <w:rsid w:val="00E67505"/>
    <w:rsid w:val="00E67651"/>
    <w:rsid w:val="00E6766C"/>
    <w:rsid w:val="00E67697"/>
    <w:rsid w:val="00E6771C"/>
    <w:rsid w:val="00E6772B"/>
    <w:rsid w:val="00E67857"/>
    <w:rsid w:val="00E6785F"/>
    <w:rsid w:val="00E678B4"/>
    <w:rsid w:val="00E678F6"/>
    <w:rsid w:val="00E67B19"/>
    <w:rsid w:val="00E67E07"/>
    <w:rsid w:val="00E67EE6"/>
    <w:rsid w:val="00E70164"/>
    <w:rsid w:val="00E7016D"/>
    <w:rsid w:val="00E70288"/>
    <w:rsid w:val="00E702A3"/>
    <w:rsid w:val="00E703C7"/>
    <w:rsid w:val="00E70489"/>
    <w:rsid w:val="00E70581"/>
    <w:rsid w:val="00E705D2"/>
    <w:rsid w:val="00E705D4"/>
    <w:rsid w:val="00E707E8"/>
    <w:rsid w:val="00E707FF"/>
    <w:rsid w:val="00E70953"/>
    <w:rsid w:val="00E7098E"/>
    <w:rsid w:val="00E70BD0"/>
    <w:rsid w:val="00E70BD8"/>
    <w:rsid w:val="00E70DB8"/>
    <w:rsid w:val="00E70E8F"/>
    <w:rsid w:val="00E70F2D"/>
    <w:rsid w:val="00E70F30"/>
    <w:rsid w:val="00E7110C"/>
    <w:rsid w:val="00E7116E"/>
    <w:rsid w:val="00E712B7"/>
    <w:rsid w:val="00E7139F"/>
    <w:rsid w:val="00E71402"/>
    <w:rsid w:val="00E7153F"/>
    <w:rsid w:val="00E7168E"/>
    <w:rsid w:val="00E7179F"/>
    <w:rsid w:val="00E717E4"/>
    <w:rsid w:val="00E71A73"/>
    <w:rsid w:val="00E71B7E"/>
    <w:rsid w:val="00E71CE5"/>
    <w:rsid w:val="00E71E87"/>
    <w:rsid w:val="00E71F6C"/>
    <w:rsid w:val="00E71F75"/>
    <w:rsid w:val="00E71FD6"/>
    <w:rsid w:val="00E720B1"/>
    <w:rsid w:val="00E7212A"/>
    <w:rsid w:val="00E721E5"/>
    <w:rsid w:val="00E722D4"/>
    <w:rsid w:val="00E7231F"/>
    <w:rsid w:val="00E7236F"/>
    <w:rsid w:val="00E723A7"/>
    <w:rsid w:val="00E723E2"/>
    <w:rsid w:val="00E72543"/>
    <w:rsid w:val="00E72571"/>
    <w:rsid w:val="00E726B8"/>
    <w:rsid w:val="00E72742"/>
    <w:rsid w:val="00E727E7"/>
    <w:rsid w:val="00E728BD"/>
    <w:rsid w:val="00E72A42"/>
    <w:rsid w:val="00E72C38"/>
    <w:rsid w:val="00E72E93"/>
    <w:rsid w:val="00E7303E"/>
    <w:rsid w:val="00E7315F"/>
    <w:rsid w:val="00E734D3"/>
    <w:rsid w:val="00E734DC"/>
    <w:rsid w:val="00E735E0"/>
    <w:rsid w:val="00E735F5"/>
    <w:rsid w:val="00E7385C"/>
    <w:rsid w:val="00E73898"/>
    <w:rsid w:val="00E739F4"/>
    <w:rsid w:val="00E73A0A"/>
    <w:rsid w:val="00E73A66"/>
    <w:rsid w:val="00E73C93"/>
    <w:rsid w:val="00E73CDD"/>
    <w:rsid w:val="00E73D6E"/>
    <w:rsid w:val="00E73E12"/>
    <w:rsid w:val="00E73EE2"/>
    <w:rsid w:val="00E73F77"/>
    <w:rsid w:val="00E73F82"/>
    <w:rsid w:val="00E740F3"/>
    <w:rsid w:val="00E741C9"/>
    <w:rsid w:val="00E7427D"/>
    <w:rsid w:val="00E74A99"/>
    <w:rsid w:val="00E74C03"/>
    <w:rsid w:val="00E74D1D"/>
    <w:rsid w:val="00E74D9C"/>
    <w:rsid w:val="00E74FAA"/>
    <w:rsid w:val="00E750CC"/>
    <w:rsid w:val="00E750D9"/>
    <w:rsid w:val="00E751AB"/>
    <w:rsid w:val="00E75266"/>
    <w:rsid w:val="00E7534B"/>
    <w:rsid w:val="00E7536A"/>
    <w:rsid w:val="00E7586F"/>
    <w:rsid w:val="00E75A07"/>
    <w:rsid w:val="00E75DC1"/>
    <w:rsid w:val="00E75DEA"/>
    <w:rsid w:val="00E75ED3"/>
    <w:rsid w:val="00E761F3"/>
    <w:rsid w:val="00E7628B"/>
    <w:rsid w:val="00E762AA"/>
    <w:rsid w:val="00E762CB"/>
    <w:rsid w:val="00E76349"/>
    <w:rsid w:val="00E763B4"/>
    <w:rsid w:val="00E7644A"/>
    <w:rsid w:val="00E76502"/>
    <w:rsid w:val="00E76710"/>
    <w:rsid w:val="00E768AB"/>
    <w:rsid w:val="00E7694F"/>
    <w:rsid w:val="00E76BEC"/>
    <w:rsid w:val="00E76C44"/>
    <w:rsid w:val="00E76CA2"/>
    <w:rsid w:val="00E77048"/>
    <w:rsid w:val="00E7710F"/>
    <w:rsid w:val="00E771EC"/>
    <w:rsid w:val="00E7725D"/>
    <w:rsid w:val="00E7738A"/>
    <w:rsid w:val="00E77512"/>
    <w:rsid w:val="00E7776E"/>
    <w:rsid w:val="00E77935"/>
    <w:rsid w:val="00E779A4"/>
    <w:rsid w:val="00E77A59"/>
    <w:rsid w:val="00E77BDD"/>
    <w:rsid w:val="00E77C2A"/>
    <w:rsid w:val="00E77D1D"/>
    <w:rsid w:val="00E77D53"/>
    <w:rsid w:val="00E77DA5"/>
    <w:rsid w:val="00E80103"/>
    <w:rsid w:val="00E8020F"/>
    <w:rsid w:val="00E8021C"/>
    <w:rsid w:val="00E802CC"/>
    <w:rsid w:val="00E80346"/>
    <w:rsid w:val="00E80407"/>
    <w:rsid w:val="00E804EE"/>
    <w:rsid w:val="00E80527"/>
    <w:rsid w:val="00E80572"/>
    <w:rsid w:val="00E80622"/>
    <w:rsid w:val="00E80728"/>
    <w:rsid w:val="00E80758"/>
    <w:rsid w:val="00E80990"/>
    <w:rsid w:val="00E809CE"/>
    <w:rsid w:val="00E80B6B"/>
    <w:rsid w:val="00E80D0D"/>
    <w:rsid w:val="00E80DA6"/>
    <w:rsid w:val="00E810F0"/>
    <w:rsid w:val="00E81154"/>
    <w:rsid w:val="00E812B7"/>
    <w:rsid w:val="00E8148E"/>
    <w:rsid w:val="00E81579"/>
    <w:rsid w:val="00E8159A"/>
    <w:rsid w:val="00E815E7"/>
    <w:rsid w:val="00E8173E"/>
    <w:rsid w:val="00E81830"/>
    <w:rsid w:val="00E81A0E"/>
    <w:rsid w:val="00E81BC1"/>
    <w:rsid w:val="00E81E53"/>
    <w:rsid w:val="00E81F25"/>
    <w:rsid w:val="00E81FB4"/>
    <w:rsid w:val="00E822A0"/>
    <w:rsid w:val="00E824DA"/>
    <w:rsid w:val="00E825F7"/>
    <w:rsid w:val="00E826B4"/>
    <w:rsid w:val="00E8283A"/>
    <w:rsid w:val="00E8285B"/>
    <w:rsid w:val="00E82881"/>
    <w:rsid w:val="00E828AC"/>
    <w:rsid w:val="00E828D4"/>
    <w:rsid w:val="00E8296A"/>
    <w:rsid w:val="00E8299A"/>
    <w:rsid w:val="00E82CFA"/>
    <w:rsid w:val="00E82D23"/>
    <w:rsid w:val="00E82DDF"/>
    <w:rsid w:val="00E82EC4"/>
    <w:rsid w:val="00E8305C"/>
    <w:rsid w:val="00E830C7"/>
    <w:rsid w:val="00E83206"/>
    <w:rsid w:val="00E832BC"/>
    <w:rsid w:val="00E8335D"/>
    <w:rsid w:val="00E83397"/>
    <w:rsid w:val="00E833B3"/>
    <w:rsid w:val="00E833EB"/>
    <w:rsid w:val="00E834E6"/>
    <w:rsid w:val="00E8358A"/>
    <w:rsid w:val="00E83604"/>
    <w:rsid w:val="00E8368A"/>
    <w:rsid w:val="00E83957"/>
    <w:rsid w:val="00E83B14"/>
    <w:rsid w:val="00E83B32"/>
    <w:rsid w:val="00E83D2E"/>
    <w:rsid w:val="00E83D3F"/>
    <w:rsid w:val="00E83DF2"/>
    <w:rsid w:val="00E83E7B"/>
    <w:rsid w:val="00E841AD"/>
    <w:rsid w:val="00E842D9"/>
    <w:rsid w:val="00E8447E"/>
    <w:rsid w:val="00E844DF"/>
    <w:rsid w:val="00E84548"/>
    <w:rsid w:val="00E8461D"/>
    <w:rsid w:val="00E84754"/>
    <w:rsid w:val="00E849E3"/>
    <w:rsid w:val="00E849EB"/>
    <w:rsid w:val="00E84A5D"/>
    <w:rsid w:val="00E84B07"/>
    <w:rsid w:val="00E84D19"/>
    <w:rsid w:val="00E84D1F"/>
    <w:rsid w:val="00E84DDF"/>
    <w:rsid w:val="00E84E71"/>
    <w:rsid w:val="00E84FE2"/>
    <w:rsid w:val="00E85034"/>
    <w:rsid w:val="00E85080"/>
    <w:rsid w:val="00E850BE"/>
    <w:rsid w:val="00E85151"/>
    <w:rsid w:val="00E8524A"/>
    <w:rsid w:val="00E8532C"/>
    <w:rsid w:val="00E8537D"/>
    <w:rsid w:val="00E853E1"/>
    <w:rsid w:val="00E8554B"/>
    <w:rsid w:val="00E85691"/>
    <w:rsid w:val="00E859E7"/>
    <w:rsid w:val="00E85CCB"/>
    <w:rsid w:val="00E85E43"/>
    <w:rsid w:val="00E85EAC"/>
    <w:rsid w:val="00E85EAD"/>
    <w:rsid w:val="00E85EEC"/>
    <w:rsid w:val="00E86016"/>
    <w:rsid w:val="00E862A6"/>
    <w:rsid w:val="00E862CF"/>
    <w:rsid w:val="00E86303"/>
    <w:rsid w:val="00E8651B"/>
    <w:rsid w:val="00E86758"/>
    <w:rsid w:val="00E867FC"/>
    <w:rsid w:val="00E8681E"/>
    <w:rsid w:val="00E869CC"/>
    <w:rsid w:val="00E86C11"/>
    <w:rsid w:val="00E86F6B"/>
    <w:rsid w:val="00E8728F"/>
    <w:rsid w:val="00E87703"/>
    <w:rsid w:val="00E878FB"/>
    <w:rsid w:val="00E87A11"/>
    <w:rsid w:val="00E87C07"/>
    <w:rsid w:val="00E87C5B"/>
    <w:rsid w:val="00E87D9F"/>
    <w:rsid w:val="00E87EE0"/>
    <w:rsid w:val="00E87FB1"/>
    <w:rsid w:val="00E90192"/>
    <w:rsid w:val="00E901DB"/>
    <w:rsid w:val="00E90309"/>
    <w:rsid w:val="00E903DE"/>
    <w:rsid w:val="00E904B0"/>
    <w:rsid w:val="00E9058A"/>
    <w:rsid w:val="00E905FD"/>
    <w:rsid w:val="00E9062B"/>
    <w:rsid w:val="00E909AB"/>
    <w:rsid w:val="00E90B68"/>
    <w:rsid w:val="00E90BB3"/>
    <w:rsid w:val="00E90C28"/>
    <w:rsid w:val="00E90F5B"/>
    <w:rsid w:val="00E90F8A"/>
    <w:rsid w:val="00E9117F"/>
    <w:rsid w:val="00E9118D"/>
    <w:rsid w:val="00E91320"/>
    <w:rsid w:val="00E91387"/>
    <w:rsid w:val="00E91398"/>
    <w:rsid w:val="00E9142C"/>
    <w:rsid w:val="00E9151F"/>
    <w:rsid w:val="00E9157B"/>
    <w:rsid w:val="00E91834"/>
    <w:rsid w:val="00E918DD"/>
    <w:rsid w:val="00E918F6"/>
    <w:rsid w:val="00E9198E"/>
    <w:rsid w:val="00E919BC"/>
    <w:rsid w:val="00E91AAD"/>
    <w:rsid w:val="00E91B88"/>
    <w:rsid w:val="00E91D5D"/>
    <w:rsid w:val="00E91EA6"/>
    <w:rsid w:val="00E920F7"/>
    <w:rsid w:val="00E92358"/>
    <w:rsid w:val="00E9237C"/>
    <w:rsid w:val="00E9238D"/>
    <w:rsid w:val="00E92394"/>
    <w:rsid w:val="00E92642"/>
    <w:rsid w:val="00E92666"/>
    <w:rsid w:val="00E92686"/>
    <w:rsid w:val="00E928DF"/>
    <w:rsid w:val="00E9298D"/>
    <w:rsid w:val="00E92BE5"/>
    <w:rsid w:val="00E92C2A"/>
    <w:rsid w:val="00E92D5C"/>
    <w:rsid w:val="00E92F6A"/>
    <w:rsid w:val="00E92F9A"/>
    <w:rsid w:val="00E930D0"/>
    <w:rsid w:val="00E932E5"/>
    <w:rsid w:val="00E9350A"/>
    <w:rsid w:val="00E935B8"/>
    <w:rsid w:val="00E93618"/>
    <w:rsid w:val="00E9374C"/>
    <w:rsid w:val="00E93757"/>
    <w:rsid w:val="00E939A5"/>
    <w:rsid w:val="00E939AE"/>
    <w:rsid w:val="00E93ABB"/>
    <w:rsid w:val="00E93AF6"/>
    <w:rsid w:val="00E93DC9"/>
    <w:rsid w:val="00E93E72"/>
    <w:rsid w:val="00E94081"/>
    <w:rsid w:val="00E941DF"/>
    <w:rsid w:val="00E943E9"/>
    <w:rsid w:val="00E94534"/>
    <w:rsid w:val="00E9455C"/>
    <w:rsid w:val="00E945C7"/>
    <w:rsid w:val="00E9460E"/>
    <w:rsid w:val="00E946B9"/>
    <w:rsid w:val="00E94A22"/>
    <w:rsid w:val="00E94A5A"/>
    <w:rsid w:val="00E94ABD"/>
    <w:rsid w:val="00E94ADE"/>
    <w:rsid w:val="00E94B57"/>
    <w:rsid w:val="00E95077"/>
    <w:rsid w:val="00E9509C"/>
    <w:rsid w:val="00E9510C"/>
    <w:rsid w:val="00E9513E"/>
    <w:rsid w:val="00E9518A"/>
    <w:rsid w:val="00E95221"/>
    <w:rsid w:val="00E953BB"/>
    <w:rsid w:val="00E9548C"/>
    <w:rsid w:val="00E9554C"/>
    <w:rsid w:val="00E95594"/>
    <w:rsid w:val="00E9567B"/>
    <w:rsid w:val="00E9579C"/>
    <w:rsid w:val="00E9593E"/>
    <w:rsid w:val="00E95993"/>
    <w:rsid w:val="00E95BED"/>
    <w:rsid w:val="00E95D42"/>
    <w:rsid w:val="00E95D59"/>
    <w:rsid w:val="00E95DBD"/>
    <w:rsid w:val="00E95EC5"/>
    <w:rsid w:val="00E95F1D"/>
    <w:rsid w:val="00E95F5D"/>
    <w:rsid w:val="00E9602E"/>
    <w:rsid w:val="00E96207"/>
    <w:rsid w:val="00E962D8"/>
    <w:rsid w:val="00E96444"/>
    <w:rsid w:val="00E96558"/>
    <w:rsid w:val="00E965CF"/>
    <w:rsid w:val="00E96678"/>
    <w:rsid w:val="00E967F2"/>
    <w:rsid w:val="00E96896"/>
    <w:rsid w:val="00E96B12"/>
    <w:rsid w:val="00E96B5D"/>
    <w:rsid w:val="00E96B9E"/>
    <w:rsid w:val="00E96E11"/>
    <w:rsid w:val="00E971B3"/>
    <w:rsid w:val="00E971CD"/>
    <w:rsid w:val="00E972FA"/>
    <w:rsid w:val="00E974BE"/>
    <w:rsid w:val="00E9759C"/>
    <w:rsid w:val="00E9763F"/>
    <w:rsid w:val="00E97A94"/>
    <w:rsid w:val="00E97BCB"/>
    <w:rsid w:val="00E97CF4"/>
    <w:rsid w:val="00E97F66"/>
    <w:rsid w:val="00E97F8B"/>
    <w:rsid w:val="00E97FB0"/>
    <w:rsid w:val="00EA03C7"/>
    <w:rsid w:val="00EA05AC"/>
    <w:rsid w:val="00EA05E1"/>
    <w:rsid w:val="00EA09AE"/>
    <w:rsid w:val="00EA09F8"/>
    <w:rsid w:val="00EA09FF"/>
    <w:rsid w:val="00EA0A71"/>
    <w:rsid w:val="00EA0B69"/>
    <w:rsid w:val="00EA0F0F"/>
    <w:rsid w:val="00EA1046"/>
    <w:rsid w:val="00EA109B"/>
    <w:rsid w:val="00EA1220"/>
    <w:rsid w:val="00EA12DC"/>
    <w:rsid w:val="00EA138B"/>
    <w:rsid w:val="00EA140A"/>
    <w:rsid w:val="00EA1765"/>
    <w:rsid w:val="00EA1A47"/>
    <w:rsid w:val="00EA1BF5"/>
    <w:rsid w:val="00EA1DFD"/>
    <w:rsid w:val="00EA2053"/>
    <w:rsid w:val="00EA22E3"/>
    <w:rsid w:val="00EA25C6"/>
    <w:rsid w:val="00EA29C3"/>
    <w:rsid w:val="00EA29CE"/>
    <w:rsid w:val="00EA2B19"/>
    <w:rsid w:val="00EA2BF0"/>
    <w:rsid w:val="00EA2D4C"/>
    <w:rsid w:val="00EA2E52"/>
    <w:rsid w:val="00EA3000"/>
    <w:rsid w:val="00EA30EA"/>
    <w:rsid w:val="00EA3214"/>
    <w:rsid w:val="00EA32D9"/>
    <w:rsid w:val="00EA33BD"/>
    <w:rsid w:val="00EA3453"/>
    <w:rsid w:val="00EA36DC"/>
    <w:rsid w:val="00EA370D"/>
    <w:rsid w:val="00EA3755"/>
    <w:rsid w:val="00EA3795"/>
    <w:rsid w:val="00EA39B1"/>
    <w:rsid w:val="00EA3AA7"/>
    <w:rsid w:val="00EA3AC8"/>
    <w:rsid w:val="00EA3B33"/>
    <w:rsid w:val="00EA40CD"/>
    <w:rsid w:val="00EA41BF"/>
    <w:rsid w:val="00EA4212"/>
    <w:rsid w:val="00EA4285"/>
    <w:rsid w:val="00EA4445"/>
    <w:rsid w:val="00EA4484"/>
    <w:rsid w:val="00EA4493"/>
    <w:rsid w:val="00EA4762"/>
    <w:rsid w:val="00EA47A6"/>
    <w:rsid w:val="00EA48E7"/>
    <w:rsid w:val="00EA4A4B"/>
    <w:rsid w:val="00EA4BD5"/>
    <w:rsid w:val="00EA4C3D"/>
    <w:rsid w:val="00EA4CE9"/>
    <w:rsid w:val="00EA4D10"/>
    <w:rsid w:val="00EA4D3B"/>
    <w:rsid w:val="00EA4D4E"/>
    <w:rsid w:val="00EA4E2E"/>
    <w:rsid w:val="00EA543F"/>
    <w:rsid w:val="00EA5572"/>
    <w:rsid w:val="00EA583B"/>
    <w:rsid w:val="00EA58C7"/>
    <w:rsid w:val="00EA58DB"/>
    <w:rsid w:val="00EA5946"/>
    <w:rsid w:val="00EA5A6D"/>
    <w:rsid w:val="00EA5CE5"/>
    <w:rsid w:val="00EA5DBB"/>
    <w:rsid w:val="00EA5EDE"/>
    <w:rsid w:val="00EA5F54"/>
    <w:rsid w:val="00EA6035"/>
    <w:rsid w:val="00EA60A0"/>
    <w:rsid w:val="00EA6299"/>
    <w:rsid w:val="00EA6380"/>
    <w:rsid w:val="00EA651F"/>
    <w:rsid w:val="00EA66B8"/>
    <w:rsid w:val="00EA67B5"/>
    <w:rsid w:val="00EA6852"/>
    <w:rsid w:val="00EA69E0"/>
    <w:rsid w:val="00EA6A08"/>
    <w:rsid w:val="00EA6A1D"/>
    <w:rsid w:val="00EA6AB4"/>
    <w:rsid w:val="00EA6B05"/>
    <w:rsid w:val="00EA6B23"/>
    <w:rsid w:val="00EA6BC0"/>
    <w:rsid w:val="00EA6C89"/>
    <w:rsid w:val="00EA6D3C"/>
    <w:rsid w:val="00EA6F7E"/>
    <w:rsid w:val="00EA6F92"/>
    <w:rsid w:val="00EA6FF1"/>
    <w:rsid w:val="00EA704C"/>
    <w:rsid w:val="00EA79D8"/>
    <w:rsid w:val="00EA7A0A"/>
    <w:rsid w:val="00EA7AB8"/>
    <w:rsid w:val="00EA7ABB"/>
    <w:rsid w:val="00EA7AFE"/>
    <w:rsid w:val="00EA7B45"/>
    <w:rsid w:val="00EA7B5E"/>
    <w:rsid w:val="00EA7BEA"/>
    <w:rsid w:val="00EA7DDF"/>
    <w:rsid w:val="00EA7E06"/>
    <w:rsid w:val="00EA7EB4"/>
    <w:rsid w:val="00EB010D"/>
    <w:rsid w:val="00EB016C"/>
    <w:rsid w:val="00EB02F7"/>
    <w:rsid w:val="00EB038D"/>
    <w:rsid w:val="00EB043E"/>
    <w:rsid w:val="00EB04C0"/>
    <w:rsid w:val="00EB0529"/>
    <w:rsid w:val="00EB0640"/>
    <w:rsid w:val="00EB0790"/>
    <w:rsid w:val="00EB0804"/>
    <w:rsid w:val="00EB0944"/>
    <w:rsid w:val="00EB0A3D"/>
    <w:rsid w:val="00EB0A60"/>
    <w:rsid w:val="00EB0AB1"/>
    <w:rsid w:val="00EB0C0B"/>
    <w:rsid w:val="00EB0C80"/>
    <w:rsid w:val="00EB0C83"/>
    <w:rsid w:val="00EB0E0C"/>
    <w:rsid w:val="00EB0E21"/>
    <w:rsid w:val="00EB0EA5"/>
    <w:rsid w:val="00EB0F47"/>
    <w:rsid w:val="00EB106B"/>
    <w:rsid w:val="00EB1264"/>
    <w:rsid w:val="00EB139F"/>
    <w:rsid w:val="00EB14B6"/>
    <w:rsid w:val="00EB153F"/>
    <w:rsid w:val="00EB16A8"/>
    <w:rsid w:val="00EB16FF"/>
    <w:rsid w:val="00EB1894"/>
    <w:rsid w:val="00EB18CA"/>
    <w:rsid w:val="00EB198D"/>
    <w:rsid w:val="00EB1B86"/>
    <w:rsid w:val="00EB1C58"/>
    <w:rsid w:val="00EB1DAE"/>
    <w:rsid w:val="00EB1DC3"/>
    <w:rsid w:val="00EB1E45"/>
    <w:rsid w:val="00EB1E74"/>
    <w:rsid w:val="00EB20D7"/>
    <w:rsid w:val="00EB2305"/>
    <w:rsid w:val="00EB2412"/>
    <w:rsid w:val="00EB244F"/>
    <w:rsid w:val="00EB248F"/>
    <w:rsid w:val="00EB26C6"/>
    <w:rsid w:val="00EB26F5"/>
    <w:rsid w:val="00EB2756"/>
    <w:rsid w:val="00EB2900"/>
    <w:rsid w:val="00EB2A19"/>
    <w:rsid w:val="00EB2AC6"/>
    <w:rsid w:val="00EB2AC7"/>
    <w:rsid w:val="00EB2CBA"/>
    <w:rsid w:val="00EB2D58"/>
    <w:rsid w:val="00EB2FE7"/>
    <w:rsid w:val="00EB36BD"/>
    <w:rsid w:val="00EB37C5"/>
    <w:rsid w:val="00EB383A"/>
    <w:rsid w:val="00EB38F3"/>
    <w:rsid w:val="00EB39D2"/>
    <w:rsid w:val="00EB3A03"/>
    <w:rsid w:val="00EB3A5E"/>
    <w:rsid w:val="00EB3B8A"/>
    <w:rsid w:val="00EB3C7F"/>
    <w:rsid w:val="00EB3E74"/>
    <w:rsid w:val="00EB3E87"/>
    <w:rsid w:val="00EB3FF8"/>
    <w:rsid w:val="00EB412A"/>
    <w:rsid w:val="00EB413F"/>
    <w:rsid w:val="00EB4193"/>
    <w:rsid w:val="00EB42EE"/>
    <w:rsid w:val="00EB43B1"/>
    <w:rsid w:val="00EB4453"/>
    <w:rsid w:val="00EB453F"/>
    <w:rsid w:val="00EB45A8"/>
    <w:rsid w:val="00EB45EB"/>
    <w:rsid w:val="00EB45F1"/>
    <w:rsid w:val="00EB46CE"/>
    <w:rsid w:val="00EB4749"/>
    <w:rsid w:val="00EB4822"/>
    <w:rsid w:val="00EB4875"/>
    <w:rsid w:val="00EB4A8C"/>
    <w:rsid w:val="00EB4AAC"/>
    <w:rsid w:val="00EB4C4E"/>
    <w:rsid w:val="00EB4D79"/>
    <w:rsid w:val="00EB4EE2"/>
    <w:rsid w:val="00EB50F7"/>
    <w:rsid w:val="00EB5165"/>
    <w:rsid w:val="00EB5188"/>
    <w:rsid w:val="00EB521B"/>
    <w:rsid w:val="00EB550E"/>
    <w:rsid w:val="00EB58C1"/>
    <w:rsid w:val="00EB5A3F"/>
    <w:rsid w:val="00EB5A56"/>
    <w:rsid w:val="00EB5B38"/>
    <w:rsid w:val="00EB5B72"/>
    <w:rsid w:val="00EB5D8C"/>
    <w:rsid w:val="00EB60FD"/>
    <w:rsid w:val="00EB61AA"/>
    <w:rsid w:val="00EB6273"/>
    <w:rsid w:val="00EB6294"/>
    <w:rsid w:val="00EB63F0"/>
    <w:rsid w:val="00EB6464"/>
    <w:rsid w:val="00EB64FF"/>
    <w:rsid w:val="00EB652E"/>
    <w:rsid w:val="00EB6533"/>
    <w:rsid w:val="00EB669C"/>
    <w:rsid w:val="00EB6744"/>
    <w:rsid w:val="00EB6838"/>
    <w:rsid w:val="00EB69C6"/>
    <w:rsid w:val="00EB6A4B"/>
    <w:rsid w:val="00EB6BA9"/>
    <w:rsid w:val="00EB6C16"/>
    <w:rsid w:val="00EB6DE7"/>
    <w:rsid w:val="00EB6E23"/>
    <w:rsid w:val="00EB6EA4"/>
    <w:rsid w:val="00EB6FC0"/>
    <w:rsid w:val="00EB7043"/>
    <w:rsid w:val="00EB71D2"/>
    <w:rsid w:val="00EB7329"/>
    <w:rsid w:val="00EB73CB"/>
    <w:rsid w:val="00EB7631"/>
    <w:rsid w:val="00EB777C"/>
    <w:rsid w:val="00EB7835"/>
    <w:rsid w:val="00EB7879"/>
    <w:rsid w:val="00EB78DA"/>
    <w:rsid w:val="00EB78E3"/>
    <w:rsid w:val="00EB796F"/>
    <w:rsid w:val="00EB7B14"/>
    <w:rsid w:val="00EB7B26"/>
    <w:rsid w:val="00EB7CFD"/>
    <w:rsid w:val="00EB7DD4"/>
    <w:rsid w:val="00EB7F43"/>
    <w:rsid w:val="00EB7FCA"/>
    <w:rsid w:val="00EC0047"/>
    <w:rsid w:val="00EC0074"/>
    <w:rsid w:val="00EC03ED"/>
    <w:rsid w:val="00EC04D6"/>
    <w:rsid w:val="00EC061B"/>
    <w:rsid w:val="00EC081E"/>
    <w:rsid w:val="00EC0889"/>
    <w:rsid w:val="00EC0927"/>
    <w:rsid w:val="00EC0C06"/>
    <w:rsid w:val="00EC0DB9"/>
    <w:rsid w:val="00EC0E2E"/>
    <w:rsid w:val="00EC1098"/>
    <w:rsid w:val="00EC11A3"/>
    <w:rsid w:val="00EC11ED"/>
    <w:rsid w:val="00EC1252"/>
    <w:rsid w:val="00EC13FD"/>
    <w:rsid w:val="00EC143F"/>
    <w:rsid w:val="00EC1510"/>
    <w:rsid w:val="00EC1559"/>
    <w:rsid w:val="00EC15C5"/>
    <w:rsid w:val="00EC15CB"/>
    <w:rsid w:val="00EC18C6"/>
    <w:rsid w:val="00EC1AC4"/>
    <w:rsid w:val="00EC1BBE"/>
    <w:rsid w:val="00EC1CA0"/>
    <w:rsid w:val="00EC1CB2"/>
    <w:rsid w:val="00EC1E13"/>
    <w:rsid w:val="00EC1E98"/>
    <w:rsid w:val="00EC1F13"/>
    <w:rsid w:val="00EC1F32"/>
    <w:rsid w:val="00EC21B7"/>
    <w:rsid w:val="00EC22AC"/>
    <w:rsid w:val="00EC22C8"/>
    <w:rsid w:val="00EC23BB"/>
    <w:rsid w:val="00EC2463"/>
    <w:rsid w:val="00EC2515"/>
    <w:rsid w:val="00EC265E"/>
    <w:rsid w:val="00EC26EF"/>
    <w:rsid w:val="00EC2750"/>
    <w:rsid w:val="00EC27AD"/>
    <w:rsid w:val="00EC28E2"/>
    <w:rsid w:val="00EC2985"/>
    <w:rsid w:val="00EC2C50"/>
    <w:rsid w:val="00EC2C5C"/>
    <w:rsid w:val="00EC2D7F"/>
    <w:rsid w:val="00EC2DB2"/>
    <w:rsid w:val="00EC305D"/>
    <w:rsid w:val="00EC3265"/>
    <w:rsid w:val="00EC32AE"/>
    <w:rsid w:val="00EC32B2"/>
    <w:rsid w:val="00EC331F"/>
    <w:rsid w:val="00EC3395"/>
    <w:rsid w:val="00EC3437"/>
    <w:rsid w:val="00EC34A2"/>
    <w:rsid w:val="00EC375B"/>
    <w:rsid w:val="00EC37D0"/>
    <w:rsid w:val="00EC3802"/>
    <w:rsid w:val="00EC3A47"/>
    <w:rsid w:val="00EC3C07"/>
    <w:rsid w:val="00EC3C12"/>
    <w:rsid w:val="00EC3C87"/>
    <w:rsid w:val="00EC3CBD"/>
    <w:rsid w:val="00EC3FA2"/>
    <w:rsid w:val="00EC3FCD"/>
    <w:rsid w:val="00EC42CE"/>
    <w:rsid w:val="00EC42FD"/>
    <w:rsid w:val="00EC430D"/>
    <w:rsid w:val="00EC43C7"/>
    <w:rsid w:val="00EC4597"/>
    <w:rsid w:val="00EC4611"/>
    <w:rsid w:val="00EC46B7"/>
    <w:rsid w:val="00EC470A"/>
    <w:rsid w:val="00EC4786"/>
    <w:rsid w:val="00EC47CF"/>
    <w:rsid w:val="00EC4855"/>
    <w:rsid w:val="00EC4974"/>
    <w:rsid w:val="00EC4B19"/>
    <w:rsid w:val="00EC4B37"/>
    <w:rsid w:val="00EC4CB4"/>
    <w:rsid w:val="00EC4D2F"/>
    <w:rsid w:val="00EC4DBA"/>
    <w:rsid w:val="00EC4E13"/>
    <w:rsid w:val="00EC4E3C"/>
    <w:rsid w:val="00EC4EF8"/>
    <w:rsid w:val="00EC4FE3"/>
    <w:rsid w:val="00EC5274"/>
    <w:rsid w:val="00EC53E2"/>
    <w:rsid w:val="00EC543D"/>
    <w:rsid w:val="00EC54BC"/>
    <w:rsid w:val="00EC555C"/>
    <w:rsid w:val="00EC564D"/>
    <w:rsid w:val="00EC568D"/>
    <w:rsid w:val="00EC569C"/>
    <w:rsid w:val="00EC574E"/>
    <w:rsid w:val="00EC5982"/>
    <w:rsid w:val="00EC5E93"/>
    <w:rsid w:val="00EC6433"/>
    <w:rsid w:val="00EC663E"/>
    <w:rsid w:val="00EC6644"/>
    <w:rsid w:val="00EC6690"/>
    <w:rsid w:val="00EC67AF"/>
    <w:rsid w:val="00EC67FF"/>
    <w:rsid w:val="00EC6870"/>
    <w:rsid w:val="00EC6880"/>
    <w:rsid w:val="00EC6967"/>
    <w:rsid w:val="00EC69BE"/>
    <w:rsid w:val="00EC6A08"/>
    <w:rsid w:val="00EC6A48"/>
    <w:rsid w:val="00EC6CFE"/>
    <w:rsid w:val="00EC6EE6"/>
    <w:rsid w:val="00EC7117"/>
    <w:rsid w:val="00EC736B"/>
    <w:rsid w:val="00EC73CA"/>
    <w:rsid w:val="00EC745A"/>
    <w:rsid w:val="00EC7473"/>
    <w:rsid w:val="00EC74DF"/>
    <w:rsid w:val="00EC74F6"/>
    <w:rsid w:val="00EC767C"/>
    <w:rsid w:val="00EC77E4"/>
    <w:rsid w:val="00EC7840"/>
    <w:rsid w:val="00EC7915"/>
    <w:rsid w:val="00EC793E"/>
    <w:rsid w:val="00EC7B3F"/>
    <w:rsid w:val="00EC7BBA"/>
    <w:rsid w:val="00EC7C4B"/>
    <w:rsid w:val="00EC7C4D"/>
    <w:rsid w:val="00EC7D2F"/>
    <w:rsid w:val="00EC7E15"/>
    <w:rsid w:val="00EC7E28"/>
    <w:rsid w:val="00EC7FBD"/>
    <w:rsid w:val="00ED01FD"/>
    <w:rsid w:val="00ED04B8"/>
    <w:rsid w:val="00ED0535"/>
    <w:rsid w:val="00ED07FF"/>
    <w:rsid w:val="00ED09B1"/>
    <w:rsid w:val="00ED0B91"/>
    <w:rsid w:val="00ED0E23"/>
    <w:rsid w:val="00ED0E58"/>
    <w:rsid w:val="00ED101C"/>
    <w:rsid w:val="00ED102F"/>
    <w:rsid w:val="00ED10EA"/>
    <w:rsid w:val="00ED1100"/>
    <w:rsid w:val="00ED1439"/>
    <w:rsid w:val="00ED14EC"/>
    <w:rsid w:val="00ED1563"/>
    <w:rsid w:val="00ED16DE"/>
    <w:rsid w:val="00ED1AB0"/>
    <w:rsid w:val="00ED1B8E"/>
    <w:rsid w:val="00ED1E42"/>
    <w:rsid w:val="00ED1F68"/>
    <w:rsid w:val="00ED1FBC"/>
    <w:rsid w:val="00ED1FDA"/>
    <w:rsid w:val="00ED1FDC"/>
    <w:rsid w:val="00ED1FDD"/>
    <w:rsid w:val="00ED2041"/>
    <w:rsid w:val="00ED216F"/>
    <w:rsid w:val="00ED2206"/>
    <w:rsid w:val="00ED228C"/>
    <w:rsid w:val="00ED2398"/>
    <w:rsid w:val="00ED23EA"/>
    <w:rsid w:val="00ED23F8"/>
    <w:rsid w:val="00ED2442"/>
    <w:rsid w:val="00ED2452"/>
    <w:rsid w:val="00ED2486"/>
    <w:rsid w:val="00ED248B"/>
    <w:rsid w:val="00ED25A7"/>
    <w:rsid w:val="00ED2827"/>
    <w:rsid w:val="00ED288F"/>
    <w:rsid w:val="00ED2D09"/>
    <w:rsid w:val="00ED2D59"/>
    <w:rsid w:val="00ED2E95"/>
    <w:rsid w:val="00ED2ED0"/>
    <w:rsid w:val="00ED2F7B"/>
    <w:rsid w:val="00ED3016"/>
    <w:rsid w:val="00ED30B4"/>
    <w:rsid w:val="00ED3103"/>
    <w:rsid w:val="00ED3333"/>
    <w:rsid w:val="00ED3497"/>
    <w:rsid w:val="00ED34CC"/>
    <w:rsid w:val="00ED34E8"/>
    <w:rsid w:val="00ED3685"/>
    <w:rsid w:val="00ED3750"/>
    <w:rsid w:val="00ED3918"/>
    <w:rsid w:val="00ED3973"/>
    <w:rsid w:val="00ED3C53"/>
    <w:rsid w:val="00ED3C54"/>
    <w:rsid w:val="00ED3CB5"/>
    <w:rsid w:val="00ED3F80"/>
    <w:rsid w:val="00ED427B"/>
    <w:rsid w:val="00ED4373"/>
    <w:rsid w:val="00ED4463"/>
    <w:rsid w:val="00ED450D"/>
    <w:rsid w:val="00ED45C8"/>
    <w:rsid w:val="00ED461A"/>
    <w:rsid w:val="00ED46C6"/>
    <w:rsid w:val="00ED474A"/>
    <w:rsid w:val="00ED477B"/>
    <w:rsid w:val="00ED4B52"/>
    <w:rsid w:val="00ED4D1C"/>
    <w:rsid w:val="00ED4D28"/>
    <w:rsid w:val="00ED4D5E"/>
    <w:rsid w:val="00ED4ED1"/>
    <w:rsid w:val="00ED4F05"/>
    <w:rsid w:val="00ED5248"/>
    <w:rsid w:val="00ED5369"/>
    <w:rsid w:val="00ED5489"/>
    <w:rsid w:val="00ED5770"/>
    <w:rsid w:val="00ED5797"/>
    <w:rsid w:val="00ED5833"/>
    <w:rsid w:val="00ED58E1"/>
    <w:rsid w:val="00ED5947"/>
    <w:rsid w:val="00ED595B"/>
    <w:rsid w:val="00ED59D2"/>
    <w:rsid w:val="00ED5E8B"/>
    <w:rsid w:val="00ED6464"/>
    <w:rsid w:val="00ED6608"/>
    <w:rsid w:val="00ED6625"/>
    <w:rsid w:val="00ED666B"/>
    <w:rsid w:val="00ED6681"/>
    <w:rsid w:val="00ED6730"/>
    <w:rsid w:val="00ED6797"/>
    <w:rsid w:val="00ED68B9"/>
    <w:rsid w:val="00ED69FC"/>
    <w:rsid w:val="00ED6ACA"/>
    <w:rsid w:val="00ED6B69"/>
    <w:rsid w:val="00ED6B90"/>
    <w:rsid w:val="00ED702A"/>
    <w:rsid w:val="00ED7092"/>
    <w:rsid w:val="00ED72A3"/>
    <w:rsid w:val="00ED74AC"/>
    <w:rsid w:val="00ED7590"/>
    <w:rsid w:val="00ED7754"/>
    <w:rsid w:val="00ED78C6"/>
    <w:rsid w:val="00ED791B"/>
    <w:rsid w:val="00ED7B27"/>
    <w:rsid w:val="00ED7C23"/>
    <w:rsid w:val="00ED7D74"/>
    <w:rsid w:val="00ED7EBF"/>
    <w:rsid w:val="00EE0095"/>
    <w:rsid w:val="00EE00C4"/>
    <w:rsid w:val="00EE0122"/>
    <w:rsid w:val="00EE0139"/>
    <w:rsid w:val="00EE01CF"/>
    <w:rsid w:val="00EE01F7"/>
    <w:rsid w:val="00EE03F0"/>
    <w:rsid w:val="00EE045E"/>
    <w:rsid w:val="00EE0465"/>
    <w:rsid w:val="00EE07EC"/>
    <w:rsid w:val="00EE09B5"/>
    <w:rsid w:val="00EE0B6D"/>
    <w:rsid w:val="00EE0CB2"/>
    <w:rsid w:val="00EE0D42"/>
    <w:rsid w:val="00EE0D89"/>
    <w:rsid w:val="00EE0E03"/>
    <w:rsid w:val="00EE0ED8"/>
    <w:rsid w:val="00EE0FCB"/>
    <w:rsid w:val="00EE0FD3"/>
    <w:rsid w:val="00EE115E"/>
    <w:rsid w:val="00EE11D9"/>
    <w:rsid w:val="00EE12E0"/>
    <w:rsid w:val="00EE136B"/>
    <w:rsid w:val="00EE1445"/>
    <w:rsid w:val="00EE148A"/>
    <w:rsid w:val="00EE1502"/>
    <w:rsid w:val="00EE1705"/>
    <w:rsid w:val="00EE1711"/>
    <w:rsid w:val="00EE1763"/>
    <w:rsid w:val="00EE17B9"/>
    <w:rsid w:val="00EE187A"/>
    <w:rsid w:val="00EE1A06"/>
    <w:rsid w:val="00EE1A19"/>
    <w:rsid w:val="00EE1A67"/>
    <w:rsid w:val="00EE1C83"/>
    <w:rsid w:val="00EE1C9D"/>
    <w:rsid w:val="00EE1CFD"/>
    <w:rsid w:val="00EE1DCE"/>
    <w:rsid w:val="00EE1FFF"/>
    <w:rsid w:val="00EE2023"/>
    <w:rsid w:val="00EE20CD"/>
    <w:rsid w:val="00EE20D1"/>
    <w:rsid w:val="00EE2133"/>
    <w:rsid w:val="00EE2174"/>
    <w:rsid w:val="00EE22AF"/>
    <w:rsid w:val="00EE22DF"/>
    <w:rsid w:val="00EE231C"/>
    <w:rsid w:val="00EE2326"/>
    <w:rsid w:val="00EE239C"/>
    <w:rsid w:val="00EE240A"/>
    <w:rsid w:val="00EE2454"/>
    <w:rsid w:val="00EE251D"/>
    <w:rsid w:val="00EE255B"/>
    <w:rsid w:val="00EE2A32"/>
    <w:rsid w:val="00EE2A93"/>
    <w:rsid w:val="00EE2AEF"/>
    <w:rsid w:val="00EE2B53"/>
    <w:rsid w:val="00EE2D81"/>
    <w:rsid w:val="00EE2E2A"/>
    <w:rsid w:val="00EE2E52"/>
    <w:rsid w:val="00EE3053"/>
    <w:rsid w:val="00EE30D1"/>
    <w:rsid w:val="00EE31B1"/>
    <w:rsid w:val="00EE3258"/>
    <w:rsid w:val="00EE32FA"/>
    <w:rsid w:val="00EE3428"/>
    <w:rsid w:val="00EE36A1"/>
    <w:rsid w:val="00EE370C"/>
    <w:rsid w:val="00EE381D"/>
    <w:rsid w:val="00EE397E"/>
    <w:rsid w:val="00EE3CEF"/>
    <w:rsid w:val="00EE3FCA"/>
    <w:rsid w:val="00EE4024"/>
    <w:rsid w:val="00EE42EB"/>
    <w:rsid w:val="00EE4322"/>
    <w:rsid w:val="00EE4344"/>
    <w:rsid w:val="00EE434F"/>
    <w:rsid w:val="00EE4382"/>
    <w:rsid w:val="00EE4498"/>
    <w:rsid w:val="00EE44FD"/>
    <w:rsid w:val="00EE46A3"/>
    <w:rsid w:val="00EE4825"/>
    <w:rsid w:val="00EE4875"/>
    <w:rsid w:val="00EE4B2A"/>
    <w:rsid w:val="00EE4C9F"/>
    <w:rsid w:val="00EE4CE7"/>
    <w:rsid w:val="00EE500A"/>
    <w:rsid w:val="00EE5051"/>
    <w:rsid w:val="00EE50D2"/>
    <w:rsid w:val="00EE5183"/>
    <w:rsid w:val="00EE5217"/>
    <w:rsid w:val="00EE524F"/>
    <w:rsid w:val="00EE533A"/>
    <w:rsid w:val="00EE5352"/>
    <w:rsid w:val="00EE546A"/>
    <w:rsid w:val="00EE553A"/>
    <w:rsid w:val="00EE5552"/>
    <w:rsid w:val="00EE5584"/>
    <w:rsid w:val="00EE55C1"/>
    <w:rsid w:val="00EE58F2"/>
    <w:rsid w:val="00EE5908"/>
    <w:rsid w:val="00EE5922"/>
    <w:rsid w:val="00EE5ABC"/>
    <w:rsid w:val="00EE5BD7"/>
    <w:rsid w:val="00EE5C03"/>
    <w:rsid w:val="00EE5D2B"/>
    <w:rsid w:val="00EE5D60"/>
    <w:rsid w:val="00EE5D9C"/>
    <w:rsid w:val="00EE5DB7"/>
    <w:rsid w:val="00EE5EBF"/>
    <w:rsid w:val="00EE5F69"/>
    <w:rsid w:val="00EE5FC4"/>
    <w:rsid w:val="00EE6115"/>
    <w:rsid w:val="00EE6207"/>
    <w:rsid w:val="00EE62D2"/>
    <w:rsid w:val="00EE633E"/>
    <w:rsid w:val="00EE6494"/>
    <w:rsid w:val="00EE6555"/>
    <w:rsid w:val="00EE6562"/>
    <w:rsid w:val="00EE6A30"/>
    <w:rsid w:val="00EE6A31"/>
    <w:rsid w:val="00EE6C50"/>
    <w:rsid w:val="00EE6EA3"/>
    <w:rsid w:val="00EE714B"/>
    <w:rsid w:val="00EE7161"/>
    <w:rsid w:val="00EE7180"/>
    <w:rsid w:val="00EE7187"/>
    <w:rsid w:val="00EE722D"/>
    <w:rsid w:val="00EE72F5"/>
    <w:rsid w:val="00EE7465"/>
    <w:rsid w:val="00EE750D"/>
    <w:rsid w:val="00EE782B"/>
    <w:rsid w:val="00EE785D"/>
    <w:rsid w:val="00EE78EE"/>
    <w:rsid w:val="00EE79FA"/>
    <w:rsid w:val="00EE7A9B"/>
    <w:rsid w:val="00EE7ABC"/>
    <w:rsid w:val="00EE7B6B"/>
    <w:rsid w:val="00EE7BB9"/>
    <w:rsid w:val="00EE7CE2"/>
    <w:rsid w:val="00EE7D3B"/>
    <w:rsid w:val="00EE7D66"/>
    <w:rsid w:val="00EE7D98"/>
    <w:rsid w:val="00EE7DCB"/>
    <w:rsid w:val="00EE7E3A"/>
    <w:rsid w:val="00EE7F3B"/>
    <w:rsid w:val="00EF0046"/>
    <w:rsid w:val="00EF01F9"/>
    <w:rsid w:val="00EF021C"/>
    <w:rsid w:val="00EF0289"/>
    <w:rsid w:val="00EF03E7"/>
    <w:rsid w:val="00EF0518"/>
    <w:rsid w:val="00EF055C"/>
    <w:rsid w:val="00EF0789"/>
    <w:rsid w:val="00EF085E"/>
    <w:rsid w:val="00EF08F8"/>
    <w:rsid w:val="00EF0C3F"/>
    <w:rsid w:val="00EF0CFB"/>
    <w:rsid w:val="00EF0D74"/>
    <w:rsid w:val="00EF0F73"/>
    <w:rsid w:val="00EF10F3"/>
    <w:rsid w:val="00EF131D"/>
    <w:rsid w:val="00EF1368"/>
    <w:rsid w:val="00EF1563"/>
    <w:rsid w:val="00EF1656"/>
    <w:rsid w:val="00EF16C4"/>
    <w:rsid w:val="00EF1837"/>
    <w:rsid w:val="00EF1863"/>
    <w:rsid w:val="00EF194C"/>
    <w:rsid w:val="00EF1C78"/>
    <w:rsid w:val="00EF1C89"/>
    <w:rsid w:val="00EF1DA7"/>
    <w:rsid w:val="00EF1DDC"/>
    <w:rsid w:val="00EF1E30"/>
    <w:rsid w:val="00EF1F9A"/>
    <w:rsid w:val="00EF2102"/>
    <w:rsid w:val="00EF2106"/>
    <w:rsid w:val="00EF22E5"/>
    <w:rsid w:val="00EF2351"/>
    <w:rsid w:val="00EF23A7"/>
    <w:rsid w:val="00EF24BE"/>
    <w:rsid w:val="00EF25CF"/>
    <w:rsid w:val="00EF25E4"/>
    <w:rsid w:val="00EF2887"/>
    <w:rsid w:val="00EF289C"/>
    <w:rsid w:val="00EF28DF"/>
    <w:rsid w:val="00EF2B46"/>
    <w:rsid w:val="00EF2BD6"/>
    <w:rsid w:val="00EF2C23"/>
    <w:rsid w:val="00EF2F10"/>
    <w:rsid w:val="00EF3078"/>
    <w:rsid w:val="00EF30C3"/>
    <w:rsid w:val="00EF30DD"/>
    <w:rsid w:val="00EF3191"/>
    <w:rsid w:val="00EF331C"/>
    <w:rsid w:val="00EF3632"/>
    <w:rsid w:val="00EF3698"/>
    <w:rsid w:val="00EF36D6"/>
    <w:rsid w:val="00EF3725"/>
    <w:rsid w:val="00EF3773"/>
    <w:rsid w:val="00EF3962"/>
    <w:rsid w:val="00EF3985"/>
    <w:rsid w:val="00EF3A99"/>
    <w:rsid w:val="00EF3AA8"/>
    <w:rsid w:val="00EF3AD9"/>
    <w:rsid w:val="00EF3B29"/>
    <w:rsid w:val="00EF3B5D"/>
    <w:rsid w:val="00EF3D36"/>
    <w:rsid w:val="00EF3F00"/>
    <w:rsid w:val="00EF3F4F"/>
    <w:rsid w:val="00EF4020"/>
    <w:rsid w:val="00EF4055"/>
    <w:rsid w:val="00EF413C"/>
    <w:rsid w:val="00EF4185"/>
    <w:rsid w:val="00EF41B6"/>
    <w:rsid w:val="00EF43CD"/>
    <w:rsid w:val="00EF448B"/>
    <w:rsid w:val="00EF4565"/>
    <w:rsid w:val="00EF4592"/>
    <w:rsid w:val="00EF45FF"/>
    <w:rsid w:val="00EF4622"/>
    <w:rsid w:val="00EF463A"/>
    <w:rsid w:val="00EF4703"/>
    <w:rsid w:val="00EF474A"/>
    <w:rsid w:val="00EF4944"/>
    <w:rsid w:val="00EF4BEA"/>
    <w:rsid w:val="00EF4BF6"/>
    <w:rsid w:val="00EF4CFF"/>
    <w:rsid w:val="00EF4E87"/>
    <w:rsid w:val="00EF4F49"/>
    <w:rsid w:val="00EF5112"/>
    <w:rsid w:val="00EF540C"/>
    <w:rsid w:val="00EF5529"/>
    <w:rsid w:val="00EF5595"/>
    <w:rsid w:val="00EF564D"/>
    <w:rsid w:val="00EF5856"/>
    <w:rsid w:val="00EF5A86"/>
    <w:rsid w:val="00EF5B39"/>
    <w:rsid w:val="00EF5C62"/>
    <w:rsid w:val="00EF5D31"/>
    <w:rsid w:val="00EF5EB0"/>
    <w:rsid w:val="00EF5ECE"/>
    <w:rsid w:val="00EF5FCD"/>
    <w:rsid w:val="00EF6097"/>
    <w:rsid w:val="00EF6157"/>
    <w:rsid w:val="00EF6265"/>
    <w:rsid w:val="00EF6617"/>
    <w:rsid w:val="00EF663D"/>
    <w:rsid w:val="00EF69C5"/>
    <w:rsid w:val="00EF6B1B"/>
    <w:rsid w:val="00EF6B9D"/>
    <w:rsid w:val="00EF6D25"/>
    <w:rsid w:val="00EF6DCD"/>
    <w:rsid w:val="00EF700F"/>
    <w:rsid w:val="00EF718C"/>
    <w:rsid w:val="00EF7242"/>
    <w:rsid w:val="00EF7567"/>
    <w:rsid w:val="00EF75DD"/>
    <w:rsid w:val="00EF7603"/>
    <w:rsid w:val="00EF761E"/>
    <w:rsid w:val="00EF7631"/>
    <w:rsid w:val="00EF7640"/>
    <w:rsid w:val="00EF76B4"/>
    <w:rsid w:val="00EF7763"/>
    <w:rsid w:val="00EF7769"/>
    <w:rsid w:val="00EF776F"/>
    <w:rsid w:val="00EF78D3"/>
    <w:rsid w:val="00EF792D"/>
    <w:rsid w:val="00EF7AED"/>
    <w:rsid w:val="00EF7D91"/>
    <w:rsid w:val="00EF7DB0"/>
    <w:rsid w:val="00EF7E44"/>
    <w:rsid w:val="00F000CE"/>
    <w:rsid w:val="00F000E3"/>
    <w:rsid w:val="00F0015C"/>
    <w:rsid w:val="00F00238"/>
    <w:rsid w:val="00F002F2"/>
    <w:rsid w:val="00F004FA"/>
    <w:rsid w:val="00F005D5"/>
    <w:rsid w:val="00F00628"/>
    <w:rsid w:val="00F006CC"/>
    <w:rsid w:val="00F0072A"/>
    <w:rsid w:val="00F008AA"/>
    <w:rsid w:val="00F00AEB"/>
    <w:rsid w:val="00F00B2C"/>
    <w:rsid w:val="00F00C2B"/>
    <w:rsid w:val="00F00C2E"/>
    <w:rsid w:val="00F00C47"/>
    <w:rsid w:val="00F00E12"/>
    <w:rsid w:val="00F00E31"/>
    <w:rsid w:val="00F00E4E"/>
    <w:rsid w:val="00F00FC4"/>
    <w:rsid w:val="00F0108A"/>
    <w:rsid w:val="00F01148"/>
    <w:rsid w:val="00F0127A"/>
    <w:rsid w:val="00F01382"/>
    <w:rsid w:val="00F01413"/>
    <w:rsid w:val="00F014CE"/>
    <w:rsid w:val="00F01594"/>
    <w:rsid w:val="00F015CC"/>
    <w:rsid w:val="00F0165E"/>
    <w:rsid w:val="00F016E2"/>
    <w:rsid w:val="00F01862"/>
    <w:rsid w:val="00F0192B"/>
    <w:rsid w:val="00F01936"/>
    <w:rsid w:val="00F01C63"/>
    <w:rsid w:val="00F01CE1"/>
    <w:rsid w:val="00F01D70"/>
    <w:rsid w:val="00F01E51"/>
    <w:rsid w:val="00F02029"/>
    <w:rsid w:val="00F021EB"/>
    <w:rsid w:val="00F022B0"/>
    <w:rsid w:val="00F0243D"/>
    <w:rsid w:val="00F024F7"/>
    <w:rsid w:val="00F02502"/>
    <w:rsid w:val="00F02715"/>
    <w:rsid w:val="00F0271C"/>
    <w:rsid w:val="00F0271F"/>
    <w:rsid w:val="00F0272C"/>
    <w:rsid w:val="00F027F9"/>
    <w:rsid w:val="00F02C58"/>
    <w:rsid w:val="00F02CA7"/>
    <w:rsid w:val="00F02D14"/>
    <w:rsid w:val="00F02D5D"/>
    <w:rsid w:val="00F02EEF"/>
    <w:rsid w:val="00F02FE9"/>
    <w:rsid w:val="00F030DF"/>
    <w:rsid w:val="00F03258"/>
    <w:rsid w:val="00F032BC"/>
    <w:rsid w:val="00F034BC"/>
    <w:rsid w:val="00F035D5"/>
    <w:rsid w:val="00F0363C"/>
    <w:rsid w:val="00F03705"/>
    <w:rsid w:val="00F03733"/>
    <w:rsid w:val="00F037F3"/>
    <w:rsid w:val="00F03995"/>
    <w:rsid w:val="00F03AD8"/>
    <w:rsid w:val="00F03C02"/>
    <w:rsid w:val="00F03C38"/>
    <w:rsid w:val="00F03CB6"/>
    <w:rsid w:val="00F03DE5"/>
    <w:rsid w:val="00F03F03"/>
    <w:rsid w:val="00F03F54"/>
    <w:rsid w:val="00F03F76"/>
    <w:rsid w:val="00F040F2"/>
    <w:rsid w:val="00F04307"/>
    <w:rsid w:val="00F0441A"/>
    <w:rsid w:val="00F044E1"/>
    <w:rsid w:val="00F0463E"/>
    <w:rsid w:val="00F04660"/>
    <w:rsid w:val="00F04748"/>
    <w:rsid w:val="00F04778"/>
    <w:rsid w:val="00F048F7"/>
    <w:rsid w:val="00F04902"/>
    <w:rsid w:val="00F04904"/>
    <w:rsid w:val="00F049AC"/>
    <w:rsid w:val="00F04B19"/>
    <w:rsid w:val="00F04B6E"/>
    <w:rsid w:val="00F04C39"/>
    <w:rsid w:val="00F0508C"/>
    <w:rsid w:val="00F0523E"/>
    <w:rsid w:val="00F052C6"/>
    <w:rsid w:val="00F0531E"/>
    <w:rsid w:val="00F0537B"/>
    <w:rsid w:val="00F05571"/>
    <w:rsid w:val="00F0571F"/>
    <w:rsid w:val="00F05752"/>
    <w:rsid w:val="00F058E4"/>
    <w:rsid w:val="00F05A24"/>
    <w:rsid w:val="00F05B03"/>
    <w:rsid w:val="00F05BB3"/>
    <w:rsid w:val="00F05C0E"/>
    <w:rsid w:val="00F05C59"/>
    <w:rsid w:val="00F05CF9"/>
    <w:rsid w:val="00F05F33"/>
    <w:rsid w:val="00F060C5"/>
    <w:rsid w:val="00F060F9"/>
    <w:rsid w:val="00F06177"/>
    <w:rsid w:val="00F06410"/>
    <w:rsid w:val="00F0643F"/>
    <w:rsid w:val="00F06571"/>
    <w:rsid w:val="00F0662D"/>
    <w:rsid w:val="00F0666D"/>
    <w:rsid w:val="00F06771"/>
    <w:rsid w:val="00F06954"/>
    <w:rsid w:val="00F06A82"/>
    <w:rsid w:val="00F06AD0"/>
    <w:rsid w:val="00F06D16"/>
    <w:rsid w:val="00F06E2C"/>
    <w:rsid w:val="00F06E2F"/>
    <w:rsid w:val="00F06E4B"/>
    <w:rsid w:val="00F06F70"/>
    <w:rsid w:val="00F06F72"/>
    <w:rsid w:val="00F07046"/>
    <w:rsid w:val="00F070A6"/>
    <w:rsid w:val="00F07255"/>
    <w:rsid w:val="00F07612"/>
    <w:rsid w:val="00F0770E"/>
    <w:rsid w:val="00F077E6"/>
    <w:rsid w:val="00F0782B"/>
    <w:rsid w:val="00F078AF"/>
    <w:rsid w:val="00F078F9"/>
    <w:rsid w:val="00F0794E"/>
    <w:rsid w:val="00F079A8"/>
    <w:rsid w:val="00F07AB5"/>
    <w:rsid w:val="00F07AE4"/>
    <w:rsid w:val="00F07CFC"/>
    <w:rsid w:val="00F07D37"/>
    <w:rsid w:val="00F07D5F"/>
    <w:rsid w:val="00F07DD5"/>
    <w:rsid w:val="00F07E2A"/>
    <w:rsid w:val="00F10022"/>
    <w:rsid w:val="00F10023"/>
    <w:rsid w:val="00F10136"/>
    <w:rsid w:val="00F102CD"/>
    <w:rsid w:val="00F10445"/>
    <w:rsid w:val="00F104FF"/>
    <w:rsid w:val="00F10507"/>
    <w:rsid w:val="00F106E4"/>
    <w:rsid w:val="00F107AB"/>
    <w:rsid w:val="00F10A5D"/>
    <w:rsid w:val="00F10BB0"/>
    <w:rsid w:val="00F10BD0"/>
    <w:rsid w:val="00F10C24"/>
    <w:rsid w:val="00F10C54"/>
    <w:rsid w:val="00F10C73"/>
    <w:rsid w:val="00F10C74"/>
    <w:rsid w:val="00F10CAA"/>
    <w:rsid w:val="00F10CE7"/>
    <w:rsid w:val="00F10D2E"/>
    <w:rsid w:val="00F10FD9"/>
    <w:rsid w:val="00F10FE3"/>
    <w:rsid w:val="00F110DB"/>
    <w:rsid w:val="00F1128A"/>
    <w:rsid w:val="00F112B3"/>
    <w:rsid w:val="00F113B9"/>
    <w:rsid w:val="00F1150E"/>
    <w:rsid w:val="00F11628"/>
    <w:rsid w:val="00F1162B"/>
    <w:rsid w:val="00F11630"/>
    <w:rsid w:val="00F117C4"/>
    <w:rsid w:val="00F119AA"/>
    <w:rsid w:val="00F11A2B"/>
    <w:rsid w:val="00F11BBA"/>
    <w:rsid w:val="00F11C43"/>
    <w:rsid w:val="00F11C74"/>
    <w:rsid w:val="00F11D49"/>
    <w:rsid w:val="00F11F26"/>
    <w:rsid w:val="00F11F82"/>
    <w:rsid w:val="00F11F8D"/>
    <w:rsid w:val="00F12079"/>
    <w:rsid w:val="00F12124"/>
    <w:rsid w:val="00F12670"/>
    <w:rsid w:val="00F128CF"/>
    <w:rsid w:val="00F128EB"/>
    <w:rsid w:val="00F12908"/>
    <w:rsid w:val="00F1290B"/>
    <w:rsid w:val="00F12934"/>
    <w:rsid w:val="00F129E2"/>
    <w:rsid w:val="00F12A6F"/>
    <w:rsid w:val="00F12BB7"/>
    <w:rsid w:val="00F12D42"/>
    <w:rsid w:val="00F12D58"/>
    <w:rsid w:val="00F12DBB"/>
    <w:rsid w:val="00F12DFC"/>
    <w:rsid w:val="00F12F6B"/>
    <w:rsid w:val="00F13151"/>
    <w:rsid w:val="00F1319D"/>
    <w:rsid w:val="00F13306"/>
    <w:rsid w:val="00F133BF"/>
    <w:rsid w:val="00F134C8"/>
    <w:rsid w:val="00F13520"/>
    <w:rsid w:val="00F13712"/>
    <w:rsid w:val="00F13B1D"/>
    <w:rsid w:val="00F13ECE"/>
    <w:rsid w:val="00F13ECF"/>
    <w:rsid w:val="00F13F1C"/>
    <w:rsid w:val="00F13F5F"/>
    <w:rsid w:val="00F13F74"/>
    <w:rsid w:val="00F14037"/>
    <w:rsid w:val="00F14172"/>
    <w:rsid w:val="00F1418E"/>
    <w:rsid w:val="00F14380"/>
    <w:rsid w:val="00F143A6"/>
    <w:rsid w:val="00F143B4"/>
    <w:rsid w:val="00F144D0"/>
    <w:rsid w:val="00F14557"/>
    <w:rsid w:val="00F1456C"/>
    <w:rsid w:val="00F1459D"/>
    <w:rsid w:val="00F145DD"/>
    <w:rsid w:val="00F1484D"/>
    <w:rsid w:val="00F1488F"/>
    <w:rsid w:val="00F148D4"/>
    <w:rsid w:val="00F14B40"/>
    <w:rsid w:val="00F14E65"/>
    <w:rsid w:val="00F14ED4"/>
    <w:rsid w:val="00F14F3F"/>
    <w:rsid w:val="00F14FD6"/>
    <w:rsid w:val="00F15036"/>
    <w:rsid w:val="00F152FD"/>
    <w:rsid w:val="00F15440"/>
    <w:rsid w:val="00F15564"/>
    <w:rsid w:val="00F159C0"/>
    <w:rsid w:val="00F15CB2"/>
    <w:rsid w:val="00F15D98"/>
    <w:rsid w:val="00F15E64"/>
    <w:rsid w:val="00F160BB"/>
    <w:rsid w:val="00F16107"/>
    <w:rsid w:val="00F16151"/>
    <w:rsid w:val="00F16245"/>
    <w:rsid w:val="00F163BB"/>
    <w:rsid w:val="00F1646B"/>
    <w:rsid w:val="00F16491"/>
    <w:rsid w:val="00F1650D"/>
    <w:rsid w:val="00F165C7"/>
    <w:rsid w:val="00F166C7"/>
    <w:rsid w:val="00F166D6"/>
    <w:rsid w:val="00F16819"/>
    <w:rsid w:val="00F16855"/>
    <w:rsid w:val="00F1695D"/>
    <w:rsid w:val="00F16A0E"/>
    <w:rsid w:val="00F16A3B"/>
    <w:rsid w:val="00F16BDC"/>
    <w:rsid w:val="00F16C5F"/>
    <w:rsid w:val="00F16CC0"/>
    <w:rsid w:val="00F16CEE"/>
    <w:rsid w:val="00F16FE0"/>
    <w:rsid w:val="00F16FF5"/>
    <w:rsid w:val="00F17075"/>
    <w:rsid w:val="00F170DD"/>
    <w:rsid w:val="00F171BB"/>
    <w:rsid w:val="00F172A4"/>
    <w:rsid w:val="00F17310"/>
    <w:rsid w:val="00F174A6"/>
    <w:rsid w:val="00F1751D"/>
    <w:rsid w:val="00F17683"/>
    <w:rsid w:val="00F17BA6"/>
    <w:rsid w:val="00F17BA7"/>
    <w:rsid w:val="00F17C21"/>
    <w:rsid w:val="00F17D5B"/>
    <w:rsid w:val="00F17F56"/>
    <w:rsid w:val="00F17F8B"/>
    <w:rsid w:val="00F17FEA"/>
    <w:rsid w:val="00F20046"/>
    <w:rsid w:val="00F200DD"/>
    <w:rsid w:val="00F20211"/>
    <w:rsid w:val="00F20299"/>
    <w:rsid w:val="00F2049B"/>
    <w:rsid w:val="00F204C6"/>
    <w:rsid w:val="00F20503"/>
    <w:rsid w:val="00F205C1"/>
    <w:rsid w:val="00F20640"/>
    <w:rsid w:val="00F20703"/>
    <w:rsid w:val="00F20826"/>
    <w:rsid w:val="00F20884"/>
    <w:rsid w:val="00F208A3"/>
    <w:rsid w:val="00F208A6"/>
    <w:rsid w:val="00F20931"/>
    <w:rsid w:val="00F2099F"/>
    <w:rsid w:val="00F209A1"/>
    <w:rsid w:val="00F20C41"/>
    <w:rsid w:val="00F20C64"/>
    <w:rsid w:val="00F20CCE"/>
    <w:rsid w:val="00F211C7"/>
    <w:rsid w:val="00F212C4"/>
    <w:rsid w:val="00F212FB"/>
    <w:rsid w:val="00F216D0"/>
    <w:rsid w:val="00F217CC"/>
    <w:rsid w:val="00F21E4B"/>
    <w:rsid w:val="00F21F80"/>
    <w:rsid w:val="00F22160"/>
    <w:rsid w:val="00F2218B"/>
    <w:rsid w:val="00F2228F"/>
    <w:rsid w:val="00F222FF"/>
    <w:rsid w:val="00F22443"/>
    <w:rsid w:val="00F22570"/>
    <w:rsid w:val="00F225E8"/>
    <w:rsid w:val="00F22755"/>
    <w:rsid w:val="00F229D3"/>
    <w:rsid w:val="00F22A74"/>
    <w:rsid w:val="00F22A76"/>
    <w:rsid w:val="00F22D59"/>
    <w:rsid w:val="00F23085"/>
    <w:rsid w:val="00F230B7"/>
    <w:rsid w:val="00F23116"/>
    <w:rsid w:val="00F23421"/>
    <w:rsid w:val="00F23470"/>
    <w:rsid w:val="00F234A7"/>
    <w:rsid w:val="00F23625"/>
    <w:rsid w:val="00F23635"/>
    <w:rsid w:val="00F23670"/>
    <w:rsid w:val="00F2372B"/>
    <w:rsid w:val="00F2377E"/>
    <w:rsid w:val="00F237CA"/>
    <w:rsid w:val="00F2388D"/>
    <w:rsid w:val="00F23894"/>
    <w:rsid w:val="00F239B3"/>
    <w:rsid w:val="00F23A56"/>
    <w:rsid w:val="00F23AE8"/>
    <w:rsid w:val="00F23B50"/>
    <w:rsid w:val="00F23BCE"/>
    <w:rsid w:val="00F23C40"/>
    <w:rsid w:val="00F23CE1"/>
    <w:rsid w:val="00F23E64"/>
    <w:rsid w:val="00F23F63"/>
    <w:rsid w:val="00F23F90"/>
    <w:rsid w:val="00F24108"/>
    <w:rsid w:val="00F2412A"/>
    <w:rsid w:val="00F24145"/>
    <w:rsid w:val="00F24555"/>
    <w:rsid w:val="00F2473D"/>
    <w:rsid w:val="00F248CF"/>
    <w:rsid w:val="00F2499F"/>
    <w:rsid w:val="00F24BE3"/>
    <w:rsid w:val="00F24BF3"/>
    <w:rsid w:val="00F24D00"/>
    <w:rsid w:val="00F24D19"/>
    <w:rsid w:val="00F251EC"/>
    <w:rsid w:val="00F25328"/>
    <w:rsid w:val="00F2536D"/>
    <w:rsid w:val="00F253CB"/>
    <w:rsid w:val="00F25416"/>
    <w:rsid w:val="00F254F8"/>
    <w:rsid w:val="00F2551D"/>
    <w:rsid w:val="00F2552E"/>
    <w:rsid w:val="00F257EC"/>
    <w:rsid w:val="00F257F0"/>
    <w:rsid w:val="00F25803"/>
    <w:rsid w:val="00F2584D"/>
    <w:rsid w:val="00F2594D"/>
    <w:rsid w:val="00F2594F"/>
    <w:rsid w:val="00F25A0C"/>
    <w:rsid w:val="00F25A2E"/>
    <w:rsid w:val="00F25B1A"/>
    <w:rsid w:val="00F25B69"/>
    <w:rsid w:val="00F25BF9"/>
    <w:rsid w:val="00F25DBF"/>
    <w:rsid w:val="00F25FBA"/>
    <w:rsid w:val="00F26362"/>
    <w:rsid w:val="00F263D8"/>
    <w:rsid w:val="00F26453"/>
    <w:rsid w:val="00F26504"/>
    <w:rsid w:val="00F266D7"/>
    <w:rsid w:val="00F268BF"/>
    <w:rsid w:val="00F26A64"/>
    <w:rsid w:val="00F26ADF"/>
    <w:rsid w:val="00F26B91"/>
    <w:rsid w:val="00F26C83"/>
    <w:rsid w:val="00F26DA7"/>
    <w:rsid w:val="00F26E4F"/>
    <w:rsid w:val="00F26F06"/>
    <w:rsid w:val="00F2730C"/>
    <w:rsid w:val="00F2748D"/>
    <w:rsid w:val="00F2759A"/>
    <w:rsid w:val="00F276CB"/>
    <w:rsid w:val="00F276D1"/>
    <w:rsid w:val="00F27845"/>
    <w:rsid w:val="00F278E4"/>
    <w:rsid w:val="00F27A05"/>
    <w:rsid w:val="00F27A3B"/>
    <w:rsid w:val="00F27A7A"/>
    <w:rsid w:val="00F27C27"/>
    <w:rsid w:val="00F27D22"/>
    <w:rsid w:val="00F27E54"/>
    <w:rsid w:val="00F27E61"/>
    <w:rsid w:val="00F27EB6"/>
    <w:rsid w:val="00F30004"/>
    <w:rsid w:val="00F30011"/>
    <w:rsid w:val="00F301D4"/>
    <w:rsid w:val="00F30249"/>
    <w:rsid w:val="00F30658"/>
    <w:rsid w:val="00F308F1"/>
    <w:rsid w:val="00F30939"/>
    <w:rsid w:val="00F3097D"/>
    <w:rsid w:val="00F309F8"/>
    <w:rsid w:val="00F30A90"/>
    <w:rsid w:val="00F30C7C"/>
    <w:rsid w:val="00F30D8E"/>
    <w:rsid w:val="00F30D94"/>
    <w:rsid w:val="00F31115"/>
    <w:rsid w:val="00F311A1"/>
    <w:rsid w:val="00F3126D"/>
    <w:rsid w:val="00F314A5"/>
    <w:rsid w:val="00F315B1"/>
    <w:rsid w:val="00F315BB"/>
    <w:rsid w:val="00F31631"/>
    <w:rsid w:val="00F3167E"/>
    <w:rsid w:val="00F31802"/>
    <w:rsid w:val="00F31A73"/>
    <w:rsid w:val="00F31AC6"/>
    <w:rsid w:val="00F31B1F"/>
    <w:rsid w:val="00F31B70"/>
    <w:rsid w:val="00F31D8C"/>
    <w:rsid w:val="00F31DEC"/>
    <w:rsid w:val="00F31E4D"/>
    <w:rsid w:val="00F321AE"/>
    <w:rsid w:val="00F321C2"/>
    <w:rsid w:val="00F3233B"/>
    <w:rsid w:val="00F323E4"/>
    <w:rsid w:val="00F324A6"/>
    <w:rsid w:val="00F3253D"/>
    <w:rsid w:val="00F32559"/>
    <w:rsid w:val="00F32562"/>
    <w:rsid w:val="00F328A3"/>
    <w:rsid w:val="00F32941"/>
    <w:rsid w:val="00F329D3"/>
    <w:rsid w:val="00F32A4E"/>
    <w:rsid w:val="00F32C2D"/>
    <w:rsid w:val="00F32C74"/>
    <w:rsid w:val="00F32FA9"/>
    <w:rsid w:val="00F3303F"/>
    <w:rsid w:val="00F330B0"/>
    <w:rsid w:val="00F3310F"/>
    <w:rsid w:val="00F332FB"/>
    <w:rsid w:val="00F3342D"/>
    <w:rsid w:val="00F33630"/>
    <w:rsid w:val="00F33ACF"/>
    <w:rsid w:val="00F33B6E"/>
    <w:rsid w:val="00F33BC5"/>
    <w:rsid w:val="00F33D1B"/>
    <w:rsid w:val="00F33D3D"/>
    <w:rsid w:val="00F33DB1"/>
    <w:rsid w:val="00F33E98"/>
    <w:rsid w:val="00F33ED0"/>
    <w:rsid w:val="00F33FC8"/>
    <w:rsid w:val="00F340CA"/>
    <w:rsid w:val="00F34189"/>
    <w:rsid w:val="00F345E3"/>
    <w:rsid w:val="00F348C0"/>
    <w:rsid w:val="00F34B08"/>
    <w:rsid w:val="00F34B58"/>
    <w:rsid w:val="00F34BB3"/>
    <w:rsid w:val="00F34E1C"/>
    <w:rsid w:val="00F34F0C"/>
    <w:rsid w:val="00F35087"/>
    <w:rsid w:val="00F355B1"/>
    <w:rsid w:val="00F356AD"/>
    <w:rsid w:val="00F35812"/>
    <w:rsid w:val="00F35858"/>
    <w:rsid w:val="00F35C5C"/>
    <w:rsid w:val="00F35C83"/>
    <w:rsid w:val="00F35DFA"/>
    <w:rsid w:val="00F35E76"/>
    <w:rsid w:val="00F36030"/>
    <w:rsid w:val="00F36041"/>
    <w:rsid w:val="00F3608B"/>
    <w:rsid w:val="00F360CB"/>
    <w:rsid w:val="00F36110"/>
    <w:rsid w:val="00F36117"/>
    <w:rsid w:val="00F361D6"/>
    <w:rsid w:val="00F36737"/>
    <w:rsid w:val="00F36741"/>
    <w:rsid w:val="00F367D7"/>
    <w:rsid w:val="00F36842"/>
    <w:rsid w:val="00F368D9"/>
    <w:rsid w:val="00F36AFD"/>
    <w:rsid w:val="00F36B0B"/>
    <w:rsid w:val="00F36BFC"/>
    <w:rsid w:val="00F36D6F"/>
    <w:rsid w:val="00F36DD6"/>
    <w:rsid w:val="00F36EA8"/>
    <w:rsid w:val="00F372CD"/>
    <w:rsid w:val="00F37345"/>
    <w:rsid w:val="00F373EF"/>
    <w:rsid w:val="00F3749E"/>
    <w:rsid w:val="00F374E0"/>
    <w:rsid w:val="00F37538"/>
    <w:rsid w:val="00F3767C"/>
    <w:rsid w:val="00F376EA"/>
    <w:rsid w:val="00F37788"/>
    <w:rsid w:val="00F37AAD"/>
    <w:rsid w:val="00F37B38"/>
    <w:rsid w:val="00F37CE1"/>
    <w:rsid w:val="00F37D1C"/>
    <w:rsid w:val="00F37E77"/>
    <w:rsid w:val="00F37FBA"/>
    <w:rsid w:val="00F37FCC"/>
    <w:rsid w:val="00F40003"/>
    <w:rsid w:val="00F401C7"/>
    <w:rsid w:val="00F402C1"/>
    <w:rsid w:val="00F40303"/>
    <w:rsid w:val="00F4049B"/>
    <w:rsid w:val="00F40515"/>
    <w:rsid w:val="00F40549"/>
    <w:rsid w:val="00F4054B"/>
    <w:rsid w:val="00F40A7E"/>
    <w:rsid w:val="00F40E66"/>
    <w:rsid w:val="00F40E6D"/>
    <w:rsid w:val="00F40F3E"/>
    <w:rsid w:val="00F41100"/>
    <w:rsid w:val="00F413DE"/>
    <w:rsid w:val="00F4143F"/>
    <w:rsid w:val="00F41543"/>
    <w:rsid w:val="00F4158C"/>
    <w:rsid w:val="00F4159A"/>
    <w:rsid w:val="00F41680"/>
    <w:rsid w:val="00F418F9"/>
    <w:rsid w:val="00F41950"/>
    <w:rsid w:val="00F41D2F"/>
    <w:rsid w:val="00F42042"/>
    <w:rsid w:val="00F4210D"/>
    <w:rsid w:val="00F4212F"/>
    <w:rsid w:val="00F42412"/>
    <w:rsid w:val="00F424E4"/>
    <w:rsid w:val="00F424F1"/>
    <w:rsid w:val="00F42575"/>
    <w:rsid w:val="00F4262E"/>
    <w:rsid w:val="00F42656"/>
    <w:rsid w:val="00F42728"/>
    <w:rsid w:val="00F4290E"/>
    <w:rsid w:val="00F42A1A"/>
    <w:rsid w:val="00F42A75"/>
    <w:rsid w:val="00F42B33"/>
    <w:rsid w:val="00F42BA1"/>
    <w:rsid w:val="00F43042"/>
    <w:rsid w:val="00F4315E"/>
    <w:rsid w:val="00F43168"/>
    <w:rsid w:val="00F43345"/>
    <w:rsid w:val="00F43354"/>
    <w:rsid w:val="00F4344B"/>
    <w:rsid w:val="00F43693"/>
    <w:rsid w:val="00F43711"/>
    <w:rsid w:val="00F43903"/>
    <w:rsid w:val="00F43A00"/>
    <w:rsid w:val="00F43A53"/>
    <w:rsid w:val="00F43C24"/>
    <w:rsid w:val="00F43CDC"/>
    <w:rsid w:val="00F43E56"/>
    <w:rsid w:val="00F43EDB"/>
    <w:rsid w:val="00F43F79"/>
    <w:rsid w:val="00F4411C"/>
    <w:rsid w:val="00F442BE"/>
    <w:rsid w:val="00F44333"/>
    <w:rsid w:val="00F44497"/>
    <w:rsid w:val="00F44648"/>
    <w:rsid w:val="00F44681"/>
    <w:rsid w:val="00F446BD"/>
    <w:rsid w:val="00F44729"/>
    <w:rsid w:val="00F44732"/>
    <w:rsid w:val="00F44C6F"/>
    <w:rsid w:val="00F44DAB"/>
    <w:rsid w:val="00F44ED2"/>
    <w:rsid w:val="00F44F07"/>
    <w:rsid w:val="00F45117"/>
    <w:rsid w:val="00F451A5"/>
    <w:rsid w:val="00F45237"/>
    <w:rsid w:val="00F4524D"/>
    <w:rsid w:val="00F452FF"/>
    <w:rsid w:val="00F4552C"/>
    <w:rsid w:val="00F45826"/>
    <w:rsid w:val="00F45841"/>
    <w:rsid w:val="00F45874"/>
    <w:rsid w:val="00F458B9"/>
    <w:rsid w:val="00F45924"/>
    <w:rsid w:val="00F45936"/>
    <w:rsid w:val="00F45BFF"/>
    <w:rsid w:val="00F45C2B"/>
    <w:rsid w:val="00F45D60"/>
    <w:rsid w:val="00F45D9F"/>
    <w:rsid w:val="00F45E0F"/>
    <w:rsid w:val="00F45E12"/>
    <w:rsid w:val="00F45EEC"/>
    <w:rsid w:val="00F45F15"/>
    <w:rsid w:val="00F4608E"/>
    <w:rsid w:val="00F46500"/>
    <w:rsid w:val="00F4678B"/>
    <w:rsid w:val="00F469C5"/>
    <w:rsid w:val="00F469D1"/>
    <w:rsid w:val="00F46A64"/>
    <w:rsid w:val="00F46AE0"/>
    <w:rsid w:val="00F46BBA"/>
    <w:rsid w:val="00F46D3D"/>
    <w:rsid w:val="00F46DE3"/>
    <w:rsid w:val="00F46FCD"/>
    <w:rsid w:val="00F4710F"/>
    <w:rsid w:val="00F471F2"/>
    <w:rsid w:val="00F473C2"/>
    <w:rsid w:val="00F475A4"/>
    <w:rsid w:val="00F476F3"/>
    <w:rsid w:val="00F477DD"/>
    <w:rsid w:val="00F477E8"/>
    <w:rsid w:val="00F47935"/>
    <w:rsid w:val="00F479D8"/>
    <w:rsid w:val="00F47F02"/>
    <w:rsid w:val="00F47F6C"/>
    <w:rsid w:val="00F4974F"/>
    <w:rsid w:val="00F50004"/>
    <w:rsid w:val="00F5007F"/>
    <w:rsid w:val="00F5009A"/>
    <w:rsid w:val="00F5024D"/>
    <w:rsid w:val="00F5025A"/>
    <w:rsid w:val="00F5029F"/>
    <w:rsid w:val="00F502E3"/>
    <w:rsid w:val="00F50562"/>
    <w:rsid w:val="00F505A0"/>
    <w:rsid w:val="00F50632"/>
    <w:rsid w:val="00F50655"/>
    <w:rsid w:val="00F508DB"/>
    <w:rsid w:val="00F50968"/>
    <w:rsid w:val="00F509BE"/>
    <w:rsid w:val="00F50A04"/>
    <w:rsid w:val="00F50A87"/>
    <w:rsid w:val="00F50BD6"/>
    <w:rsid w:val="00F50C31"/>
    <w:rsid w:val="00F50D45"/>
    <w:rsid w:val="00F50E38"/>
    <w:rsid w:val="00F51235"/>
    <w:rsid w:val="00F51432"/>
    <w:rsid w:val="00F516A0"/>
    <w:rsid w:val="00F517D2"/>
    <w:rsid w:val="00F51828"/>
    <w:rsid w:val="00F518B5"/>
    <w:rsid w:val="00F51929"/>
    <w:rsid w:val="00F51936"/>
    <w:rsid w:val="00F51947"/>
    <w:rsid w:val="00F51A5A"/>
    <w:rsid w:val="00F51AFA"/>
    <w:rsid w:val="00F51BA3"/>
    <w:rsid w:val="00F51C1C"/>
    <w:rsid w:val="00F51C89"/>
    <w:rsid w:val="00F51DDA"/>
    <w:rsid w:val="00F51E22"/>
    <w:rsid w:val="00F51FAF"/>
    <w:rsid w:val="00F51FB1"/>
    <w:rsid w:val="00F52022"/>
    <w:rsid w:val="00F5221B"/>
    <w:rsid w:val="00F522F6"/>
    <w:rsid w:val="00F5269A"/>
    <w:rsid w:val="00F526D1"/>
    <w:rsid w:val="00F527B3"/>
    <w:rsid w:val="00F52838"/>
    <w:rsid w:val="00F5284C"/>
    <w:rsid w:val="00F528B0"/>
    <w:rsid w:val="00F52965"/>
    <w:rsid w:val="00F529CB"/>
    <w:rsid w:val="00F529EA"/>
    <w:rsid w:val="00F52A99"/>
    <w:rsid w:val="00F52CE3"/>
    <w:rsid w:val="00F52E33"/>
    <w:rsid w:val="00F52EA0"/>
    <w:rsid w:val="00F52F9F"/>
    <w:rsid w:val="00F5312F"/>
    <w:rsid w:val="00F53212"/>
    <w:rsid w:val="00F535EF"/>
    <w:rsid w:val="00F536BE"/>
    <w:rsid w:val="00F536E2"/>
    <w:rsid w:val="00F537E4"/>
    <w:rsid w:val="00F537F5"/>
    <w:rsid w:val="00F53822"/>
    <w:rsid w:val="00F53BD8"/>
    <w:rsid w:val="00F53BF6"/>
    <w:rsid w:val="00F53C91"/>
    <w:rsid w:val="00F53CC8"/>
    <w:rsid w:val="00F53CE6"/>
    <w:rsid w:val="00F53D5B"/>
    <w:rsid w:val="00F53DCC"/>
    <w:rsid w:val="00F53E9D"/>
    <w:rsid w:val="00F54030"/>
    <w:rsid w:val="00F5409A"/>
    <w:rsid w:val="00F540A4"/>
    <w:rsid w:val="00F5426A"/>
    <w:rsid w:val="00F54297"/>
    <w:rsid w:val="00F542AC"/>
    <w:rsid w:val="00F54682"/>
    <w:rsid w:val="00F54691"/>
    <w:rsid w:val="00F54768"/>
    <w:rsid w:val="00F547FF"/>
    <w:rsid w:val="00F54BBB"/>
    <w:rsid w:val="00F54DF6"/>
    <w:rsid w:val="00F54E17"/>
    <w:rsid w:val="00F54F75"/>
    <w:rsid w:val="00F5534A"/>
    <w:rsid w:val="00F5536A"/>
    <w:rsid w:val="00F55593"/>
    <w:rsid w:val="00F558E0"/>
    <w:rsid w:val="00F559E0"/>
    <w:rsid w:val="00F55A40"/>
    <w:rsid w:val="00F55B34"/>
    <w:rsid w:val="00F55C19"/>
    <w:rsid w:val="00F55C7D"/>
    <w:rsid w:val="00F55ED1"/>
    <w:rsid w:val="00F55FB0"/>
    <w:rsid w:val="00F55FBA"/>
    <w:rsid w:val="00F56016"/>
    <w:rsid w:val="00F56024"/>
    <w:rsid w:val="00F561FB"/>
    <w:rsid w:val="00F562DA"/>
    <w:rsid w:val="00F5634D"/>
    <w:rsid w:val="00F5655A"/>
    <w:rsid w:val="00F5670D"/>
    <w:rsid w:val="00F569C3"/>
    <w:rsid w:val="00F56A97"/>
    <w:rsid w:val="00F56A9E"/>
    <w:rsid w:val="00F56B26"/>
    <w:rsid w:val="00F56D8B"/>
    <w:rsid w:val="00F56E0D"/>
    <w:rsid w:val="00F56E0E"/>
    <w:rsid w:val="00F56F5B"/>
    <w:rsid w:val="00F56F95"/>
    <w:rsid w:val="00F56FE9"/>
    <w:rsid w:val="00F57106"/>
    <w:rsid w:val="00F5719B"/>
    <w:rsid w:val="00F571F1"/>
    <w:rsid w:val="00F572B5"/>
    <w:rsid w:val="00F572B8"/>
    <w:rsid w:val="00F572CF"/>
    <w:rsid w:val="00F57338"/>
    <w:rsid w:val="00F575A0"/>
    <w:rsid w:val="00F575B9"/>
    <w:rsid w:val="00F575F9"/>
    <w:rsid w:val="00F5765D"/>
    <w:rsid w:val="00F576E1"/>
    <w:rsid w:val="00F57875"/>
    <w:rsid w:val="00F578B3"/>
    <w:rsid w:val="00F57AA6"/>
    <w:rsid w:val="00F57ADB"/>
    <w:rsid w:val="00F57B36"/>
    <w:rsid w:val="00F57CB0"/>
    <w:rsid w:val="00F57D1E"/>
    <w:rsid w:val="00F57DEC"/>
    <w:rsid w:val="00F57EF1"/>
    <w:rsid w:val="00F57F9B"/>
    <w:rsid w:val="00F6015C"/>
    <w:rsid w:val="00F6034B"/>
    <w:rsid w:val="00F605F8"/>
    <w:rsid w:val="00F60D0F"/>
    <w:rsid w:val="00F60D55"/>
    <w:rsid w:val="00F612BA"/>
    <w:rsid w:val="00F613B6"/>
    <w:rsid w:val="00F613DF"/>
    <w:rsid w:val="00F6141C"/>
    <w:rsid w:val="00F6160C"/>
    <w:rsid w:val="00F6173A"/>
    <w:rsid w:val="00F617F4"/>
    <w:rsid w:val="00F619E1"/>
    <w:rsid w:val="00F61A85"/>
    <w:rsid w:val="00F61ADC"/>
    <w:rsid w:val="00F61CB4"/>
    <w:rsid w:val="00F61CFE"/>
    <w:rsid w:val="00F61E7D"/>
    <w:rsid w:val="00F61EAF"/>
    <w:rsid w:val="00F620D3"/>
    <w:rsid w:val="00F62286"/>
    <w:rsid w:val="00F62341"/>
    <w:rsid w:val="00F62404"/>
    <w:rsid w:val="00F62509"/>
    <w:rsid w:val="00F626AD"/>
    <w:rsid w:val="00F6274A"/>
    <w:rsid w:val="00F6281E"/>
    <w:rsid w:val="00F628BE"/>
    <w:rsid w:val="00F628EF"/>
    <w:rsid w:val="00F62D1B"/>
    <w:rsid w:val="00F62D4D"/>
    <w:rsid w:val="00F62E92"/>
    <w:rsid w:val="00F62EF5"/>
    <w:rsid w:val="00F63181"/>
    <w:rsid w:val="00F632A7"/>
    <w:rsid w:val="00F6337A"/>
    <w:rsid w:val="00F63461"/>
    <w:rsid w:val="00F6358F"/>
    <w:rsid w:val="00F63801"/>
    <w:rsid w:val="00F6380A"/>
    <w:rsid w:val="00F63AB6"/>
    <w:rsid w:val="00F63AE4"/>
    <w:rsid w:val="00F63B6C"/>
    <w:rsid w:val="00F63BAE"/>
    <w:rsid w:val="00F63D04"/>
    <w:rsid w:val="00F63DA4"/>
    <w:rsid w:val="00F640F2"/>
    <w:rsid w:val="00F64158"/>
    <w:rsid w:val="00F64246"/>
    <w:rsid w:val="00F6436F"/>
    <w:rsid w:val="00F64424"/>
    <w:rsid w:val="00F6442C"/>
    <w:rsid w:val="00F6486B"/>
    <w:rsid w:val="00F648B0"/>
    <w:rsid w:val="00F64A72"/>
    <w:rsid w:val="00F64B59"/>
    <w:rsid w:val="00F64C01"/>
    <w:rsid w:val="00F64DDB"/>
    <w:rsid w:val="00F64E83"/>
    <w:rsid w:val="00F64EF1"/>
    <w:rsid w:val="00F64FF3"/>
    <w:rsid w:val="00F65507"/>
    <w:rsid w:val="00F65532"/>
    <w:rsid w:val="00F65645"/>
    <w:rsid w:val="00F65889"/>
    <w:rsid w:val="00F65925"/>
    <w:rsid w:val="00F65991"/>
    <w:rsid w:val="00F65B93"/>
    <w:rsid w:val="00F65C75"/>
    <w:rsid w:val="00F65C8D"/>
    <w:rsid w:val="00F65F39"/>
    <w:rsid w:val="00F65F96"/>
    <w:rsid w:val="00F65FA3"/>
    <w:rsid w:val="00F66005"/>
    <w:rsid w:val="00F6601F"/>
    <w:rsid w:val="00F6614A"/>
    <w:rsid w:val="00F66254"/>
    <w:rsid w:val="00F662B3"/>
    <w:rsid w:val="00F6630E"/>
    <w:rsid w:val="00F6636F"/>
    <w:rsid w:val="00F663A5"/>
    <w:rsid w:val="00F665D5"/>
    <w:rsid w:val="00F667A4"/>
    <w:rsid w:val="00F6692A"/>
    <w:rsid w:val="00F66A66"/>
    <w:rsid w:val="00F66BBF"/>
    <w:rsid w:val="00F66C5A"/>
    <w:rsid w:val="00F66D33"/>
    <w:rsid w:val="00F6754D"/>
    <w:rsid w:val="00F67673"/>
    <w:rsid w:val="00F67684"/>
    <w:rsid w:val="00F676F7"/>
    <w:rsid w:val="00F6774A"/>
    <w:rsid w:val="00F67842"/>
    <w:rsid w:val="00F679C2"/>
    <w:rsid w:val="00F67A5B"/>
    <w:rsid w:val="00F67A74"/>
    <w:rsid w:val="00F67C68"/>
    <w:rsid w:val="00F67D6E"/>
    <w:rsid w:val="00F70011"/>
    <w:rsid w:val="00F700CA"/>
    <w:rsid w:val="00F703B0"/>
    <w:rsid w:val="00F70595"/>
    <w:rsid w:val="00F705DD"/>
    <w:rsid w:val="00F706C7"/>
    <w:rsid w:val="00F709CC"/>
    <w:rsid w:val="00F70A27"/>
    <w:rsid w:val="00F70AB1"/>
    <w:rsid w:val="00F70B04"/>
    <w:rsid w:val="00F70C0A"/>
    <w:rsid w:val="00F70F27"/>
    <w:rsid w:val="00F70F43"/>
    <w:rsid w:val="00F71003"/>
    <w:rsid w:val="00F7109C"/>
    <w:rsid w:val="00F710EA"/>
    <w:rsid w:val="00F711BF"/>
    <w:rsid w:val="00F715D5"/>
    <w:rsid w:val="00F7164D"/>
    <w:rsid w:val="00F71772"/>
    <w:rsid w:val="00F7197F"/>
    <w:rsid w:val="00F71DAD"/>
    <w:rsid w:val="00F71F0D"/>
    <w:rsid w:val="00F71FA2"/>
    <w:rsid w:val="00F72063"/>
    <w:rsid w:val="00F72101"/>
    <w:rsid w:val="00F721E3"/>
    <w:rsid w:val="00F7235C"/>
    <w:rsid w:val="00F726DA"/>
    <w:rsid w:val="00F72702"/>
    <w:rsid w:val="00F7277C"/>
    <w:rsid w:val="00F727E1"/>
    <w:rsid w:val="00F727EA"/>
    <w:rsid w:val="00F72AD1"/>
    <w:rsid w:val="00F72AE0"/>
    <w:rsid w:val="00F72BE2"/>
    <w:rsid w:val="00F72BEB"/>
    <w:rsid w:val="00F72C0D"/>
    <w:rsid w:val="00F72DC3"/>
    <w:rsid w:val="00F72E58"/>
    <w:rsid w:val="00F7338A"/>
    <w:rsid w:val="00F7345B"/>
    <w:rsid w:val="00F7346B"/>
    <w:rsid w:val="00F7385C"/>
    <w:rsid w:val="00F738CF"/>
    <w:rsid w:val="00F73A78"/>
    <w:rsid w:val="00F73B24"/>
    <w:rsid w:val="00F73B47"/>
    <w:rsid w:val="00F73C09"/>
    <w:rsid w:val="00F73E6D"/>
    <w:rsid w:val="00F73F49"/>
    <w:rsid w:val="00F74107"/>
    <w:rsid w:val="00F7411D"/>
    <w:rsid w:val="00F7421B"/>
    <w:rsid w:val="00F7468D"/>
    <w:rsid w:val="00F74AFC"/>
    <w:rsid w:val="00F74D33"/>
    <w:rsid w:val="00F74E7D"/>
    <w:rsid w:val="00F74FB0"/>
    <w:rsid w:val="00F75157"/>
    <w:rsid w:val="00F751B5"/>
    <w:rsid w:val="00F7521F"/>
    <w:rsid w:val="00F75398"/>
    <w:rsid w:val="00F75628"/>
    <w:rsid w:val="00F7563B"/>
    <w:rsid w:val="00F756F4"/>
    <w:rsid w:val="00F7577E"/>
    <w:rsid w:val="00F7580E"/>
    <w:rsid w:val="00F75822"/>
    <w:rsid w:val="00F758AC"/>
    <w:rsid w:val="00F75A42"/>
    <w:rsid w:val="00F75A93"/>
    <w:rsid w:val="00F75BB5"/>
    <w:rsid w:val="00F75BF9"/>
    <w:rsid w:val="00F75F50"/>
    <w:rsid w:val="00F76073"/>
    <w:rsid w:val="00F76112"/>
    <w:rsid w:val="00F76164"/>
    <w:rsid w:val="00F76256"/>
    <w:rsid w:val="00F765F8"/>
    <w:rsid w:val="00F766F2"/>
    <w:rsid w:val="00F76C8C"/>
    <w:rsid w:val="00F76D08"/>
    <w:rsid w:val="00F76D65"/>
    <w:rsid w:val="00F76DCF"/>
    <w:rsid w:val="00F76F28"/>
    <w:rsid w:val="00F77050"/>
    <w:rsid w:val="00F77192"/>
    <w:rsid w:val="00F7738A"/>
    <w:rsid w:val="00F773D1"/>
    <w:rsid w:val="00F773ED"/>
    <w:rsid w:val="00F77523"/>
    <w:rsid w:val="00F77537"/>
    <w:rsid w:val="00F77543"/>
    <w:rsid w:val="00F77583"/>
    <w:rsid w:val="00F77595"/>
    <w:rsid w:val="00F775AE"/>
    <w:rsid w:val="00F7761A"/>
    <w:rsid w:val="00F776C6"/>
    <w:rsid w:val="00F777C5"/>
    <w:rsid w:val="00F7794E"/>
    <w:rsid w:val="00F77990"/>
    <w:rsid w:val="00F77A6A"/>
    <w:rsid w:val="00F77A82"/>
    <w:rsid w:val="00F77B32"/>
    <w:rsid w:val="00F77DA8"/>
    <w:rsid w:val="00F77EBC"/>
    <w:rsid w:val="00F77EE5"/>
    <w:rsid w:val="00F77F2E"/>
    <w:rsid w:val="00F77F64"/>
    <w:rsid w:val="00F77F78"/>
    <w:rsid w:val="00F800E9"/>
    <w:rsid w:val="00F801DA"/>
    <w:rsid w:val="00F8024B"/>
    <w:rsid w:val="00F8028B"/>
    <w:rsid w:val="00F802A4"/>
    <w:rsid w:val="00F802E7"/>
    <w:rsid w:val="00F80674"/>
    <w:rsid w:val="00F80803"/>
    <w:rsid w:val="00F808BD"/>
    <w:rsid w:val="00F808F3"/>
    <w:rsid w:val="00F80963"/>
    <w:rsid w:val="00F80C64"/>
    <w:rsid w:val="00F80FBA"/>
    <w:rsid w:val="00F81144"/>
    <w:rsid w:val="00F8122D"/>
    <w:rsid w:val="00F8132E"/>
    <w:rsid w:val="00F81333"/>
    <w:rsid w:val="00F81684"/>
    <w:rsid w:val="00F81713"/>
    <w:rsid w:val="00F81893"/>
    <w:rsid w:val="00F818A5"/>
    <w:rsid w:val="00F81987"/>
    <w:rsid w:val="00F81B11"/>
    <w:rsid w:val="00F81C9F"/>
    <w:rsid w:val="00F81CDF"/>
    <w:rsid w:val="00F81FFE"/>
    <w:rsid w:val="00F8202D"/>
    <w:rsid w:val="00F820BA"/>
    <w:rsid w:val="00F820E4"/>
    <w:rsid w:val="00F82101"/>
    <w:rsid w:val="00F82250"/>
    <w:rsid w:val="00F82325"/>
    <w:rsid w:val="00F8257D"/>
    <w:rsid w:val="00F8264B"/>
    <w:rsid w:val="00F82727"/>
    <w:rsid w:val="00F828E0"/>
    <w:rsid w:val="00F828EC"/>
    <w:rsid w:val="00F8298D"/>
    <w:rsid w:val="00F82BA0"/>
    <w:rsid w:val="00F82CBE"/>
    <w:rsid w:val="00F82D0F"/>
    <w:rsid w:val="00F82D49"/>
    <w:rsid w:val="00F83139"/>
    <w:rsid w:val="00F83195"/>
    <w:rsid w:val="00F831D0"/>
    <w:rsid w:val="00F832E8"/>
    <w:rsid w:val="00F8332F"/>
    <w:rsid w:val="00F833A5"/>
    <w:rsid w:val="00F83423"/>
    <w:rsid w:val="00F83480"/>
    <w:rsid w:val="00F83588"/>
    <w:rsid w:val="00F835EF"/>
    <w:rsid w:val="00F837F0"/>
    <w:rsid w:val="00F8398E"/>
    <w:rsid w:val="00F83B5E"/>
    <w:rsid w:val="00F83B84"/>
    <w:rsid w:val="00F83CE3"/>
    <w:rsid w:val="00F83E50"/>
    <w:rsid w:val="00F83F25"/>
    <w:rsid w:val="00F83FAD"/>
    <w:rsid w:val="00F84082"/>
    <w:rsid w:val="00F840F1"/>
    <w:rsid w:val="00F84238"/>
    <w:rsid w:val="00F84273"/>
    <w:rsid w:val="00F84292"/>
    <w:rsid w:val="00F84559"/>
    <w:rsid w:val="00F84B50"/>
    <w:rsid w:val="00F84C1B"/>
    <w:rsid w:val="00F84D0C"/>
    <w:rsid w:val="00F84DC2"/>
    <w:rsid w:val="00F84E56"/>
    <w:rsid w:val="00F84F99"/>
    <w:rsid w:val="00F84FB2"/>
    <w:rsid w:val="00F85054"/>
    <w:rsid w:val="00F852AA"/>
    <w:rsid w:val="00F85876"/>
    <w:rsid w:val="00F858E3"/>
    <w:rsid w:val="00F8594C"/>
    <w:rsid w:val="00F8598E"/>
    <w:rsid w:val="00F85A3B"/>
    <w:rsid w:val="00F85A4E"/>
    <w:rsid w:val="00F85ADA"/>
    <w:rsid w:val="00F85B11"/>
    <w:rsid w:val="00F85E26"/>
    <w:rsid w:val="00F85E3F"/>
    <w:rsid w:val="00F85ED1"/>
    <w:rsid w:val="00F85FBB"/>
    <w:rsid w:val="00F85FFC"/>
    <w:rsid w:val="00F8603F"/>
    <w:rsid w:val="00F86049"/>
    <w:rsid w:val="00F8604D"/>
    <w:rsid w:val="00F860C2"/>
    <w:rsid w:val="00F8681A"/>
    <w:rsid w:val="00F86899"/>
    <w:rsid w:val="00F86910"/>
    <w:rsid w:val="00F8694E"/>
    <w:rsid w:val="00F86ABF"/>
    <w:rsid w:val="00F86BC7"/>
    <w:rsid w:val="00F86C39"/>
    <w:rsid w:val="00F86CB4"/>
    <w:rsid w:val="00F86D49"/>
    <w:rsid w:val="00F86DE1"/>
    <w:rsid w:val="00F86DED"/>
    <w:rsid w:val="00F86F25"/>
    <w:rsid w:val="00F8722C"/>
    <w:rsid w:val="00F87380"/>
    <w:rsid w:val="00F873AE"/>
    <w:rsid w:val="00F873B5"/>
    <w:rsid w:val="00F87647"/>
    <w:rsid w:val="00F87ABF"/>
    <w:rsid w:val="00F87BFD"/>
    <w:rsid w:val="00F87C92"/>
    <w:rsid w:val="00F87D2E"/>
    <w:rsid w:val="00F87D73"/>
    <w:rsid w:val="00F90150"/>
    <w:rsid w:val="00F901F6"/>
    <w:rsid w:val="00F9031D"/>
    <w:rsid w:val="00F904AF"/>
    <w:rsid w:val="00F90574"/>
    <w:rsid w:val="00F90615"/>
    <w:rsid w:val="00F906AA"/>
    <w:rsid w:val="00F9098D"/>
    <w:rsid w:val="00F90A69"/>
    <w:rsid w:val="00F90B1B"/>
    <w:rsid w:val="00F90BD1"/>
    <w:rsid w:val="00F90BE2"/>
    <w:rsid w:val="00F90BFE"/>
    <w:rsid w:val="00F90D66"/>
    <w:rsid w:val="00F90D91"/>
    <w:rsid w:val="00F90E1A"/>
    <w:rsid w:val="00F90FA8"/>
    <w:rsid w:val="00F910E5"/>
    <w:rsid w:val="00F910EF"/>
    <w:rsid w:val="00F911E7"/>
    <w:rsid w:val="00F913D8"/>
    <w:rsid w:val="00F914AA"/>
    <w:rsid w:val="00F914D7"/>
    <w:rsid w:val="00F91569"/>
    <w:rsid w:val="00F91580"/>
    <w:rsid w:val="00F9165C"/>
    <w:rsid w:val="00F916D0"/>
    <w:rsid w:val="00F9173F"/>
    <w:rsid w:val="00F91877"/>
    <w:rsid w:val="00F918C2"/>
    <w:rsid w:val="00F91924"/>
    <w:rsid w:val="00F919BD"/>
    <w:rsid w:val="00F91A65"/>
    <w:rsid w:val="00F91B7E"/>
    <w:rsid w:val="00F91C8C"/>
    <w:rsid w:val="00F91D39"/>
    <w:rsid w:val="00F91DDD"/>
    <w:rsid w:val="00F91E52"/>
    <w:rsid w:val="00F91E9D"/>
    <w:rsid w:val="00F91EC3"/>
    <w:rsid w:val="00F91FEB"/>
    <w:rsid w:val="00F920C1"/>
    <w:rsid w:val="00F921EA"/>
    <w:rsid w:val="00F92299"/>
    <w:rsid w:val="00F922B7"/>
    <w:rsid w:val="00F9242F"/>
    <w:rsid w:val="00F9246E"/>
    <w:rsid w:val="00F92608"/>
    <w:rsid w:val="00F92615"/>
    <w:rsid w:val="00F9289F"/>
    <w:rsid w:val="00F92BB6"/>
    <w:rsid w:val="00F92C0B"/>
    <w:rsid w:val="00F92E81"/>
    <w:rsid w:val="00F92EC8"/>
    <w:rsid w:val="00F93123"/>
    <w:rsid w:val="00F931AD"/>
    <w:rsid w:val="00F934CC"/>
    <w:rsid w:val="00F935DF"/>
    <w:rsid w:val="00F937A6"/>
    <w:rsid w:val="00F937EB"/>
    <w:rsid w:val="00F937ED"/>
    <w:rsid w:val="00F93940"/>
    <w:rsid w:val="00F93B90"/>
    <w:rsid w:val="00F93BF7"/>
    <w:rsid w:val="00F93E24"/>
    <w:rsid w:val="00F93E93"/>
    <w:rsid w:val="00F93EBC"/>
    <w:rsid w:val="00F93EC9"/>
    <w:rsid w:val="00F940F6"/>
    <w:rsid w:val="00F941B0"/>
    <w:rsid w:val="00F94415"/>
    <w:rsid w:val="00F9453D"/>
    <w:rsid w:val="00F94607"/>
    <w:rsid w:val="00F94655"/>
    <w:rsid w:val="00F9468B"/>
    <w:rsid w:val="00F94765"/>
    <w:rsid w:val="00F94843"/>
    <w:rsid w:val="00F94860"/>
    <w:rsid w:val="00F949AC"/>
    <w:rsid w:val="00F94AA3"/>
    <w:rsid w:val="00F94B0F"/>
    <w:rsid w:val="00F94C14"/>
    <w:rsid w:val="00F94C51"/>
    <w:rsid w:val="00F94D91"/>
    <w:rsid w:val="00F94DED"/>
    <w:rsid w:val="00F94EDD"/>
    <w:rsid w:val="00F94F01"/>
    <w:rsid w:val="00F94F38"/>
    <w:rsid w:val="00F9501E"/>
    <w:rsid w:val="00F9503C"/>
    <w:rsid w:val="00F95160"/>
    <w:rsid w:val="00F952DF"/>
    <w:rsid w:val="00F953CC"/>
    <w:rsid w:val="00F955A7"/>
    <w:rsid w:val="00F9565D"/>
    <w:rsid w:val="00F95682"/>
    <w:rsid w:val="00F9578F"/>
    <w:rsid w:val="00F9585C"/>
    <w:rsid w:val="00F958F2"/>
    <w:rsid w:val="00F958F3"/>
    <w:rsid w:val="00F9596A"/>
    <w:rsid w:val="00F95AB3"/>
    <w:rsid w:val="00F95B12"/>
    <w:rsid w:val="00F95BD9"/>
    <w:rsid w:val="00F95CC0"/>
    <w:rsid w:val="00F95CC3"/>
    <w:rsid w:val="00F95D82"/>
    <w:rsid w:val="00F95E3D"/>
    <w:rsid w:val="00F95EE5"/>
    <w:rsid w:val="00F95FA6"/>
    <w:rsid w:val="00F9608E"/>
    <w:rsid w:val="00F96184"/>
    <w:rsid w:val="00F964CF"/>
    <w:rsid w:val="00F964D6"/>
    <w:rsid w:val="00F96544"/>
    <w:rsid w:val="00F965BD"/>
    <w:rsid w:val="00F965E9"/>
    <w:rsid w:val="00F966ED"/>
    <w:rsid w:val="00F96A07"/>
    <w:rsid w:val="00F96BDD"/>
    <w:rsid w:val="00F96E15"/>
    <w:rsid w:val="00F96FFB"/>
    <w:rsid w:val="00F97041"/>
    <w:rsid w:val="00F9704F"/>
    <w:rsid w:val="00F9725E"/>
    <w:rsid w:val="00F97488"/>
    <w:rsid w:val="00F974F2"/>
    <w:rsid w:val="00F97561"/>
    <w:rsid w:val="00F976AE"/>
    <w:rsid w:val="00F976B3"/>
    <w:rsid w:val="00F977DB"/>
    <w:rsid w:val="00F97946"/>
    <w:rsid w:val="00F97C38"/>
    <w:rsid w:val="00F97C5E"/>
    <w:rsid w:val="00F97CFE"/>
    <w:rsid w:val="00F97FB1"/>
    <w:rsid w:val="00F9A3DB"/>
    <w:rsid w:val="00FA0007"/>
    <w:rsid w:val="00FA0467"/>
    <w:rsid w:val="00FA04E9"/>
    <w:rsid w:val="00FA0544"/>
    <w:rsid w:val="00FA0638"/>
    <w:rsid w:val="00FA0652"/>
    <w:rsid w:val="00FA07AE"/>
    <w:rsid w:val="00FA07BE"/>
    <w:rsid w:val="00FA0889"/>
    <w:rsid w:val="00FA0A00"/>
    <w:rsid w:val="00FA0A22"/>
    <w:rsid w:val="00FA0A91"/>
    <w:rsid w:val="00FA0AB3"/>
    <w:rsid w:val="00FA0B6B"/>
    <w:rsid w:val="00FA0D54"/>
    <w:rsid w:val="00FA0DA3"/>
    <w:rsid w:val="00FA1237"/>
    <w:rsid w:val="00FA12B6"/>
    <w:rsid w:val="00FA12DC"/>
    <w:rsid w:val="00FA12E7"/>
    <w:rsid w:val="00FA137B"/>
    <w:rsid w:val="00FA1391"/>
    <w:rsid w:val="00FA13AB"/>
    <w:rsid w:val="00FA13C2"/>
    <w:rsid w:val="00FA1473"/>
    <w:rsid w:val="00FA1562"/>
    <w:rsid w:val="00FA1583"/>
    <w:rsid w:val="00FA15F9"/>
    <w:rsid w:val="00FA1626"/>
    <w:rsid w:val="00FA165C"/>
    <w:rsid w:val="00FA16F2"/>
    <w:rsid w:val="00FA17E6"/>
    <w:rsid w:val="00FA1FAC"/>
    <w:rsid w:val="00FA203B"/>
    <w:rsid w:val="00FA2174"/>
    <w:rsid w:val="00FA2215"/>
    <w:rsid w:val="00FA236B"/>
    <w:rsid w:val="00FA260D"/>
    <w:rsid w:val="00FA2744"/>
    <w:rsid w:val="00FA28AF"/>
    <w:rsid w:val="00FA2A4A"/>
    <w:rsid w:val="00FA2BEC"/>
    <w:rsid w:val="00FA2D70"/>
    <w:rsid w:val="00FA2ECA"/>
    <w:rsid w:val="00FA34E3"/>
    <w:rsid w:val="00FA3591"/>
    <w:rsid w:val="00FA35D1"/>
    <w:rsid w:val="00FA36F2"/>
    <w:rsid w:val="00FA3703"/>
    <w:rsid w:val="00FA371F"/>
    <w:rsid w:val="00FA373D"/>
    <w:rsid w:val="00FA374D"/>
    <w:rsid w:val="00FA37C8"/>
    <w:rsid w:val="00FA3982"/>
    <w:rsid w:val="00FA39C9"/>
    <w:rsid w:val="00FA3B93"/>
    <w:rsid w:val="00FA3B9C"/>
    <w:rsid w:val="00FA3BD3"/>
    <w:rsid w:val="00FA3BF7"/>
    <w:rsid w:val="00FA3C15"/>
    <w:rsid w:val="00FA3C3F"/>
    <w:rsid w:val="00FA3DC5"/>
    <w:rsid w:val="00FA3DD2"/>
    <w:rsid w:val="00FA3E4F"/>
    <w:rsid w:val="00FA3F86"/>
    <w:rsid w:val="00FA4076"/>
    <w:rsid w:val="00FA4286"/>
    <w:rsid w:val="00FA42A1"/>
    <w:rsid w:val="00FA4583"/>
    <w:rsid w:val="00FA45E5"/>
    <w:rsid w:val="00FA45F6"/>
    <w:rsid w:val="00FA482F"/>
    <w:rsid w:val="00FA4895"/>
    <w:rsid w:val="00FA48B5"/>
    <w:rsid w:val="00FA497A"/>
    <w:rsid w:val="00FA4986"/>
    <w:rsid w:val="00FA49A5"/>
    <w:rsid w:val="00FA49DD"/>
    <w:rsid w:val="00FA4C4C"/>
    <w:rsid w:val="00FA4CB6"/>
    <w:rsid w:val="00FA4CD1"/>
    <w:rsid w:val="00FA4FA3"/>
    <w:rsid w:val="00FA5041"/>
    <w:rsid w:val="00FA5119"/>
    <w:rsid w:val="00FA513C"/>
    <w:rsid w:val="00FA5165"/>
    <w:rsid w:val="00FA523F"/>
    <w:rsid w:val="00FA532C"/>
    <w:rsid w:val="00FA532E"/>
    <w:rsid w:val="00FA537D"/>
    <w:rsid w:val="00FA53B0"/>
    <w:rsid w:val="00FA5493"/>
    <w:rsid w:val="00FA54D6"/>
    <w:rsid w:val="00FA56F6"/>
    <w:rsid w:val="00FA5818"/>
    <w:rsid w:val="00FA58FB"/>
    <w:rsid w:val="00FA5EFD"/>
    <w:rsid w:val="00FA6003"/>
    <w:rsid w:val="00FA60A7"/>
    <w:rsid w:val="00FA610B"/>
    <w:rsid w:val="00FA617A"/>
    <w:rsid w:val="00FA6223"/>
    <w:rsid w:val="00FA6270"/>
    <w:rsid w:val="00FA62A0"/>
    <w:rsid w:val="00FA6419"/>
    <w:rsid w:val="00FA652C"/>
    <w:rsid w:val="00FA65E5"/>
    <w:rsid w:val="00FA66A6"/>
    <w:rsid w:val="00FA68D5"/>
    <w:rsid w:val="00FA6985"/>
    <w:rsid w:val="00FA6B34"/>
    <w:rsid w:val="00FA6E41"/>
    <w:rsid w:val="00FA6F1F"/>
    <w:rsid w:val="00FA6F61"/>
    <w:rsid w:val="00FA7070"/>
    <w:rsid w:val="00FA70F6"/>
    <w:rsid w:val="00FA7233"/>
    <w:rsid w:val="00FA7284"/>
    <w:rsid w:val="00FA72C1"/>
    <w:rsid w:val="00FA73D8"/>
    <w:rsid w:val="00FA7904"/>
    <w:rsid w:val="00FA7A12"/>
    <w:rsid w:val="00FA7F89"/>
    <w:rsid w:val="00FA7FA2"/>
    <w:rsid w:val="00FB0258"/>
    <w:rsid w:val="00FB02CA"/>
    <w:rsid w:val="00FB034E"/>
    <w:rsid w:val="00FB0464"/>
    <w:rsid w:val="00FB059F"/>
    <w:rsid w:val="00FB060A"/>
    <w:rsid w:val="00FB07D9"/>
    <w:rsid w:val="00FB0E16"/>
    <w:rsid w:val="00FB101E"/>
    <w:rsid w:val="00FB13ED"/>
    <w:rsid w:val="00FB1520"/>
    <w:rsid w:val="00FB1638"/>
    <w:rsid w:val="00FB1726"/>
    <w:rsid w:val="00FB19EE"/>
    <w:rsid w:val="00FB1C5A"/>
    <w:rsid w:val="00FB1D8D"/>
    <w:rsid w:val="00FB1DB8"/>
    <w:rsid w:val="00FB1E07"/>
    <w:rsid w:val="00FB204D"/>
    <w:rsid w:val="00FB2164"/>
    <w:rsid w:val="00FB2266"/>
    <w:rsid w:val="00FB2284"/>
    <w:rsid w:val="00FB22C8"/>
    <w:rsid w:val="00FB245F"/>
    <w:rsid w:val="00FB24F3"/>
    <w:rsid w:val="00FB2515"/>
    <w:rsid w:val="00FB2643"/>
    <w:rsid w:val="00FB2678"/>
    <w:rsid w:val="00FB2778"/>
    <w:rsid w:val="00FB27ED"/>
    <w:rsid w:val="00FB2955"/>
    <w:rsid w:val="00FB29F4"/>
    <w:rsid w:val="00FB2BEC"/>
    <w:rsid w:val="00FB2C8C"/>
    <w:rsid w:val="00FB2D09"/>
    <w:rsid w:val="00FB2FD0"/>
    <w:rsid w:val="00FB3040"/>
    <w:rsid w:val="00FB3063"/>
    <w:rsid w:val="00FB3106"/>
    <w:rsid w:val="00FB3154"/>
    <w:rsid w:val="00FB3360"/>
    <w:rsid w:val="00FB3395"/>
    <w:rsid w:val="00FB33D0"/>
    <w:rsid w:val="00FB33F0"/>
    <w:rsid w:val="00FB34E8"/>
    <w:rsid w:val="00FB35AD"/>
    <w:rsid w:val="00FB374D"/>
    <w:rsid w:val="00FB3899"/>
    <w:rsid w:val="00FB3982"/>
    <w:rsid w:val="00FB3990"/>
    <w:rsid w:val="00FB39A1"/>
    <w:rsid w:val="00FB39F2"/>
    <w:rsid w:val="00FB3BFF"/>
    <w:rsid w:val="00FB3D01"/>
    <w:rsid w:val="00FB3D2F"/>
    <w:rsid w:val="00FB3DAF"/>
    <w:rsid w:val="00FB3E8E"/>
    <w:rsid w:val="00FB4012"/>
    <w:rsid w:val="00FB40F0"/>
    <w:rsid w:val="00FB4308"/>
    <w:rsid w:val="00FB44FE"/>
    <w:rsid w:val="00FB45F3"/>
    <w:rsid w:val="00FB473C"/>
    <w:rsid w:val="00FB47AA"/>
    <w:rsid w:val="00FB4832"/>
    <w:rsid w:val="00FB4877"/>
    <w:rsid w:val="00FB4A48"/>
    <w:rsid w:val="00FB4DC9"/>
    <w:rsid w:val="00FB4F5B"/>
    <w:rsid w:val="00FB4F79"/>
    <w:rsid w:val="00FB4F81"/>
    <w:rsid w:val="00FB4F9C"/>
    <w:rsid w:val="00FB50CC"/>
    <w:rsid w:val="00FB515E"/>
    <w:rsid w:val="00FB516B"/>
    <w:rsid w:val="00FB52C5"/>
    <w:rsid w:val="00FB53A7"/>
    <w:rsid w:val="00FB53BF"/>
    <w:rsid w:val="00FB55DA"/>
    <w:rsid w:val="00FB565D"/>
    <w:rsid w:val="00FB57C6"/>
    <w:rsid w:val="00FB57D8"/>
    <w:rsid w:val="00FB58BB"/>
    <w:rsid w:val="00FB58C2"/>
    <w:rsid w:val="00FB58D4"/>
    <w:rsid w:val="00FB5938"/>
    <w:rsid w:val="00FB5C19"/>
    <w:rsid w:val="00FB5D56"/>
    <w:rsid w:val="00FB5D6F"/>
    <w:rsid w:val="00FB5DE7"/>
    <w:rsid w:val="00FB6264"/>
    <w:rsid w:val="00FB64CE"/>
    <w:rsid w:val="00FB65C9"/>
    <w:rsid w:val="00FB65EF"/>
    <w:rsid w:val="00FB6854"/>
    <w:rsid w:val="00FB68B2"/>
    <w:rsid w:val="00FB68D3"/>
    <w:rsid w:val="00FB6ADD"/>
    <w:rsid w:val="00FB6CBE"/>
    <w:rsid w:val="00FB6D33"/>
    <w:rsid w:val="00FB6EC0"/>
    <w:rsid w:val="00FB6F33"/>
    <w:rsid w:val="00FB71AE"/>
    <w:rsid w:val="00FB7250"/>
    <w:rsid w:val="00FB727B"/>
    <w:rsid w:val="00FB739E"/>
    <w:rsid w:val="00FB73AB"/>
    <w:rsid w:val="00FB7441"/>
    <w:rsid w:val="00FB7628"/>
    <w:rsid w:val="00FB78C2"/>
    <w:rsid w:val="00FB79BE"/>
    <w:rsid w:val="00FB7A54"/>
    <w:rsid w:val="00FB7B85"/>
    <w:rsid w:val="00FB7D75"/>
    <w:rsid w:val="00FB7DBA"/>
    <w:rsid w:val="00FB7E1C"/>
    <w:rsid w:val="00FB7FA2"/>
    <w:rsid w:val="00FC028E"/>
    <w:rsid w:val="00FC0351"/>
    <w:rsid w:val="00FC039C"/>
    <w:rsid w:val="00FC03C2"/>
    <w:rsid w:val="00FC0494"/>
    <w:rsid w:val="00FC067D"/>
    <w:rsid w:val="00FC06C3"/>
    <w:rsid w:val="00FC06DC"/>
    <w:rsid w:val="00FC0CB6"/>
    <w:rsid w:val="00FC0D47"/>
    <w:rsid w:val="00FC0D7F"/>
    <w:rsid w:val="00FC0DDA"/>
    <w:rsid w:val="00FC0E27"/>
    <w:rsid w:val="00FC0E66"/>
    <w:rsid w:val="00FC0E90"/>
    <w:rsid w:val="00FC10EB"/>
    <w:rsid w:val="00FC1182"/>
    <w:rsid w:val="00FC140D"/>
    <w:rsid w:val="00FC1477"/>
    <w:rsid w:val="00FC1492"/>
    <w:rsid w:val="00FC15E8"/>
    <w:rsid w:val="00FC15FD"/>
    <w:rsid w:val="00FC173A"/>
    <w:rsid w:val="00FC177B"/>
    <w:rsid w:val="00FC1B78"/>
    <w:rsid w:val="00FC1BCB"/>
    <w:rsid w:val="00FC1C0B"/>
    <w:rsid w:val="00FC1CBA"/>
    <w:rsid w:val="00FC1DB4"/>
    <w:rsid w:val="00FC1E7A"/>
    <w:rsid w:val="00FC1EE9"/>
    <w:rsid w:val="00FC1EF6"/>
    <w:rsid w:val="00FC209C"/>
    <w:rsid w:val="00FC2216"/>
    <w:rsid w:val="00FC22A0"/>
    <w:rsid w:val="00FC26CF"/>
    <w:rsid w:val="00FC274C"/>
    <w:rsid w:val="00FC2792"/>
    <w:rsid w:val="00FC28B0"/>
    <w:rsid w:val="00FC2BE5"/>
    <w:rsid w:val="00FC2DFE"/>
    <w:rsid w:val="00FC2F21"/>
    <w:rsid w:val="00FC2F44"/>
    <w:rsid w:val="00FC301C"/>
    <w:rsid w:val="00FC3252"/>
    <w:rsid w:val="00FC32D9"/>
    <w:rsid w:val="00FC33B1"/>
    <w:rsid w:val="00FC349D"/>
    <w:rsid w:val="00FC3528"/>
    <w:rsid w:val="00FC358C"/>
    <w:rsid w:val="00FC37C3"/>
    <w:rsid w:val="00FC37E8"/>
    <w:rsid w:val="00FC384C"/>
    <w:rsid w:val="00FC3880"/>
    <w:rsid w:val="00FC394B"/>
    <w:rsid w:val="00FC39AD"/>
    <w:rsid w:val="00FC39CC"/>
    <w:rsid w:val="00FC3A5D"/>
    <w:rsid w:val="00FC3D96"/>
    <w:rsid w:val="00FC3E02"/>
    <w:rsid w:val="00FC3EBC"/>
    <w:rsid w:val="00FC4022"/>
    <w:rsid w:val="00FC416D"/>
    <w:rsid w:val="00FC41AA"/>
    <w:rsid w:val="00FC41B6"/>
    <w:rsid w:val="00FC41EF"/>
    <w:rsid w:val="00FC4233"/>
    <w:rsid w:val="00FC4317"/>
    <w:rsid w:val="00FC4543"/>
    <w:rsid w:val="00FC4A06"/>
    <w:rsid w:val="00FC4B43"/>
    <w:rsid w:val="00FC4DC7"/>
    <w:rsid w:val="00FC4F47"/>
    <w:rsid w:val="00FC511A"/>
    <w:rsid w:val="00FC5120"/>
    <w:rsid w:val="00FC5177"/>
    <w:rsid w:val="00FC5291"/>
    <w:rsid w:val="00FC533A"/>
    <w:rsid w:val="00FC543C"/>
    <w:rsid w:val="00FC544E"/>
    <w:rsid w:val="00FC54AF"/>
    <w:rsid w:val="00FC5527"/>
    <w:rsid w:val="00FC56FC"/>
    <w:rsid w:val="00FC573F"/>
    <w:rsid w:val="00FC580D"/>
    <w:rsid w:val="00FC5871"/>
    <w:rsid w:val="00FC598B"/>
    <w:rsid w:val="00FC59A9"/>
    <w:rsid w:val="00FC5A61"/>
    <w:rsid w:val="00FC5AA3"/>
    <w:rsid w:val="00FC5AED"/>
    <w:rsid w:val="00FC5B0D"/>
    <w:rsid w:val="00FC5B50"/>
    <w:rsid w:val="00FC5BAF"/>
    <w:rsid w:val="00FC5BB9"/>
    <w:rsid w:val="00FC5BC5"/>
    <w:rsid w:val="00FC5C62"/>
    <w:rsid w:val="00FC5EF0"/>
    <w:rsid w:val="00FC6069"/>
    <w:rsid w:val="00FC606E"/>
    <w:rsid w:val="00FC61B2"/>
    <w:rsid w:val="00FC620A"/>
    <w:rsid w:val="00FC62FD"/>
    <w:rsid w:val="00FC6435"/>
    <w:rsid w:val="00FC64C7"/>
    <w:rsid w:val="00FC6669"/>
    <w:rsid w:val="00FC6856"/>
    <w:rsid w:val="00FC69F7"/>
    <w:rsid w:val="00FC6BAD"/>
    <w:rsid w:val="00FC6CB7"/>
    <w:rsid w:val="00FC6EF6"/>
    <w:rsid w:val="00FC6FC7"/>
    <w:rsid w:val="00FC7062"/>
    <w:rsid w:val="00FC713E"/>
    <w:rsid w:val="00FC724E"/>
    <w:rsid w:val="00FC72C0"/>
    <w:rsid w:val="00FC7338"/>
    <w:rsid w:val="00FC74A4"/>
    <w:rsid w:val="00FC7517"/>
    <w:rsid w:val="00FC772F"/>
    <w:rsid w:val="00FC7886"/>
    <w:rsid w:val="00FC7889"/>
    <w:rsid w:val="00FC788D"/>
    <w:rsid w:val="00FC7A76"/>
    <w:rsid w:val="00FC7B83"/>
    <w:rsid w:val="00FC7B89"/>
    <w:rsid w:val="00FC7DF6"/>
    <w:rsid w:val="00FC7DFF"/>
    <w:rsid w:val="00FC7EED"/>
    <w:rsid w:val="00FD0202"/>
    <w:rsid w:val="00FD02E8"/>
    <w:rsid w:val="00FD039C"/>
    <w:rsid w:val="00FD04E0"/>
    <w:rsid w:val="00FD0557"/>
    <w:rsid w:val="00FD0580"/>
    <w:rsid w:val="00FD05C3"/>
    <w:rsid w:val="00FD078C"/>
    <w:rsid w:val="00FD0886"/>
    <w:rsid w:val="00FD08B0"/>
    <w:rsid w:val="00FD094F"/>
    <w:rsid w:val="00FD0A06"/>
    <w:rsid w:val="00FD0C18"/>
    <w:rsid w:val="00FD0CEE"/>
    <w:rsid w:val="00FD0FB1"/>
    <w:rsid w:val="00FD0FFA"/>
    <w:rsid w:val="00FD1035"/>
    <w:rsid w:val="00FD112A"/>
    <w:rsid w:val="00FD12E5"/>
    <w:rsid w:val="00FD14D8"/>
    <w:rsid w:val="00FD15AA"/>
    <w:rsid w:val="00FD1856"/>
    <w:rsid w:val="00FD1ACB"/>
    <w:rsid w:val="00FD1BCD"/>
    <w:rsid w:val="00FD1D57"/>
    <w:rsid w:val="00FD1E0F"/>
    <w:rsid w:val="00FD1E10"/>
    <w:rsid w:val="00FD1FD1"/>
    <w:rsid w:val="00FD2175"/>
    <w:rsid w:val="00FD241B"/>
    <w:rsid w:val="00FD2421"/>
    <w:rsid w:val="00FD24AD"/>
    <w:rsid w:val="00FD25A6"/>
    <w:rsid w:val="00FD2776"/>
    <w:rsid w:val="00FD27D2"/>
    <w:rsid w:val="00FD282A"/>
    <w:rsid w:val="00FD28A9"/>
    <w:rsid w:val="00FD28B1"/>
    <w:rsid w:val="00FD2A9B"/>
    <w:rsid w:val="00FD2AB0"/>
    <w:rsid w:val="00FD2AC4"/>
    <w:rsid w:val="00FD2C5D"/>
    <w:rsid w:val="00FD2E7C"/>
    <w:rsid w:val="00FD2F03"/>
    <w:rsid w:val="00FD300C"/>
    <w:rsid w:val="00FD335D"/>
    <w:rsid w:val="00FD3374"/>
    <w:rsid w:val="00FD34AB"/>
    <w:rsid w:val="00FD36F9"/>
    <w:rsid w:val="00FD3724"/>
    <w:rsid w:val="00FD3886"/>
    <w:rsid w:val="00FD39A2"/>
    <w:rsid w:val="00FD3B84"/>
    <w:rsid w:val="00FD3D82"/>
    <w:rsid w:val="00FD3F10"/>
    <w:rsid w:val="00FD41A3"/>
    <w:rsid w:val="00FD42FD"/>
    <w:rsid w:val="00FD4401"/>
    <w:rsid w:val="00FD4484"/>
    <w:rsid w:val="00FD452C"/>
    <w:rsid w:val="00FD4D40"/>
    <w:rsid w:val="00FD4DBF"/>
    <w:rsid w:val="00FD4DE2"/>
    <w:rsid w:val="00FD4E1E"/>
    <w:rsid w:val="00FD4E76"/>
    <w:rsid w:val="00FD4E80"/>
    <w:rsid w:val="00FD4E92"/>
    <w:rsid w:val="00FD4FAD"/>
    <w:rsid w:val="00FD5268"/>
    <w:rsid w:val="00FD52E7"/>
    <w:rsid w:val="00FD5550"/>
    <w:rsid w:val="00FD57A9"/>
    <w:rsid w:val="00FD58C4"/>
    <w:rsid w:val="00FD59D3"/>
    <w:rsid w:val="00FD5A9F"/>
    <w:rsid w:val="00FD5B34"/>
    <w:rsid w:val="00FD5B6E"/>
    <w:rsid w:val="00FD5C9A"/>
    <w:rsid w:val="00FD5CD4"/>
    <w:rsid w:val="00FD5FF9"/>
    <w:rsid w:val="00FD6054"/>
    <w:rsid w:val="00FD605D"/>
    <w:rsid w:val="00FD6194"/>
    <w:rsid w:val="00FD6224"/>
    <w:rsid w:val="00FD62F7"/>
    <w:rsid w:val="00FD636F"/>
    <w:rsid w:val="00FD65BF"/>
    <w:rsid w:val="00FD67AA"/>
    <w:rsid w:val="00FD687D"/>
    <w:rsid w:val="00FD689D"/>
    <w:rsid w:val="00FD68FE"/>
    <w:rsid w:val="00FD69F0"/>
    <w:rsid w:val="00FD6EC6"/>
    <w:rsid w:val="00FD6F50"/>
    <w:rsid w:val="00FD708F"/>
    <w:rsid w:val="00FD71C2"/>
    <w:rsid w:val="00FD71D0"/>
    <w:rsid w:val="00FD72F0"/>
    <w:rsid w:val="00FD73EB"/>
    <w:rsid w:val="00FD7402"/>
    <w:rsid w:val="00FD7484"/>
    <w:rsid w:val="00FD76DB"/>
    <w:rsid w:val="00FD7A11"/>
    <w:rsid w:val="00FD7A4E"/>
    <w:rsid w:val="00FD7ABB"/>
    <w:rsid w:val="00FD7B65"/>
    <w:rsid w:val="00FD7BE7"/>
    <w:rsid w:val="00FD7C37"/>
    <w:rsid w:val="00FD7D6F"/>
    <w:rsid w:val="00FD7DB5"/>
    <w:rsid w:val="00FD7EE2"/>
    <w:rsid w:val="00FD7FC5"/>
    <w:rsid w:val="00FE0004"/>
    <w:rsid w:val="00FE0310"/>
    <w:rsid w:val="00FE036C"/>
    <w:rsid w:val="00FE0478"/>
    <w:rsid w:val="00FE056C"/>
    <w:rsid w:val="00FE06CC"/>
    <w:rsid w:val="00FE07FA"/>
    <w:rsid w:val="00FE09A4"/>
    <w:rsid w:val="00FE0C73"/>
    <w:rsid w:val="00FE0DA6"/>
    <w:rsid w:val="00FE0FBE"/>
    <w:rsid w:val="00FE1135"/>
    <w:rsid w:val="00FE1263"/>
    <w:rsid w:val="00FE1267"/>
    <w:rsid w:val="00FE12A2"/>
    <w:rsid w:val="00FE14B1"/>
    <w:rsid w:val="00FE14D4"/>
    <w:rsid w:val="00FE14FC"/>
    <w:rsid w:val="00FE1640"/>
    <w:rsid w:val="00FE1649"/>
    <w:rsid w:val="00FE166C"/>
    <w:rsid w:val="00FE1714"/>
    <w:rsid w:val="00FE175B"/>
    <w:rsid w:val="00FE1946"/>
    <w:rsid w:val="00FE1949"/>
    <w:rsid w:val="00FE19E9"/>
    <w:rsid w:val="00FE19FF"/>
    <w:rsid w:val="00FE1AA5"/>
    <w:rsid w:val="00FE1AB1"/>
    <w:rsid w:val="00FE1B44"/>
    <w:rsid w:val="00FE1D8C"/>
    <w:rsid w:val="00FE1FD0"/>
    <w:rsid w:val="00FE2100"/>
    <w:rsid w:val="00FE2133"/>
    <w:rsid w:val="00FE229D"/>
    <w:rsid w:val="00FE22BF"/>
    <w:rsid w:val="00FE22D3"/>
    <w:rsid w:val="00FE24A0"/>
    <w:rsid w:val="00FE24C4"/>
    <w:rsid w:val="00FE265E"/>
    <w:rsid w:val="00FE2803"/>
    <w:rsid w:val="00FE28D1"/>
    <w:rsid w:val="00FE2DD5"/>
    <w:rsid w:val="00FE2F3F"/>
    <w:rsid w:val="00FE2F50"/>
    <w:rsid w:val="00FE305A"/>
    <w:rsid w:val="00FE30E3"/>
    <w:rsid w:val="00FE3287"/>
    <w:rsid w:val="00FE3305"/>
    <w:rsid w:val="00FE335E"/>
    <w:rsid w:val="00FE33EF"/>
    <w:rsid w:val="00FE33FD"/>
    <w:rsid w:val="00FE367C"/>
    <w:rsid w:val="00FE37F5"/>
    <w:rsid w:val="00FE38CA"/>
    <w:rsid w:val="00FE3C5A"/>
    <w:rsid w:val="00FE3CC7"/>
    <w:rsid w:val="00FE3D68"/>
    <w:rsid w:val="00FE3DCA"/>
    <w:rsid w:val="00FE3ED4"/>
    <w:rsid w:val="00FE3F15"/>
    <w:rsid w:val="00FE3F90"/>
    <w:rsid w:val="00FE41E5"/>
    <w:rsid w:val="00FE4381"/>
    <w:rsid w:val="00FE44D8"/>
    <w:rsid w:val="00FE4596"/>
    <w:rsid w:val="00FE45BD"/>
    <w:rsid w:val="00FE45F2"/>
    <w:rsid w:val="00FE4734"/>
    <w:rsid w:val="00FE47FC"/>
    <w:rsid w:val="00FE4AB6"/>
    <w:rsid w:val="00FE4D18"/>
    <w:rsid w:val="00FE4ED0"/>
    <w:rsid w:val="00FE5107"/>
    <w:rsid w:val="00FE5130"/>
    <w:rsid w:val="00FE5173"/>
    <w:rsid w:val="00FE532E"/>
    <w:rsid w:val="00FE5399"/>
    <w:rsid w:val="00FE54C3"/>
    <w:rsid w:val="00FE557B"/>
    <w:rsid w:val="00FE5652"/>
    <w:rsid w:val="00FE56B8"/>
    <w:rsid w:val="00FE577D"/>
    <w:rsid w:val="00FE582E"/>
    <w:rsid w:val="00FE5BF7"/>
    <w:rsid w:val="00FE5C30"/>
    <w:rsid w:val="00FE5C4B"/>
    <w:rsid w:val="00FE5DA2"/>
    <w:rsid w:val="00FE5DE2"/>
    <w:rsid w:val="00FE5E0F"/>
    <w:rsid w:val="00FE5FCF"/>
    <w:rsid w:val="00FE6041"/>
    <w:rsid w:val="00FE605C"/>
    <w:rsid w:val="00FE60C2"/>
    <w:rsid w:val="00FE60C9"/>
    <w:rsid w:val="00FE6190"/>
    <w:rsid w:val="00FE625A"/>
    <w:rsid w:val="00FE6296"/>
    <w:rsid w:val="00FE674B"/>
    <w:rsid w:val="00FE68C4"/>
    <w:rsid w:val="00FE6940"/>
    <w:rsid w:val="00FE6975"/>
    <w:rsid w:val="00FE69C1"/>
    <w:rsid w:val="00FE6A8C"/>
    <w:rsid w:val="00FE6BCE"/>
    <w:rsid w:val="00FE6CF9"/>
    <w:rsid w:val="00FE70B1"/>
    <w:rsid w:val="00FE71E8"/>
    <w:rsid w:val="00FE741F"/>
    <w:rsid w:val="00FE7455"/>
    <w:rsid w:val="00FE74A4"/>
    <w:rsid w:val="00FE75D7"/>
    <w:rsid w:val="00FE76AD"/>
    <w:rsid w:val="00FE778D"/>
    <w:rsid w:val="00FE7867"/>
    <w:rsid w:val="00FE7B1D"/>
    <w:rsid w:val="00FE7B7B"/>
    <w:rsid w:val="00FE7BD4"/>
    <w:rsid w:val="00FE7D95"/>
    <w:rsid w:val="00FE7DDF"/>
    <w:rsid w:val="00FE7EA3"/>
    <w:rsid w:val="00FE7EA7"/>
    <w:rsid w:val="00FE7EBD"/>
    <w:rsid w:val="00FF0016"/>
    <w:rsid w:val="00FF00AF"/>
    <w:rsid w:val="00FF0175"/>
    <w:rsid w:val="00FF034A"/>
    <w:rsid w:val="00FF0466"/>
    <w:rsid w:val="00FF0580"/>
    <w:rsid w:val="00FF060D"/>
    <w:rsid w:val="00FF0715"/>
    <w:rsid w:val="00FF0939"/>
    <w:rsid w:val="00FF0A6F"/>
    <w:rsid w:val="00FF0B7C"/>
    <w:rsid w:val="00FF0B9A"/>
    <w:rsid w:val="00FF0C1A"/>
    <w:rsid w:val="00FF0E84"/>
    <w:rsid w:val="00FF1000"/>
    <w:rsid w:val="00FF107B"/>
    <w:rsid w:val="00FF12B2"/>
    <w:rsid w:val="00FF133E"/>
    <w:rsid w:val="00FF1518"/>
    <w:rsid w:val="00FF158A"/>
    <w:rsid w:val="00FF1605"/>
    <w:rsid w:val="00FF168C"/>
    <w:rsid w:val="00FF16DA"/>
    <w:rsid w:val="00FF1731"/>
    <w:rsid w:val="00FF18D0"/>
    <w:rsid w:val="00FF1C4E"/>
    <w:rsid w:val="00FF1D2C"/>
    <w:rsid w:val="00FF1F27"/>
    <w:rsid w:val="00FF1F32"/>
    <w:rsid w:val="00FF1FCC"/>
    <w:rsid w:val="00FF20A5"/>
    <w:rsid w:val="00FF21A2"/>
    <w:rsid w:val="00FF21D6"/>
    <w:rsid w:val="00FF2350"/>
    <w:rsid w:val="00FF23A6"/>
    <w:rsid w:val="00FF240C"/>
    <w:rsid w:val="00FF242D"/>
    <w:rsid w:val="00FF2556"/>
    <w:rsid w:val="00FF2672"/>
    <w:rsid w:val="00FF2687"/>
    <w:rsid w:val="00FF2898"/>
    <w:rsid w:val="00FF2B03"/>
    <w:rsid w:val="00FF2B63"/>
    <w:rsid w:val="00FF2CC5"/>
    <w:rsid w:val="00FF2DA7"/>
    <w:rsid w:val="00FF2EF6"/>
    <w:rsid w:val="00FF2F04"/>
    <w:rsid w:val="00FF2F8E"/>
    <w:rsid w:val="00FF3026"/>
    <w:rsid w:val="00FF3120"/>
    <w:rsid w:val="00FF324C"/>
    <w:rsid w:val="00FF3387"/>
    <w:rsid w:val="00FF3534"/>
    <w:rsid w:val="00FF359E"/>
    <w:rsid w:val="00FF3601"/>
    <w:rsid w:val="00FF3836"/>
    <w:rsid w:val="00FF38C7"/>
    <w:rsid w:val="00FF3979"/>
    <w:rsid w:val="00FF3AA9"/>
    <w:rsid w:val="00FF3B44"/>
    <w:rsid w:val="00FF3BD8"/>
    <w:rsid w:val="00FF3C9B"/>
    <w:rsid w:val="00FF3F45"/>
    <w:rsid w:val="00FF3F54"/>
    <w:rsid w:val="00FF40DD"/>
    <w:rsid w:val="00FF4108"/>
    <w:rsid w:val="00FF42EA"/>
    <w:rsid w:val="00FF4361"/>
    <w:rsid w:val="00FF446B"/>
    <w:rsid w:val="00FF453C"/>
    <w:rsid w:val="00FF45D1"/>
    <w:rsid w:val="00FF463E"/>
    <w:rsid w:val="00FF466D"/>
    <w:rsid w:val="00FF4717"/>
    <w:rsid w:val="00FF4811"/>
    <w:rsid w:val="00FF4836"/>
    <w:rsid w:val="00FF4AE0"/>
    <w:rsid w:val="00FF4C2C"/>
    <w:rsid w:val="00FF4C39"/>
    <w:rsid w:val="00FF4D96"/>
    <w:rsid w:val="00FF4FD3"/>
    <w:rsid w:val="00FF50BF"/>
    <w:rsid w:val="00FF510D"/>
    <w:rsid w:val="00FF5166"/>
    <w:rsid w:val="00FF51C6"/>
    <w:rsid w:val="00FF5213"/>
    <w:rsid w:val="00FF52C1"/>
    <w:rsid w:val="00FF532F"/>
    <w:rsid w:val="00FF5366"/>
    <w:rsid w:val="00FF5425"/>
    <w:rsid w:val="00FF54E5"/>
    <w:rsid w:val="00FF5771"/>
    <w:rsid w:val="00FF5916"/>
    <w:rsid w:val="00FF59F4"/>
    <w:rsid w:val="00FF5C26"/>
    <w:rsid w:val="00FF5C3B"/>
    <w:rsid w:val="00FF5DBA"/>
    <w:rsid w:val="00FF5ED1"/>
    <w:rsid w:val="00FF5ED9"/>
    <w:rsid w:val="00FF6075"/>
    <w:rsid w:val="00FF6089"/>
    <w:rsid w:val="00FF60B6"/>
    <w:rsid w:val="00FF60CF"/>
    <w:rsid w:val="00FF620B"/>
    <w:rsid w:val="00FF64F4"/>
    <w:rsid w:val="00FF6509"/>
    <w:rsid w:val="00FF6541"/>
    <w:rsid w:val="00FF6669"/>
    <w:rsid w:val="00FF66F2"/>
    <w:rsid w:val="00FF6765"/>
    <w:rsid w:val="00FF67B1"/>
    <w:rsid w:val="00FF682C"/>
    <w:rsid w:val="00FF6888"/>
    <w:rsid w:val="00FF6C04"/>
    <w:rsid w:val="00FF6C6B"/>
    <w:rsid w:val="00FF6C6D"/>
    <w:rsid w:val="00FF6DFB"/>
    <w:rsid w:val="00FF6E26"/>
    <w:rsid w:val="00FF6E3C"/>
    <w:rsid w:val="00FF70AB"/>
    <w:rsid w:val="00FF70D2"/>
    <w:rsid w:val="00FF7187"/>
    <w:rsid w:val="00FF7225"/>
    <w:rsid w:val="00FF723C"/>
    <w:rsid w:val="00FF752A"/>
    <w:rsid w:val="00FF7560"/>
    <w:rsid w:val="00FF759D"/>
    <w:rsid w:val="00FF75BA"/>
    <w:rsid w:val="00FF788E"/>
    <w:rsid w:val="00FF79E9"/>
    <w:rsid w:val="00FF7DA5"/>
    <w:rsid w:val="00FF7F2C"/>
    <w:rsid w:val="00FF7FCE"/>
    <w:rsid w:val="00FF7FF0"/>
    <w:rsid w:val="0112323A"/>
    <w:rsid w:val="0123F372"/>
    <w:rsid w:val="01418167"/>
    <w:rsid w:val="0154708A"/>
    <w:rsid w:val="01590FDD"/>
    <w:rsid w:val="0163F6D3"/>
    <w:rsid w:val="01697A53"/>
    <w:rsid w:val="017697E4"/>
    <w:rsid w:val="0177AD3C"/>
    <w:rsid w:val="01825FA2"/>
    <w:rsid w:val="0186C326"/>
    <w:rsid w:val="019545A3"/>
    <w:rsid w:val="01DC074D"/>
    <w:rsid w:val="01DD0BCA"/>
    <w:rsid w:val="01DFF5FA"/>
    <w:rsid w:val="01EB2CA8"/>
    <w:rsid w:val="01EB9D23"/>
    <w:rsid w:val="01EEFA4C"/>
    <w:rsid w:val="01F2DB4F"/>
    <w:rsid w:val="01F3F04E"/>
    <w:rsid w:val="01FCED35"/>
    <w:rsid w:val="01FF2909"/>
    <w:rsid w:val="0218AF5A"/>
    <w:rsid w:val="021C498F"/>
    <w:rsid w:val="022335AF"/>
    <w:rsid w:val="02350374"/>
    <w:rsid w:val="02434AA0"/>
    <w:rsid w:val="02589376"/>
    <w:rsid w:val="025949A7"/>
    <w:rsid w:val="025E4B83"/>
    <w:rsid w:val="02742A14"/>
    <w:rsid w:val="027A92E6"/>
    <w:rsid w:val="028405CE"/>
    <w:rsid w:val="0285D30D"/>
    <w:rsid w:val="028671DA"/>
    <w:rsid w:val="029337AF"/>
    <w:rsid w:val="0293F541"/>
    <w:rsid w:val="029BA5CB"/>
    <w:rsid w:val="029DE0B4"/>
    <w:rsid w:val="02A0325C"/>
    <w:rsid w:val="02A86502"/>
    <w:rsid w:val="02A9F261"/>
    <w:rsid w:val="02C20F32"/>
    <w:rsid w:val="02C2503D"/>
    <w:rsid w:val="02D5E1B8"/>
    <w:rsid w:val="02D98CA8"/>
    <w:rsid w:val="02DE75FE"/>
    <w:rsid w:val="02F9BFD6"/>
    <w:rsid w:val="030D44E6"/>
    <w:rsid w:val="030F0F8F"/>
    <w:rsid w:val="0316BB71"/>
    <w:rsid w:val="03175895"/>
    <w:rsid w:val="031D1793"/>
    <w:rsid w:val="032770BD"/>
    <w:rsid w:val="0328D453"/>
    <w:rsid w:val="032ED57D"/>
    <w:rsid w:val="036254B5"/>
    <w:rsid w:val="03724048"/>
    <w:rsid w:val="037418F1"/>
    <w:rsid w:val="0379880C"/>
    <w:rsid w:val="038579DE"/>
    <w:rsid w:val="03A2C0C9"/>
    <w:rsid w:val="03A3C780"/>
    <w:rsid w:val="03A83B53"/>
    <w:rsid w:val="03B8768F"/>
    <w:rsid w:val="03BBE23C"/>
    <w:rsid w:val="03C13850"/>
    <w:rsid w:val="03C1C1D9"/>
    <w:rsid w:val="03CAF053"/>
    <w:rsid w:val="03D9F474"/>
    <w:rsid w:val="03E753A0"/>
    <w:rsid w:val="03EE6439"/>
    <w:rsid w:val="03F0D4F5"/>
    <w:rsid w:val="0403D786"/>
    <w:rsid w:val="040C9E62"/>
    <w:rsid w:val="0419B800"/>
    <w:rsid w:val="0421985E"/>
    <w:rsid w:val="043713F4"/>
    <w:rsid w:val="0440D7E6"/>
    <w:rsid w:val="044C290A"/>
    <w:rsid w:val="045012D0"/>
    <w:rsid w:val="04554FFD"/>
    <w:rsid w:val="04596115"/>
    <w:rsid w:val="045D094D"/>
    <w:rsid w:val="04668470"/>
    <w:rsid w:val="046B8B94"/>
    <w:rsid w:val="0470A7C6"/>
    <w:rsid w:val="04721942"/>
    <w:rsid w:val="04999F17"/>
    <w:rsid w:val="049BE4CD"/>
    <w:rsid w:val="049FE6F8"/>
    <w:rsid w:val="04B1CE63"/>
    <w:rsid w:val="04B816BA"/>
    <w:rsid w:val="04BBEC4B"/>
    <w:rsid w:val="04C33D9D"/>
    <w:rsid w:val="04C577AB"/>
    <w:rsid w:val="04CED9FF"/>
    <w:rsid w:val="04E01696"/>
    <w:rsid w:val="04E446AF"/>
    <w:rsid w:val="04EA1B45"/>
    <w:rsid w:val="04EBECFB"/>
    <w:rsid w:val="04F3C254"/>
    <w:rsid w:val="04FCF74C"/>
    <w:rsid w:val="050A8054"/>
    <w:rsid w:val="050FA1FB"/>
    <w:rsid w:val="0511937A"/>
    <w:rsid w:val="051359B4"/>
    <w:rsid w:val="05146B66"/>
    <w:rsid w:val="051BAF9B"/>
    <w:rsid w:val="051EAEB3"/>
    <w:rsid w:val="0528F063"/>
    <w:rsid w:val="052A2B9F"/>
    <w:rsid w:val="052D0DF1"/>
    <w:rsid w:val="052D4177"/>
    <w:rsid w:val="053DEF87"/>
    <w:rsid w:val="053EC40F"/>
    <w:rsid w:val="054094F6"/>
    <w:rsid w:val="0546ACCE"/>
    <w:rsid w:val="055BC517"/>
    <w:rsid w:val="05627F14"/>
    <w:rsid w:val="0562D5B9"/>
    <w:rsid w:val="056AA81A"/>
    <w:rsid w:val="056CA28A"/>
    <w:rsid w:val="0575D11D"/>
    <w:rsid w:val="057E04AF"/>
    <w:rsid w:val="0582D62B"/>
    <w:rsid w:val="059E35DF"/>
    <w:rsid w:val="05A891B6"/>
    <w:rsid w:val="05ACB3B2"/>
    <w:rsid w:val="05B1B6B7"/>
    <w:rsid w:val="05BDB57C"/>
    <w:rsid w:val="05C6F641"/>
    <w:rsid w:val="05D103FB"/>
    <w:rsid w:val="05D2F071"/>
    <w:rsid w:val="05E14759"/>
    <w:rsid w:val="05FCD6D8"/>
    <w:rsid w:val="060163D0"/>
    <w:rsid w:val="06084C64"/>
    <w:rsid w:val="0611DB96"/>
    <w:rsid w:val="061D8ABA"/>
    <w:rsid w:val="061F15CC"/>
    <w:rsid w:val="062515C2"/>
    <w:rsid w:val="062713CA"/>
    <w:rsid w:val="062B08B7"/>
    <w:rsid w:val="062D7920"/>
    <w:rsid w:val="063885EF"/>
    <w:rsid w:val="063A2DEA"/>
    <w:rsid w:val="063FAC22"/>
    <w:rsid w:val="06460271"/>
    <w:rsid w:val="06504013"/>
    <w:rsid w:val="065729BB"/>
    <w:rsid w:val="065DF2E6"/>
    <w:rsid w:val="066293E1"/>
    <w:rsid w:val="0668E9D4"/>
    <w:rsid w:val="0678EC59"/>
    <w:rsid w:val="068A4E4D"/>
    <w:rsid w:val="068A732D"/>
    <w:rsid w:val="06B4CE0E"/>
    <w:rsid w:val="06C1432C"/>
    <w:rsid w:val="06C4132A"/>
    <w:rsid w:val="06CA7665"/>
    <w:rsid w:val="06CCC776"/>
    <w:rsid w:val="06D60B10"/>
    <w:rsid w:val="06D76A74"/>
    <w:rsid w:val="06DE11DE"/>
    <w:rsid w:val="06EC5C10"/>
    <w:rsid w:val="06F50CAD"/>
    <w:rsid w:val="07014AEB"/>
    <w:rsid w:val="07050457"/>
    <w:rsid w:val="0706B2FF"/>
    <w:rsid w:val="0707D167"/>
    <w:rsid w:val="071337CA"/>
    <w:rsid w:val="071D7FC4"/>
    <w:rsid w:val="07242E21"/>
    <w:rsid w:val="073AC074"/>
    <w:rsid w:val="074B7C45"/>
    <w:rsid w:val="074CD5E0"/>
    <w:rsid w:val="0750ED9A"/>
    <w:rsid w:val="07539308"/>
    <w:rsid w:val="0755753D"/>
    <w:rsid w:val="0765DF25"/>
    <w:rsid w:val="07702842"/>
    <w:rsid w:val="0783C0E1"/>
    <w:rsid w:val="0789F74D"/>
    <w:rsid w:val="07B04400"/>
    <w:rsid w:val="07B318D3"/>
    <w:rsid w:val="07B73950"/>
    <w:rsid w:val="07B95E3F"/>
    <w:rsid w:val="07C2DA6E"/>
    <w:rsid w:val="07CA9F0B"/>
    <w:rsid w:val="07CC5052"/>
    <w:rsid w:val="07D267ED"/>
    <w:rsid w:val="07D52440"/>
    <w:rsid w:val="07DA8807"/>
    <w:rsid w:val="07ED694F"/>
    <w:rsid w:val="07FC045D"/>
    <w:rsid w:val="07FCC51E"/>
    <w:rsid w:val="082C74D1"/>
    <w:rsid w:val="082E3DFD"/>
    <w:rsid w:val="0857DD70"/>
    <w:rsid w:val="085A3F74"/>
    <w:rsid w:val="085AACC2"/>
    <w:rsid w:val="087C022B"/>
    <w:rsid w:val="08870CDB"/>
    <w:rsid w:val="0893FBC4"/>
    <w:rsid w:val="08950408"/>
    <w:rsid w:val="089A61E7"/>
    <w:rsid w:val="08A0B1AD"/>
    <w:rsid w:val="08A44860"/>
    <w:rsid w:val="08A933C1"/>
    <w:rsid w:val="08B5A66E"/>
    <w:rsid w:val="08B9DC79"/>
    <w:rsid w:val="08BA912F"/>
    <w:rsid w:val="08BBD62E"/>
    <w:rsid w:val="08BD4A75"/>
    <w:rsid w:val="08DBE3B4"/>
    <w:rsid w:val="08F46AAE"/>
    <w:rsid w:val="08F46EBF"/>
    <w:rsid w:val="090514BD"/>
    <w:rsid w:val="0909CFE7"/>
    <w:rsid w:val="0917F227"/>
    <w:rsid w:val="09183705"/>
    <w:rsid w:val="0918DE92"/>
    <w:rsid w:val="092BEA66"/>
    <w:rsid w:val="0936457D"/>
    <w:rsid w:val="09501DF9"/>
    <w:rsid w:val="0950FAC1"/>
    <w:rsid w:val="0954FB62"/>
    <w:rsid w:val="095E7D13"/>
    <w:rsid w:val="095F24F1"/>
    <w:rsid w:val="09845A25"/>
    <w:rsid w:val="099BB88E"/>
    <w:rsid w:val="09A00BC5"/>
    <w:rsid w:val="09A478EA"/>
    <w:rsid w:val="09BBD874"/>
    <w:rsid w:val="09C9728F"/>
    <w:rsid w:val="09DCC5AD"/>
    <w:rsid w:val="09DE9275"/>
    <w:rsid w:val="09F14A5B"/>
    <w:rsid w:val="09FE94C7"/>
    <w:rsid w:val="0A0ED2CC"/>
    <w:rsid w:val="0A0F6466"/>
    <w:rsid w:val="0A1161BD"/>
    <w:rsid w:val="0A16DBAF"/>
    <w:rsid w:val="0A180DA5"/>
    <w:rsid w:val="0A1FC344"/>
    <w:rsid w:val="0A2AA550"/>
    <w:rsid w:val="0A2B9113"/>
    <w:rsid w:val="0A2D3FDE"/>
    <w:rsid w:val="0A2D6666"/>
    <w:rsid w:val="0A353844"/>
    <w:rsid w:val="0A3A3D8A"/>
    <w:rsid w:val="0A43602D"/>
    <w:rsid w:val="0A4C8DE1"/>
    <w:rsid w:val="0A4DF7BD"/>
    <w:rsid w:val="0A58E53E"/>
    <w:rsid w:val="0A64B2D6"/>
    <w:rsid w:val="0A7FCFEE"/>
    <w:rsid w:val="0A851A1B"/>
    <w:rsid w:val="0A88D623"/>
    <w:rsid w:val="0A9804C2"/>
    <w:rsid w:val="0AC225DB"/>
    <w:rsid w:val="0AC9BDFF"/>
    <w:rsid w:val="0AD94DCF"/>
    <w:rsid w:val="0AE526AC"/>
    <w:rsid w:val="0AEE3DB6"/>
    <w:rsid w:val="0AF72553"/>
    <w:rsid w:val="0AFC1B8D"/>
    <w:rsid w:val="0B0CC396"/>
    <w:rsid w:val="0B172DA6"/>
    <w:rsid w:val="0B1D126F"/>
    <w:rsid w:val="0B2C7BC3"/>
    <w:rsid w:val="0B31F376"/>
    <w:rsid w:val="0B3BDA90"/>
    <w:rsid w:val="0B3C7166"/>
    <w:rsid w:val="0B559000"/>
    <w:rsid w:val="0B57713E"/>
    <w:rsid w:val="0B681020"/>
    <w:rsid w:val="0B6AE7CB"/>
    <w:rsid w:val="0B6B4543"/>
    <w:rsid w:val="0B6D76CD"/>
    <w:rsid w:val="0B6D833D"/>
    <w:rsid w:val="0B812680"/>
    <w:rsid w:val="0B970CD4"/>
    <w:rsid w:val="0BAF3ED9"/>
    <w:rsid w:val="0BBC029A"/>
    <w:rsid w:val="0BC7A59B"/>
    <w:rsid w:val="0BD05F73"/>
    <w:rsid w:val="0BD167DA"/>
    <w:rsid w:val="0BD7B303"/>
    <w:rsid w:val="0BF024CB"/>
    <w:rsid w:val="0BFB7210"/>
    <w:rsid w:val="0C0B07FA"/>
    <w:rsid w:val="0C0CC40E"/>
    <w:rsid w:val="0C103819"/>
    <w:rsid w:val="0C11E697"/>
    <w:rsid w:val="0C11F4A7"/>
    <w:rsid w:val="0C1D376C"/>
    <w:rsid w:val="0C1DAEB8"/>
    <w:rsid w:val="0C1E5E2C"/>
    <w:rsid w:val="0C1F52E5"/>
    <w:rsid w:val="0C281639"/>
    <w:rsid w:val="0C2CB3EC"/>
    <w:rsid w:val="0C2E5514"/>
    <w:rsid w:val="0C30A820"/>
    <w:rsid w:val="0C35DCB5"/>
    <w:rsid w:val="0C54CF67"/>
    <w:rsid w:val="0C626C56"/>
    <w:rsid w:val="0C69836B"/>
    <w:rsid w:val="0C6CF0CF"/>
    <w:rsid w:val="0C74D970"/>
    <w:rsid w:val="0C7E1F2B"/>
    <w:rsid w:val="0C821BE9"/>
    <w:rsid w:val="0C8247A5"/>
    <w:rsid w:val="0C8AB220"/>
    <w:rsid w:val="0C90E037"/>
    <w:rsid w:val="0CA01DC8"/>
    <w:rsid w:val="0CA1213F"/>
    <w:rsid w:val="0CA1F6B1"/>
    <w:rsid w:val="0CBD136C"/>
    <w:rsid w:val="0CBE3785"/>
    <w:rsid w:val="0CC410D4"/>
    <w:rsid w:val="0CD2E25D"/>
    <w:rsid w:val="0CD3A94B"/>
    <w:rsid w:val="0CE0FB6C"/>
    <w:rsid w:val="0CE682C2"/>
    <w:rsid w:val="0CF9E832"/>
    <w:rsid w:val="0D0E76AF"/>
    <w:rsid w:val="0D11CA68"/>
    <w:rsid w:val="0D2593E6"/>
    <w:rsid w:val="0D286068"/>
    <w:rsid w:val="0D2916BD"/>
    <w:rsid w:val="0D55F0AA"/>
    <w:rsid w:val="0D6280EE"/>
    <w:rsid w:val="0D671E8D"/>
    <w:rsid w:val="0D7C4606"/>
    <w:rsid w:val="0D8EF500"/>
    <w:rsid w:val="0D927C46"/>
    <w:rsid w:val="0DC25127"/>
    <w:rsid w:val="0DC3CF47"/>
    <w:rsid w:val="0DC46A44"/>
    <w:rsid w:val="0DD5F429"/>
    <w:rsid w:val="0DD91BBB"/>
    <w:rsid w:val="0DE6C6E9"/>
    <w:rsid w:val="0DEB9A7A"/>
    <w:rsid w:val="0DFEED2A"/>
    <w:rsid w:val="0DFFDEB4"/>
    <w:rsid w:val="0E0770C4"/>
    <w:rsid w:val="0E0C91A6"/>
    <w:rsid w:val="0E1442C7"/>
    <w:rsid w:val="0E184F1B"/>
    <w:rsid w:val="0E1D6753"/>
    <w:rsid w:val="0E23A795"/>
    <w:rsid w:val="0E41C34B"/>
    <w:rsid w:val="0E50D3DF"/>
    <w:rsid w:val="0E55DB47"/>
    <w:rsid w:val="0E5BB337"/>
    <w:rsid w:val="0E5D6AFF"/>
    <w:rsid w:val="0E6D50C5"/>
    <w:rsid w:val="0E70171A"/>
    <w:rsid w:val="0E759C7C"/>
    <w:rsid w:val="0E887367"/>
    <w:rsid w:val="0E8B2AB1"/>
    <w:rsid w:val="0E9B8D13"/>
    <w:rsid w:val="0EA55C69"/>
    <w:rsid w:val="0EB4A335"/>
    <w:rsid w:val="0EB75AC0"/>
    <w:rsid w:val="0EB81848"/>
    <w:rsid w:val="0ECEAAB5"/>
    <w:rsid w:val="0ED04940"/>
    <w:rsid w:val="0EDAD523"/>
    <w:rsid w:val="0EDD3C2A"/>
    <w:rsid w:val="0EDD835F"/>
    <w:rsid w:val="0EE35F8F"/>
    <w:rsid w:val="0EE6130E"/>
    <w:rsid w:val="0EEB5EE7"/>
    <w:rsid w:val="0EEDE594"/>
    <w:rsid w:val="0F025D95"/>
    <w:rsid w:val="0F0429E6"/>
    <w:rsid w:val="0F2E3112"/>
    <w:rsid w:val="0F3A6B2B"/>
    <w:rsid w:val="0F42CB6B"/>
    <w:rsid w:val="0F450DE0"/>
    <w:rsid w:val="0F55A7F7"/>
    <w:rsid w:val="0F5D9957"/>
    <w:rsid w:val="0F5E65B7"/>
    <w:rsid w:val="0F637AAF"/>
    <w:rsid w:val="0F65872E"/>
    <w:rsid w:val="0F6E6D10"/>
    <w:rsid w:val="0F768EFF"/>
    <w:rsid w:val="0F7F883F"/>
    <w:rsid w:val="0F8154E9"/>
    <w:rsid w:val="0F843CD3"/>
    <w:rsid w:val="0F85E0CD"/>
    <w:rsid w:val="0F9857A4"/>
    <w:rsid w:val="0FA3E12C"/>
    <w:rsid w:val="0FA5DC0E"/>
    <w:rsid w:val="0FB30F8E"/>
    <w:rsid w:val="0FC76429"/>
    <w:rsid w:val="0FC8CE66"/>
    <w:rsid w:val="0FDC9519"/>
    <w:rsid w:val="0FEF0342"/>
    <w:rsid w:val="0FF18F15"/>
    <w:rsid w:val="100A13BB"/>
    <w:rsid w:val="100E90AA"/>
    <w:rsid w:val="10193517"/>
    <w:rsid w:val="1021D261"/>
    <w:rsid w:val="1022B376"/>
    <w:rsid w:val="103095DE"/>
    <w:rsid w:val="1036CF31"/>
    <w:rsid w:val="1039CCDE"/>
    <w:rsid w:val="1040C4F9"/>
    <w:rsid w:val="105139AF"/>
    <w:rsid w:val="1051EBA8"/>
    <w:rsid w:val="10565FEF"/>
    <w:rsid w:val="1061B207"/>
    <w:rsid w:val="1067CB4A"/>
    <w:rsid w:val="106A7FFC"/>
    <w:rsid w:val="106BB259"/>
    <w:rsid w:val="10749EC6"/>
    <w:rsid w:val="107AC481"/>
    <w:rsid w:val="107F7E35"/>
    <w:rsid w:val="108316B0"/>
    <w:rsid w:val="108CAE02"/>
    <w:rsid w:val="1095291F"/>
    <w:rsid w:val="1096551F"/>
    <w:rsid w:val="109BA2A3"/>
    <w:rsid w:val="109E53BF"/>
    <w:rsid w:val="10A2563E"/>
    <w:rsid w:val="10A8AC7F"/>
    <w:rsid w:val="10A8ED5A"/>
    <w:rsid w:val="10BC5115"/>
    <w:rsid w:val="10BD6C8A"/>
    <w:rsid w:val="10BF418F"/>
    <w:rsid w:val="10D9FE48"/>
    <w:rsid w:val="10DA1D64"/>
    <w:rsid w:val="10DB3DDF"/>
    <w:rsid w:val="10ED8F84"/>
    <w:rsid w:val="10EF157B"/>
    <w:rsid w:val="10F40D23"/>
    <w:rsid w:val="10F686B5"/>
    <w:rsid w:val="10F6F0DA"/>
    <w:rsid w:val="10FDBADD"/>
    <w:rsid w:val="110789A1"/>
    <w:rsid w:val="110BEB78"/>
    <w:rsid w:val="110EAA68"/>
    <w:rsid w:val="110F13D4"/>
    <w:rsid w:val="11172AC6"/>
    <w:rsid w:val="112AA80C"/>
    <w:rsid w:val="112F53E8"/>
    <w:rsid w:val="113228D6"/>
    <w:rsid w:val="11360E7A"/>
    <w:rsid w:val="113BF173"/>
    <w:rsid w:val="1142842C"/>
    <w:rsid w:val="114D886C"/>
    <w:rsid w:val="1164D653"/>
    <w:rsid w:val="116AEE2F"/>
    <w:rsid w:val="116B05AD"/>
    <w:rsid w:val="117CB302"/>
    <w:rsid w:val="11808B16"/>
    <w:rsid w:val="11AE8D81"/>
    <w:rsid w:val="11BC4220"/>
    <w:rsid w:val="11CE62CE"/>
    <w:rsid w:val="11D06FA0"/>
    <w:rsid w:val="11D50179"/>
    <w:rsid w:val="11D87B00"/>
    <w:rsid w:val="11EB2053"/>
    <w:rsid w:val="11EBF3CE"/>
    <w:rsid w:val="120825B6"/>
    <w:rsid w:val="120D355A"/>
    <w:rsid w:val="12144DBD"/>
    <w:rsid w:val="12166CFD"/>
    <w:rsid w:val="1221C081"/>
    <w:rsid w:val="1222F339"/>
    <w:rsid w:val="1223D00D"/>
    <w:rsid w:val="122769ED"/>
    <w:rsid w:val="1232C82B"/>
    <w:rsid w:val="123C06DA"/>
    <w:rsid w:val="1248CE21"/>
    <w:rsid w:val="124F5CEC"/>
    <w:rsid w:val="1263EB4E"/>
    <w:rsid w:val="12648110"/>
    <w:rsid w:val="126804FA"/>
    <w:rsid w:val="127370F0"/>
    <w:rsid w:val="1273AD70"/>
    <w:rsid w:val="1277F1DA"/>
    <w:rsid w:val="127ADBA0"/>
    <w:rsid w:val="127B37AF"/>
    <w:rsid w:val="1296B18C"/>
    <w:rsid w:val="129AB7F1"/>
    <w:rsid w:val="12AA063E"/>
    <w:rsid w:val="12BDC6C3"/>
    <w:rsid w:val="12C6373E"/>
    <w:rsid w:val="12CAB5BE"/>
    <w:rsid w:val="12D24F60"/>
    <w:rsid w:val="12E02D78"/>
    <w:rsid w:val="12EBB574"/>
    <w:rsid w:val="12F5B91F"/>
    <w:rsid w:val="13034BE1"/>
    <w:rsid w:val="130FCFC3"/>
    <w:rsid w:val="13152267"/>
    <w:rsid w:val="131E2703"/>
    <w:rsid w:val="13408D03"/>
    <w:rsid w:val="134960A7"/>
    <w:rsid w:val="13585CC7"/>
    <w:rsid w:val="136120F2"/>
    <w:rsid w:val="1362DCAC"/>
    <w:rsid w:val="1365EF67"/>
    <w:rsid w:val="136AAD3F"/>
    <w:rsid w:val="138186EB"/>
    <w:rsid w:val="13820418"/>
    <w:rsid w:val="13947108"/>
    <w:rsid w:val="1394E1B0"/>
    <w:rsid w:val="13AB937D"/>
    <w:rsid w:val="13ADA0E4"/>
    <w:rsid w:val="13B07354"/>
    <w:rsid w:val="13B504D0"/>
    <w:rsid w:val="13B5EC1A"/>
    <w:rsid w:val="13C12B17"/>
    <w:rsid w:val="13CC4ABC"/>
    <w:rsid w:val="13CDB9A0"/>
    <w:rsid w:val="13D04988"/>
    <w:rsid w:val="13D2FC86"/>
    <w:rsid w:val="13E16893"/>
    <w:rsid w:val="13E8037C"/>
    <w:rsid w:val="13E8408F"/>
    <w:rsid w:val="13E88E58"/>
    <w:rsid w:val="13E95AF1"/>
    <w:rsid w:val="1405CEE7"/>
    <w:rsid w:val="1405DFBA"/>
    <w:rsid w:val="141AE3BF"/>
    <w:rsid w:val="1422B9A8"/>
    <w:rsid w:val="1428111E"/>
    <w:rsid w:val="142A571C"/>
    <w:rsid w:val="142FB201"/>
    <w:rsid w:val="14355891"/>
    <w:rsid w:val="143F42FF"/>
    <w:rsid w:val="14585110"/>
    <w:rsid w:val="145B2457"/>
    <w:rsid w:val="147CF215"/>
    <w:rsid w:val="147DA6A6"/>
    <w:rsid w:val="14986738"/>
    <w:rsid w:val="149D08B0"/>
    <w:rsid w:val="14A14F31"/>
    <w:rsid w:val="14A158E6"/>
    <w:rsid w:val="14AC2E45"/>
    <w:rsid w:val="14B1FF1C"/>
    <w:rsid w:val="14BACFCC"/>
    <w:rsid w:val="14CC66AC"/>
    <w:rsid w:val="14DAB171"/>
    <w:rsid w:val="14DB21DA"/>
    <w:rsid w:val="14E94C47"/>
    <w:rsid w:val="14F40952"/>
    <w:rsid w:val="14FE0AF3"/>
    <w:rsid w:val="1512EA7F"/>
    <w:rsid w:val="1519E5A5"/>
    <w:rsid w:val="152085C6"/>
    <w:rsid w:val="152298D4"/>
    <w:rsid w:val="15229E25"/>
    <w:rsid w:val="1523268F"/>
    <w:rsid w:val="15233A43"/>
    <w:rsid w:val="153312EC"/>
    <w:rsid w:val="153376B6"/>
    <w:rsid w:val="153D50D2"/>
    <w:rsid w:val="1551559C"/>
    <w:rsid w:val="155A359D"/>
    <w:rsid w:val="155DCD61"/>
    <w:rsid w:val="155FB49F"/>
    <w:rsid w:val="15658A5B"/>
    <w:rsid w:val="156B2806"/>
    <w:rsid w:val="156E5324"/>
    <w:rsid w:val="156E8559"/>
    <w:rsid w:val="1573683C"/>
    <w:rsid w:val="15A2DEAF"/>
    <w:rsid w:val="15BF7C16"/>
    <w:rsid w:val="15D725F3"/>
    <w:rsid w:val="15EFB883"/>
    <w:rsid w:val="1603DF1E"/>
    <w:rsid w:val="16046E73"/>
    <w:rsid w:val="1607CAB3"/>
    <w:rsid w:val="1609E9C7"/>
    <w:rsid w:val="160B27CA"/>
    <w:rsid w:val="160B4ABF"/>
    <w:rsid w:val="160FC8A4"/>
    <w:rsid w:val="160FDA3B"/>
    <w:rsid w:val="16170550"/>
    <w:rsid w:val="16181777"/>
    <w:rsid w:val="1623CBAB"/>
    <w:rsid w:val="1629B1B1"/>
    <w:rsid w:val="162A746F"/>
    <w:rsid w:val="16380F9C"/>
    <w:rsid w:val="163B4100"/>
    <w:rsid w:val="164814E9"/>
    <w:rsid w:val="164DAF27"/>
    <w:rsid w:val="164FF1AD"/>
    <w:rsid w:val="16543634"/>
    <w:rsid w:val="165BFD47"/>
    <w:rsid w:val="1665CD66"/>
    <w:rsid w:val="166AC56F"/>
    <w:rsid w:val="166E18B9"/>
    <w:rsid w:val="167C94C2"/>
    <w:rsid w:val="167E0BB9"/>
    <w:rsid w:val="168E8AF5"/>
    <w:rsid w:val="1692882D"/>
    <w:rsid w:val="16BBA2B6"/>
    <w:rsid w:val="16C1AB8F"/>
    <w:rsid w:val="16C51405"/>
    <w:rsid w:val="16D67EE7"/>
    <w:rsid w:val="16DA6B02"/>
    <w:rsid w:val="16E394C6"/>
    <w:rsid w:val="16F59FC3"/>
    <w:rsid w:val="170167AF"/>
    <w:rsid w:val="1703BBAA"/>
    <w:rsid w:val="170A46FD"/>
    <w:rsid w:val="170A817B"/>
    <w:rsid w:val="170E2A13"/>
    <w:rsid w:val="1714A1D5"/>
    <w:rsid w:val="171559B5"/>
    <w:rsid w:val="171B59D7"/>
    <w:rsid w:val="171BF641"/>
    <w:rsid w:val="171E2B56"/>
    <w:rsid w:val="172007DF"/>
    <w:rsid w:val="1729EB54"/>
    <w:rsid w:val="172BA8D1"/>
    <w:rsid w:val="173A9B02"/>
    <w:rsid w:val="17449C46"/>
    <w:rsid w:val="1744AD4E"/>
    <w:rsid w:val="175B8213"/>
    <w:rsid w:val="175BF686"/>
    <w:rsid w:val="175E68DB"/>
    <w:rsid w:val="1760DD1B"/>
    <w:rsid w:val="176199BB"/>
    <w:rsid w:val="1761ECE6"/>
    <w:rsid w:val="176259BB"/>
    <w:rsid w:val="17676BBF"/>
    <w:rsid w:val="17696F11"/>
    <w:rsid w:val="1773B1C4"/>
    <w:rsid w:val="1779615D"/>
    <w:rsid w:val="178CC98B"/>
    <w:rsid w:val="1799E249"/>
    <w:rsid w:val="17A4C851"/>
    <w:rsid w:val="17A4E8C9"/>
    <w:rsid w:val="17AE71B5"/>
    <w:rsid w:val="17AECC16"/>
    <w:rsid w:val="17AF180A"/>
    <w:rsid w:val="17BB58A7"/>
    <w:rsid w:val="17CE736F"/>
    <w:rsid w:val="17D96081"/>
    <w:rsid w:val="17DA4264"/>
    <w:rsid w:val="17DD3A77"/>
    <w:rsid w:val="17F59693"/>
    <w:rsid w:val="1816DC16"/>
    <w:rsid w:val="182EC137"/>
    <w:rsid w:val="183AF2C8"/>
    <w:rsid w:val="1845B941"/>
    <w:rsid w:val="185466EA"/>
    <w:rsid w:val="1856D7F4"/>
    <w:rsid w:val="185A37EE"/>
    <w:rsid w:val="187C9BB8"/>
    <w:rsid w:val="187E1CD4"/>
    <w:rsid w:val="18810DEB"/>
    <w:rsid w:val="188AB7A1"/>
    <w:rsid w:val="188C7EF6"/>
    <w:rsid w:val="18A8F81C"/>
    <w:rsid w:val="18B5EA59"/>
    <w:rsid w:val="18CC9BD9"/>
    <w:rsid w:val="18D3887D"/>
    <w:rsid w:val="18E15E58"/>
    <w:rsid w:val="18F20A1F"/>
    <w:rsid w:val="18FC9C3E"/>
    <w:rsid w:val="18FD4291"/>
    <w:rsid w:val="19170E07"/>
    <w:rsid w:val="191B4330"/>
    <w:rsid w:val="191C85A9"/>
    <w:rsid w:val="19210336"/>
    <w:rsid w:val="19306404"/>
    <w:rsid w:val="1931AAC7"/>
    <w:rsid w:val="193521F8"/>
    <w:rsid w:val="1937EEB9"/>
    <w:rsid w:val="193C12E5"/>
    <w:rsid w:val="193D4192"/>
    <w:rsid w:val="196469CF"/>
    <w:rsid w:val="1968F1CC"/>
    <w:rsid w:val="19850D88"/>
    <w:rsid w:val="198C31AC"/>
    <w:rsid w:val="199A43B1"/>
    <w:rsid w:val="19AC084C"/>
    <w:rsid w:val="19AE8391"/>
    <w:rsid w:val="19B3A3B2"/>
    <w:rsid w:val="19B77E54"/>
    <w:rsid w:val="19B7FBC2"/>
    <w:rsid w:val="19C9765F"/>
    <w:rsid w:val="19CD7159"/>
    <w:rsid w:val="19D57326"/>
    <w:rsid w:val="19DE823E"/>
    <w:rsid w:val="19F31361"/>
    <w:rsid w:val="19F89883"/>
    <w:rsid w:val="1A1261B8"/>
    <w:rsid w:val="1A18EA1E"/>
    <w:rsid w:val="1A1D7748"/>
    <w:rsid w:val="1A1DD990"/>
    <w:rsid w:val="1A20F4AC"/>
    <w:rsid w:val="1A288C80"/>
    <w:rsid w:val="1A2D772C"/>
    <w:rsid w:val="1A3270A4"/>
    <w:rsid w:val="1A4058A7"/>
    <w:rsid w:val="1A4300B6"/>
    <w:rsid w:val="1A5830C2"/>
    <w:rsid w:val="1A61039E"/>
    <w:rsid w:val="1A642188"/>
    <w:rsid w:val="1A686F92"/>
    <w:rsid w:val="1A69558A"/>
    <w:rsid w:val="1A825595"/>
    <w:rsid w:val="1A82B876"/>
    <w:rsid w:val="1A8A1F05"/>
    <w:rsid w:val="1A8EF504"/>
    <w:rsid w:val="1A9836F8"/>
    <w:rsid w:val="1AAEDC12"/>
    <w:rsid w:val="1AB75A5F"/>
    <w:rsid w:val="1ACBAE57"/>
    <w:rsid w:val="1ADAD62C"/>
    <w:rsid w:val="1AED7A0F"/>
    <w:rsid w:val="1AF045FD"/>
    <w:rsid w:val="1B013DB6"/>
    <w:rsid w:val="1B03B1ED"/>
    <w:rsid w:val="1B0A3F31"/>
    <w:rsid w:val="1B0C5D35"/>
    <w:rsid w:val="1B0E3E7E"/>
    <w:rsid w:val="1B122373"/>
    <w:rsid w:val="1B1360DE"/>
    <w:rsid w:val="1B137618"/>
    <w:rsid w:val="1B19EC3A"/>
    <w:rsid w:val="1B1FF549"/>
    <w:rsid w:val="1B276547"/>
    <w:rsid w:val="1B2B17A5"/>
    <w:rsid w:val="1B2C9EEE"/>
    <w:rsid w:val="1B3DB532"/>
    <w:rsid w:val="1B447C89"/>
    <w:rsid w:val="1B4BD799"/>
    <w:rsid w:val="1B5CAE7E"/>
    <w:rsid w:val="1B6C0498"/>
    <w:rsid w:val="1B704B21"/>
    <w:rsid w:val="1B793FCF"/>
    <w:rsid w:val="1B870F0D"/>
    <w:rsid w:val="1B87722B"/>
    <w:rsid w:val="1BA5A414"/>
    <w:rsid w:val="1BA7F624"/>
    <w:rsid w:val="1BADA858"/>
    <w:rsid w:val="1BAF1DA0"/>
    <w:rsid w:val="1BBC1A5F"/>
    <w:rsid w:val="1BDAF56F"/>
    <w:rsid w:val="1BE12871"/>
    <w:rsid w:val="1BE54F54"/>
    <w:rsid w:val="1C0FA452"/>
    <w:rsid w:val="1C22A586"/>
    <w:rsid w:val="1C23C4B7"/>
    <w:rsid w:val="1C301350"/>
    <w:rsid w:val="1C364B17"/>
    <w:rsid w:val="1C3CBA52"/>
    <w:rsid w:val="1C4C32E5"/>
    <w:rsid w:val="1C55B36F"/>
    <w:rsid w:val="1C6029C4"/>
    <w:rsid w:val="1C6B443A"/>
    <w:rsid w:val="1C708F8B"/>
    <w:rsid w:val="1C73842D"/>
    <w:rsid w:val="1C7BF8BD"/>
    <w:rsid w:val="1C89F1A0"/>
    <w:rsid w:val="1C907D9D"/>
    <w:rsid w:val="1C9B8A4E"/>
    <w:rsid w:val="1C9E4CA8"/>
    <w:rsid w:val="1CAB52DA"/>
    <w:rsid w:val="1CAE45C9"/>
    <w:rsid w:val="1CB61FCD"/>
    <w:rsid w:val="1CBD5F96"/>
    <w:rsid w:val="1CD61013"/>
    <w:rsid w:val="1CE1C82C"/>
    <w:rsid w:val="1CE31E17"/>
    <w:rsid w:val="1CF6BC91"/>
    <w:rsid w:val="1CF8BB2E"/>
    <w:rsid w:val="1CF98C21"/>
    <w:rsid w:val="1CFD63A6"/>
    <w:rsid w:val="1D035053"/>
    <w:rsid w:val="1D04B3AF"/>
    <w:rsid w:val="1D12BE61"/>
    <w:rsid w:val="1D31596D"/>
    <w:rsid w:val="1D34C357"/>
    <w:rsid w:val="1D3DA9FF"/>
    <w:rsid w:val="1D5AA76D"/>
    <w:rsid w:val="1D625DEC"/>
    <w:rsid w:val="1D716046"/>
    <w:rsid w:val="1D7CD4BE"/>
    <w:rsid w:val="1D831DB3"/>
    <w:rsid w:val="1D842E4A"/>
    <w:rsid w:val="1D8CAAD6"/>
    <w:rsid w:val="1DA5A55C"/>
    <w:rsid w:val="1DA9C08E"/>
    <w:rsid w:val="1DAF486A"/>
    <w:rsid w:val="1DB0B89B"/>
    <w:rsid w:val="1DB128D9"/>
    <w:rsid w:val="1DB9F0C8"/>
    <w:rsid w:val="1DBC3ED0"/>
    <w:rsid w:val="1DBEC003"/>
    <w:rsid w:val="1DD27412"/>
    <w:rsid w:val="1DDA217D"/>
    <w:rsid w:val="1DE56557"/>
    <w:rsid w:val="1DE72A0C"/>
    <w:rsid w:val="1DEFE889"/>
    <w:rsid w:val="1DFAC528"/>
    <w:rsid w:val="1E012395"/>
    <w:rsid w:val="1E0CC258"/>
    <w:rsid w:val="1E102836"/>
    <w:rsid w:val="1E1992F1"/>
    <w:rsid w:val="1E1D6AF5"/>
    <w:rsid w:val="1E202966"/>
    <w:rsid w:val="1E26C4D6"/>
    <w:rsid w:val="1E363A2F"/>
    <w:rsid w:val="1E4A34C5"/>
    <w:rsid w:val="1E4D480A"/>
    <w:rsid w:val="1E4FDAC6"/>
    <w:rsid w:val="1E513AD0"/>
    <w:rsid w:val="1E5483B7"/>
    <w:rsid w:val="1E5D7AF1"/>
    <w:rsid w:val="1E605BF1"/>
    <w:rsid w:val="1E619D9F"/>
    <w:rsid w:val="1E68D64D"/>
    <w:rsid w:val="1E69ADC0"/>
    <w:rsid w:val="1E7D91ED"/>
    <w:rsid w:val="1E8DAFA5"/>
    <w:rsid w:val="1E95C48C"/>
    <w:rsid w:val="1E95DB9B"/>
    <w:rsid w:val="1E9655AC"/>
    <w:rsid w:val="1E974EB0"/>
    <w:rsid w:val="1E9C1B18"/>
    <w:rsid w:val="1EA510AA"/>
    <w:rsid w:val="1EAE3102"/>
    <w:rsid w:val="1EBC2AF0"/>
    <w:rsid w:val="1EBDF4F1"/>
    <w:rsid w:val="1EC01A0B"/>
    <w:rsid w:val="1ECF5C4B"/>
    <w:rsid w:val="1ED54406"/>
    <w:rsid w:val="1EE5D884"/>
    <w:rsid w:val="1EE6DD04"/>
    <w:rsid w:val="1EF1330B"/>
    <w:rsid w:val="1F02027F"/>
    <w:rsid w:val="1F06133B"/>
    <w:rsid w:val="1F095C7B"/>
    <w:rsid w:val="1F0B37BF"/>
    <w:rsid w:val="1F0E2CCD"/>
    <w:rsid w:val="1F109C8F"/>
    <w:rsid w:val="1F122E63"/>
    <w:rsid w:val="1F14C140"/>
    <w:rsid w:val="1F1BBD8D"/>
    <w:rsid w:val="1F246659"/>
    <w:rsid w:val="1F2E586B"/>
    <w:rsid w:val="1F408B30"/>
    <w:rsid w:val="1F449AE0"/>
    <w:rsid w:val="1F53A07E"/>
    <w:rsid w:val="1F59EB00"/>
    <w:rsid w:val="1F5A23D4"/>
    <w:rsid w:val="1F6DA1D6"/>
    <w:rsid w:val="1F6ECAE5"/>
    <w:rsid w:val="1F73DC17"/>
    <w:rsid w:val="1F7D2BC9"/>
    <w:rsid w:val="1F89C028"/>
    <w:rsid w:val="1F8BC130"/>
    <w:rsid w:val="1F8E3486"/>
    <w:rsid w:val="1F9B5E9D"/>
    <w:rsid w:val="1F9C846C"/>
    <w:rsid w:val="1FA10BE9"/>
    <w:rsid w:val="1FA71DC9"/>
    <w:rsid w:val="1FB282E2"/>
    <w:rsid w:val="1FC7A3DB"/>
    <w:rsid w:val="1FCDB6F2"/>
    <w:rsid w:val="1FCE8167"/>
    <w:rsid w:val="1FE01013"/>
    <w:rsid w:val="1FE10E5C"/>
    <w:rsid w:val="2000EE7D"/>
    <w:rsid w:val="20090786"/>
    <w:rsid w:val="20206339"/>
    <w:rsid w:val="202259E1"/>
    <w:rsid w:val="203292D5"/>
    <w:rsid w:val="2035B4C3"/>
    <w:rsid w:val="204E3CB9"/>
    <w:rsid w:val="204FFC06"/>
    <w:rsid w:val="20659C36"/>
    <w:rsid w:val="20692D38"/>
    <w:rsid w:val="206C77FF"/>
    <w:rsid w:val="20733472"/>
    <w:rsid w:val="2077E098"/>
    <w:rsid w:val="207DCB42"/>
    <w:rsid w:val="20805EEC"/>
    <w:rsid w:val="20880CD8"/>
    <w:rsid w:val="2088492F"/>
    <w:rsid w:val="208A0410"/>
    <w:rsid w:val="208FCD69"/>
    <w:rsid w:val="20A973DC"/>
    <w:rsid w:val="20AEB8CF"/>
    <w:rsid w:val="20B059DF"/>
    <w:rsid w:val="20BBBB01"/>
    <w:rsid w:val="20BD8094"/>
    <w:rsid w:val="20BDAFDB"/>
    <w:rsid w:val="20CAA45A"/>
    <w:rsid w:val="20E2C3E1"/>
    <w:rsid w:val="20E6B484"/>
    <w:rsid w:val="20F119D5"/>
    <w:rsid w:val="20F1D210"/>
    <w:rsid w:val="20F2C22D"/>
    <w:rsid w:val="20F94DA2"/>
    <w:rsid w:val="20F9A0FF"/>
    <w:rsid w:val="2108E312"/>
    <w:rsid w:val="21150525"/>
    <w:rsid w:val="21151D92"/>
    <w:rsid w:val="21184CE4"/>
    <w:rsid w:val="211BB3C5"/>
    <w:rsid w:val="211DF826"/>
    <w:rsid w:val="213156DC"/>
    <w:rsid w:val="2134E67A"/>
    <w:rsid w:val="2137BF10"/>
    <w:rsid w:val="213AD975"/>
    <w:rsid w:val="213B5C54"/>
    <w:rsid w:val="2152A235"/>
    <w:rsid w:val="21650B2A"/>
    <w:rsid w:val="21680313"/>
    <w:rsid w:val="216D8495"/>
    <w:rsid w:val="2171996D"/>
    <w:rsid w:val="217211CB"/>
    <w:rsid w:val="217B0F41"/>
    <w:rsid w:val="218076A7"/>
    <w:rsid w:val="218C8DF8"/>
    <w:rsid w:val="21A5C7A1"/>
    <w:rsid w:val="21A6391B"/>
    <w:rsid w:val="21B0582F"/>
    <w:rsid w:val="21C09723"/>
    <w:rsid w:val="21C76C6B"/>
    <w:rsid w:val="21CA4C02"/>
    <w:rsid w:val="21D3559A"/>
    <w:rsid w:val="21DB7093"/>
    <w:rsid w:val="21F421AF"/>
    <w:rsid w:val="2208629F"/>
    <w:rsid w:val="22096975"/>
    <w:rsid w:val="2228E73D"/>
    <w:rsid w:val="2233732F"/>
    <w:rsid w:val="223A5385"/>
    <w:rsid w:val="223C880A"/>
    <w:rsid w:val="223D7014"/>
    <w:rsid w:val="223F83BD"/>
    <w:rsid w:val="223F9D7F"/>
    <w:rsid w:val="224069F9"/>
    <w:rsid w:val="22442D9D"/>
    <w:rsid w:val="2254F27F"/>
    <w:rsid w:val="2255E583"/>
    <w:rsid w:val="225A881A"/>
    <w:rsid w:val="225E60AE"/>
    <w:rsid w:val="2268EDB3"/>
    <w:rsid w:val="226BAF73"/>
    <w:rsid w:val="227C8FA1"/>
    <w:rsid w:val="228C9F66"/>
    <w:rsid w:val="22AC8D3D"/>
    <w:rsid w:val="22B8761A"/>
    <w:rsid w:val="22C0A172"/>
    <w:rsid w:val="22C2F00B"/>
    <w:rsid w:val="22C91DC8"/>
    <w:rsid w:val="22D8D20B"/>
    <w:rsid w:val="22E84C67"/>
    <w:rsid w:val="22ECCA49"/>
    <w:rsid w:val="22F43BFE"/>
    <w:rsid w:val="22F4D271"/>
    <w:rsid w:val="23046F7B"/>
    <w:rsid w:val="230E1A76"/>
    <w:rsid w:val="233676E9"/>
    <w:rsid w:val="2352086A"/>
    <w:rsid w:val="23526DD6"/>
    <w:rsid w:val="23531CD5"/>
    <w:rsid w:val="23563857"/>
    <w:rsid w:val="2360213F"/>
    <w:rsid w:val="23605C02"/>
    <w:rsid w:val="2362D18E"/>
    <w:rsid w:val="23698417"/>
    <w:rsid w:val="237CD016"/>
    <w:rsid w:val="23806C6A"/>
    <w:rsid w:val="23880421"/>
    <w:rsid w:val="2398FEDE"/>
    <w:rsid w:val="23B4D045"/>
    <w:rsid w:val="23B8B47D"/>
    <w:rsid w:val="23C42CB5"/>
    <w:rsid w:val="23CE9871"/>
    <w:rsid w:val="23D27FA6"/>
    <w:rsid w:val="23E0AF38"/>
    <w:rsid w:val="23E82FAD"/>
    <w:rsid w:val="23EB2307"/>
    <w:rsid w:val="23F1AAA7"/>
    <w:rsid w:val="23F6FDC5"/>
    <w:rsid w:val="2400A0D4"/>
    <w:rsid w:val="2402C91B"/>
    <w:rsid w:val="240F37C7"/>
    <w:rsid w:val="240FA093"/>
    <w:rsid w:val="24172C99"/>
    <w:rsid w:val="24194A6F"/>
    <w:rsid w:val="241CDCA2"/>
    <w:rsid w:val="241D7DD1"/>
    <w:rsid w:val="2423986E"/>
    <w:rsid w:val="2424BE59"/>
    <w:rsid w:val="24308DE9"/>
    <w:rsid w:val="243A7F24"/>
    <w:rsid w:val="2447FA04"/>
    <w:rsid w:val="244C29B3"/>
    <w:rsid w:val="24500CC8"/>
    <w:rsid w:val="245BBBE7"/>
    <w:rsid w:val="24608099"/>
    <w:rsid w:val="2476A591"/>
    <w:rsid w:val="2477A39E"/>
    <w:rsid w:val="24782292"/>
    <w:rsid w:val="24873ABF"/>
    <w:rsid w:val="248865EA"/>
    <w:rsid w:val="248EAC3A"/>
    <w:rsid w:val="2497308D"/>
    <w:rsid w:val="249D4D73"/>
    <w:rsid w:val="24B22F75"/>
    <w:rsid w:val="24BCC090"/>
    <w:rsid w:val="24C79846"/>
    <w:rsid w:val="24CC7B0D"/>
    <w:rsid w:val="24D05A4D"/>
    <w:rsid w:val="24DFE27B"/>
    <w:rsid w:val="24E30806"/>
    <w:rsid w:val="24EB233D"/>
    <w:rsid w:val="24EFCFD3"/>
    <w:rsid w:val="24F44C4D"/>
    <w:rsid w:val="24F69B18"/>
    <w:rsid w:val="24FAC7C8"/>
    <w:rsid w:val="25021BA5"/>
    <w:rsid w:val="25049AB5"/>
    <w:rsid w:val="250DC9E4"/>
    <w:rsid w:val="250DE6C7"/>
    <w:rsid w:val="250E8A72"/>
    <w:rsid w:val="2516F2A2"/>
    <w:rsid w:val="2527C531"/>
    <w:rsid w:val="2535AE1E"/>
    <w:rsid w:val="253B5580"/>
    <w:rsid w:val="253B621E"/>
    <w:rsid w:val="25546424"/>
    <w:rsid w:val="25550A8A"/>
    <w:rsid w:val="25568B94"/>
    <w:rsid w:val="25619C24"/>
    <w:rsid w:val="2579942E"/>
    <w:rsid w:val="25816FBA"/>
    <w:rsid w:val="258389CA"/>
    <w:rsid w:val="259C4B4C"/>
    <w:rsid w:val="25AF26D2"/>
    <w:rsid w:val="25B209F7"/>
    <w:rsid w:val="25B9C391"/>
    <w:rsid w:val="25BA11EF"/>
    <w:rsid w:val="25BD624C"/>
    <w:rsid w:val="25C9AC7C"/>
    <w:rsid w:val="25E7D563"/>
    <w:rsid w:val="25F53578"/>
    <w:rsid w:val="26010025"/>
    <w:rsid w:val="2607C369"/>
    <w:rsid w:val="260CABEF"/>
    <w:rsid w:val="26101494"/>
    <w:rsid w:val="26199B8D"/>
    <w:rsid w:val="261CF97E"/>
    <w:rsid w:val="261FA043"/>
    <w:rsid w:val="263C5709"/>
    <w:rsid w:val="2640849E"/>
    <w:rsid w:val="2643A29A"/>
    <w:rsid w:val="2650A80B"/>
    <w:rsid w:val="265EA535"/>
    <w:rsid w:val="267892CB"/>
    <w:rsid w:val="267F8212"/>
    <w:rsid w:val="268176E8"/>
    <w:rsid w:val="2688CC8E"/>
    <w:rsid w:val="268B7391"/>
    <w:rsid w:val="2690105D"/>
    <w:rsid w:val="26910344"/>
    <w:rsid w:val="2692098B"/>
    <w:rsid w:val="269535CD"/>
    <w:rsid w:val="26B6DA78"/>
    <w:rsid w:val="26BA6E17"/>
    <w:rsid w:val="26BA9E47"/>
    <w:rsid w:val="26BF9718"/>
    <w:rsid w:val="26C47EF7"/>
    <w:rsid w:val="26C7B2AA"/>
    <w:rsid w:val="26C9777D"/>
    <w:rsid w:val="26CACA6F"/>
    <w:rsid w:val="26CE8F0A"/>
    <w:rsid w:val="26D45854"/>
    <w:rsid w:val="26E132DC"/>
    <w:rsid w:val="26FD6C85"/>
    <w:rsid w:val="26FE2C04"/>
    <w:rsid w:val="27145D0A"/>
    <w:rsid w:val="2729F306"/>
    <w:rsid w:val="274C518A"/>
    <w:rsid w:val="274FA52F"/>
    <w:rsid w:val="2751CAF0"/>
    <w:rsid w:val="2758A111"/>
    <w:rsid w:val="27834B69"/>
    <w:rsid w:val="2793089B"/>
    <w:rsid w:val="2797C9D7"/>
    <w:rsid w:val="27ADA7F3"/>
    <w:rsid w:val="27B147D5"/>
    <w:rsid w:val="27B71973"/>
    <w:rsid w:val="27C50A2E"/>
    <w:rsid w:val="27C538F1"/>
    <w:rsid w:val="27F9207C"/>
    <w:rsid w:val="2814BC2C"/>
    <w:rsid w:val="281A4C6F"/>
    <w:rsid w:val="2822BE3B"/>
    <w:rsid w:val="282D346A"/>
    <w:rsid w:val="282F6BFA"/>
    <w:rsid w:val="2840223D"/>
    <w:rsid w:val="2851E863"/>
    <w:rsid w:val="28580D6D"/>
    <w:rsid w:val="285FD689"/>
    <w:rsid w:val="2868BCF7"/>
    <w:rsid w:val="286CE6EB"/>
    <w:rsid w:val="286F2705"/>
    <w:rsid w:val="2870CB7F"/>
    <w:rsid w:val="2870F907"/>
    <w:rsid w:val="28892B4D"/>
    <w:rsid w:val="288C62AC"/>
    <w:rsid w:val="288C7C29"/>
    <w:rsid w:val="289D9D9C"/>
    <w:rsid w:val="28A66A9C"/>
    <w:rsid w:val="28AB801F"/>
    <w:rsid w:val="28AEE51A"/>
    <w:rsid w:val="28B3F193"/>
    <w:rsid w:val="28BA4D58"/>
    <w:rsid w:val="28BCFDCE"/>
    <w:rsid w:val="28C81276"/>
    <w:rsid w:val="28C86BDF"/>
    <w:rsid w:val="28D05A5C"/>
    <w:rsid w:val="28DC3D6B"/>
    <w:rsid w:val="28E51E22"/>
    <w:rsid w:val="28F44DE1"/>
    <w:rsid w:val="2916C028"/>
    <w:rsid w:val="291D0E81"/>
    <w:rsid w:val="291EA930"/>
    <w:rsid w:val="2930C5E4"/>
    <w:rsid w:val="2930F018"/>
    <w:rsid w:val="29334353"/>
    <w:rsid w:val="293E6CDA"/>
    <w:rsid w:val="29401545"/>
    <w:rsid w:val="2944BCFC"/>
    <w:rsid w:val="2949A292"/>
    <w:rsid w:val="294C992E"/>
    <w:rsid w:val="294F54C8"/>
    <w:rsid w:val="29505A4B"/>
    <w:rsid w:val="2950E30F"/>
    <w:rsid w:val="2951E37B"/>
    <w:rsid w:val="29552C77"/>
    <w:rsid w:val="29595A17"/>
    <w:rsid w:val="295A3FF7"/>
    <w:rsid w:val="2966227A"/>
    <w:rsid w:val="29817FBF"/>
    <w:rsid w:val="2990A8CF"/>
    <w:rsid w:val="299567BC"/>
    <w:rsid w:val="299FC0B2"/>
    <w:rsid w:val="29AA135A"/>
    <w:rsid w:val="29B0231D"/>
    <w:rsid w:val="29BEA252"/>
    <w:rsid w:val="29BEFA48"/>
    <w:rsid w:val="29C9FBCD"/>
    <w:rsid w:val="29CC36BE"/>
    <w:rsid w:val="29D12EDC"/>
    <w:rsid w:val="29EB145B"/>
    <w:rsid w:val="29EDF412"/>
    <w:rsid w:val="29F2662B"/>
    <w:rsid w:val="29F424DB"/>
    <w:rsid w:val="29FB0A30"/>
    <w:rsid w:val="2A051421"/>
    <w:rsid w:val="2A18DF7A"/>
    <w:rsid w:val="2A1EE705"/>
    <w:rsid w:val="2A35CB90"/>
    <w:rsid w:val="2A37B398"/>
    <w:rsid w:val="2A3D3B04"/>
    <w:rsid w:val="2A447040"/>
    <w:rsid w:val="2A494481"/>
    <w:rsid w:val="2A550F5F"/>
    <w:rsid w:val="2A60B441"/>
    <w:rsid w:val="2A6650F7"/>
    <w:rsid w:val="2A6ADC91"/>
    <w:rsid w:val="2A6CC7B6"/>
    <w:rsid w:val="2A71FE91"/>
    <w:rsid w:val="2A7B2336"/>
    <w:rsid w:val="2A7B56AE"/>
    <w:rsid w:val="2A7D26EE"/>
    <w:rsid w:val="2A915379"/>
    <w:rsid w:val="2AB36D14"/>
    <w:rsid w:val="2AB9F5A8"/>
    <w:rsid w:val="2AC291D5"/>
    <w:rsid w:val="2AC510D4"/>
    <w:rsid w:val="2ACA1816"/>
    <w:rsid w:val="2ACAF245"/>
    <w:rsid w:val="2AD69EC1"/>
    <w:rsid w:val="2AE1537D"/>
    <w:rsid w:val="2AED9C5E"/>
    <w:rsid w:val="2AF7F7C9"/>
    <w:rsid w:val="2AFACFFD"/>
    <w:rsid w:val="2AFF26EF"/>
    <w:rsid w:val="2B078766"/>
    <w:rsid w:val="2B08EAF5"/>
    <w:rsid w:val="2B1807B5"/>
    <w:rsid w:val="2B1D3D7C"/>
    <w:rsid w:val="2B22A7AE"/>
    <w:rsid w:val="2B2E50CF"/>
    <w:rsid w:val="2B4019C2"/>
    <w:rsid w:val="2B56B994"/>
    <w:rsid w:val="2B595F59"/>
    <w:rsid w:val="2B64FBCE"/>
    <w:rsid w:val="2B6AE032"/>
    <w:rsid w:val="2B6E0B50"/>
    <w:rsid w:val="2B86A36D"/>
    <w:rsid w:val="2B89C7C3"/>
    <w:rsid w:val="2B9AD832"/>
    <w:rsid w:val="2B9C5877"/>
    <w:rsid w:val="2BA3B51F"/>
    <w:rsid w:val="2BA6852B"/>
    <w:rsid w:val="2BB30461"/>
    <w:rsid w:val="2BC0FAF7"/>
    <w:rsid w:val="2BD15DA9"/>
    <w:rsid w:val="2BD91337"/>
    <w:rsid w:val="2BE32899"/>
    <w:rsid w:val="2BEB590C"/>
    <w:rsid w:val="2BECB5E1"/>
    <w:rsid w:val="2BF18580"/>
    <w:rsid w:val="2BF38423"/>
    <w:rsid w:val="2C1CF7D4"/>
    <w:rsid w:val="2C1E68FC"/>
    <w:rsid w:val="2C1F88D0"/>
    <w:rsid w:val="2C20C55A"/>
    <w:rsid w:val="2C21C636"/>
    <w:rsid w:val="2C325B8B"/>
    <w:rsid w:val="2C429BCD"/>
    <w:rsid w:val="2C4D3166"/>
    <w:rsid w:val="2C515CE4"/>
    <w:rsid w:val="2C56D6AA"/>
    <w:rsid w:val="2C5AD514"/>
    <w:rsid w:val="2C5CE5BA"/>
    <w:rsid w:val="2C6A6F98"/>
    <w:rsid w:val="2C7608F1"/>
    <w:rsid w:val="2C81D67D"/>
    <w:rsid w:val="2C8619DA"/>
    <w:rsid w:val="2C87BBD2"/>
    <w:rsid w:val="2C8DD2FE"/>
    <w:rsid w:val="2CA0BEE7"/>
    <w:rsid w:val="2CADCC79"/>
    <w:rsid w:val="2CB3DAFB"/>
    <w:rsid w:val="2CB61EF4"/>
    <w:rsid w:val="2CCDC9D0"/>
    <w:rsid w:val="2CD46E26"/>
    <w:rsid w:val="2CEDDE12"/>
    <w:rsid w:val="2CEF0EAB"/>
    <w:rsid w:val="2CFC7A08"/>
    <w:rsid w:val="2D13351B"/>
    <w:rsid w:val="2D19A199"/>
    <w:rsid w:val="2D1EA916"/>
    <w:rsid w:val="2D208A94"/>
    <w:rsid w:val="2D2401FE"/>
    <w:rsid w:val="2D25767E"/>
    <w:rsid w:val="2D257A78"/>
    <w:rsid w:val="2D25DB16"/>
    <w:rsid w:val="2D2771B0"/>
    <w:rsid w:val="2D2AF8D9"/>
    <w:rsid w:val="2D2CBB61"/>
    <w:rsid w:val="2D37810E"/>
    <w:rsid w:val="2D438279"/>
    <w:rsid w:val="2D47F53F"/>
    <w:rsid w:val="2D5A5787"/>
    <w:rsid w:val="2D6C5522"/>
    <w:rsid w:val="2D71C23E"/>
    <w:rsid w:val="2D7DD7EF"/>
    <w:rsid w:val="2D853D4E"/>
    <w:rsid w:val="2D8A31DD"/>
    <w:rsid w:val="2D99B490"/>
    <w:rsid w:val="2DCD52ED"/>
    <w:rsid w:val="2DCEDBA9"/>
    <w:rsid w:val="2DDB1200"/>
    <w:rsid w:val="2DEA32B0"/>
    <w:rsid w:val="2DEE948D"/>
    <w:rsid w:val="2E1462CE"/>
    <w:rsid w:val="2E17DC46"/>
    <w:rsid w:val="2E2B4475"/>
    <w:rsid w:val="2E377F20"/>
    <w:rsid w:val="2E487E11"/>
    <w:rsid w:val="2E56B0A1"/>
    <w:rsid w:val="2E5A1FBA"/>
    <w:rsid w:val="2E60E649"/>
    <w:rsid w:val="2E65E607"/>
    <w:rsid w:val="2E6A157F"/>
    <w:rsid w:val="2E6C3D05"/>
    <w:rsid w:val="2E72AA53"/>
    <w:rsid w:val="2E7BA8A7"/>
    <w:rsid w:val="2E7CD396"/>
    <w:rsid w:val="2E935C8F"/>
    <w:rsid w:val="2E979C30"/>
    <w:rsid w:val="2E9D5248"/>
    <w:rsid w:val="2E9F161E"/>
    <w:rsid w:val="2ECE0DB0"/>
    <w:rsid w:val="2ED5F6E7"/>
    <w:rsid w:val="2EE57D17"/>
    <w:rsid w:val="2EE88772"/>
    <w:rsid w:val="2EF9842E"/>
    <w:rsid w:val="2F02CA0E"/>
    <w:rsid w:val="2F090EB5"/>
    <w:rsid w:val="2F0C5AD3"/>
    <w:rsid w:val="2F1AE70F"/>
    <w:rsid w:val="2F2016AE"/>
    <w:rsid w:val="2F2B7055"/>
    <w:rsid w:val="2F3E8AFF"/>
    <w:rsid w:val="2F407292"/>
    <w:rsid w:val="2F4E6D5E"/>
    <w:rsid w:val="2F57C0B7"/>
    <w:rsid w:val="2F65CF5B"/>
    <w:rsid w:val="2F6FB81A"/>
    <w:rsid w:val="2F89AEAE"/>
    <w:rsid w:val="2F8BF957"/>
    <w:rsid w:val="2F994304"/>
    <w:rsid w:val="2FB8BA2B"/>
    <w:rsid w:val="2FC556FD"/>
    <w:rsid w:val="2FC5A163"/>
    <w:rsid w:val="2FCE6353"/>
    <w:rsid w:val="2FCE78C6"/>
    <w:rsid w:val="2FD3E47E"/>
    <w:rsid w:val="2FD4A27B"/>
    <w:rsid w:val="2FD92EDC"/>
    <w:rsid w:val="2FF743B2"/>
    <w:rsid w:val="2FFA62DC"/>
    <w:rsid w:val="2FFFA03D"/>
    <w:rsid w:val="300E2D98"/>
    <w:rsid w:val="301D2B3E"/>
    <w:rsid w:val="303B1EE7"/>
    <w:rsid w:val="304701AD"/>
    <w:rsid w:val="3053D774"/>
    <w:rsid w:val="305DCC98"/>
    <w:rsid w:val="30645685"/>
    <w:rsid w:val="3065312A"/>
    <w:rsid w:val="3072CA05"/>
    <w:rsid w:val="30787BC3"/>
    <w:rsid w:val="309AB969"/>
    <w:rsid w:val="30A76864"/>
    <w:rsid w:val="30A88CF7"/>
    <w:rsid w:val="30B2E9CC"/>
    <w:rsid w:val="30CBA42A"/>
    <w:rsid w:val="30D49DF2"/>
    <w:rsid w:val="30E9F0E6"/>
    <w:rsid w:val="30F81CBC"/>
    <w:rsid w:val="30FB13EC"/>
    <w:rsid w:val="310688D0"/>
    <w:rsid w:val="3114125F"/>
    <w:rsid w:val="311AAED9"/>
    <w:rsid w:val="311B1B2D"/>
    <w:rsid w:val="312D62B5"/>
    <w:rsid w:val="3136CE97"/>
    <w:rsid w:val="313F7380"/>
    <w:rsid w:val="31495C8F"/>
    <w:rsid w:val="3155AEE5"/>
    <w:rsid w:val="3169184C"/>
    <w:rsid w:val="31699450"/>
    <w:rsid w:val="316DDD00"/>
    <w:rsid w:val="31764B8B"/>
    <w:rsid w:val="3177288D"/>
    <w:rsid w:val="3177E80F"/>
    <w:rsid w:val="3179C97D"/>
    <w:rsid w:val="317C5F6E"/>
    <w:rsid w:val="317F2DA4"/>
    <w:rsid w:val="318C000B"/>
    <w:rsid w:val="31A1B3CB"/>
    <w:rsid w:val="31A49131"/>
    <w:rsid w:val="31DACFC4"/>
    <w:rsid w:val="31E0D3F6"/>
    <w:rsid w:val="31E51221"/>
    <w:rsid w:val="31EB5FF3"/>
    <w:rsid w:val="31EC4363"/>
    <w:rsid w:val="31F1F3E4"/>
    <w:rsid w:val="32066D3D"/>
    <w:rsid w:val="323924E6"/>
    <w:rsid w:val="32429149"/>
    <w:rsid w:val="325FEBE8"/>
    <w:rsid w:val="326F3992"/>
    <w:rsid w:val="32746FD1"/>
    <w:rsid w:val="3277F536"/>
    <w:rsid w:val="328E44B4"/>
    <w:rsid w:val="329BD374"/>
    <w:rsid w:val="32A1C4F2"/>
    <w:rsid w:val="32A8E659"/>
    <w:rsid w:val="32B1F4F2"/>
    <w:rsid w:val="32CBF580"/>
    <w:rsid w:val="32CC53B3"/>
    <w:rsid w:val="32D92949"/>
    <w:rsid w:val="32E1142E"/>
    <w:rsid w:val="32E1F6B4"/>
    <w:rsid w:val="32EB9AF4"/>
    <w:rsid w:val="32F0356F"/>
    <w:rsid w:val="32F0ECCD"/>
    <w:rsid w:val="32F92A0D"/>
    <w:rsid w:val="330DAF2E"/>
    <w:rsid w:val="3321845B"/>
    <w:rsid w:val="332DF4CD"/>
    <w:rsid w:val="333004B1"/>
    <w:rsid w:val="3331F81A"/>
    <w:rsid w:val="33385392"/>
    <w:rsid w:val="333D68B1"/>
    <w:rsid w:val="333F8305"/>
    <w:rsid w:val="3343C6B2"/>
    <w:rsid w:val="33623830"/>
    <w:rsid w:val="337178AC"/>
    <w:rsid w:val="338D4C26"/>
    <w:rsid w:val="3396A307"/>
    <w:rsid w:val="339FCA37"/>
    <w:rsid w:val="33A9DD3A"/>
    <w:rsid w:val="33AC78D5"/>
    <w:rsid w:val="33AE8CC8"/>
    <w:rsid w:val="33AF01E0"/>
    <w:rsid w:val="33B04CF8"/>
    <w:rsid w:val="33BCEABB"/>
    <w:rsid w:val="33C3CB1D"/>
    <w:rsid w:val="33C4FD13"/>
    <w:rsid w:val="33C61F35"/>
    <w:rsid w:val="33D513A2"/>
    <w:rsid w:val="33DB56BD"/>
    <w:rsid w:val="33E49ADC"/>
    <w:rsid w:val="33F53DB6"/>
    <w:rsid w:val="33FA7E21"/>
    <w:rsid w:val="3408B065"/>
    <w:rsid w:val="34145478"/>
    <w:rsid w:val="3415A8C3"/>
    <w:rsid w:val="3438C9AD"/>
    <w:rsid w:val="343DA278"/>
    <w:rsid w:val="34452BF4"/>
    <w:rsid w:val="3445F0A5"/>
    <w:rsid w:val="34757CA8"/>
    <w:rsid w:val="34772753"/>
    <w:rsid w:val="348B84ED"/>
    <w:rsid w:val="34903B47"/>
    <w:rsid w:val="3493D577"/>
    <w:rsid w:val="349C3838"/>
    <w:rsid w:val="349D300F"/>
    <w:rsid w:val="34B12FCE"/>
    <w:rsid w:val="34BD2DE1"/>
    <w:rsid w:val="34BF7715"/>
    <w:rsid w:val="34C103C8"/>
    <w:rsid w:val="34C5A373"/>
    <w:rsid w:val="34D04823"/>
    <w:rsid w:val="34D42CFB"/>
    <w:rsid w:val="34E24329"/>
    <w:rsid w:val="34E4883F"/>
    <w:rsid w:val="34EB4E36"/>
    <w:rsid w:val="34FC496A"/>
    <w:rsid w:val="350AF786"/>
    <w:rsid w:val="350C5A10"/>
    <w:rsid w:val="351BF164"/>
    <w:rsid w:val="351C4B4D"/>
    <w:rsid w:val="352DE655"/>
    <w:rsid w:val="35377641"/>
    <w:rsid w:val="353E0BDD"/>
    <w:rsid w:val="35501E4F"/>
    <w:rsid w:val="3551203A"/>
    <w:rsid w:val="359FD578"/>
    <w:rsid w:val="35A8CC92"/>
    <w:rsid w:val="35B68EC9"/>
    <w:rsid w:val="35E7172B"/>
    <w:rsid w:val="35F7E18C"/>
    <w:rsid w:val="35F8CD43"/>
    <w:rsid w:val="3610C1A7"/>
    <w:rsid w:val="3612516E"/>
    <w:rsid w:val="3616DD98"/>
    <w:rsid w:val="361C1DA5"/>
    <w:rsid w:val="362D5C14"/>
    <w:rsid w:val="362E2BC2"/>
    <w:rsid w:val="363DD141"/>
    <w:rsid w:val="363F21B5"/>
    <w:rsid w:val="364A7F6B"/>
    <w:rsid w:val="365A5C1A"/>
    <w:rsid w:val="366858AB"/>
    <w:rsid w:val="366E5F54"/>
    <w:rsid w:val="36783FAB"/>
    <w:rsid w:val="36942864"/>
    <w:rsid w:val="369E586C"/>
    <w:rsid w:val="369FF204"/>
    <w:rsid w:val="36A45C55"/>
    <w:rsid w:val="36AF1D27"/>
    <w:rsid w:val="36B22BCF"/>
    <w:rsid w:val="36B80E3D"/>
    <w:rsid w:val="36BC21C1"/>
    <w:rsid w:val="36CCEA48"/>
    <w:rsid w:val="36D364CB"/>
    <w:rsid w:val="36D92D77"/>
    <w:rsid w:val="36DAA5A1"/>
    <w:rsid w:val="36DE8879"/>
    <w:rsid w:val="36FFCFE0"/>
    <w:rsid w:val="37002D90"/>
    <w:rsid w:val="3705D9DC"/>
    <w:rsid w:val="37123307"/>
    <w:rsid w:val="37315A09"/>
    <w:rsid w:val="37367F4D"/>
    <w:rsid w:val="3755CCF2"/>
    <w:rsid w:val="37582D8B"/>
    <w:rsid w:val="375A575F"/>
    <w:rsid w:val="375B835A"/>
    <w:rsid w:val="37620BFD"/>
    <w:rsid w:val="376D476F"/>
    <w:rsid w:val="37892D97"/>
    <w:rsid w:val="378DF3CF"/>
    <w:rsid w:val="3799495B"/>
    <w:rsid w:val="379F3836"/>
    <w:rsid w:val="37AC832A"/>
    <w:rsid w:val="37B2D296"/>
    <w:rsid w:val="37C0D568"/>
    <w:rsid w:val="37C46AE9"/>
    <w:rsid w:val="37C50AF0"/>
    <w:rsid w:val="37D23093"/>
    <w:rsid w:val="37D8C256"/>
    <w:rsid w:val="37E60ABD"/>
    <w:rsid w:val="37E73E12"/>
    <w:rsid w:val="37EA8379"/>
    <w:rsid w:val="37ED38BF"/>
    <w:rsid w:val="37EDAEA7"/>
    <w:rsid w:val="37F10F80"/>
    <w:rsid w:val="37F79436"/>
    <w:rsid w:val="37FA69E6"/>
    <w:rsid w:val="38053A74"/>
    <w:rsid w:val="3811A23E"/>
    <w:rsid w:val="3817CA8D"/>
    <w:rsid w:val="381A6ACF"/>
    <w:rsid w:val="3830CF87"/>
    <w:rsid w:val="3834D4F2"/>
    <w:rsid w:val="38427B8B"/>
    <w:rsid w:val="38457C2D"/>
    <w:rsid w:val="3846F6C4"/>
    <w:rsid w:val="3849F458"/>
    <w:rsid w:val="38557BCA"/>
    <w:rsid w:val="385AE461"/>
    <w:rsid w:val="386293DE"/>
    <w:rsid w:val="3864D3F4"/>
    <w:rsid w:val="387EFD63"/>
    <w:rsid w:val="387F2374"/>
    <w:rsid w:val="38864C92"/>
    <w:rsid w:val="388A287B"/>
    <w:rsid w:val="388AF23E"/>
    <w:rsid w:val="3890CBBD"/>
    <w:rsid w:val="38B7508B"/>
    <w:rsid w:val="38B8D744"/>
    <w:rsid w:val="38C5EA3C"/>
    <w:rsid w:val="38D4F298"/>
    <w:rsid w:val="38DB775F"/>
    <w:rsid w:val="38E360EF"/>
    <w:rsid w:val="38E8F023"/>
    <w:rsid w:val="38EA3C3F"/>
    <w:rsid w:val="3901B57E"/>
    <w:rsid w:val="39021BED"/>
    <w:rsid w:val="39122BDD"/>
    <w:rsid w:val="3913FD0B"/>
    <w:rsid w:val="391C8D69"/>
    <w:rsid w:val="39214498"/>
    <w:rsid w:val="39290A05"/>
    <w:rsid w:val="394141CC"/>
    <w:rsid w:val="39448480"/>
    <w:rsid w:val="394726A2"/>
    <w:rsid w:val="394BA5DC"/>
    <w:rsid w:val="394DC44E"/>
    <w:rsid w:val="3959780E"/>
    <w:rsid w:val="395C887A"/>
    <w:rsid w:val="396F694D"/>
    <w:rsid w:val="39773AB0"/>
    <w:rsid w:val="397E3574"/>
    <w:rsid w:val="39823183"/>
    <w:rsid w:val="3984FBED"/>
    <w:rsid w:val="398F8AE0"/>
    <w:rsid w:val="3995583E"/>
    <w:rsid w:val="39CA8430"/>
    <w:rsid w:val="39CB48E3"/>
    <w:rsid w:val="39CC0BC6"/>
    <w:rsid w:val="39CF4C44"/>
    <w:rsid w:val="39EB4B4E"/>
    <w:rsid w:val="39F8897C"/>
    <w:rsid w:val="3A118C82"/>
    <w:rsid w:val="3A230B37"/>
    <w:rsid w:val="3A2F201D"/>
    <w:rsid w:val="3A33A823"/>
    <w:rsid w:val="3A42D1F1"/>
    <w:rsid w:val="3A494006"/>
    <w:rsid w:val="3A4CA319"/>
    <w:rsid w:val="3A52CF65"/>
    <w:rsid w:val="3A5D6D8C"/>
    <w:rsid w:val="3A65DFE8"/>
    <w:rsid w:val="3A6600D2"/>
    <w:rsid w:val="3A6910F6"/>
    <w:rsid w:val="3A7C4EA3"/>
    <w:rsid w:val="3A80F6EF"/>
    <w:rsid w:val="3A8EA203"/>
    <w:rsid w:val="3A905107"/>
    <w:rsid w:val="3A9960F7"/>
    <w:rsid w:val="3A9A2EBF"/>
    <w:rsid w:val="3A9E60D9"/>
    <w:rsid w:val="3AA37F39"/>
    <w:rsid w:val="3AB09662"/>
    <w:rsid w:val="3ABB2D87"/>
    <w:rsid w:val="3AC221A6"/>
    <w:rsid w:val="3AC4F21D"/>
    <w:rsid w:val="3AD3EE58"/>
    <w:rsid w:val="3AD6ED8F"/>
    <w:rsid w:val="3ADF8B3C"/>
    <w:rsid w:val="3AEFC6EC"/>
    <w:rsid w:val="3B00E577"/>
    <w:rsid w:val="3B056C02"/>
    <w:rsid w:val="3B066540"/>
    <w:rsid w:val="3B0E0F37"/>
    <w:rsid w:val="3B1099D9"/>
    <w:rsid w:val="3B25D2A5"/>
    <w:rsid w:val="3B2DB106"/>
    <w:rsid w:val="3B405DC2"/>
    <w:rsid w:val="3B4CD094"/>
    <w:rsid w:val="3B5668AA"/>
    <w:rsid w:val="3B5F50B1"/>
    <w:rsid w:val="3B62123B"/>
    <w:rsid w:val="3B63D1D2"/>
    <w:rsid w:val="3B759811"/>
    <w:rsid w:val="3B7805BA"/>
    <w:rsid w:val="3B79725A"/>
    <w:rsid w:val="3B7DC50D"/>
    <w:rsid w:val="3B868321"/>
    <w:rsid w:val="3B9D322E"/>
    <w:rsid w:val="3B9E89C7"/>
    <w:rsid w:val="3BAF0EAE"/>
    <w:rsid w:val="3BB54843"/>
    <w:rsid w:val="3BBCAE22"/>
    <w:rsid w:val="3BCA487F"/>
    <w:rsid w:val="3BCD29D9"/>
    <w:rsid w:val="3BD6CE1D"/>
    <w:rsid w:val="3BDF1802"/>
    <w:rsid w:val="3BE524AE"/>
    <w:rsid w:val="3BE8A3F1"/>
    <w:rsid w:val="3BEAC7C9"/>
    <w:rsid w:val="3BEF063D"/>
    <w:rsid w:val="3BFCFCF4"/>
    <w:rsid w:val="3C1A3834"/>
    <w:rsid w:val="3C216196"/>
    <w:rsid w:val="3C32EF41"/>
    <w:rsid w:val="3C3FB2F0"/>
    <w:rsid w:val="3C461CBD"/>
    <w:rsid w:val="3C4B05A9"/>
    <w:rsid w:val="3C4CC9D2"/>
    <w:rsid w:val="3C4D6A96"/>
    <w:rsid w:val="3C538700"/>
    <w:rsid w:val="3C5AFFF8"/>
    <w:rsid w:val="3C5E962C"/>
    <w:rsid w:val="3C5F2CE1"/>
    <w:rsid w:val="3C64CCCB"/>
    <w:rsid w:val="3C6ADC05"/>
    <w:rsid w:val="3C7009F2"/>
    <w:rsid w:val="3C74B309"/>
    <w:rsid w:val="3C7B9DA7"/>
    <w:rsid w:val="3C7C95C0"/>
    <w:rsid w:val="3C7E47E0"/>
    <w:rsid w:val="3C8CD939"/>
    <w:rsid w:val="3C8D6800"/>
    <w:rsid w:val="3C9B0458"/>
    <w:rsid w:val="3C9D1596"/>
    <w:rsid w:val="3CA48192"/>
    <w:rsid w:val="3CA7BA8D"/>
    <w:rsid w:val="3CB0F768"/>
    <w:rsid w:val="3CB12420"/>
    <w:rsid w:val="3CB575C7"/>
    <w:rsid w:val="3CB777E5"/>
    <w:rsid w:val="3CB8EAA3"/>
    <w:rsid w:val="3CB98AC7"/>
    <w:rsid w:val="3CC14528"/>
    <w:rsid w:val="3CCD0732"/>
    <w:rsid w:val="3CCEC9C0"/>
    <w:rsid w:val="3CEC8310"/>
    <w:rsid w:val="3CF8363E"/>
    <w:rsid w:val="3D0102BE"/>
    <w:rsid w:val="3D019B68"/>
    <w:rsid w:val="3D0EA94E"/>
    <w:rsid w:val="3D159E5F"/>
    <w:rsid w:val="3D17BA82"/>
    <w:rsid w:val="3D199A48"/>
    <w:rsid w:val="3D1AF4D5"/>
    <w:rsid w:val="3D22333E"/>
    <w:rsid w:val="3D23BAE4"/>
    <w:rsid w:val="3D261B97"/>
    <w:rsid w:val="3D275570"/>
    <w:rsid w:val="3D29C0FC"/>
    <w:rsid w:val="3D2DC5B6"/>
    <w:rsid w:val="3D38D727"/>
    <w:rsid w:val="3D47B1C4"/>
    <w:rsid w:val="3D4CFACA"/>
    <w:rsid w:val="3D4ED02E"/>
    <w:rsid w:val="3D4FDE03"/>
    <w:rsid w:val="3D6A3556"/>
    <w:rsid w:val="3D800A7C"/>
    <w:rsid w:val="3D8254BF"/>
    <w:rsid w:val="3D82EA68"/>
    <w:rsid w:val="3D868AF1"/>
    <w:rsid w:val="3D8FE3D8"/>
    <w:rsid w:val="3D923ACA"/>
    <w:rsid w:val="3D94CFA4"/>
    <w:rsid w:val="3D9DA750"/>
    <w:rsid w:val="3D9DED16"/>
    <w:rsid w:val="3DA4F6C5"/>
    <w:rsid w:val="3DA50B67"/>
    <w:rsid w:val="3DB2A2D6"/>
    <w:rsid w:val="3DB88679"/>
    <w:rsid w:val="3DD10052"/>
    <w:rsid w:val="3DDA30B1"/>
    <w:rsid w:val="3DDA9944"/>
    <w:rsid w:val="3DDB6365"/>
    <w:rsid w:val="3DDEE0AA"/>
    <w:rsid w:val="3DEAFEDB"/>
    <w:rsid w:val="3DF3E2A6"/>
    <w:rsid w:val="3E0BBABC"/>
    <w:rsid w:val="3E0F29D7"/>
    <w:rsid w:val="3E1482D0"/>
    <w:rsid w:val="3E15639F"/>
    <w:rsid w:val="3E269D8F"/>
    <w:rsid w:val="3E295FBA"/>
    <w:rsid w:val="3E2CA76B"/>
    <w:rsid w:val="3E30D00E"/>
    <w:rsid w:val="3E33F3D4"/>
    <w:rsid w:val="3E408DA5"/>
    <w:rsid w:val="3E478E87"/>
    <w:rsid w:val="3E4A5991"/>
    <w:rsid w:val="3E4C2FFD"/>
    <w:rsid w:val="3E4DE457"/>
    <w:rsid w:val="3E5896F2"/>
    <w:rsid w:val="3E629001"/>
    <w:rsid w:val="3E6C5149"/>
    <w:rsid w:val="3E6E2CCD"/>
    <w:rsid w:val="3E7A6866"/>
    <w:rsid w:val="3E7CE52F"/>
    <w:rsid w:val="3EAF8276"/>
    <w:rsid w:val="3EB3F499"/>
    <w:rsid w:val="3EC6C2FD"/>
    <w:rsid w:val="3EC75D45"/>
    <w:rsid w:val="3ECD9413"/>
    <w:rsid w:val="3ED14429"/>
    <w:rsid w:val="3ED5E2D0"/>
    <w:rsid w:val="3EDC0F47"/>
    <w:rsid w:val="3EF59236"/>
    <w:rsid w:val="3F0371D0"/>
    <w:rsid w:val="3F0A700F"/>
    <w:rsid w:val="3F0AF897"/>
    <w:rsid w:val="3F0D87E0"/>
    <w:rsid w:val="3F13894A"/>
    <w:rsid w:val="3F13A085"/>
    <w:rsid w:val="3F1D1F36"/>
    <w:rsid w:val="3F20BF3E"/>
    <w:rsid w:val="3F3B324C"/>
    <w:rsid w:val="3F41B545"/>
    <w:rsid w:val="3F4C88EF"/>
    <w:rsid w:val="3F4CE7E4"/>
    <w:rsid w:val="3F51063B"/>
    <w:rsid w:val="3F677211"/>
    <w:rsid w:val="3F7168E8"/>
    <w:rsid w:val="3F724903"/>
    <w:rsid w:val="3F799FEA"/>
    <w:rsid w:val="3F7EB548"/>
    <w:rsid w:val="3F99F604"/>
    <w:rsid w:val="3F9BD238"/>
    <w:rsid w:val="3FB62941"/>
    <w:rsid w:val="3FB6A8D8"/>
    <w:rsid w:val="3FC76196"/>
    <w:rsid w:val="3FCD50F6"/>
    <w:rsid w:val="3FD078B7"/>
    <w:rsid w:val="3FD195DD"/>
    <w:rsid w:val="3FD5546A"/>
    <w:rsid w:val="3FD9B363"/>
    <w:rsid w:val="3FDAD76F"/>
    <w:rsid w:val="3FDFFC13"/>
    <w:rsid w:val="3FE9B931"/>
    <w:rsid w:val="3FEA9FF3"/>
    <w:rsid w:val="3FF5E785"/>
    <w:rsid w:val="4002D498"/>
    <w:rsid w:val="400D7791"/>
    <w:rsid w:val="400EABDF"/>
    <w:rsid w:val="4016EABF"/>
    <w:rsid w:val="401AD32D"/>
    <w:rsid w:val="401AFB65"/>
    <w:rsid w:val="4024F58D"/>
    <w:rsid w:val="4029EB78"/>
    <w:rsid w:val="402F7C98"/>
    <w:rsid w:val="403C7912"/>
    <w:rsid w:val="40444ECD"/>
    <w:rsid w:val="405181B5"/>
    <w:rsid w:val="40562976"/>
    <w:rsid w:val="405885C9"/>
    <w:rsid w:val="4069E728"/>
    <w:rsid w:val="4088CF2E"/>
    <w:rsid w:val="408BCC77"/>
    <w:rsid w:val="4091C5D9"/>
    <w:rsid w:val="4094BA39"/>
    <w:rsid w:val="409A316C"/>
    <w:rsid w:val="409B1FD1"/>
    <w:rsid w:val="40AE9DF7"/>
    <w:rsid w:val="40AF2123"/>
    <w:rsid w:val="40B1B08A"/>
    <w:rsid w:val="40B4C7F4"/>
    <w:rsid w:val="40B8A82C"/>
    <w:rsid w:val="40C40D9E"/>
    <w:rsid w:val="40D2AC8D"/>
    <w:rsid w:val="40DB960B"/>
    <w:rsid w:val="40E288A5"/>
    <w:rsid w:val="40EBC3EF"/>
    <w:rsid w:val="40EEA1BA"/>
    <w:rsid w:val="40F54435"/>
    <w:rsid w:val="40F7BE26"/>
    <w:rsid w:val="411543FF"/>
    <w:rsid w:val="41199D7F"/>
    <w:rsid w:val="411A8282"/>
    <w:rsid w:val="411E6091"/>
    <w:rsid w:val="4124A1E3"/>
    <w:rsid w:val="4124F8E4"/>
    <w:rsid w:val="4129989A"/>
    <w:rsid w:val="413ABA05"/>
    <w:rsid w:val="413F16B3"/>
    <w:rsid w:val="41467581"/>
    <w:rsid w:val="414FE9D2"/>
    <w:rsid w:val="41528A24"/>
    <w:rsid w:val="416663CC"/>
    <w:rsid w:val="416C83BC"/>
    <w:rsid w:val="4189BC4C"/>
    <w:rsid w:val="419F5DC8"/>
    <w:rsid w:val="41A202E3"/>
    <w:rsid w:val="41AF8ACB"/>
    <w:rsid w:val="41B49252"/>
    <w:rsid w:val="41BA46E7"/>
    <w:rsid w:val="41CB5F86"/>
    <w:rsid w:val="41CE4E0E"/>
    <w:rsid w:val="41CF1FFF"/>
    <w:rsid w:val="41D13DA8"/>
    <w:rsid w:val="41D62DA3"/>
    <w:rsid w:val="41E677A6"/>
    <w:rsid w:val="41F2148D"/>
    <w:rsid w:val="4200BF97"/>
    <w:rsid w:val="4206F141"/>
    <w:rsid w:val="420FE265"/>
    <w:rsid w:val="42107398"/>
    <w:rsid w:val="421A70F6"/>
    <w:rsid w:val="421CFC6E"/>
    <w:rsid w:val="42283CF6"/>
    <w:rsid w:val="42380881"/>
    <w:rsid w:val="425BD05B"/>
    <w:rsid w:val="426719FC"/>
    <w:rsid w:val="42838328"/>
    <w:rsid w:val="42999DFC"/>
    <w:rsid w:val="42A1F673"/>
    <w:rsid w:val="42A24F7E"/>
    <w:rsid w:val="42A330E4"/>
    <w:rsid w:val="42B37AA3"/>
    <w:rsid w:val="42B9DD42"/>
    <w:rsid w:val="42BFE444"/>
    <w:rsid w:val="42C54E2E"/>
    <w:rsid w:val="42C8B7BE"/>
    <w:rsid w:val="42D372BE"/>
    <w:rsid w:val="42ECEA19"/>
    <w:rsid w:val="42F09952"/>
    <w:rsid w:val="42F83173"/>
    <w:rsid w:val="4301BE17"/>
    <w:rsid w:val="43286CFD"/>
    <w:rsid w:val="432B2CA6"/>
    <w:rsid w:val="4333B1CA"/>
    <w:rsid w:val="4333BA0C"/>
    <w:rsid w:val="433AE8AE"/>
    <w:rsid w:val="43446CBB"/>
    <w:rsid w:val="43489382"/>
    <w:rsid w:val="434F5BA4"/>
    <w:rsid w:val="435B2576"/>
    <w:rsid w:val="43611435"/>
    <w:rsid w:val="4365A890"/>
    <w:rsid w:val="436B181A"/>
    <w:rsid w:val="436CF292"/>
    <w:rsid w:val="437181B6"/>
    <w:rsid w:val="43854E6F"/>
    <w:rsid w:val="43863614"/>
    <w:rsid w:val="438A93F6"/>
    <w:rsid w:val="43A593AE"/>
    <w:rsid w:val="43B0F02D"/>
    <w:rsid w:val="43B729AD"/>
    <w:rsid w:val="43E66374"/>
    <w:rsid w:val="43EEFD98"/>
    <w:rsid w:val="43F087F2"/>
    <w:rsid w:val="4416C325"/>
    <w:rsid w:val="4426B70D"/>
    <w:rsid w:val="4447A6F4"/>
    <w:rsid w:val="44484FF8"/>
    <w:rsid w:val="4449E6FC"/>
    <w:rsid w:val="44567CB6"/>
    <w:rsid w:val="44660ECC"/>
    <w:rsid w:val="4467D252"/>
    <w:rsid w:val="446C31FF"/>
    <w:rsid w:val="447315F2"/>
    <w:rsid w:val="447DA807"/>
    <w:rsid w:val="447F4996"/>
    <w:rsid w:val="4486F64F"/>
    <w:rsid w:val="448B821D"/>
    <w:rsid w:val="44933155"/>
    <w:rsid w:val="4495E437"/>
    <w:rsid w:val="44A4194F"/>
    <w:rsid w:val="44ABF7B9"/>
    <w:rsid w:val="44BD6C52"/>
    <w:rsid w:val="44C1B69F"/>
    <w:rsid w:val="44CEC93B"/>
    <w:rsid w:val="44D2EFAF"/>
    <w:rsid w:val="44EE743C"/>
    <w:rsid w:val="44FB0B9B"/>
    <w:rsid w:val="44FC0145"/>
    <w:rsid w:val="44FC7C9E"/>
    <w:rsid w:val="44FF5DC9"/>
    <w:rsid w:val="44FFDA36"/>
    <w:rsid w:val="45024E7D"/>
    <w:rsid w:val="451225DC"/>
    <w:rsid w:val="452403FF"/>
    <w:rsid w:val="4524E4D6"/>
    <w:rsid w:val="453E0BAB"/>
    <w:rsid w:val="4555D116"/>
    <w:rsid w:val="45571065"/>
    <w:rsid w:val="455C36AB"/>
    <w:rsid w:val="455D37A6"/>
    <w:rsid w:val="4565550E"/>
    <w:rsid w:val="4574FAA7"/>
    <w:rsid w:val="457510DD"/>
    <w:rsid w:val="4589162A"/>
    <w:rsid w:val="458AD1D4"/>
    <w:rsid w:val="458D0C0E"/>
    <w:rsid w:val="4593250C"/>
    <w:rsid w:val="459C679C"/>
    <w:rsid w:val="45A61AD1"/>
    <w:rsid w:val="45CD14F4"/>
    <w:rsid w:val="45D0E5E7"/>
    <w:rsid w:val="45D3D804"/>
    <w:rsid w:val="45D66863"/>
    <w:rsid w:val="45DBB4DF"/>
    <w:rsid w:val="45DDB13F"/>
    <w:rsid w:val="45E660CA"/>
    <w:rsid w:val="45ECCCBF"/>
    <w:rsid w:val="45ED5919"/>
    <w:rsid w:val="45F3ACB7"/>
    <w:rsid w:val="45FA5DE2"/>
    <w:rsid w:val="460062EC"/>
    <w:rsid w:val="46017B7B"/>
    <w:rsid w:val="4621FA74"/>
    <w:rsid w:val="46274FCF"/>
    <w:rsid w:val="463BFEDD"/>
    <w:rsid w:val="463D562F"/>
    <w:rsid w:val="46406748"/>
    <w:rsid w:val="464C955B"/>
    <w:rsid w:val="46570488"/>
    <w:rsid w:val="46712720"/>
    <w:rsid w:val="4671D30F"/>
    <w:rsid w:val="4677DA26"/>
    <w:rsid w:val="46818DD6"/>
    <w:rsid w:val="469AF82F"/>
    <w:rsid w:val="469CBE44"/>
    <w:rsid w:val="46B378A7"/>
    <w:rsid w:val="46B5858B"/>
    <w:rsid w:val="46B5EA4B"/>
    <w:rsid w:val="46D14754"/>
    <w:rsid w:val="46DBF7E9"/>
    <w:rsid w:val="46E8A14D"/>
    <w:rsid w:val="46F8F5EA"/>
    <w:rsid w:val="46FBAEF3"/>
    <w:rsid w:val="47044D28"/>
    <w:rsid w:val="470E4707"/>
    <w:rsid w:val="4713C97A"/>
    <w:rsid w:val="471771EA"/>
    <w:rsid w:val="4720C92C"/>
    <w:rsid w:val="4722A5B0"/>
    <w:rsid w:val="473B6AFF"/>
    <w:rsid w:val="473E0F26"/>
    <w:rsid w:val="47460E11"/>
    <w:rsid w:val="474FC219"/>
    <w:rsid w:val="475DFED3"/>
    <w:rsid w:val="477063DB"/>
    <w:rsid w:val="47757AFA"/>
    <w:rsid w:val="47791E79"/>
    <w:rsid w:val="4781D7FE"/>
    <w:rsid w:val="478653E9"/>
    <w:rsid w:val="47935358"/>
    <w:rsid w:val="47979520"/>
    <w:rsid w:val="479BE3A6"/>
    <w:rsid w:val="47A563AF"/>
    <w:rsid w:val="47A56B62"/>
    <w:rsid w:val="47AE3C43"/>
    <w:rsid w:val="47B05785"/>
    <w:rsid w:val="47B12130"/>
    <w:rsid w:val="47B3F790"/>
    <w:rsid w:val="47B5657F"/>
    <w:rsid w:val="47B5D3AB"/>
    <w:rsid w:val="47BF9D68"/>
    <w:rsid w:val="47CB8F1E"/>
    <w:rsid w:val="47E56075"/>
    <w:rsid w:val="480CFF64"/>
    <w:rsid w:val="4815C817"/>
    <w:rsid w:val="48176BDE"/>
    <w:rsid w:val="4828D1B8"/>
    <w:rsid w:val="482F5D56"/>
    <w:rsid w:val="4839BD06"/>
    <w:rsid w:val="484C42FA"/>
    <w:rsid w:val="48507B27"/>
    <w:rsid w:val="485FD468"/>
    <w:rsid w:val="486239FD"/>
    <w:rsid w:val="48656FBA"/>
    <w:rsid w:val="486778A1"/>
    <w:rsid w:val="486F757C"/>
    <w:rsid w:val="48749433"/>
    <w:rsid w:val="487875CF"/>
    <w:rsid w:val="488015D8"/>
    <w:rsid w:val="4881C349"/>
    <w:rsid w:val="488BAD04"/>
    <w:rsid w:val="489455BD"/>
    <w:rsid w:val="4895BFD1"/>
    <w:rsid w:val="489B4443"/>
    <w:rsid w:val="489DD492"/>
    <w:rsid w:val="489EBAA2"/>
    <w:rsid w:val="48B62BA2"/>
    <w:rsid w:val="48B7F68F"/>
    <w:rsid w:val="48BB4406"/>
    <w:rsid w:val="48BE1C37"/>
    <w:rsid w:val="48BEDC7A"/>
    <w:rsid w:val="48E969BA"/>
    <w:rsid w:val="48FAAE4E"/>
    <w:rsid w:val="4901D5C4"/>
    <w:rsid w:val="4907DD40"/>
    <w:rsid w:val="49168FBA"/>
    <w:rsid w:val="4922CF10"/>
    <w:rsid w:val="49298BA2"/>
    <w:rsid w:val="4938419F"/>
    <w:rsid w:val="494E4679"/>
    <w:rsid w:val="49551FF1"/>
    <w:rsid w:val="496EE8B5"/>
    <w:rsid w:val="496FC039"/>
    <w:rsid w:val="4976B817"/>
    <w:rsid w:val="498FB785"/>
    <w:rsid w:val="49911D07"/>
    <w:rsid w:val="4993337B"/>
    <w:rsid w:val="499CD560"/>
    <w:rsid w:val="49A7860A"/>
    <w:rsid w:val="49B294D7"/>
    <w:rsid w:val="49B52C77"/>
    <w:rsid w:val="49C5FD4B"/>
    <w:rsid w:val="49D52C24"/>
    <w:rsid w:val="49D99AE8"/>
    <w:rsid w:val="49EA09B7"/>
    <w:rsid w:val="49F81E6B"/>
    <w:rsid w:val="4A01064F"/>
    <w:rsid w:val="4A0D0C88"/>
    <w:rsid w:val="4A11FF31"/>
    <w:rsid w:val="4A186CBF"/>
    <w:rsid w:val="4A1DD62C"/>
    <w:rsid w:val="4A1F2695"/>
    <w:rsid w:val="4A302F96"/>
    <w:rsid w:val="4A35CB1E"/>
    <w:rsid w:val="4A376065"/>
    <w:rsid w:val="4A4C8A31"/>
    <w:rsid w:val="4A4E82CF"/>
    <w:rsid w:val="4A537D1F"/>
    <w:rsid w:val="4A590C53"/>
    <w:rsid w:val="4A710516"/>
    <w:rsid w:val="4A7E915F"/>
    <w:rsid w:val="4A83D03A"/>
    <w:rsid w:val="4A8498EF"/>
    <w:rsid w:val="4A9701AA"/>
    <w:rsid w:val="4ABA8460"/>
    <w:rsid w:val="4AC9F90A"/>
    <w:rsid w:val="4AE47201"/>
    <w:rsid w:val="4AE8A0CE"/>
    <w:rsid w:val="4AEB2F4C"/>
    <w:rsid w:val="4AF12B98"/>
    <w:rsid w:val="4B1F2169"/>
    <w:rsid w:val="4B2B1174"/>
    <w:rsid w:val="4B3DA41A"/>
    <w:rsid w:val="4B5DD7D9"/>
    <w:rsid w:val="4B668E5E"/>
    <w:rsid w:val="4B686444"/>
    <w:rsid w:val="4B80F77F"/>
    <w:rsid w:val="4B827C90"/>
    <w:rsid w:val="4B85AC75"/>
    <w:rsid w:val="4B8C0FA6"/>
    <w:rsid w:val="4BA0122E"/>
    <w:rsid w:val="4BA43BD4"/>
    <w:rsid w:val="4BAB22FC"/>
    <w:rsid w:val="4BBB8175"/>
    <w:rsid w:val="4BC78960"/>
    <w:rsid w:val="4BD2D6CA"/>
    <w:rsid w:val="4BE12326"/>
    <w:rsid w:val="4BE7A424"/>
    <w:rsid w:val="4BED5556"/>
    <w:rsid w:val="4BEE4C62"/>
    <w:rsid w:val="4BF2498E"/>
    <w:rsid w:val="4BFBD1C5"/>
    <w:rsid w:val="4BFDAC7F"/>
    <w:rsid w:val="4C020DFD"/>
    <w:rsid w:val="4C0407E6"/>
    <w:rsid w:val="4C049C85"/>
    <w:rsid w:val="4C091751"/>
    <w:rsid w:val="4C0F7719"/>
    <w:rsid w:val="4C1C00B6"/>
    <w:rsid w:val="4C33F05E"/>
    <w:rsid w:val="4C367A6F"/>
    <w:rsid w:val="4C39F9B2"/>
    <w:rsid w:val="4C47788F"/>
    <w:rsid w:val="4C59F739"/>
    <w:rsid w:val="4C5FB978"/>
    <w:rsid w:val="4C7790A1"/>
    <w:rsid w:val="4C848A7C"/>
    <w:rsid w:val="4C86927D"/>
    <w:rsid w:val="4C8F9CDD"/>
    <w:rsid w:val="4C92D321"/>
    <w:rsid w:val="4C95854B"/>
    <w:rsid w:val="4C97584E"/>
    <w:rsid w:val="4CA85701"/>
    <w:rsid w:val="4CB523AF"/>
    <w:rsid w:val="4CB6034A"/>
    <w:rsid w:val="4CC40FC7"/>
    <w:rsid w:val="4CC565D3"/>
    <w:rsid w:val="4CC979B7"/>
    <w:rsid w:val="4CCA827C"/>
    <w:rsid w:val="4CD4C6B1"/>
    <w:rsid w:val="4CDBDD1B"/>
    <w:rsid w:val="4CDDDF96"/>
    <w:rsid w:val="4CE65BE5"/>
    <w:rsid w:val="4CED6C9D"/>
    <w:rsid w:val="4CEEAF5C"/>
    <w:rsid w:val="4D249F45"/>
    <w:rsid w:val="4D277431"/>
    <w:rsid w:val="4D2BF3E0"/>
    <w:rsid w:val="4D3062EC"/>
    <w:rsid w:val="4D311B53"/>
    <w:rsid w:val="4D34DA36"/>
    <w:rsid w:val="4D435AEB"/>
    <w:rsid w:val="4D53CCD4"/>
    <w:rsid w:val="4D5953A8"/>
    <w:rsid w:val="4D5D8F49"/>
    <w:rsid w:val="4D6D2BEE"/>
    <w:rsid w:val="4D779D69"/>
    <w:rsid w:val="4D7D3E67"/>
    <w:rsid w:val="4D7D8638"/>
    <w:rsid w:val="4D7DFC6B"/>
    <w:rsid w:val="4D825816"/>
    <w:rsid w:val="4D862BD6"/>
    <w:rsid w:val="4D8873B1"/>
    <w:rsid w:val="4D8C9080"/>
    <w:rsid w:val="4D8F0BBF"/>
    <w:rsid w:val="4D972BDF"/>
    <w:rsid w:val="4D998F9D"/>
    <w:rsid w:val="4D9A2B08"/>
    <w:rsid w:val="4DA2C377"/>
    <w:rsid w:val="4DAC70B3"/>
    <w:rsid w:val="4DB7171E"/>
    <w:rsid w:val="4DD260D5"/>
    <w:rsid w:val="4DD4E093"/>
    <w:rsid w:val="4DD940C2"/>
    <w:rsid w:val="4DE3EA50"/>
    <w:rsid w:val="4DF1C332"/>
    <w:rsid w:val="4DF2AEC9"/>
    <w:rsid w:val="4DF63AB6"/>
    <w:rsid w:val="4E014996"/>
    <w:rsid w:val="4E0D55E6"/>
    <w:rsid w:val="4E23D681"/>
    <w:rsid w:val="4E27460C"/>
    <w:rsid w:val="4E3749F9"/>
    <w:rsid w:val="4E383073"/>
    <w:rsid w:val="4E3E8A1E"/>
    <w:rsid w:val="4E488C5A"/>
    <w:rsid w:val="4E658E17"/>
    <w:rsid w:val="4E774EF5"/>
    <w:rsid w:val="4E88C026"/>
    <w:rsid w:val="4E97E0B8"/>
    <w:rsid w:val="4EA26E36"/>
    <w:rsid w:val="4EA2A5A0"/>
    <w:rsid w:val="4EA7EE5B"/>
    <w:rsid w:val="4EB26872"/>
    <w:rsid w:val="4EB62EEA"/>
    <w:rsid w:val="4ED23A82"/>
    <w:rsid w:val="4EE716BF"/>
    <w:rsid w:val="4EEBF7FC"/>
    <w:rsid w:val="4F008616"/>
    <w:rsid w:val="4F0D3FB5"/>
    <w:rsid w:val="4F186808"/>
    <w:rsid w:val="4F196C73"/>
    <w:rsid w:val="4F28A4B7"/>
    <w:rsid w:val="4F2A986F"/>
    <w:rsid w:val="4F40FE7F"/>
    <w:rsid w:val="4F42561B"/>
    <w:rsid w:val="4F435896"/>
    <w:rsid w:val="4F43A279"/>
    <w:rsid w:val="4F55FF05"/>
    <w:rsid w:val="4F5739C4"/>
    <w:rsid w:val="4F59D818"/>
    <w:rsid w:val="4F5FFC3E"/>
    <w:rsid w:val="4F630D15"/>
    <w:rsid w:val="4F6379CB"/>
    <w:rsid w:val="4F6A9C34"/>
    <w:rsid w:val="4F6BB3C9"/>
    <w:rsid w:val="4F6E7A95"/>
    <w:rsid w:val="4F73AD1F"/>
    <w:rsid w:val="4F779347"/>
    <w:rsid w:val="4F7F13A3"/>
    <w:rsid w:val="4F82D91B"/>
    <w:rsid w:val="4F831A4A"/>
    <w:rsid w:val="4F85CA6A"/>
    <w:rsid w:val="4F8B5A6C"/>
    <w:rsid w:val="4F929537"/>
    <w:rsid w:val="4F940F56"/>
    <w:rsid w:val="4F9A49C5"/>
    <w:rsid w:val="4F9AAADA"/>
    <w:rsid w:val="4F9BA7A9"/>
    <w:rsid w:val="4FA6C58D"/>
    <w:rsid w:val="4FA7A0C2"/>
    <w:rsid w:val="4FBC7A82"/>
    <w:rsid w:val="4FC1D716"/>
    <w:rsid w:val="4FDA525E"/>
    <w:rsid w:val="4FDC5ED5"/>
    <w:rsid w:val="4FDD3D00"/>
    <w:rsid w:val="4FDD96DE"/>
    <w:rsid w:val="4FFD20AA"/>
    <w:rsid w:val="5003BD18"/>
    <w:rsid w:val="500AAC64"/>
    <w:rsid w:val="500B3126"/>
    <w:rsid w:val="5010BE97"/>
    <w:rsid w:val="5029CEFF"/>
    <w:rsid w:val="5035A4F4"/>
    <w:rsid w:val="5035FF4C"/>
    <w:rsid w:val="504570ED"/>
    <w:rsid w:val="504F11AB"/>
    <w:rsid w:val="50591A9A"/>
    <w:rsid w:val="5060CEE3"/>
    <w:rsid w:val="5066611C"/>
    <w:rsid w:val="5067962D"/>
    <w:rsid w:val="507E8198"/>
    <w:rsid w:val="5085C88C"/>
    <w:rsid w:val="508CEDDE"/>
    <w:rsid w:val="5092D852"/>
    <w:rsid w:val="5095D5E2"/>
    <w:rsid w:val="5096ED3A"/>
    <w:rsid w:val="50A867B5"/>
    <w:rsid w:val="50AD3F7F"/>
    <w:rsid w:val="50B17637"/>
    <w:rsid w:val="50B2B5F7"/>
    <w:rsid w:val="50B7BC83"/>
    <w:rsid w:val="50C00978"/>
    <w:rsid w:val="50C66EC2"/>
    <w:rsid w:val="50C72818"/>
    <w:rsid w:val="50EAE692"/>
    <w:rsid w:val="50F33B33"/>
    <w:rsid w:val="50F6B853"/>
    <w:rsid w:val="50FB5BB8"/>
    <w:rsid w:val="50FF3605"/>
    <w:rsid w:val="51003B6D"/>
    <w:rsid w:val="5101199A"/>
    <w:rsid w:val="511F865B"/>
    <w:rsid w:val="512B371F"/>
    <w:rsid w:val="512D44C0"/>
    <w:rsid w:val="51342780"/>
    <w:rsid w:val="5135D363"/>
    <w:rsid w:val="513763D0"/>
    <w:rsid w:val="513C98CB"/>
    <w:rsid w:val="513F8855"/>
    <w:rsid w:val="514B26EC"/>
    <w:rsid w:val="514BB6EE"/>
    <w:rsid w:val="515219E1"/>
    <w:rsid w:val="51531334"/>
    <w:rsid w:val="515DC5B3"/>
    <w:rsid w:val="5161F25F"/>
    <w:rsid w:val="5164A15C"/>
    <w:rsid w:val="5171CB91"/>
    <w:rsid w:val="5176B4AF"/>
    <w:rsid w:val="517DD345"/>
    <w:rsid w:val="518E776B"/>
    <w:rsid w:val="519EE1D9"/>
    <w:rsid w:val="51A2465A"/>
    <w:rsid w:val="51B6005D"/>
    <w:rsid w:val="51BCDF30"/>
    <w:rsid w:val="51BF3FA1"/>
    <w:rsid w:val="51D9335B"/>
    <w:rsid w:val="51E00BF6"/>
    <w:rsid w:val="51F63E76"/>
    <w:rsid w:val="51F6BB24"/>
    <w:rsid w:val="52009D91"/>
    <w:rsid w:val="520951D7"/>
    <w:rsid w:val="52102EF5"/>
    <w:rsid w:val="5219F31D"/>
    <w:rsid w:val="5226C5B1"/>
    <w:rsid w:val="52343AAF"/>
    <w:rsid w:val="52350EE3"/>
    <w:rsid w:val="523C1223"/>
    <w:rsid w:val="523D9CFA"/>
    <w:rsid w:val="524000F9"/>
    <w:rsid w:val="524E9D0F"/>
    <w:rsid w:val="5255F5B3"/>
    <w:rsid w:val="5261FF3A"/>
    <w:rsid w:val="52628F4C"/>
    <w:rsid w:val="5264DC7E"/>
    <w:rsid w:val="526BA07F"/>
    <w:rsid w:val="5285E1D2"/>
    <w:rsid w:val="52864851"/>
    <w:rsid w:val="5295E39D"/>
    <w:rsid w:val="5296898E"/>
    <w:rsid w:val="52999285"/>
    <w:rsid w:val="52A8DB15"/>
    <w:rsid w:val="52B1038F"/>
    <w:rsid w:val="52BF19C9"/>
    <w:rsid w:val="52D92433"/>
    <w:rsid w:val="52E0E3B1"/>
    <w:rsid w:val="52E4996D"/>
    <w:rsid w:val="52EB5EFA"/>
    <w:rsid w:val="52EBF9BC"/>
    <w:rsid w:val="52FDAA06"/>
    <w:rsid w:val="530453C3"/>
    <w:rsid w:val="530B4920"/>
    <w:rsid w:val="5311D3A8"/>
    <w:rsid w:val="531C2DA9"/>
    <w:rsid w:val="53330A8A"/>
    <w:rsid w:val="5336B6E4"/>
    <w:rsid w:val="5337E845"/>
    <w:rsid w:val="533C15A4"/>
    <w:rsid w:val="5346EAED"/>
    <w:rsid w:val="5348B47A"/>
    <w:rsid w:val="534AE3BF"/>
    <w:rsid w:val="5359989C"/>
    <w:rsid w:val="53685A51"/>
    <w:rsid w:val="53752C09"/>
    <w:rsid w:val="537B643D"/>
    <w:rsid w:val="53809EE5"/>
    <w:rsid w:val="5386ADCD"/>
    <w:rsid w:val="53A0E815"/>
    <w:rsid w:val="53A1FFAA"/>
    <w:rsid w:val="53A4215B"/>
    <w:rsid w:val="53B993FB"/>
    <w:rsid w:val="53CDDB07"/>
    <w:rsid w:val="53D0176A"/>
    <w:rsid w:val="53E021DD"/>
    <w:rsid w:val="53F63A71"/>
    <w:rsid w:val="53FF84F0"/>
    <w:rsid w:val="53FFDCA1"/>
    <w:rsid w:val="5400AADD"/>
    <w:rsid w:val="540A5976"/>
    <w:rsid w:val="540B15C1"/>
    <w:rsid w:val="5416C91F"/>
    <w:rsid w:val="5417FEE1"/>
    <w:rsid w:val="541AB563"/>
    <w:rsid w:val="5426CCA5"/>
    <w:rsid w:val="5428309B"/>
    <w:rsid w:val="543E9960"/>
    <w:rsid w:val="545A8A4E"/>
    <w:rsid w:val="5467F20D"/>
    <w:rsid w:val="546D8133"/>
    <w:rsid w:val="54723576"/>
    <w:rsid w:val="54743F41"/>
    <w:rsid w:val="547C41A7"/>
    <w:rsid w:val="5480A08A"/>
    <w:rsid w:val="54A29D59"/>
    <w:rsid w:val="54A926AD"/>
    <w:rsid w:val="54AF89CF"/>
    <w:rsid w:val="54B56874"/>
    <w:rsid w:val="54BDB515"/>
    <w:rsid w:val="54C333DC"/>
    <w:rsid w:val="54CB8EE3"/>
    <w:rsid w:val="54CC23B5"/>
    <w:rsid w:val="54D306EB"/>
    <w:rsid w:val="54D73179"/>
    <w:rsid w:val="54DCE332"/>
    <w:rsid w:val="54DDA902"/>
    <w:rsid w:val="54FA8026"/>
    <w:rsid w:val="54FB452A"/>
    <w:rsid w:val="54FE143A"/>
    <w:rsid w:val="54FE818C"/>
    <w:rsid w:val="5502D8B2"/>
    <w:rsid w:val="550415C0"/>
    <w:rsid w:val="550F5858"/>
    <w:rsid w:val="5512842B"/>
    <w:rsid w:val="5519ECDE"/>
    <w:rsid w:val="551D6AB1"/>
    <w:rsid w:val="551DBA90"/>
    <w:rsid w:val="552D4FAB"/>
    <w:rsid w:val="5535FCD2"/>
    <w:rsid w:val="553B6E50"/>
    <w:rsid w:val="5547DF3E"/>
    <w:rsid w:val="55576FE3"/>
    <w:rsid w:val="55583488"/>
    <w:rsid w:val="555CE0E8"/>
    <w:rsid w:val="55617B79"/>
    <w:rsid w:val="557B2742"/>
    <w:rsid w:val="55A761AB"/>
    <w:rsid w:val="55A79681"/>
    <w:rsid w:val="55A93E23"/>
    <w:rsid w:val="55B1E23B"/>
    <w:rsid w:val="55B2378E"/>
    <w:rsid w:val="55B6B788"/>
    <w:rsid w:val="55B9CCA2"/>
    <w:rsid w:val="55C8857A"/>
    <w:rsid w:val="55CFF8F5"/>
    <w:rsid w:val="55D922CB"/>
    <w:rsid w:val="55E57020"/>
    <w:rsid w:val="55F56F75"/>
    <w:rsid w:val="5602E419"/>
    <w:rsid w:val="56076A5B"/>
    <w:rsid w:val="5609264B"/>
    <w:rsid w:val="560D1BA4"/>
    <w:rsid w:val="5612223B"/>
    <w:rsid w:val="56184751"/>
    <w:rsid w:val="561AA84D"/>
    <w:rsid w:val="561D6E9A"/>
    <w:rsid w:val="561FA540"/>
    <w:rsid w:val="562828BA"/>
    <w:rsid w:val="5629DC58"/>
    <w:rsid w:val="564A72D3"/>
    <w:rsid w:val="56679A8E"/>
    <w:rsid w:val="56793DE9"/>
    <w:rsid w:val="56834F08"/>
    <w:rsid w:val="568678A7"/>
    <w:rsid w:val="568C7282"/>
    <w:rsid w:val="568CCC08"/>
    <w:rsid w:val="56907549"/>
    <w:rsid w:val="5693D23C"/>
    <w:rsid w:val="569AB882"/>
    <w:rsid w:val="569B5931"/>
    <w:rsid w:val="56A87293"/>
    <w:rsid w:val="56AF2441"/>
    <w:rsid w:val="56CB6F9A"/>
    <w:rsid w:val="56CC5305"/>
    <w:rsid w:val="56EBB18C"/>
    <w:rsid w:val="56EF47B8"/>
    <w:rsid w:val="56F2AFE2"/>
    <w:rsid w:val="56FB695E"/>
    <w:rsid w:val="57014F56"/>
    <w:rsid w:val="570AFF9C"/>
    <w:rsid w:val="5716B200"/>
    <w:rsid w:val="5718E296"/>
    <w:rsid w:val="571949C6"/>
    <w:rsid w:val="57221884"/>
    <w:rsid w:val="5723AFFC"/>
    <w:rsid w:val="572D5CAD"/>
    <w:rsid w:val="5733376B"/>
    <w:rsid w:val="573D9F15"/>
    <w:rsid w:val="573F3460"/>
    <w:rsid w:val="57467A19"/>
    <w:rsid w:val="574CF70D"/>
    <w:rsid w:val="574EACA3"/>
    <w:rsid w:val="57527313"/>
    <w:rsid w:val="57938242"/>
    <w:rsid w:val="579DB085"/>
    <w:rsid w:val="579E31F7"/>
    <w:rsid w:val="57A38ADA"/>
    <w:rsid w:val="57D4D97A"/>
    <w:rsid w:val="57F0C121"/>
    <w:rsid w:val="57FACC97"/>
    <w:rsid w:val="57FFAC7A"/>
    <w:rsid w:val="5805853F"/>
    <w:rsid w:val="580BC79B"/>
    <w:rsid w:val="58185CC6"/>
    <w:rsid w:val="581C78C6"/>
    <w:rsid w:val="581DB1DF"/>
    <w:rsid w:val="5832E593"/>
    <w:rsid w:val="5837C4B0"/>
    <w:rsid w:val="583A92EB"/>
    <w:rsid w:val="583F3517"/>
    <w:rsid w:val="58405DBD"/>
    <w:rsid w:val="58540BDB"/>
    <w:rsid w:val="585E7750"/>
    <w:rsid w:val="5867F432"/>
    <w:rsid w:val="586DAD3D"/>
    <w:rsid w:val="586E1902"/>
    <w:rsid w:val="587ABBB2"/>
    <w:rsid w:val="5884706C"/>
    <w:rsid w:val="5894E0AE"/>
    <w:rsid w:val="58A36A46"/>
    <w:rsid w:val="58AC20A5"/>
    <w:rsid w:val="58BB2D19"/>
    <w:rsid w:val="58BB6722"/>
    <w:rsid w:val="58C2564E"/>
    <w:rsid w:val="58C47F4E"/>
    <w:rsid w:val="58C6657B"/>
    <w:rsid w:val="58C8328B"/>
    <w:rsid w:val="58D3DBD6"/>
    <w:rsid w:val="58D5417B"/>
    <w:rsid w:val="58E8A21A"/>
    <w:rsid w:val="58E96062"/>
    <w:rsid w:val="58F0FCE6"/>
    <w:rsid w:val="58FF6D1F"/>
    <w:rsid w:val="59118651"/>
    <w:rsid w:val="59124D8D"/>
    <w:rsid w:val="5925861C"/>
    <w:rsid w:val="5927B3FE"/>
    <w:rsid w:val="592E277D"/>
    <w:rsid w:val="592F4CF5"/>
    <w:rsid w:val="593E9C44"/>
    <w:rsid w:val="594253D0"/>
    <w:rsid w:val="5972BCE3"/>
    <w:rsid w:val="5973C27E"/>
    <w:rsid w:val="5980C641"/>
    <w:rsid w:val="59875462"/>
    <w:rsid w:val="5999CDBC"/>
    <w:rsid w:val="59A67B76"/>
    <w:rsid w:val="59AF6EDB"/>
    <w:rsid w:val="59B87CFA"/>
    <w:rsid w:val="59BB6D3D"/>
    <w:rsid w:val="59BF7DAC"/>
    <w:rsid w:val="59C122E5"/>
    <w:rsid w:val="59CFF0CE"/>
    <w:rsid w:val="59D0EFC0"/>
    <w:rsid w:val="59D440CA"/>
    <w:rsid w:val="59E165A6"/>
    <w:rsid w:val="59F11107"/>
    <w:rsid w:val="59F3840C"/>
    <w:rsid w:val="5A0C6468"/>
    <w:rsid w:val="5A25BD40"/>
    <w:rsid w:val="5A324721"/>
    <w:rsid w:val="5A4FAC9E"/>
    <w:rsid w:val="5A53BC92"/>
    <w:rsid w:val="5A62C7F3"/>
    <w:rsid w:val="5A77040E"/>
    <w:rsid w:val="5A7D463E"/>
    <w:rsid w:val="5A9221D8"/>
    <w:rsid w:val="5A948134"/>
    <w:rsid w:val="5AA9A624"/>
    <w:rsid w:val="5AADCF0B"/>
    <w:rsid w:val="5AAF7790"/>
    <w:rsid w:val="5AB16B80"/>
    <w:rsid w:val="5ACBFA8A"/>
    <w:rsid w:val="5AD51A46"/>
    <w:rsid w:val="5AE7361B"/>
    <w:rsid w:val="5AED7443"/>
    <w:rsid w:val="5AEDB820"/>
    <w:rsid w:val="5AEEF2ED"/>
    <w:rsid w:val="5AF7BBCD"/>
    <w:rsid w:val="5AFA9057"/>
    <w:rsid w:val="5AFFA741"/>
    <w:rsid w:val="5B0988DA"/>
    <w:rsid w:val="5B1B229D"/>
    <w:rsid w:val="5B2643E8"/>
    <w:rsid w:val="5B30A460"/>
    <w:rsid w:val="5B335006"/>
    <w:rsid w:val="5B376F6E"/>
    <w:rsid w:val="5B39A025"/>
    <w:rsid w:val="5B3A06CA"/>
    <w:rsid w:val="5B3CEB26"/>
    <w:rsid w:val="5B465B28"/>
    <w:rsid w:val="5B5509F9"/>
    <w:rsid w:val="5B581238"/>
    <w:rsid w:val="5B93FA1D"/>
    <w:rsid w:val="5B963C48"/>
    <w:rsid w:val="5BA9472B"/>
    <w:rsid w:val="5BB36B36"/>
    <w:rsid w:val="5BBDC569"/>
    <w:rsid w:val="5BC7DC21"/>
    <w:rsid w:val="5BD4BB91"/>
    <w:rsid w:val="5BD581C3"/>
    <w:rsid w:val="5BD5F912"/>
    <w:rsid w:val="5BD9D302"/>
    <w:rsid w:val="5BF31338"/>
    <w:rsid w:val="5BFA2C0B"/>
    <w:rsid w:val="5C0341A0"/>
    <w:rsid w:val="5C274E5F"/>
    <w:rsid w:val="5C36888A"/>
    <w:rsid w:val="5C4DE7AA"/>
    <w:rsid w:val="5C536FD1"/>
    <w:rsid w:val="5C5B3868"/>
    <w:rsid w:val="5C7FCCF7"/>
    <w:rsid w:val="5C89036B"/>
    <w:rsid w:val="5C8A942D"/>
    <w:rsid w:val="5C8F75B1"/>
    <w:rsid w:val="5C928BF6"/>
    <w:rsid w:val="5C934908"/>
    <w:rsid w:val="5CB6C65E"/>
    <w:rsid w:val="5CBB97B1"/>
    <w:rsid w:val="5CBBB303"/>
    <w:rsid w:val="5CF0E005"/>
    <w:rsid w:val="5CF31F87"/>
    <w:rsid w:val="5D0578D0"/>
    <w:rsid w:val="5D07BD1D"/>
    <w:rsid w:val="5D0F1602"/>
    <w:rsid w:val="5D1789DF"/>
    <w:rsid w:val="5D1FEBB5"/>
    <w:rsid w:val="5D228E30"/>
    <w:rsid w:val="5D2492AE"/>
    <w:rsid w:val="5D2494ED"/>
    <w:rsid w:val="5D355E56"/>
    <w:rsid w:val="5D391624"/>
    <w:rsid w:val="5D4088AE"/>
    <w:rsid w:val="5D431924"/>
    <w:rsid w:val="5D43A8F1"/>
    <w:rsid w:val="5D60C308"/>
    <w:rsid w:val="5D60CE06"/>
    <w:rsid w:val="5D670FE9"/>
    <w:rsid w:val="5D6B487D"/>
    <w:rsid w:val="5D6F47E2"/>
    <w:rsid w:val="5D704DA7"/>
    <w:rsid w:val="5D808C87"/>
    <w:rsid w:val="5D8DFC81"/>
    <w:rsid w:val="5D99CDBA"/>
    <w:rsid w:val="5DA55CA5"/>
    <w:rsid w:val="5DAD0B5E"/>
    <w:rsid w:val="5DB12669"/>
    <w:rsid w:val="5DB16053"/>
    <w:rsid w:val="5DC61F91"/>
    <w:rsid w:val="5DCFC909"/>
    <w:rsid w:val="5DDDBD28"/>
    <w:rsid w:val="5DDFCFBE"/>
    <w:rsid w:val="5DF2BD01"/>
    <w:rsid w:val="5DF5CB87"/>
    <w:rsid w:val="5DFABFAF"/>
    <w:rsid w:val="5E0BF152"/>
    <w:rsid w:val="5E1947EC"/>
    <w:rsid w:val="5E3362DF"/>
    <w:rsid w:val="5E39C31A"/>
    <w:rsid w:val="5E39D618"/>
    <w:rsid w:val="5E4323C5"/>
    <w:rsid w:val="5E496B1F"/>
    <w:rsid w:val="5E557AD1"/>
    <w:rsid w:val="5E5AED8B"/>
    <w:rsid w:val="5E5CC12F"/>
    <w:rsid w:val="5E68C66F"/>
    <w:rsid w:val="5E6AF6CA"/>
    <w:rsid w:val="5E6DA399"/>
    <w:rsid w:val="5E749098"/>
    <w:rsid w:val="5E79D6C3"/>
    <w:rsid w:val="5E800B83"/>
    <w:rsid w:val="5E8A46FF"/>
    <w:rsid w:val="5E8A496D"/>
    <w:rsid w:val="5E8C43B3"/>
    <w:rsid w:val="5E8C969A"/>
    <w:rsid w:val="5E904200"/>
    <w:rsid w:val="5E949648"/>
    <w:rsid w:val="5E979B86"/>
    <w:rsid w:val="5E9C262C"/>
    <w:rsid w:val="5EBBCACC"/>
    <w:rsid w:val="5EC1F161"/>
    <w:rsid w:val="5EC7D171"/>
    <w:rsid w:val="5EE85B51"/>
    <w:rsid w:val="5EEF8595"/>
    <w:rsid w:val="5EF4519D"/>
    <w:rsid w:val="5EF94048"/>
    <w:rsid w:val="5EFA6A89"/>
    <w:rsid w:val="5F0A94EE"/>
    <w:rsid w:val="5F0E28D0"/>
    <w:rsid w:val="5F1316FA"/>
    <w:rsid w:val="5F1A5B56"/>
    <w:rsid w:val="5F4C796C"/>
    <w:rsid w:val="5F4C855C"/>
    <w:rsid w:val="5F5479F6"/>
    <w:rsid w:val="5F54AB9F"/>
    <w:rsid w:val="5F5F877A"/>
    <w:rsid w:val="5F74545B"/>
    <w:rsid w:val="5F74C82F"/>
    <w:rsid w:val="5F898DE5"/>
    <w:rsid w:val="5F92EB85"/>
    <w:rsid w:val="5FA67224"/>
    <w:rsid w:val="5FAAE8BD"/>
    <w:rsid w:val="5FB08C11"/>
    <w:rsid w:val="5FB8A567"/>
    <w:rsid w:val="5FC5FE73"/>
    <w:rsid w:val="5FD077AB"/>
    <w:rsid w:val="5FD9D49B"/>
    <w:rsid w:val="5FF14606"/>
    <w:rsid w:val="5FFB8566"/>
    <w:rsid w:val="600D38E5"/>
    <w:rsid w:val="60181242"/>
    <w:rsid w:val="60235D88"/>
    <w:rsid w:val="603E4953"/>
    <w:rsid w:val="603F1C3D"/>
    <w:rsid w:val="604A5045"/>
    <w:rsid w:val="60542C92"/>
    <w:rsid w:val="60550D09"/>
    <w:rsid w:val="60651159"/>
    <w:rsid w:val="606EB97F"/>
    <w:rsid w:val="60730A04"/>
    <w:rsid w:val="60760E4F"/>
    <w:rsid w:val="608143A6"/>
    <w:rsid w:val="609038C5"/>
    <w:rsid w:val="609111BC"/>
    <w:rsid w:val="60C0749C"/>
    <w:rsid w:val="60C257C8"/>
    <w:rsid w:val="60C25EAC"/>
    <w:rsid w:val="60DFDF4B"/>
    <w:rsid w:val="60E5EC8C"/>
    <w:rsid w:val="60EAC9AC"/>
    <w:rsid w:val="60F23702"/>
    <w:rsid w:val="60F5882B"/>
    <w:rsid w:val="60F9A447"/>
    <w:rsid w:val="611A3F17"/>
    <w:rsid w:val="6123DE1D"/>
    <w:rsid w:val="612447AF"/>
    <w:rsid w:val="6138078E"/>
    <w:rsid w:val="613AF481"/>
    <w:rsid w:val="613C3558"/>
    <w:rsid w:val="6170E0FA"/>
    <w:rsid w:val="61756612"/>
    <w:rsid w:val="6180296F"/>
    <w:rsid w:val="6180C060"/>
    <w:rsid w:val="618A5743"/>
    <w:rsid w:val="61A6B1F6"/>
    <w:rsid w:val="61A81887"/>
    <w:rsid w:val="61CBE919"/>
    <w:rsid w:val="61D75AED"/>
    <w:rsid w:val="61DF056F"/>
    <w:rsid w:val="61E2950C"/>
    <w:rsid w:val="61E406E0"/>
    <w:rsid w:val="61E5AE4D"/>
    <w:rsid w:val="61EAA3EA"/>
    <w:rsid w:val="61EB826D"/>
    <w:rsid w:val="61EBE95C"/>
    <w:rsid w:val="61EDC4B7"/>
    <w:rsid w:val="61F5CE80"/>
    <w:rsid w:val="620D7720"/>
    <w:rsid w:val="6216E5C2"/>
    <w:rsid w:val="62172B40"/>
    <w:rsid w:val="6217C599"/>
    <w:rsid w:val="621C0C9A"/>
    <w:rsid w:val="621CB6AF"/>
    <w:rsid w:val="6225AB1A"/>
    <w:rsid w:val="6229480B"/>
    <w:rsid w:val="62386E4F"/>
    <w:rsid w:val="6256B240"/>
    <w:rsid w:val="625F49C7"/>
    <w:rsid w:val="6262F6BE"/>
    <w:rsid w:val="6267AB45"/>
    <w:rsid w:val="6278BC40"/>
    <w:rsid w:val="627C5D0F"/>
    <w:rsid w:val="627E4993"/>
    <w:rsid w:val="62835BEC"/>
    <w:rsid w:val="629DF342"/>
    <w:rsid w:val="62A53AD8"/>
    <w:rsid w:val="62B11BD8"/>
    <w:rsid w:val="62BE4211"/>
    <w:rsid w:val="62C2D823"/>
    <w:rsid w:val="62CA02A7"/>
    <w:rsid w:val="62D5F842"/>
    <w:rsid w:val="62E0E55D"/>
    <w:rsid w:val="62E3FB0B"/>
    <w:rsid w:val="62F478E6"/>
    <w:rsid w:val="62F969E9"/>
    <w:rsid w:val="62F9FAC4"/>
    <w:rsid w:val="633813A6"/>
    <w:rsid w:val="633C228C"/>
    <w:rsid w:val="633F9D4B"/>
    <w:rsid w:val="6343B2C1"/>
    <w:rsid w:val="6350196C"/>
    <w:rsid w:val="635B7165"/>
    <w:rsid w:val="635CFF41"/>
    <w:rsid w:val="636EB5C5"/>
    <w:rsid w:val="63766389"/>
    <w:rsid w:val="63891EBC"/>
    <w:rsid w:val="638EF88D"/>
    <w:rsid w:val="639AF7F8"/>
    <w:rsid w:val="639D595D"/>
    <w:rsid w:val="639E38F9"/>
    <w:rsid w:val="63A830A1"/>
    <w:rsid w:val="63AF0A2A"/>
    <w:rsid w:val="63B24524"/>
    <w:rsid w:val="63B7BD26"/>
    <w:rsid w:val="63BECAF4"/>
    <w:rsid w:val="63C71048"/>
    <w:rsid w:val="63D4FC34"/>
    <w:rsid w:val="63DABAD9"/>
    <w:rsid w:val="63DDAB4C"/>
    <w:rsid w:val="63F1DF7F"/>
    <w:rsid w:val="63F2243C"/>
    <w:rsid w:val="63F6A70C"/>
    <w:rsid w:val="63FBB8DD"/>
    <w:rsid w:val="640063BB"/>
    <w:rsid w:val="6400A263"/>
    <w:rsid w:val="6411A3AB"/>
    <w:rsid w:val="64129E75"/>
    <w:rsid w:val="64155BBA"/>
    <w:rsid w:val="641CE9C6"/>
    <w:rsid w:val="641FAF17"/>
    <w:rsid w:val="64419AA9"/>
    <w:rsid w:val="644C61DE"/>
    <w:rsid w:val="644F4E5E"/>
    <w:rsid w:val="645D1D27"/>
    <w:rsid w:val="645F96DA"/>
    <w:rsid w:val="64659660"/>
    <w:rsid w:val="646BE4C2"/>
    <w:rsid w:val="647A361C"/>
    <w:rsid w:val="648C95EE"/>
    <w:rsid w:val="648DB88C"/>
    <w:rsid w:val="64944FE4"/>
    <w:rsid w:val="64945540"/>
    <w:rsid w:val="649523A3"/>
    <w:rsid w:val="6496278F"/>
    <w:rsid w:val="649D3564"/>
    <w:rsid w:val="64ABCE8A"/>
    <w:rsid w:val="64DDD52C"/>
    <w:rsid w:val="64F2ADCF"/>
    <w:rsid w:val="64F2CE52"/>
    <w:rsid w:val="65020E04"/>
    <w:rsid w:val="65071434"/>
    <w:rsid w:val="650CBBB1"/>
    <w:rsid w:val="6514D8B4"/>
    <w:rsid w:val="65183281"/>
    <w:rsid w:val="652008C6"/>
    <w:rsid w:val="652A1BD8"/>
    <w:rsid w:val="65369C3C"/>
    <w:rsid w:val="6551F0E7"/>
    <w:rsid w:val="6555AD4F"/>
    <w:rsid w:val="6564AB29"/>
    <w:rsid w:val="65680E75"/>
    <w:rsid w:val="6580F79A"/>
    <w:rsid w:val="65B5B38C"/>
    <w:rsid w:val="65B9A2E5"/>
    <w:rsid w:val="65C9EFB7"/>
    <w:rsid w:val="65D6D476"/>
    <w:rsid w:val="65DCA936"/>
    <w:rsid w:val="65E33BD0"/>
    <w:rsid w:val="65E73184"/>
    <w:rsid w:val="65E9EFF2"/>
    <w:rsid w:val="65F6942D"/>
    <w:rsid w:val="65F6BE1C"/>
    <w:rsid w:val="65F92C51"/>
    <w:rsid w:val="660C561D"/>
    <w:rsid w:val="66140176"/>
    <w:rsid w:val="66148C48"/>
    <w:rsid w:val="6617CC7F"/>
    <w:rsid w:val="66276FEF"/>
    <w:rsid w:val="662C4FAC"/>
    <w:rsid w:val="662C9335"/>
    <w:rsid w:val="6634DCB3"/>
    <w:rsid w:val="6647D278"/>
    <w:rsid w:val="6649D452"/>
    <w:rsid w:val="665EE02B"/>
    <w:rsid w:val="66602C20"/>
    <w:rsid w:val="66694166"/>
    <w:rsid w:val="666C762F"/>
    <w:rsid w:val="667379E5"/>
    <w:rsid w:val="66748A14"/>
    <w:rsid w:val="66899187"/>
    <w:rsid w:val="6690921B"/>
    <w:rsid w:val="669A7115"/>
    <w:rsid w:val="66A6696B"/>
    <w:rsid w:val="66BE5355"/>
    <w:rsid w:val="6707E5DC"/>
    <w:rsid w:val="670D4C06"/>
    <w:rsid w:val="670E4A4A"/>
    <w:rsid w:val="67169385"/>
    <w:rsid w:val="671FCF3F"/>
    <w:rsid w:val="672DFA94"/>
    <w:rsid w:val="672E816D"/>
    <w:rsid w:val="67364B81"/>
    <w:rsid w:val="673D5FF7"/>
    <w:rsid w:val="67433503"/>
    <w:rsid w:val="6752FFF6"/>
    <w:rsid w:val="675A46D7"/>
    <w:rsid w:val="6763247C"/>
    <w:rsid w:val="676AC484"/>
    <w:rsid w:val="676ACBE0"/>
    <w:rsid w:val="6785AE3D"/>
    <w:rsid w:val="67876949"/>
    <w:rsid w:val="67898FE6"/>
    <w:rsid w:val="678AD6AC"/>
    <w:rsid w:val="678B7AC7"/>
    <w:rsid w:val="678DF47B"/>
    <w:rsid w:val="67A8C071"/>
    <w:rsid w:val="67C4D3E7"/>
    <w:rsid w:val="67C50575"/>
    <w:rsid w:val="67C7A3A4"/>
    <w:rsid w:val="67CE5B3A"/>
    <w:rsid w:val="67D04EDA"/>
    <w:rsid w:val="67EBD000"/>
    <w:rsid w:val="67F23C5B"/>
    <w:rsid w:val="68072A05"/>
    <w:rsid w:val="680AD570"/>
    <w:rsid w:val="682081C5"/>
    <w:rsid w:val="6823614D"/>
    <w:rsid w:val="68607B88"/>
    <w:rsid w:val="687A4949"/>
    <w:rsid w:val="687EC2B0"/>
    <w:rsid w:val="6889B102"/>
    <w:rsid w:val="68908AF5"/>
    <w:rsid w:val="689A9BC0"/>
    <w:rsid w:val="68A5C61F"/>
    <w:rsid w:val="68B59BE9"/>
    <w:rsid w:val="68B9DACA"/>
    <w:rsid w:val="68C7C0A7"/>
    <w:rsid w:val="68C957E8"/>
    <w:rsid w:val="68D014FF"/>
    <w:rsid w:val="68D46032"/>
    <w:rsid w:val="68D46853"/>
    <w:rsid w:val="68EE6FCD"/>
    <w:rsid w:val="68F39137"/>
    <w:rsid w:val="68F5EC4C"/>
    <w:rsid w:val="69088D42"/>
    <w:rsid w:val="690D22F8"/>
    <w:rsid w:val="6914669D"/>
    <w:rsid w:val="69172C96"/>
    <w:rsid w:val="692086FD"/>
    <w:rsid w:val="692A1466"/>
    <w:rsid w:val="692B9383"/>
    <w:rsid w:val="69328563"/>
    <w:rsid w:val="693FB069"/>
    <w:rsid w:val="694D37E4"/>
    <w:rsid w:val="696FE063"/>
    <w:rsid w:val="697DE289"/>
    <w:rsid w:val="697EFC6E"/>
    <w:rsid w:val="698D52EA"/>
    <w:rsid w:val="69907035"/>
    <w:rsid w:val="6995D9F2"/>
    <w:rsid w:val="699C9565"/>
    <w:rsid w:val="69A1EBAE"/>
    <w:rsid w:val="69B338F8"/>
    <w:rsid w:val="69BF695B"/>
    <w:rsid w:val="69C269EF"/>
    <w:rsid w:val="69CF59E3"/>
    <w:rsid w:val="69D46E0B"/>
    <w:rsid w:val="69E768F8"/>
    <w:rsid w:val="69E8E46E"/>
    <w:rsid w:val="69EDD399"/>
    <w:rsid w:val="69EE32D6"/>
    <w:rsid w:val="69F82C6D"/>
    <w:rsid w:val="6A0AA2AD"/>
    <w:rsid w:val="6A0E16D9"/>
    <w:rsid w:val="6A0E4D86"/>
    <w:rsid w:val="6A3B3403"/>
    <w:rsid w:val="6A3EE3C2"/>
    <w:rsid w:val="6A40DC16"/>
    <w:rsid w:val="6A513206"/>
    <w:rsid w:val="6A614FCE"/>
    <w:rsid w:val="6A640AE1"/>
    <w:rsid w:val="6A6FA665"/>
    <w:rsid w:val="6A73DBE5"/>
    <w:rsid w:val="6A890A6E"/>
    <w:rsid w:val="6A91E38C"/>
    <w:rsid w:val="6A9B71F0"/>
    <w:rsid w:val="6A9EBB46"/>
    <w:rsid w:val="6AAA5A2A"/>
    <w:rsid w:val="6AB002CC"/>
    <w:rsid w:val="6AC38F3D"/>
    <w:rsid w:val="6AC3CE65"/>
    <w:rsid w:val="6AC3FE74"/>
    <w:rsid w:val="6AC6A678"/>
    <w:rsid w:val="6ADC576A"/>
    <w:rsid w:val="6AFB84BC"/>
    <w:rsid w:val="6B01D1B2"/>
    <w:rsid w:val="6B0AB3DC"/>
    <w:rsid w:val="6B14DBE1"/>
    <w:rsid w:val="6B1DFEDB"/>
    <w:rsid w:val="6B2A81E7"/>
    <w:rsid w:val="6B2F605A"/>
    <w:rsid w:val="6B374DC6"/>
    <w:rsid w:val="6B464949"/>
    <w:rsid w:val="6B4776CD"/>
    <w:rsid w:val="6B68866D"/>
    <w:rsid w:val="6B6B50A1"/>
    <w:rsid w:val="6B7C846A"/>
    <w:rsid w:val="6B89F53E"/>
    <w:rsid w:val="6B8B5AB2"/>
    <w:rsid w:val="6B8C511B"/>
    <w:rsid w:val="6B9C83CE"/>
    <w:rsid w:val="6BA49CA2"/>
    <w:rsid w:val="6BA4B5BD"/>
    <w:rsid w:val="6BA9944A"/>
    <w:rsid w:val="6BB14CB4"/>
    <w:rsid w:val="6BC29B70"/>
    <w:rsid w:val="6BC8FA41"/>
    <w:rsid w:val="6BCCFA43"/>
    <w:rsid w:val="6BDA2517"/>
    <w:rsid w:val="6BE354E5"/>
    <w:rsid w:val="6BF1F92C"/>
    <w:rsid w:val="6BFD02D7"/>
    <w:rsid w:val="6C1CB9AD"/>
    <w:rsid w:val="6C1E92CE"/>
    <w:rsid w:val="6C2A25DF"/>
    <w:rsid w:val="6C2D5D6E"/>
    <w:rsid w:val="6C488A8E"/>
    <w:rsid w:val="6C4C72C8"/>
    <w:rsid w:val="6C57EE4B"/>
    <w:rsid w:val="6C5C253A"/>
    <w:rsid w:val="6C61199C"/>
    <w:rsid w:val="6C6FC028"/>
    <w:rsid w:val="6C80F436"/>
    <w:rsid w:val="6C89C72F"/>
    <w:rsid w:val="6C89DC91"/>
    <w:rsid w:val="6C959F29"/>
    <w:rsid w:val="6CB54E30"/>
    <w:rsid w:val="6CB5A61F"/>
    <w:rsid w:val="6CC8F13C"/>
    <w:rsid w:val="6CD24AC6"/>
    <w:rsid w:val="6CE8AA76"/>
    <w:rsid w:val="6CF5893D"/>
    <w:rsid w:val="6D091D5F"/>
    <w:rsid w:val="6D0FE88F"/>
    <w:rsid w:val="6D15E5B8"/>
    <w:rsid w:val="6D166B51"/>
    <w:rsid w:val="6D19051C"/>
    <w:rsid w:val="6D1BED09"/>
    <w:rsid w:val="6D1C52B0"/>
    <w:rsid w:val="6D1D9BCB"/>
    <w:rsid w:val="6D21BD4C"/>
    <w:rsid w:val="6D2A9BAA"/>
    <w:rsid w:val="6D3BFDBF"/>
    <w:rsid w:val="6D3DCB79"/>
    <w:rsid w:val="6D4020E5"/>
    <w:rsid w:val="6D4257FE"/>
    <w:rsid w:val="6D43D49C"/>
    <w:rsid w:val="6D4758A0"/>
    <w:rsid w:val="6D513636"/>
    <w:rsid w:val="6D5D0286"/>
    <w:rsid w:val="6D600B4B"/>
    <w:rsid w:val="6D754FF8"/>
    <w:rsid w:val="6D81A3E7"/>
    <w:rsid w:val="6D9B0961"/>
    <w:rsid w:val="6DACF96E"/>
    <w:rsid w:val="6DAE30EE"/>
    <w:rsid w:val="6DAF10F8"/>
    <w:rsid w:val="6DD01A9E"/>
    <w:rsid w:val="6DD24E68"/>
    <w:rsid w:val="6DE02C20"/>
    <w:rsid w:val="6DEB820D"/>
    <w:rsid w:val="6DFA0427"/>
    <w:rsid w:val="6DFA10EC"/>
    <w:rsid w:val="6DFB977A"/>
    <w:rsid w:val="6E0343D2"/>
    <w:rsid w:val="6E0C0A1C"/>
    <w:rsid w:val="6E0EB7B7"/>
    <w:rsid w:val="6E140178"/>
    <w:rsid w:val="6E17262E"/>
    <w:rsid w:val="6E1D7C81"/>
    <w:rsid w:val="6E228541"/>
    <w:rsid w:val="6E26143A"/>
    <w:rsid w:val="6E356E99"/>
    <w:rsid w:val="6E3750C9"/>
    <w:rsid w:val="6E55E23E"/>
    <w:rsid w:val="6E602B05"/>
    <w:rsid w:val="6E63C607"/>
    <w:rsid w:val="6E69A6C7"/>
    <w:rsid w:val="6E7A6CAD"/>
    <w:rsid w:val="6E932373"/>
    <w:rsid w:val="6EA1B582"/>
    <w:rsid w:val="6EA8A4C6"/>
    <w:rsid w:val="6EACB350"/>
    <w:rsid w:val="6EAFE30F"/>
    <w:rsid w:val="6EB113D2"/>
    <w:rsid w:val="6EBA5F5A"/>
    <w:rsid w:val="6EBAB24E"/>
    <w:rsid w:val="6EC99187"/>
    <w:rsid w:val="6EC9A545"/>
    <w:rsid w:val="6ECD12F5"/>
    <w:rsid w:val="6ED36E1C"/>
    <w:rsid w:val="6ED3D39D"/>
    <w:rsid w:val="6EE579A2"/>
    <w:rsid w:val="6EF4E551"/>
    <w:rsid w:val="6EF986F6"/>
    <w:rsid w:val="6F09BE83"/>
    <w:rsid w:val="6F1C547E"/>
    <w:rsid w:val="6F223A84"/>
    <w:rsid w:val="6F2B8B44"/>
    <w:rsid w:val="6F2D7EC3"/>
    <w:rsid w:val="6F356F41"/>
    <w:rsid w:val="6F3C0C8F"/>
    <w:rsid w:val="6F42AA45"/>
    <w:rsid w:val="6F44C280"/>
    <w:rsid w:val="6F4A6BDA"/>
    <w:rsid w:val="6F4D53EF"/>
    <w:rsid w:val="6F605062"/>
    <w:rsid w:val="6F60F8A4"/>
    <w:rsid w:val="6F7F4FB4"/>
    <w:rsid w:val="6FB4F560"/>
    <w:rsid w:val="6FB8C666"/>
    <w:rsid w:val="6FC2DB3F"/>
    <w:rsid w:val="6FC6BEBE"/>
    <w:rsid w:val="6FDB6AC3"/>
    <w:rsid w:val="6FDD671C"/>
    <w:rsid w:val="6FECA1C8"/>
    <w:rsid w:val="6FFD7BBA"/>
    <w:rsid w:val="7000D15F"/>
    <w:rsid w:val="700503B3"/>
    <w:rsid w:val="7005726F"/>
    <w:rsid w:val="7006306F"/>
    <w:rsid w:val="70219CCE"/>
    <w:rsid w:val="7025F05C"/>
    <w:rsid w:val="702FF48D"/>
    <w:rsid w:val="70417D1A"/>
    <w:rsid w:val="704E215C"/>
    <w:rsid w:val="70507E34"/>
    <w:rsid w:val="705E2A43"/>
    <w:rsid w:val="7067AE04"/>
    <w:rsid w:val="707A82ED"/>
    <w:rsid w:val="707B965C"/>
    <w:rsid w:val="70820145"/>
    <w:rsid w:val="7084B36F"/>
    <w:rsid w:val="70873AF5"/>
    <w:rsid w:val="709C7D46"/>
    <w:rsid w:val="709D53F4"/>
    <w:rsid w:val="70ABF8E5"/>
    <w:rsid w:val="70AD1933"/>
    <w:rsid w:val="70E5528F"/>
    <w:rsid w:val="70E8EFEC"/>
    <w:rsid w:val="70E91307"/>
    <w:rsid w:val="70ED48EB"/>
    <w:rsid w:val="70ED6DF2"/>
    <w:rsid w:val="70F072FD"/>
    <w:rsid w:val="7107DD63"/>
    <w:rsid w:val="710A2C07"/>
    <w:rsid w:val="710D897B"/>
    <w:rsid w:val="71114595"/>
    <w:rsid w:val="7136E56A"/>
    <w:rsid w:val="714EB043"/>
    <w:rsid w:val="71557D9D"/>
    <w:rsid w:val="7158E8AF"/>
    <w:rsid w:val="7168DAF3"/>
    <w:rsid w:val="7176DE36"/>
    <w:rsid w:val="7179D94D"/>
    <w:rsid w:val="7181C5AE"/>
    <w:rsid w:val="718C18F6"/>
    <w:rsid w:val="7191E4DD"/>
    <w:rsid w:val="7194BD4A"/>
    <w:rsid w:val="71A9BC94"/>
    <w:rsid w:val="71B1249D"/>
    <w:rsid w:val="71B7AD03"/>
    <w:rsid w:val="71C6753F"/>
    <w:rsid w:val="71E552CC"/>
    <w:rsid w:val="71E86EF6"/>
    <w:rsid w:val="71EA2822"/>
    <w:rsid w:val="71EB8A96"/>
    <w:rsid w:val="71EF30B3"/>
    <w:rsid w:val="71FCC6DF"/>
    <w:rsid w:val="720364BC"/>
    <w:rsid w:val="72090D1B"/>
    <w:rsid w:val="7217EC27"/>
    <w:rsid w:val="72217A21"/>
    <w:rsid w:val="7221C9F2"/>
    <w:rsid w:val="7237D811"/>
    <w:rsid w:val="725F52BC"/>
    <w:rsid w:val="72639890"/>
    <w:rsid w:val="7267E102"/>
    <w:rsid w:val="7270FB72"/>
    <w:rsid w:val="7270FEA5"/>
    <w:rsid w:val="7282FDF0"/>
    <w:rsid w:val="72903D12"/>
    <w:rsid w:val="72A960D8"/>
    <w:rsid w:val="72B268D1"/>
    <w:rsid w:val="72B53A69"/>
    <w:rsid w:val="72BC6ECC"/>
    <w:rsid w:val="72BE406F"/>
    <w:rsid w:val="72BFB88A"/>
    <w:rsid w:val="72CEC132"/>
    <w:rsid w:val="72D34403"/>
    <w:rsid w:val="72D5D785"/>
    <w:rsid w:val="72D6915A"/>
    <w:rsid w:val="72E17CF5"/>
    <w:rsid w:val="72F6C20D"/>
    <w:rsid w:val="7304BAFA"/>
    <w:rsid w:val="7307D2F5"/>
    <w:rsid w:val="7308692E"/>
    <w:rsid w:val="730B42BD"/>
    <w:rsid w:val="732012BF"/>
    <w:rsid w:val="732DBD73"/>
    <w:rsid w:val="73354D04"/>
    <w:rsid w:val="7338561A"/>
    <w:rsid w:val="73426FEC"/>
    <w:rsid w:val="734A5929"/>
    <w:rsid w:val="735E6059"/>
    <w:rsid w:val="7376E76C"/>
    <w:rsid w:val="7379CF3A"/>
    <w:rsid w:val="737C4669"/>
    <w:rsid w:val="738B1ECA"/>
    <w:rsid w:val="73A06108"/>
    <w:rsid w:val="73B2E240"/>
    <w:rsid w:val="73B64A45"/>
    <w:rsid w:val="73B9F1CF"/>
    <w:rsid w:val="73BA2A9E"/>
    <w:rsid w:val="73BBD56F"/>
    <w:rsid w:val="73BE762E"/>
    <w:rsid w:val="73C17E4A"/>
    <w:rsid w:val="73C792EB"/>
    <w:rsid w:val="73D75FC1"/>
    <w:rsid w:val="73DC744C"/>
    <w:rsid w:val="73E04E49"/>
    <w:rsid w:val="7408337A"/>
    <w:rsid w:val="741D9479"/>
    <w:rsid w:val="742C6F41"/>
    <w:rsid w:val="7431AEF1"/>
    <w:rsid w:val="743B02F8"/>
    <w:rsid w:val="74495584"/>
    <w:rsid w:val="744B94D7"/>
    <w:rsid w:val="745AC6C6"/>
    <w:rsid w:val="7462E714"/>
    <w:rsid w:val="7462EFAA"/>
    <w:rsid w:val="7467F931"/>
    <w:rsid w:val="7479F16C"/>
    <w:rsid w:val="748D5455"/>
    <w:rsid w:val="7498AC6F"/>
    <w:rsid w:val="74B87BC4"/>
    <w:rsid w:val="74DEA599"/>
    <w:rsid w:val="74E3B9A6"/>
    <w:rsid w:val="74E3C1D0"/>
    <w:rsid w:val="750C14FE"/>
    <w:rsid w:val="75210493"/>
    <w:rsid w:val="7526F31C"/>
    <w:rsid w:val="7536D612"/>
    <w:rsid w:val="754F8D9F"/>
    <w:rsid w:val="75524770"/>
    <w:rsid w:val="7564F920"/>
    <w:rsid w:val="756C5E3C"/>
    <w:rsid w:val="756EE008"/>
    <w:rsid w:val="756F3345"/>
    <w:rsid w:val="757307A4"/>
    <w:rsid w:val="75773996"/>
    <w:rsid w:val="75878423"/>
    <w:rsid w:val="75A3BA31"/>
    <w:rsid w:val="75ACAA9D"/>
    <w:rsid w:val="75CAF6BA"/>
    <w:rsid w:val="75E31B85"/>
    <w:rsid w:val="75F214DF"/>
    <w:rsid w:val="75F4FC19"/>
    <w:rsid w:val="75FFF732"/>
    <w:rsid w:val="76053EA8"/>
    <w:rsid w:val="760B1402"/>
    <w:rsid w:val="760BB645"/>
    <w:rsid w:val="761AE8E7"/>
    <w:rsid w:val="76493C19"/>
    <w:rsid w:val="7656BC67"/>
    <w:rsid w:val="765E592A"/>
    <w:rsid w:val="76672491"/>
    <w:rsid w:val="766B0FE7"/>
    <w:rsid w:val="767C5638"/>
    <w:rsid w:val="767DE012"/>
    <w:rsid w:val="767F0E0B"/>
    <w:rsid w:val="7683FB47"/>
    <w:rsid w:val="768D36CA"/>
    <w:rsid w:val="768EB025"/>
    <w:rsid w:val="768EB586"/>
    <w:rsid w:val="769189A7"/>
    <w:rsid w:val="7698BD26"/>
    <w:rsid w:val="7698BD75"/>
    <w:rsid w:val="76C3569D"/>
    <w:rsid w:val="76C397A7"/>
    <w:rsid w:val="76D8AFE2"/>
    <w:rsid w:val="76D91C19"/>
    <w:rsid w:val="76D93A1D"/>
    <w:rsid w:val="76EEC0F7"/>
    <w:rsid w:val="76F205B5"/>
    <w:rsid w:val="76F5748C"/>
    <w:rsid w:val="76F7B16B"/>
    <w:rsid w:val="770645EC"/>
    <w:rsid w:val="770B9D27"/>
    <w:rsid w:val="771CA9AB"/>
    <w:rsid w:val="77314512"/>
    <w:rsid w:val="7733127E"/>
    <w:rsid w:val="7735A00B"/>
    <w:rsid w:val="774F003B"/>
    <w:rsid w:val="775828CA"/>
    <w:rsid w:val="77597CC0"/>
    <w:rsid w:val="7760F333"/>
    <w:rsid w:val="7761679A"/>
    <w:rsid w:val="77660D8E"/>
    <w:rsid w:val="77688637"/>
    <w:rsid w:val="777B99C7"/>
    <w:rsid w:val="779A1E39"/>
    <w:rsid w:val="77A24087"/>
    <w:rsid w:val="77A459C3"/>
    <w:rsid w:val="77B65B51"/>
    <w:rsid w:val="77B76C7F"/>
    <w:rsid w:val="77B89DF4"/>
    <w:rsid w:val="77B9376D"/>
    <w:rsid w:val="77BBBCA2"/>
    <w:rsid w:val="77BBCD18"/>
    <w:rsid w:val="77BBF50C"/>
    <w:rsid w:val="77BC3D81"/>
    <w:rsid w:val="77C2F199"/>
    <w:rsid w:val="77C4D42E"/>
    <w:rsid w:val="77CFEE0B"/>
    <w:rsid w:val="77D9CEAD"/>
    <w:rsid w:val="77E0F0A2"/>
    <w:rsid w:val="77E68448"/>
    <w:rsid w:val="77E9D8F7"/>
    <w:rsid w:val="77F2E922"/>
    <w:rsid w:val="77FAB4FD"/>
    <w:rsid w:val="77FF23A1"/>
    <w:rsid w:val="78057782"/>
    <w:rsid w:val="78122D79"/>
    <w:rsid w:val="781B5768"/>
    <w:rsid w:val="781F1047"/>
    <w:rsid w:val="7824A1FB"/>
    <w:rsid w:val="782609E8"/>
    <w:rsid w:val="7827C5FE"/>
    <w:rsid w:val="782955B3"/>
    <w:rsid w:val="78341756"/>
    <w:rsid w:val="784BDEF3"/>
    <w:rsid w:val="784E0676"/>
    <w:rsid w:val="7854BD29"/>
    <w:rsid w:val="78641E26"/>
    <w:rsid w:val="7868DEFD"/>
    <w:rsid w:val="786BCB9C"/>
    <w:rsid w:val="786F2ED2"/>
    <w:rsid w:val="787423F2"/>
    <w:rsid w:val="787A4397"/>
    <w:rsid w:val="787AC609"/>
    <w:rsid w:val="78A30582"/>
    <w:rsid w:val="78A4045F"/>
    <w:rsid w:val="78AA3C3D"/>
    <w:rsid w:val="78B823E1"/>
    <w:rsid w:val="78BABB84"/>
    <w:rsid w:val="78D7A0C0"/>
    <w:rsid w:val="78E0D057"/>
    <w:rsid w:val="78E3E500"/>
    <w:rsid w:val="78E3FA47"/>
    <w:rsid w:val="78E5C610"/>
    <w:rsid w:val="78FEED9F"/>
    <w:rsid w:val="790293F8"/>
    <w:rsid w:val="7904B2D3"/>
    <w:rsid w:val="7906D29D"/>
    <w:rsid w:val="790D464E"/>
    <w:rsid w:val="790F7561"/>
    <w:rsid w:val="791486C5"/>
    <w:rsid w:val="7914A11B"/>
    <w:rsid w:val="792932D4"/>
    <w:rsid w:val="79298583"/>
    <w:rsid w:val="7934015F"/>
    <w:rsid w:val="79343EDB"/>
    <w:rsid w:val="794380E7"/>
    <w:rsid w:val="794D0E1E"/>
    <w:rsid w:val="795AD1D8"/>
    <w:rsid w:val="79601050"/>
    <w:rsid w:val="7963A2BC"/>
    <w:rsid w:val="796706DC"/>
    <w:rsid w:val="796B563A"/>
    <w:rsid w:val="7973A9C2"/>
    <w:rsid w:val="7979EB75"/>
    <w:rsid w:val="79815EB4"/>
    <w:rsid w:val="798803C8"/>
    <w:rsid w:val="79883A82"/>
    <w:rsid w:val="798D2F61"/>
    <w:rsid w:val="7991EDBD"/>
    <w:rsid w:val="799CB22E"/>
    <w:rsid w:val="799E1F95"/>
    <w:rsid w:val="79BE4F00"/>
    <w:rsid w:val="79CA74B7"/>
    <w:rsid w:val="79CE89BC"/>
    <w:rsid w:val="79CF2EA4"/>
    <w:rsid w:val="79F29164"/>
    <w:rsid w:val="79F9B755"/>
    <w:rsid w:val="79FA7AB8"/>
    <w:rsid w:val="7A050C64"/>
    <w:rsid w:val="7A08060F"/>
    <w:rsid w:val="7A140985"/>
    <w:rsid w:val="7A16595A"/>
    <w:rsid w:val="7A1AB8CE"/>
    <w:rsid w:val="7A1C1114"/>
    <w:rsid w:val="7A1E4680"/>
    <w:rsid w:val="7A2DB3D4"/>
    <w:rsid w:val="7A3607E5"/>
    <w:rsid w:val="7A3E97A8"/>
    <w:rsid w:val="7A3F9016"/>
    <w:rsid w:val="7A4BBB21"/>
    <w:rsid w:val="7A4EF9FB"/>
    <w:rsid w:val="7A522DCA"/>
    <w:rsid w:val="7A555E4E"/>
    <w:rsid w:val="7A5B961C"/>
    <w:rsid w:val="7A5BB8F7"/>
    <w:rsid w:val="7A736700"/>
    <w:rsid w:val="7A7DFF5D"/>
    <w:rsid w:val="7A80B0CE"/>
    <w:rsid w:val="7A89050D"/>
    <w:rsid w:val="7A8B58D9"/>
    <w:rsid w:val="7A9B3EBE"/>
    <w:rsid w:val="7A9FF82A"/>
    <w:rsid w:val="7AA37055"/>
    <w:rsid w:val="7AB4242D"/>
    <w:rsid w:val="7ADB83BF"/>
    <w:rsid w:val="7ADBCCEA"/>
    <w:rsid w:val="7ADC8DBB"/>
    <w:rsid w:val="7AEA7CBD"/>
    <w:rsid w:val="7B0044A4"/>
    <w:rsid w:val="7B114DF1"/>
    <w:rsid w:val="7B13C0E5"/>
    <w:rsid w:val="7B2A6706"/>
    <w:rsid w:val="7B379622"/>
    <w:rsid w:val="7B3B30E6"/>
    <w:rsid w:val="7B427F77"/>
    <w:rsid w:val="7B441FD4"/>
    <w:rsid w:val="7B487BD6"/>
    <w:rsid w:val="7B554F75"/>
    <w:rsid w:val="7B615BFA"/>
    <w:rsid w:val="7B735D40"/>
    <w:rsid w:val="7B73626E"/>
    <w:rsid w:val="7B774F70"/>
    <w:rsid w:val="7B92F5C0"/>
    <w:rsid w:val="7B970D86"/>
    <w:rsid w:val="7B985BA3"/>
    <w:rsid w:val="7B9C6B6A"/>
    <w:rsid w:val="7B9DBB04"/>
    <w:rsid w:val="7BCE7587"/>
    <w:rsid w:val="7BD775BF"/>
    <w:rsid w:val="7BF7AF18"/>
    <w:rsid w:val="7BFC19C8"/>
    <w:rsid w:val="7BFE4E7E"/>
    <w:rsid w:val="7C00FD21"/>
    <w:rsid w:val="7C04FE1B"/>
    <w:rsid w:val="7C06EBCF"/>
    <w:rsid w:val="7C0AD789"/>
    <w:rsid w:val="7C1AA72F"/>
    <w:rsid w:val="7C1C9A87"/>
    <w:rsid w:val="7C255C20"/>
    <w:rsid w:val="7C465D75"/>
    <w:rsid w:val="7C4E148F"/>
    <w:rsid w:val="7C537235"/>
    <w:rsid w:val="7C5C7E60"/>
    <w:rsid w:val="7C621C30"/>
    <w:rsid w:val="7C6D742C"/>
    <w:rsid w:val="7C70B8AD"/>
    <w:rsid w:val="7C756710"/>
    <w:rsid w:val="7C7E5E6C"/>
    <w:rsid w:val="7C9F2F68"/>
    <w:rsid w:val="7CECB68C"/>
    <w:rsid w:val="7D0548A7"/>
    <w:rsid w:val="7D0C20E6"/>
    <w:rsid w:val="7D24B8C5"/>
    <w:rsid w:val="7D287809"/>
    <w:rsid w:val="7D2C9415"/>
    <w:rsid w:val="7D2EE9A4"/>
    <w:rsid w:val="7D39CD87"/>
    <w:rsid w:val="7D3E24EE"/>
    <w:rsid w:val="7D4DA18C"/>
    <w:rsid w:val="7D57D231"/>
    <w:rsid w:val="7D59B220"/>
    <w:rsid w:val="7D5FE78C"/>
    <w:rsid w:val="7D8CD54C"/>
    <w:rsid w:val="7D8E4BCD"/>
    <w:rsid w:val="7D96EC74"/>
    <w:rsid w:val="7DA1F579"/>
    <w:rsid w:val="7DA60A8E"/>
    <w:rsid w:val="7DB5CDA8"/>
    <w:rsid w:val="7DC2B731"/>
    <w:rsid w:val="7DC8F545"/>
    <w:rsid w:val="7DC90EDF"/>
    <w:rsid w:val="7DE0FC59"/>
    <w:rsid w:val="7DEAA162"/>
    <w:rsid w:val="7DFC08F2"/>
    <w:rsid w:val="7DFC3C37"/>
    <w:rsid w:val="7DFD6990"/>
    <w:rsid w:val="7E084B7E"/>
    <w:rsid w:val="7E16ABF8"/>
    <w:rsid w:val="7E19945A"/>
    <w:rsid w:val="7E21D4E0"/>
    <w:rsid w:val="7E37B71D"/>
    <w:rsid w:val="7E402324"/>
    <w:rsid w:val="7E5DAEA3"/>
    <w:rsid w:val="7E74ACCC"/>
    <w:rsid w:val="7EA2710A"/>
    <w:rsid w:val="7EA4AAD5"/>
    <w:rsid w:val="7EA6909A"/>
    <w:rsid w:val="7EAA8CC3"/>
    <w:rsid w:val="7EB03FDD"/>
    <w:rsid w:val="7EB20ACF"/>
    <w:rsid w:val="7ECDA5A4"/>
    <w:rsid w:val="7ECFF23B"/>
    <w:rsid w:val="7ED0E610"/>
    <w:rsid w:val="7ED2909F"/>
    <w:rsid w:val="7EDEB985"/>
    <w:rsid w:val="7EEAAD19"/>
    <w:rsid w:val="7EEB1452"/>
    <w:rsid w:val="7EED27D2"/>
    <w:rsid w:val="7EF26DBC"/>
    <w:rsid w:val="7F04C4F6"/>
    <w:rsid w:val="7F0F1538"/>
    <w:rsid w:val="7F149CCC"/>
    <w:rsid w:val="7F15E585"/>
    <w:rsid w:val="7F171373"/>
    <w:rsid w:val="7F1754A9"/>
    <w:rsid w:val="7F302481"/>
    <w:rsid w:val="7F40DA91"/>
    <w:rsid w:val="7F483065"/>
    <w:rsid w:val="7F4B9013"/>
    <w:rsid w:val="7F4D8CFA"/>
    <w:rsid w:val="7F538DB8"/>
    <w:rsid w:val="7F5CDDD1"/>
    <w:rsid w:val="7F6581EE"/>
    <w:rsid w:val="7F6A99B1"/>
    <w:rsid w:val="7F700235"/>
    <w:rsid w:val="7F71BF9C"/>
    <w:rsid w:val="7F75A61B"/>
    <w:rsid w:val="7F77BC04"/>
    <w:rsid w:val="7F7A945E"/>
    <w:rsid w:val="7F7F2480"/>
    <w:rsid w:val="7F958B41"/>
    <w:rsid w:val="7F994ABC"/>
    <w:rsid w:val="7FA1DCD4"/>
    <w:rsid w:val="7FA22AD4"/>
    <w:rsid w:val="7FAAC6A3"/>
    <w:rsid w:val="7FB4F43E"/>
    <w:rsid w:val="7FB951B2"/>
    <w:rsid w:val="7FB98D62"/>
    <w:rsid w:val="7FBE78B9"/>
    <w:rsid w:val="7FBF65A4"/>
    <w:rsid w:val="7FC40441"/>
    <w:rsid w:val="7FC69FF3"/>
    <w:rsid w:val="7FCB6E48"/>
    <w:rsid w:val="7FEEE5E9"/>
    <w:rsid w:val="7FF9850C"/>
    <w:rsid w:val="7FFF055A"/>
    <w:rsid w:val="7FFF748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92B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8D7"/>
    <w:pPr>
      <w:spacing w:after="120" w:line="276" w:lineRule="auto"/>
    </w:pPr>
    <w:rPr>
      <w:rFonts w:eastAsiaTheme="minorEastAsia"/>
      <w:szCs w:val="21"/>
    </w:rPr>
  </w:style>
  <w:style w:type="paragraph" w:styleId="Heading1">
    <w:name w:val="heading 1"/>
    <w:basedOn w:val="Normal"/>
    <w:next w:val="Normal"/>
    <w:link w:val="Heading1Char"/>
    <w:uiPriority w:val="9"/>
    <w:qFormat/>
    <w:rsid w:val="00CD28EB"/>
    <w:pPr>
      <w:keepNext/>
      <w:keepLines/>
      <w:spacing w:before="240" w:after="0" w:line="259" w:lineRule="auto"/>
      <w:outlineLvl w:val="0"/>
    </w:pPr>
    <w:rPr>
      <w:rFonts w:eastAsiaTheme="majorEastAsia" w:cstheme="majorBidi"/>
      <w:b/>
      <w:caps/>
      <w:color w:val="002060"/>
      <w:sz w:val="44"/>
      <w:szCs w:val="32"/>
    </w:rPr>
  </w:style>
  <w:style w:type="paragraph" w:styleId="Heading2">
    <w:name w:val="heading 2"/>
    <w:basedOn w:val="Normal"/>
    <w:next w:val="Normal"/>
    <w:link w:val="Heading2Char"/>
    <w:uiPriority w:val="9"/>
    <w:unhideWhenUsed/>
    <w:qFormat/>
    <w:rsid w:val="00A60505"/>
    <w:pPr>
      <w:keepNext/>
      <w:keepLines/>
      <w:spacing w:before="360" w:after="240" w:line="259" w:lineRule="auto"/>
      <w:outlineLvl w:val="1"/>
    </w:pPr>
    <w:rPr>
      <w:rFonts w:eastAsiaTheme="majorEastAsia" w:cstheme="majorBidi"/>
      <w:b/>
      <w:color w:val="1F3864" w:themeColor="accent1" w:themeShade="80"/>
      <w:sz w:val="40"/>
      <w:szCs w:val="26"/>
    </w:rPr>
  </w:style>
  <w:style w:type="paragraph" w:styleId="Heading3">
    <w:name w:val="heading 3"/>
    <w:basedOn w:val="Normal"/>
    <w:next w:val="Normal"/>
    <w:link w:val="Heading3Char"/>
    <w:uiPriority w:val="9"/>
    <w:unhideWhenUsed/>
    <w:qFormat/>
    <w:rsid w:val="00A60505"/>
    <w:pPr>
      <w:keepNext/>
      <w:keepLines/>
      <w:spacing w:before="480" w:line="240" w:lineRule="auto"/>
      <w:outlineLvl w:val="2"/>
    </w:pPr>
    <w:rPr>
      <w:rFonts w:eastAsiaTheme="majorEastAsia" w:cstheme="majorBidi"/>
      <w:b/>
      <w:color w:val="1F3864" w:themeColor="accent1" w:themeShade="80"/>
      <w:sz w:val="28"/>
      <w:szCs w:val="24"/>
    </w:rPr>
  </w:style>
  <w:style w:type="paragraph" w:styleId="Heading4">
    <w:name w:val="heading 4"/>
    <w:basedOn w:val="Normal"/>
    <w:next w:val="Normal"/>
    <w:link w:val="Heading4Char"/>
    <w:uiPriority w:val="9"/>
    <w:unhideWhenUsed/>
    <w:qFormat/>
    <w:rsid w:val="00A60505"/>
    <w:pPr>
      <w:keepNext/>
      <w:keepLines/>
      <w:spacing w:before="360" w:after="160" w:line="240" w:lineRule="auto"/>
      <w:outlineLvl w:val="3"/>
    </w:pPr>
    <w:rPr>
      <w:rFonts w:eastAsiaTheme="majorEastAsia" w:cstheme="majorBidi"/>
      <w:b/>
      <w:iCs/>
      <w:color w:val="1F3864" w:themeColor="accent1" w:themeShade="80"/>
      <w:sz w:val="24"/>
      <w:szCs w:val="22"/>
    </w:rPr>
  </w:style>
  <w:style w:type="paragraph" w:styleId="Heading5">
    <w:name w:val="heading 5"/>
    <w:basedOn w:val="Normal"/>
    <w:next w:val="Normal"/>
    <w:link w:val="Heading5Char"/>
    <w:uiPriority w:val="9"/>
    <w:unhideWhenUsed/>
    <w:qFormat/>
    <w:rsid w:val="002D5BFF"/>
    <w:pPr>
      <w:autoSpaceDE w:val="0"/>
      <w:autoSpaceDN w:val="0"/>
      <w:adjustRightInd w:val="0"/>
      <w:spacing w:before="240" w:after="160" w:line="256" w:lineRule="auto"/>
      <w:outlineLvl w:val="4"/>
    </w:pPr>
    <w:rPr>
      <w:rFonts w:ascii="Calibri" w:eastAsia="Calibri" w:hAnsi="Calibri" w:cs="Times New Roman"/>
      <w:b/>
      <w:bCs/>
      <w:color w:val="1F3864" w:themeColor="accent1" w:themeShade="80"/>
      <w:szCs w:val="22"/>
    </w:rPr>
  </w:style>
  <w:style w:type="paragraph" w:styleId="Heading6">
    <w:name w:val="heading 6"/>
    <w:basedOn w:val="Normal"/>
    <w:next w:val="Normal"/>
    <w:link w:val="Heading6Char"/>
    <w:uiPriority w:val="9"/>
    <w:unhideWhenUsed/>
    <w:qFormat/>
    <w:rsid w:val="008059ED"/>
    <w:pPr>
      <w:keepNext/>
      <w:keepLines/>
      <w:spacing w:before="2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4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471"/>
    <w:rPr>
      <w:rFonts w:ascii="Segoe UI" w:hAnsi="Segoe UI" w:cs="Segoe UI"/>
      <w:sz w:val="18"/>
      <w:szCs w:val="18"/>
    </w:rPr>
  </w:style>
  <w:style w:type="character" w:customStyle="1" w:styleId="Heading2Char">
    <w:name w:val="Heading 2 Char"/>
    <w:basedOn w:val="DefaultParagraphFont"/>
    <w:link w:val="Heading2"/>
    <w:uiPriority w:val="9"/>
    <w:rsid w:val="00A60505"/>
    <w:rPr>
      <w:rFonts w:eastAsiaTheme="majorEastAsia" w:cstheme="majorBidi"/>
      <w:b/>
      <w:color w:val="1F3864" w:themeColor="accent1" w:themeShade="80"/>
      <w:sz w:val="40"/>
      <w:szCs w:val="26"/>
    </w:rPr>
  </w:style>
  <w:style w:type="character" w:customStyle="1" w:styleId="Heading3Char">
    <w:name w:val="Heading 3 Char"/>
    <w:basedOn w:val="DefaultParagraphFont"/>
    <w:link w:val="Heading3"/>
    <w:uiPriority w:val="9"/>
    <w:rsid w:val="00A60505"/>
    <w:rPr>
      <w:rFonts w:eastAsiaTheme="majorEastAsia" w:cstheme="majorBidi"/>
      <w:b/>
      <w:color w:val="1F3864" w:themeColor="accent1" w:themeShade="80"/>
      <w:sz w:val="28"/>
      <w:szCs w:val="24"/>
    </w:rPr>
  </w:style>
  <w:style w:type="character" w:customStyle="1" w:styleId="Heading4Char">
    <w:name w:val="Heading 4 Char"/>
    <w:basedOn w:val="DefaultParagraphFont"/>
    <w:link w:val="Heading4"/>
    <w:uiPriority w:val="9"/>
    <w:rsid w:val="00A60505"/>
    <w:rPr>
      <w:rFonts w:eastAsiaTheme="majorEastAsia" w:cstheme="majorBidi"/>
      <w:b/>
      <w:iCs/>
      <w:color w:val="1F3864" w:themeColor="accent1" w:themeShade="80"/>
      <w:sz w:val="24"/>
    </w:rPr>
  </w:style>
  <w:style w:type="paragraph" w:styleId="Footer">
    <w:name w:val="footer"/>
    <w:basedOn w:val="Normal"/>
    <w:link w:val="FooterChar"/>
    <w:uiPriority w:val="99"/>
    <w:unhideWhenUsed/>
    <w:rsid w:val="001F2471"/>
    <w:pPr>
      <w:tabs>
        <w:tab w:val="center" w:pos="4513"/>
        <w:tab w:val="right" w:pos="9026"/>
      </w:tabs>
      <w:spacing w:after="0" w:line="240" w:lineRule="auto"/>
    </w:pPr>
    <w:rPr>
      <w:rFonts w:ascii="Calibri" w:eastAsiaTheme="minorHAnsi" w:hAnsi="Calibri" w:cs="Calibri"/>
      <w:szCs w:val="22"/>
    </w:rPr>
  </w:style>
  <w:style w:type="character" w:customStyle="1" w:styleId="FooterChar">
    <w:name w:val="Footer Char"/>
    <w:basedOn w:val="DefaultParagraphFont"/>
    <w:link w:val="Footer"/>
    <w:uiPriority w:val="99"/>
    <w:rsid w:val="001F2471"/>
    <w:rPr>
      <w:rFonts w:ascii="Calibri" w:hAnsi="Calibri" w:cs="Calibri"/>
    </w:rPr>
  </w:style>
  <w:style w:type="table" w:customStyle="1" w:styleId="TableGrid1">
    <w:name w:val="Table Grid1"/>
    <w:basedOn w:val="TableNormal"/>
    <w:next w:val="TableGrid"/>
    <w:uiPriority w:val="39"/>
    <w:rsid w:val="001F24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F2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8059ED"/>
    <w:rPr>
      <w:rFonts w:asciiTheme="majorHAnsi" w:eastAsiaTheme="majorEastAsia" w:hAnsiTheme="majorHAnsi" w:cstheme="majorBidi"/>
      <w:color w:val="1F3763" w:themeColor="accent1" w:themeShade="7F"/>
      <w:szCs w:val="21"/>
    </w:rPr>
  </w:style>
  <w:style w:type="paragraph" w:styleId="ListParagraph">
    <w:name w:val="List Paragraph"/>
    <w:aliases w:val="Bullet (Normal),Grey List Bullet,Correspondence Numbering"/>
    <w:basedOn w:val="Normal"/>
    <w:link w:val="ListParagraphChar"/>
    <w:uiPriority w:val="34"/>
    <w:qFormat/>
    <w:rsid w:val="00D80A1D"/>
    <w:pPr>
      <w:spacing w:after="0" w:line="240" w:lineRule="auto"/>
      <w:ind w:left="720"/>
      <w:contextualSpacing/>
    </w:pPr>
    <w:rPr>
      <w:rFonts w:ascii="Calibri" w:eastAsiaTheme="minorHAnsi" w:hAnsi="Calibri" w:cs="Calibri"/>
      <w:szCs w:val="22"/>
    </w:rPr>
  </w:style>
  <w:style w:type="character" w:customStyle="1" w:styleId="ListParagraphChar">
    <w:name w:val="List Paragraph Char"/>
    <w:aliases w:val="Bullet (Normal) Char,Grey List Bullet Char,Correspondence Numbering Char"/>
    <w:link w:val="ListParagraph"/>
    <w:uiPriority w:val="34"/>
    <w:rsid w:val="00D80A1D"/>
    <w:rPr>
      <w:rFonts w:ascii="Calibri" w:hAnsi="Calibri" w:cs="Calibri"/>
    </w:rPr>
  </w:style>
  <w:style w:type="paragraph" w:customStyle="1" w:styleId="Policyheader">
    <w:name w:val="Policy header"/>
    <w:basedOn w:val="Normal"/>
    <w:qFormat/>
    <w:rsid w:val="00D80A1D"/>
    <w:pPr>
      <w:keepNext/>
      <w:numPr>
        <w:numId w:val="1"/>
      </w:numPr>
      <w:spacing w:after="200"/>
    </w:pPr>
    <w:rPr>
      <w:rFonts w:ascii="Calibri" w:eastAsia="Times New Roman" w:hAnsi="Calibri" w:cs="Times New Roman"/>
      <w:b/>
      <w:lang w:eastAsia="en-NZ"/>
    </w:rPr>
  </w:style>
  <w:style w:type="character" w:customStyle="1" w:styleId="Policy1stsentenceChar">
    <w:name w:val="Policy_1st sentence Char"/>
    <w:basedOn w:val="DefaultParagraphFont"/>
    <w:link w:val="Policy1stsentence"/>
    <w:locked/>
    <w:rsid w:val="00D80A1D"/>
    <w:rPr>
      <w:rFonts w:ascii="Calibri" w:eastAsia="Times New Roman" w:hAnsi="Calibri" w:cs="Times New Roman"/>
      <w:szCs w:val="21"/>
      <w:lang w:eastAsia="en-NZ"/>
    </w:rPr>
  </w:style>
  <w:style w:type="paragraph" w:customStyle="1" w:styleId="Policy1stsentence">
    <w:name w:val="Policy_1st sentence"/>
    <w:basedOn w:val="Normal"/>
    <w:link w:val="Policy1stsentenceChar"/>
    <w:qFormat/>
    <w:rsid w:val="00D80A1D"/>
    <w:pPr>
      <w:spacing w:after="0"/>
    </w:pPr>
    <w:rPr>
      <w:rFonts w:ascii="Calibri" w:eastAsia="Times New Roman" w:hAnsi="Calibri" w:cs="Times New Roman"/>
      <w:lang w:eastAsia="en-NZ"/>
    </w:rPr>
  </w:style>
  <w:style w:type="character" w:customStyle="1" w:styleId="Policy1stlevelbulletpointChar">
    <w:name w:val="Policy_1st level bullet point Char"/>
    <w:basedOn w:val="DefaultParagraphFont"/>
    <w:link w:val="Policy1stlevelbulletpoint"/>
    <w:locked/>
    <w:rsid w:val="00D80A1D"/>
    <w:rPr>
      <w:rFonts w:ascii="Calibri" w:eastAsiaTheme="majorEastAsia" w:hAnsi="Calibri" w:cs="Times New Roman"/>
      <w:szCs w:val="21"/>
      <w:lang w:eastAsia="en-NZ"/>
    </w:rPr>
  </w:style>
  <w:style w:type="paragraph" w:customStyle="1" w:styleId="Policy1stlevelbulletpoint">
    <w:name w:val="Policy_1st level bullet point"/>
    <w:basedOn w:val="Normal"/>
    <w:link w:val="Policy1stlevelbulletpointChar"/>
    <w:qFormat/>
    <w:rsid w:val="00D80A1D"/>
    <w:pPr>
      <w:numPr>
        <w:ilvl w:val="1"/>
        <w:numId w:val="1"/>
      </w:numPr>
      <w:spacing w:after="0"/>
      <w:contextualSpacing/>
    </w:pPr>
    <w:rPr>
      <w:rFonts w:ascii="Calibri" w:eastAsiaTheme="majorEastAsia" w:hAnsi="Calibri" w:cs="Times New Roman"/>
      <w:lang w:eastAsia="en-NZ"/>
    </w:rPr>
  </w:style>
  <w:style w:type="paragraph" w:customStyle="1" w:styleId="Policy2ndlevelbulletpoint">
    <w:name w:val="Policy_2nd level bullet point"/>
    <w:basedOn w:val="Policy1stlevelbulletpoint"/>
    <w:rsid w:val="00D80A1D"/>
    <w:pPr>
      <w:numPr>
        <w:ilvl w:val="2"/>
      </w:numPr>
      <w:tabs>
        <w:tab w:val="num" w:pos="360"/>
      </w:tabs>
    </w:pPr>
    <w:rPr>
      <w:rFonts w:ascii="Calibri Light" w:hAnsi="Calibri Light" w:cs="Yu Gothic Light"/>
    </w:rPr>
  </w:style>
  <w:style w:type="character" w:customStyle="1" w:styleId="Heading1Char">
    <w:name w:val="Heading 1 Char"/>
    <w:basedOn w:val="DefaultParagraphFont"/>
    <w:link w:val="Heading1"/>
    <w:uiPriority w:val="9"/>
    <w:rsid w:val="00CD28EB"/>
    <w:rPr>
      <w:rFonts w:eastAsiaTheme="majorEastAsia" w:cstheme="majorBidi"/>
      <w:b/>
      <w:caps/>
      <w:color w:val="002060"/>
      <w:sz w:val="44"/>
      <w:szCs w:val="32"/>
    </w:rPr>
  </w:style>
  <w:style w:type="paragraph" w:styleId="FootnoteText">
    <w:name w:val="footnote text"/>
    <w:basedOn w:val="Normal"/>
    <w:link w:val="FootnoteTextChar"/>
    <w:uiPriority w:val="99"/>
    <w:unhideWhenUsed/>
    <w:qFormat/>
    <w:rsid w:val="00243A1E"/>
    <w:pPr>
      <w:spacing w:after="0" w:line="240" w:lineRule="auto"/>
    </w:pPr>
    <w:rPr>
      <w:rFonts w:ascii="Calibri" w:hAnsi="Calibri" w:cs="Calibri"/>
      <w:sz w:val="18"/>
      <w:szCs w:val="20"/>
    </w:rPr>
  </w:style>
  <w:style w:type="character" w:customStyle="1" w:styleId="FootnoteTextChar">
    <w:name w:val="Footnote Text Char"/>
    <w:basedOn w:val="DefaultParagraphFont"/>
    <w:link w:val="FootnoteText"/>
    <w:uiPriority w:val="99"/>
    <w:rsid w:val="00243A1E"/>
    <w:rPr>
      <w:rFonts w:ascii="Calibri" w:hAnsi="Calibri" w:cs="Calibri"/>
      <w:sz w:val="18"/>
      <w:szCs w:val="20"/>
    </w:rPr>
  </w:style>
  <w:style w:type="character" w:styleId="FootnoteReference">
    <w:name w:val="footnote reference"/>
    <w:basedOn w:val="DefaultParagraphFont"/>
    <w:uiPriority w:val="99"/>
    <w:unhideWhenUsed/>
    <w:rsid w:val="008D7FCF"/>
    <w:rPr>
      <w:vertAlign w:val="superscript"/>
    </w:rPr>
  </w:style>
  <w:style w:type="table" w:customStyle="1" w:styleId="TableGrid2">
    <w:name w:val="Table Grid2"/>
    <w:basedOn w:val="TableNormal"/>
    <w:next w:val="TableGrid"/>
    <w:uiPriority w:val="39"/>
    <w:rsid w:val="008D7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411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B14"/>
    <w:rPr>
      <w:sz w:val="16"/>
      <w:szCs w:val="16"/>
    </w:rPr>
  </w:style>
  <w:style w:type="paragraph" w:styleId="CommentText">
    <w:name w:val="annotation text"/>
    <w:basedOn w:val="Normal"/>
    <w:link w:val="CommentTextChar"/>
    <w:uiPriority w:val="99"/>
    <w:unhideWhenUsed/>
    <w:rsid w:val="00E83B14"/>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E83B14"/>
    <w:rPr>
      <w:sz w:val="20"/>
      <w:szCs w:val="20"/>
    </w:rPr>
  </w:style>
  <w:style w:type="paragraph" w:styleId="CommentSubject">
    <w:name w:val="annotation subject"/>
    <w:basedOn w:val="CommentText"/>
    <w:next w:val="CommentText"/>
    <w:link w:val="CommentSubjectChar"/>
    <w:uiPriority w:val="99"/>
    <w:semiHidden/>
    <w:unhideWhenUsed/>
    <w:rsid w:val="00E83B14"/>
    <w:rPr>
      <w:b/>
      <w:bCs/>
    </w:rPr>
  </w:style>
  <w:style w:type="character" w:customStyle="1" w:styleId="CommentSubjectChar">
    <w:name w:val="Comment Subject Char"/>
    <w:basedOn w:val="CommentTextChar"/>
    <w:link w:val="CommentSubject"/>
    <w:uiPriority w:val="99"/>
    <w:semiHidden/>
    <w:rsid w:val="00E83B14"/>
    <w:rPr>
      <w:b/>
      <w:bCs/>
      <w:sz w:val="20"/>
      <w:szCs w:val="20"/>
    </w:rPr>
  </w:style>
  <w:style w:type="character" w:styleId="Hyperlink">
    <w:name w:val="Hyperlink"/>
    <w:basedOn w:val="DefaultParagraphFont"/>
    <w:uiPriority w:val="99"/>
    <w:unhideWhenUsed/>
    <w:rsid w:val="00E83B14"/>
    <w:rPr>
      <w:color w:val="0000FF"/>
      <w:u w:val="single"/>
    </w:rPr>
  </w:style>
  <w:style w:type="paragraph" w:customStyle="1" w:styleId="Normal2">
    <w:name w:val="Normal 2"/>
    <w:basedOn w:val="ListParagraph"/>
    <w:link w:val="Normal2Char"/>
    <w:qFormat/>
    <w:rsid w:val="00E83B14"/>
    <w:pPr>
      <w:numPr>
        <w:numId w:val="2"/>
      </w:numPr>
      <w:spacing w:after="120" w:line="259" w:lineRule="auto"/>
      <w:contextualSpacing w:val="0"/>
      <w:jc w:val="both"/>
    </w:pPr>
  </w:style>
  <w:style w:type="character" w:customStyle="1" w:styleId="Normal2Char">
    <w:name w:val="Normal 2 Char"/>
    <w:basedOn w:val="ListParagraphChar"/>
    <w:link w:val="Normal2"/>
    <w:rsid w:val="00E83B14"/>
    <w:rPr>
      <w:rFonts w:ascii="Calibri" w:hAnsi="Calibri" w:cs="Calibri"/>
    </w:rPr>
  </w:style>
  <w:style w:type="paragraph" w:customStyle="1" w:styleId="Normal3">
    <w:name w:val="Normal 3"/>
    <w:basedOn w:val="Normal2"/>
    <w:link w:val="Normal3Char"/>
    <w:qFormat/>
    <w:rsid w:val="00E83B14"/>
    <w:pPr>
      <w:numPr>
        <w:ilvl w:val="1"/>
      </w:numPr>
      <w:tabs>
        <w:tab w:val="num" w:pos="360"/>
      </w:tabs>
      <w:spacing w:after="0"/>
    </w:pPr>
  </w:style>
  <w:style w:type="paragraph" w:styleId="Revision">
    <w:name w:val="Revision"/>
    <w:hidden/>
    <w:uiPriority w:val="99"/>
    <w:semiHidden/>
    <w:rsid w:val="00E83B14"/>
    <w:pPr>
      <w:spacing w:after="0" w:line="240" w:lineRule="auto"/>
    </w:pPr>
  </w:style>
  <w:style w:type="character" w:customStyle="1" w:styleId="Heading5Char">
    <w:name w:val="Heading 5 Char"/>
    <w:basedOn w:val="DefaultParagraphFont"/>
    <w:link w:val="Heading5"/>
    <w:uiPriority w:val="9"/>
    <w:rsid w:val="002D5BFF"/>
    <w:rPr>
      <w:rFonts w:ascii="Calibri" w:eastAsia="Calibri" w:hAnsi="Calibri" w:cs="Times New Roman"/>
      <w:b/>
      <w:bCs/>
      <w:color w:val="1F3864" w:themeColor="accent1" w:themeShade="80"/>
    </w:rPr>
  </w:style>
  <w:style w:type="paragraph" w:styleId="ListBullet">
    <w:name w:val="List Bullet"/>
    <w:basedOn w:val="Normal"/>
    <w:uiPriority w:val="99"/>
    <w:unhideWhenUsed/>
    <w:rsid w:val="00EC54BC"/>
    <w:pPr>
      <w:numPr>
        <w:numId w:val="3"/>
      </w:numPr>
      <w:spacing w:after="0" w:line="240" w:lineRule="auto"/>
      <w:contextualSpacing/>
    </w:pPr>
    <w:rPr>
      <w:rFonts w:ascii="Calibri" w:hAnsi="Calibri" w:cs="Calibri"/>
    </w:rPr>
  </w:style>
  <w:style w:type="paragraph" w:styleId="ListBullet2">
    <w:name w:val="List Bullet 2"/>
    <w:basedOn w:val="Normal"/>
    <w:uiPriority w:val="99"/>
    <w:unhideWhenUsed/>
    <w:rsid w:val="00EC54BC"/>
    <w:pPr>
      <w:numPr>
        <w:numId w:val="4"/>
      </w:numPr>
      <w:spacing w:after="0" w:line="240" w:lineRule="auto"/>
      <w:contextualSpacing/>
    </w:pPr>
    <w:rPr>
      <w:rFonts w:ascii="Calibri" w:hAnsi="Calibri" w:cs="Calibri"/>
    </w:rPr>
  </w:style>
  <w:style w:type="paragraph" w:customStyle="1" w:styleId="Default">
    <w:name w:val="Default"/>
    <w:rsid w:val="00EC54B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EC54BC"/>
  </w:style>
  <w:style w:type="character" w:customStyle="1" w:styleId="eop">
    <w:name w:val="eop"/>
    <w:basedOn w:val="DefaultParagraphFont"/>
    <w:rsid w:val="00EC54BC"/>
  </w:style>
  <w:style w:type="paragraph" w:styleId="NoSpacing">
    <w:name w:val="No Spacing"/>
    <w:uiPriority w:val="1"/>
    <w:rsid w:val="00EC54BC"/>
    <w:pPr>
      <w:spacing w:after="0" w:line="240" w:lineRule="auto"/>
    </w:pPr>
    <w:rPr>
      <w:rFonts w:ascii="Calibri" w:hAnsi="Calibri" w:cs="Calibri"/>
    </w:rPr>
  </w:style>
  <w:style w:type="paragraph" w:styleId="TOCHeading">
    <w:name w:val="TOC Heading"/>
    <w:basedOn w:val="Heading1"/>
    <w:next w:val="Normal"/>
    <w:uiPriority w:val="39"/>
    <w:unhideWhenUsed/>
    <w:qFormat/>
    <w:rsid w:val="00EC54BC"/>
    <w:pPr>
      <w:outlineLvl w:val="9"/>
    </w:pPr>
    <w:rPr>
      <w:sz w:val="40"/>
      <w:lang w:val="en-US"/>
    </w:rPr>
  </w:style>
  <w:style w:type="paragraph" w:styleId="TOC1">
    <w:name w:val="toc 1"/>
    <w:basedOn w:val="Normal"/>
    <w:next w:val="Normal"/>
    <w:autoRedefine/>
    <w:uiPriority w:val="39"/>
    <w:unhideWhenUsed/>
    <w:qFormat/>
    <w:rsid w:val="00A471F4"/>
    <w:pPr>
      <w:tabs>
        <w:tab w:val="right" w:leader="dot" w:pos="9330"/>
      </w:tabs>
      <w:spacing w:after="100" w:line="240" w:lineRule="auto"/>
    </w:pPr>
    <w:rPr>
      <w:rFonts w:ascii="Calibri" w:eastAsiaTheme="minorHAnsi" w:hAnsi="Calibri" w:cs="Calibri"/>
      <w:szCs w:val="22"/>
    </w:rPr>
  </w:style>
  <w:style w:type="paragraph" w:styleId="TOC2">
    <w:name w:val="toc 2"/>
    <w:basedOn w:val="Normal"/>
    <w:next w:val="Normal"/>
    <w:autoRedefine/>
    <w:uiPriority w:val="39"/>
    <w:unhideWhenUsed/>
    <w:qFormat/>
    <w:rsid w:val="00EC54BC"/>
    <w:pPr>
      <w:spacing w:after="100" w:line="240" w:lineRule="auto"/>
      <w:ind w:left="220"/>
    </w:pPr>
    <w:rPr>
      <w:rFonts w:ascii="Calibri" w:eastAsiaTheme="minorHAnsi" w:hAnsi="Calibri" w:cs="Calibri"/>
      <w:szCs w:val="22"/>
    </w:rPr>
  </w:style>
  <w:style w:type="paragraph" w:styleId="TOC3">
    <w:name w:val="toc 3"/>
    <w:basedOn w:val="Normal"/>
    <w:next w:val="Normal"/>
    <w:autoRedefine/>
    <w:uiPriority w:val="39"/>
    <w:unhideWhenUsed/>
    <w:qFormat/>
    <w:rsid w:val="00EC54BC"/>
    <w:pPr>
      <w:spacing w:after="100" w:line="240" w:lineRule="auto"/>
      <w:ind w:left="440"/>
    </w:pPr>
    <w:rPr>
      <w:rFonts w:ascii="Calibri" w:eastAsiaTheme="minorHAnsi" w:hAnsi="Calibri" w:cs="Calibri"/>
      <w:szCs w:val="22"/>
    </w:rPr>
  </w:style>
  <w:style w:type="paragraph" w:styleId="Header">
    <w:name w:val="header"/>
    <w:basedOn w:val="Normal"/>
    <w:link w:val="HeaderChar"/>
    <w:uiPriority w:val="99"/>
    <w:unhideWhenUsed/>
    <w:rsid w:val="00EC54BC"/>
    <w:pPr>
      <w:tabs>
        <w:tab w:val="center" w:pos="4513"/>
        <w:tab w:val="right" w:pos="9026"/>
      </w:tabs>
      <w:spacing w:after="0" w:line="240" w:lineRule="auto"/>
    </w:pPr>
    <w:rPr>
      <w:rFonts w:ascii="Calibri" w:eastAsiaTheme="minorHAnsi" w:hAnsi="Calibri" w:cs="Calibri"/>
      <w:szCs w:val="22"/>
    </w:rPr>
  </w:style>
  <w:style w:type="character" w:customStyle="1" w:styleId="HeaderChar">
    <w:name w:val="Header Char"/>
    <w:basedOn w:val="DefaultParagraphFont"/>
    <w:link w:val="Header"/>
    <w:uiPriority w:val="99"/>
    <w:rsid w:val="00EC54BC"/>
    <w:rPr>
      <w:rFonts w:ascii="Calibri" w:hAnsi="Calibri" w:cs="Calibri"/>
    </w:rPr>
  </w:style>
  <w:style w:type="table" w:customStyle="1" w:styleId="TableGrid4">
    <w:name w:val="Table Grid4"/>
    <w:basedOn w:val="TableNormal"/>
    <w:next w:val="TableGrid"/>
    <w:uiPriority w:val="39"/>
    <w:rsid w:val="00EC54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54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C54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C54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C5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54BC"/>
    <w:pPr>
      <w:spacing w:after="160" w:line="259" w:lineRule="auto"/>
    </w:pPr>
    <w:rPr>
      <w:rFonts w:ascii="Times New Roman" w:eastAsiaTheme="minorHAnsi" w:hAnsi="Times New Roman" w:cs="Times New Roman"/>
      <w:sz w:val="24"/>
      <w:szCs w:val="24"/>
    </w:rPr>
  </w:style>
  <w:style w:type="paragraph" w:styleId="TOC4">
    <w:name w:val="toc 4"/>
    <w:basedOn w:val="Normal"/>
    <w:next w:val="Normal"/>
    <w:autoRedefine/>
    <w:uiPriority w:val="39"/>
    <w:unhideWhenUsed/>
    <w:qFormat/>
    <w:rsid w:val="00EC54BC"/>
    <w:pPr>
      <w:spacing w:after="100"/>
      <w:ind w:left="660"/>
    </w:pPr>
    <w:rPr>
      <w:lang w:eastAsia="en-NZ"/>
    </w:rPr>
  </w:style>
  <w:style w:type="paragraph" w:styleId="TOC5">
    <w:name w:val="toc 5"/>
    <w:basedOn w:val="Normal"/>
    <w:next w:val="Normal"/>
    <w:autoRedefine/>
    <w:uiPriority w:val="39"/>
    <w:unhideWhenUsed/>
    <w:rsid w:val="00EC54BC"/>
    <w:pPr>
      <w:spacing w:after="100"/>
      <w:ind w:left="880"/>
    </w:pPr>
    <w:rPr>
      <w:lang w:eastAsia="en-NZ"/>
    </w:rPr>
  </w:style>
  <w:style w:type="paragraph" w:styleId="TOC6">
    <w:name w:val="toc 6"/>
    <w:basedOn w:val="Normal"/>
    <w:next w:val="Normal"/>
    <w:autoRedefine/>
    <w:uiPriority w:val="39"/>
    <w:unhideWhenUsed/>
    <w:rsid w:val="00EC54BC"/>
    <w:pPr>
      <w:spacing w:after="100"/>
      <w:ind w:left="1100"/>
    </w:pPr>
    <w:rPr>
      <w:lang w:eastAsia="en-NZ"/>
    </w:rPr>
  </w:style>
  <w:style w:type="paragraph" w:styleId="TOC7">
    <w:name w:val="toc 7"/>
    <w:basedOn w:val="Normal"/>
    <w:next w:val="Normal"/>
    <w:autoRedefine/>
    <w:uiPriority w:val="39"/>
    <w:unhideWhenUsed/>
    <w:rsid w:val="00EC54BC"/>
    <w:pPr>
      <w:spacing w:after="100"/>
      <w:ind w:left="1320"/>
    </w:pPr>
    <w:rPr>
      <w:lang w:eastAsia="en-NZ"/>
    </w:rPr>
  </w:style>
  <w:style w:type="paragraph" w:styleId="TOC8">
    <w:name w:val="toc 8"/>
    <w:basedOn w:val="Normal"/>
    <w:next w:val="Normal"/>
    <w:autoRedefine/>
    <w:uiPriority w:val="39"/>
    <w:unhideWhenUsed/>
    <w:rsid w:val="00EC54BC"/>
    <w:pPr>
      <w:spacing w:after="100"/>
      <w:ind w:left="1540"/>
    </w:pPr>
    <w:rPr>
      <w:lang w:eastAsia="en-NZ"/>
    </w:rPr>
  </w:style>
  <w:style w:type="paragraph" w:styleId="TOC9">
    <w:name w:val="toc 9"/>
    <w:basedOn w:val="Normal"/>
    <w:next w:val="Normal"/>
    <w:autoRedefine/>
    <w:uiPriority w:val="39"/>
    <w:unhideWhenUsed/>
    <w:rsid w:val="00EC54BC"/>
    <w:pPr>
      <w:spacing w:after="100"/>
      <w:ind w:left="1760"/>
    </w:pPr>
    <w:rPr>
      <w:lang w:eastAsia="en-NZ"/>
    </w:rPr>
  </w:style>
  <w:style w:type="character" w:styleId="UnresolvedMention">
    <w:name w:val="Unresolved Mention"/>
    <w:basedOn w:val="DefaultParagraphFont"/>
    <w:uiPriority w:val="99"/>
    <w:semiHidden/>
    <w:unhideWhenUsed/>
    <w:rsid w:val="00EC54BC"/>
    <w:rPr>
      <w:color w:val="605E5C"/>
      <w:shd w:val="clear" w:color="auto" w:fill="E1DFDD"/>
    </w:rPr>
  </w:style>
  <w:style w:type="paragraph" w:styleId="Caption">
    <w:name w:val="caption"/>
    <w:basedOn w:val="Normal"/>
    <w:next w:val="Normal"/>
    <w:uiPriority w:val="35"/>
    <w:unhideWhenUsed/>
    <w:qFormat/>
    <w:rsid w:val="00604B4B"/>
    <w:pPr>
      <w:spacing w:after="200" w:line="240" w:lineRule="auto"/>
    </w:pPr>
    <w:rPr>
      <w:rFonts w:eastAsiaTheme="minorHAnsi"/>
      <w:i/>
      <w:iCs/>
      <w:color w:val="44546A" w:themeColor="text2"/>
      <w:sz w:val="18"/>
      <w:szCs w:val="18"/>
    </w:rPr>
  </w:style>
  <w:style w:type="table" w:styleId="GridTable6Colorful-Accent1">
    <w:name w:val="Grid Table 6 Colorful Accent 1"/>
    <w:basedOn w:val="TableNormal"/>
    <w:uiPriority w:val="51"/>
    <w:rsid w:val="00640F4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3B4252"/>
    <w:pPr>
      <w:spacing w:before="100" w:beforeAutospacing="1" w:after="100" w:afterAutospacing="1" w:line="240" w:lineRule="auto"/>
    </w:pPr>
    <w:rPr>
      <w:rFonts w:ascii="Times New Roman" w:hAnsi="Times New Roman" w:cs="Times New Roman"/>
      <w:sz w:val="24"/>
      <w:szCs w:val="24"/>
      <w:lang w:eastAsia="en-NZ"/>
    </w:rPr>
  </w:style>
  <w:style w:type="paragraph" w:customStyle="1" w:styleId="smallprint">
    <w:name w:val="smallprint"/>
    <w:basedOn w:val="Normal"/>
    <w:rsid w:val="007820F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820FA"/>
    <w:rPr>
      <w:i/>
      <w:iCs/>
    </w:rPr>
  </w:style>
  <w:style w:type="character" w:customStyle="1" w:styleId="Normal3Char">
    <w:name w:val="Normal 3 Char"/>
    <w:basedOn w:val="Normal2Char"/>
    <w:link w:val="Normal3"/>
    <w:rsid w:val="00292CF5"/>
    <w:rPr>
      <w:rFonts w:ascii="Calibri" w:hAnsi="Calibri" w:cs="Calibri"/>
    </w:rPr>
  </w:style>
  <w:style w:type="paragraph" w:customStyle="1" w:styleId="Normal4">
    <w:name w:val="Normal 4"/>
    <w:basedOn w:val="Normal3"/>
    <w:qFormat/>
    <w:rsid w:val="00292CF5"/>
    <w:pPr>
      <w:numPr>
        <w:ilvl w:val="0"/>
        <w:numId w:val="0"/>
      </w:numPr>
      <w:spacing w:before="120" w:after="120"/>
      <w:ind w:left="2160" w:hanging="180"/>
      <w:contextualSpacing/>
    </w:pPr>
    <w:rPr>
      <w:rFonts w:asciiTheme="minorHAnsi" w:hAnsiTheme="minorHAnsi" w:cstheme="minorBidi"/>
    </w:rPr>
  </w:style>
  <w:style w:type="paragraph" w:customStyle="1" w:styleId="JustifiedSpacing">
    <w:name w:val="Justified/Spacing"/>
    <w:basedOn w:val="Normal"/>
    <w:link w:val="JustifiedSpacingChar"/>
    <w:qFormat/>
    <w:rsid w:val="00F458B9"/>
    <w:pPr>
      <w:spacing w:after="160" w:line="259" w:lineRule="auto"/>
      <w:jc w:val="both"/>
    </w:pPr>
    <w:rPr>
      <w:rFonts w:ascii="Calibri" w:eastAsiaTheme="minorHAnsi" w:hAnsi="Calibri" w:cs="Calibri"/>
      <w:szCs w:val="22"/>
    </w:rPr>
  </w:style>
  <w:style w:type="paragraph" w:customStyle="1" w:styleId="Listnumbering">
    <w:name w:val="List numbering"/>
    <w:basedOn w:val="ListParagraph"/>
    <w:link w:val="ListnumberingChar"/>
    <w:rsid w:val="004137B6"/>
    <w:pPr>
      <w:numPr>
        <w:numId w:val="13"/>
      </w:numPr>
      <w:spacing w:after="160"/>
      <w:contextualSpacing w:val="0"/>
      <w:jc w:val="both"/>
    </w:pPr>
    <w:rPr>
      <w:rFonts w:eastAsia="Calibri" w:cs="Times New Roman"/>
    </w:rPr>
  </w:style>
  <w:style w:type="character" w:customStyle="1" w:styleId="JustifiedSpacingChar">
    <w:name w:val="Justified/Spacing Char"/>
    <w:basedOn w:val="DefaultParagraphFont"/>
    <w:link w:val="JustifiedSpacing"/>
    <w:rsid w:val="00F458B9"/>
    <w:rPr>
      <w:rFonts w:ascii="Calibri" w:hAnsi="Calibri" w:cs="Calibri"/>
    </w:rPr>
  </w:style>
  <w:style w:type="paragraph" w:customStyle="1" w:styleId="List123">
    <w:name w:val="List123"/>
    <w:basedOn w:val="ListParagraph"/>
    <w:link w:val="List123Char"/>
    <w:rsid w:val="003D08FC"/>
    <w:pPr>
      <w:spacing w:after="160"/>
      <w:ind w:left="0"/>
      <w:contextualSpacing w:val="0"/>
      <w:jc w:val="both"/>
    </w:pPr>
  </w:style>
  <w:style w:type="character" w:customStyle="1" w:styleId="ListnumberingChar">
    <w:name w:val="List numbering Char"/>
    <w:basedOn w:val="ListParagraphChar"/>
    <w:link w:val="Listnumbering"/>
    <w:rsid w:val="004137B6"/>
    <w:rPr>
      <w:rFonts w:ascii="Calibri" w:eastAsia="Calibri" w:hAnsi="Calibri" w:cs="Times New Roman"/>
    </w:rPr>
  </w:style>
  <w:style w:type="character" w:customStyle="1" w:styleId="List123Char">
    <w:name w:val="List123 Char"/>
    <w:basedOn w:val="ListParagraphChar"/>
    <w:link w:val="List123"/>
    <w:rsid w:val="003D08FC"/>
    <w:rPr>
      <w:rFonts w:ascii="Calibri" w:hAnsi="Calibri" w:cs="Calibri"/>
    </w:rPr>
  </w:style>
  <w:style w:type="paragraph" w:customStyle="1" w:styleId="text">
    <w:name w:val="text"/>
    <w:basedOn w:val="Normal"/>
    <w:rsid w:val="00E575E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E575E6"/>
  </w:style>
  <w:style w:type="paragraph" w:styleId="EndnoteText">
    <w:name w:val="endnote text"/>
    <w:basedOn w:val="Normal"/>
    <w:link w:val="EndnoteTextChar"/>
    <w:uiPriority w:val="99"/>
    <w:semiHidden/>
    <w:unhideWhenUsed/>
    <w:rsid w:val="00A27184"/>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A27184"/>
    <w:rPr>
      <w:sz w:val="20"/>
      <w:szCs w:val="20"/>
    </w:rPr>
  </w:style>
  <w:style w:type="character" w:styleId="EndnoteReference">
    <w:name w:val="endnote reference"/>
    <w:basedOn w:val="DefaultParagraphFont"/>
    <w:uiPriority w:val="99"/>
    <w:semiHidden/>
    <w:unhideWhenUsed/>
    <w:rsid w:val="00A27184"/>
    <w:rPr>
      <w:vertAlign w:val="superscript"/>
    </w:rPr>
  </w:style>
  <w:style w:type="character" w:styleId="HTMLDefinition">
    <w:name w:val="HTML Definition"/>
    <w:basedOn w:val="DefaultParagraphFont"/>
    <w:uiPriority w:val="99"/>
    <w:semiHidden/>
    <w:unhideWhenUsed/>
    <w:rsid w:val="0022139B"/>
    <w:rPr>
      <w:i/>
      <w:iCs/>
    </w:rPr>
  </w:style>
  <w:style w:type="character" w:styleId="FollowedHyperlink">
    <w:name w:val="FollowedHyperlink"/>
    <w:basedOn w:val="DefaultParagraphFont"/>
    <w:uiPriority w:val="99"/>
    <w:semiHidden/>
    <w:unhideWhenUsed/>
    <w:rsid w:val="009250B5"/>
    <w:rPr>
      <w:color w:val="954F72" w:themeColor="followedHyperlink"/>
      <w:u w:val="single"/>
    </w:rPr>
  </w:style>
  <w:style w:type="paragraph" w:customStyle="1" w:styleId="xmsonormal">
    <w:name w:val="x_msonormal"/>
    <w:basedOn w:val="Normal"/>
    <w:rsid w:val="003B03AB"/>
    <w:pPr>
      <w:spacing w:after="0" w:line="240" w:lineRule="auto"/>
    </w:pPr>
    <w:rPr>
      <w:rFonts w:ascii="Calibri" w:eastAsiaTheme="minorHAnsi" w:hAnsi="Calibri" w:cs="Calibri"/>
      <w:szCs w:val="22"/>
      <w:lang w:eastAsia="en-NZ"/>
    </w:rPr>
  </w:style>
  <w:style w:type="paragraph" w:customStyle="1" w:styleId="TableParagraph">
    <w:name w:val="Table Paragraph"/>
    <w:basedOn w:val="Normal"/>
    <w:uiPriority w:val="1"/>
    <w:qFormat/>
    <w:rsid w:val="00A4057E"/>
    <w:pPr>
      <w:widowControl w:val="0"/>
      <w:autoSpaceDE w:val="0"/>
      <w:autoSpaceDN w:val="0"/>
      <w:spacing w:after="0" w:line="240" w:lineRule="auto"/>
      <w:ind w:left="827"/>
    </w:pPr>
    <w:rPr>
      <w:rFonts w:ascii="Calibri" w:eastAsia="Calibri" w:hAnsi="Calibri" w:cs="Calibri"/>
      <w:szCs w:val="22"/>
    </w:rPr>
  </w:style>
  <w:style w:type="paragraph" w:styleId="BodyText">
    <w:name w:val="Body Text"/>
    <w:basedOn w:val="Normal"/>
    <w:link w:val="BodyTextChar"/>
    <w:uiPriority w:val="99"/>
    <w:unhideWhenUsed/>
    <w:qFormat/>
    <w:rsid w:val="0057347B"/>
    <w:pPr>
      <w:ind w:right="-21"/>
      <w:jc w:val="both"/>
    </w:pPr>
  </w:style>
  <w:style w:type="character" w:customStyle="1" w:styleId="BodyTextChar">
    <w:name w:val="Body Text Char"/>
    <w:basedOn w:val="DefaultParagraphFont"/>
    <w:link w:val="BodyText"/>
    <w:uiPriority w:val="99"/>
    <w:rsid w:val="002C25CF"/>
    <w:rPr>
      <w:rFonts w:eastAsiaTheme="minorEastAsia"/>
      <w:szCs w:val="21"/>
    </w:rPr>
  </w:style>
  <w:style w:type="character" w:styleId="Mention">
    <w:name w:val="Mention"/>
    <w:basedOn w:val="DefaultParagraphFont"/>
    <w:uiPriority w:val="99"/>
    <w:unhideWhenUsed/>
    <w:rsid w:val="002C25CF"/>
    <w:rPr>
      <w:color w:val="2B579A"/>
      <w:shd w:val="clear" w:color="auto" w:fill="E1DFDD"/>
    </w:rPr>
  </w:style>
  <w:style w:type="paragraph" w:customStyle="1" w:styleId="Paragraphs">
    <w:name w:val="Paragraphs"/>
    <w:basedOn w:val="ListParagraph"/>
    <w:link w:val="ParagraphsChar"/>
    <w:qFormat/>
    <w:rsid w:val="009A1120"/>
    <w:pPr>
      <w:numPr>
        <w:numId w:val="34"/>
      </w:numPr>
      <w:spacing w:after="200"/>
      <w:contextualSpacing w:val="0"/>
    </w:pPr>
  </w:style>
  <w:style w:type="character" w:customStyle="1" w:styleId="ParagraphsChar">
    <w:name w:val="Paragraphs Char"/>
    <w:basedOn w:val="ListParagraphChar"/>
    <w:link w:val="Paragraphs"/>
    <w:rsid w:val="009A1120"/>
    <w:rPr>
      <w:rFonts w:ascii="Calibri" w:hAnsi="Calibri" w:cs="Calibri"/>
    </w:rPr>
  </w:style>
  <w:style w:type="table" w:customStyle="1" w:styleId="TableGrid11">
    <w:name w:val="Table Grid1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A1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A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9A1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9A112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itle">
    <w:name w:val="Title"/>
    <w:basedOn w:val="Normal"/>
    <w:link w:val="TitleChar"/>
    <w:uiPriority w:val="10"/>
    <w:qFormat/>
    <w:rsid w:val="00B02DBF"/>
    <w:pPr>
      <w:widowControl w:val="0"/>
      <w:autoSpaceDE w:val="0"/>
      <w:autoSpaceDN w:val="0"/>
      <w:spacing w:after="0" w:line="520" w:lineRule="exact"/>
      <w:ind w:left="100"/>
    </w:pPr>
    <w:rPr>
      <w:rFonts w:ascii="Calibri" w:eastAsia="Calibri" w:hAnsi="Calibri" w:cs="Calibri"/>
      <w:b/>
      <w:bCs/>
      <w:sz w:val="44"/>
      <w:szCs w:val="44"/>
      <w:lang w:val="en-US"/>
    </w:rPr>
  </w:style>
  <w:style w:type="character" w:customStyle="1" w:styleId="TitleChar">
    <w:name w:val="Title Char"/>
    <w:basedOn w:val="DefaultParagraphFont"/>
    <w:link w:val="Title"/>
    <w:uiPriority w:val="10"/>
    <w:rsid w:val="00B02DBF"/>
    <w:rPr>
      <w:rFonts w:ascii="Calibri" w:eastAsia="Calibri" w:hAnsi="Calibri" w:cs="Calibri"/>
      <w:b/>
      <w:bCs/>
      <w:sz w:val="44"/>
      <w:szCs w:val="44"/>
      <w:lang w:val="en-US"/>
    </w:rPr>
  </w:style>
  <w:style w:type="character" w:customStyle="1" w:styleId="FootnoteTextChar1">
    <w:name w:val="Footnote Text Char1"/>
    <w:basedOn w:val="DefaultParagraphFont"/>
    <w:uiPriority w:val="99"/>
    <w:semiHidden/>
    <w:rsid w:val="00B02DBF"/>
    <w:rPr>
      <w:rFonts w:ascii="Calibri" w:eastAsia="Calibri" w:hAnsi="Calibri" w:cs="Calibri"/>
      <w:sz w:val="20"/>
      <w:szCs w:val="20"/>
    </w:rPr>
  </w:style>
  <w:style w:type="paragraph" w:customStyle="1" w:styleId="Paragraphs2">
    <w:name w:val="Paragraphs 2"/>
    <w:basedOn w:val="Paragraphs"/>
    <w:qFormat/>
    <w:rsid w:val="00F458B9"/>
    <w:pPr>
      <w:numPr>
        <w:numId w:val="0"/>
      </w:numPr>
      <w:tabs>
        <w:tab w:val="num" w:pos="360"/>
      </w:tabs>
      <w:spacing w:after="120" w:line="276" w:lineRule="auto"/>
      <w:ind w:left="1701" w:hanging="567"/>
      <w:jc w:val="both"/>
    </w:pPr>
    <w:rPr>
      <w:rFonts w:asciiTheme="minorHAnsi" w:hAnsiTheme="minorHAnsi" w:cstheme="minorBidi"/>
    </w:rPr>
  </w:style>
  <w:style w:type="character" w:customStyle="1" w:styleId="superscript">
    <w:name w:val="superscript"/>
    <w:basedOn w:val="DefaultParagraphFont"/>
    <w:rsid w:val="000E04F9"/>
  </w:style>
  <w:style w:type="paragraph" w:customStyle="1" w:styleId="Normal20">
    <w:name w:val="Normal + 2"/>
    <w:basedOn w:val="Normal"/>
    <w:qFormat/>
    <w:rsid w:val="00570759"/>
    <w:pPr>
      <w:spacing w:after="200"/>
      <w:ind w:left="1134"/>
    </w:pPr>
    <w:rPr>
      <w:lang w:val="en-AU"/>
    </w:rPr>
  </w:style>
  <w:style w:type="character" w:styleId="IntenseReference">
    <w:name w:val="Intense Reference"/>
    <w:basedOn w:val="DefaultParagraphFont"/>
    <w:uiPriority w:val="32"/>
    <w:qFormat/>
    <w:rsid w:val="00417301"/>
    <w:rPr>
      <w:b/>
      <w:bCs/>
      <w:smallCaps/>
      <w:color w:val="4472C4" w:themeColor="accent1"/>
      <w:spacing w:val="5"/>
    </w:rPr>
  </w:style>
  <w:style w:type="paragraph" w:customStyle="1" w:styleId="msonormal0">
    <w:name w:val="msonormal"/>
    <w:basedOn w:val="Normal"/>
    <w:rsid w:val="00BD1E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Quote">
    <w:name w:val="Quote"/>
    <w:basedOn w:val="Normal"/>
    <w:next w:val="Normal"/>
    <w:link w:val="QuoteChar"/>
    <w:uiPriority w:val="29"/>
    <w:qFormat/>
    <w:rsid w:val="00BD1E02"/>
    <w:pPr>
      <w:spacing w:before="200" w:after="160" w:line="256" w:lineRule="auto"/>
      <w:ind w:left="720" w:right="864"/>
    </w:pPr>
    <w:rPr>
      <w:rFonts w:eastAsiaTheme="minorHAnsi"/>
      <w:iCs/>
      <w:szCs w:val="22"/>
    </w:rPr>
  </w:style>
  <w:style w:type="character" w:customStyle="1" w:styleId="QuoteChar">
    <w:name w:val="Quote Char"/>
    <w:basedOn w:val="DefaultParagraphFont"/>
    <w:link w:val="Quote"/>
    <w:uiPriority w:val="29"/>
    <w:rsid w:val="00BD1E02"/>
    <w:rPr>
      <w:iCs/>
    </w:rPr>
  </w:style>
  <w:style w:type="paragraph" w:customStyle="1" w:styleId="pf0">
    <w:name w:val="pf0"/>
    <w:basedOn w:val="Normal"/>
    <w:rsid w:val="001F535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1F535C"/>
    <w:rPr>
      <w:rFonts w:ascii="Segoe UI" w:hAnsi="Segoe UI" w:cs="Segoe UI" w:hint="default"/>
      <w:sz w:val="18"/>
      <w:szCs w:val="18"/>
    </w:rPr>
  </w:style>
  <w:style w:type="character" w:customStyle="1" w:styleId="cf21">
    <w:name w:val="cf21"/>
    <w:basedOn w:val="DefaultParagraphFont"/>
    <w:rsid w:val="001F535C"/>
    <w:rPr>
      <w:rFonts w:ascii="Segoe UI" w:hAnsi="Segoe UI" w:cs="Segoe UI" w:hint="default"/>
      <w:sz w:val="18"/>
      <w:szCs w:val="18"/>
    </w:rPr>
  </w:style>
  <w:style w:type="paragraph" w:customStyle="1" w:styleId="pf1">
    <w:name w:val="pf1"/>
    <w:basedOn w:val="Normal"/>
    <w:rsid w:val="00242422"/>
    <w:pPr>
      <w:spacing w:before="100" w:beforeAutospacing="1" w:after="100" w:afterAutospacing="1" w:line="240" w:lineRule="auto"/>
      <w:ind w:left="1134" w:hanging="566"/>
      <w:jc w:val="both"/>
    </w:pPr>
    <w:rPr>
      <w:rFonts w:ascii="Times New Roman" w:eastAsia="Times New Roman" w:hAnsi="Times New Roman" w:cs="Times New Roman"/>
      <w:sz w:val="24"/>
      <w:szCs w:val="24"/>
      <w:lang w:eastAsia="en-NZ"/>
    </w:rPr>
  </w:style>
  <w:style w:type="paragraph" w:customStyle="1" w:styleId="pf2">
    <w:name w:val="pf2"/>
    <w:basedOn w:val="Normal"/>
    <w:rsid w:val="00242422"/>
    <w:pPr>
      <w:spacing w:before="100" w:beforeAutospacing="1" w:after="100" w:afterAutospacing="1" w:line="240" w:lineRule="auto"/>
      <w:ind w:left="1700" w:hanging="566"/>
      <w:jc w:val="both"/>
    </w:pPr>
    <w:rPr>
      <w:rFonts w:ascii="Times New Roman" w:eastAsia="Times New Roman" w:hAnsi="Times New Roman" w:cs="Times New Roman"/>
      <w:sz w:val="24"/>
      <w:szCs w:val="24"/>
      <w:lang w:eastAsia="en-NZ"/>
    </w:rPr>
  </w:style>
  <w:style w:type="paragraph" w:customStyle="1" w:styleId="pf3">
    <w:name w:val="pf3"/>
    <w:basedOn w:val="Normal"/>
    <w:rsid w:val="00242422"/>
    <w:pPr>
      <w:spacing w:before="100" w:beforeAutospacing="1" w:after="100" w:afterAutospacing="1" w:line="240" w:lineRule="auto"/>
      <w:ind w:left="566" w:hanging="566"/>
      <w:jc w:val="both"/>
    </w:pPr>
    <w:rPr>
      <w:rFonts w:ascii="Times New Roman" w:eastAsia="Times New Roman" w:hAnsi="Times New Roman" w:cs="Times New Roman"/>
      <w:sz w:val="24"/>
      <w:szCs w:val="24"/>
      <w:lang w:eastAsia="en-NZ"/>
    </w:rPr>
  </w:style>
  <w:style w:type="character" w:customStyle="1" w:styleId="cf11">
    <w:name w:val="cf11"/>
    <w:basedOn w:val="DefaultParagraphFont"/>
    <w:rsid w:val="00242422"/>
    <w:rPr>
      <w:rFonts w:ascii="Segoe UI" w:hAnsi="Segoe UI" w:cs="Segoe UI" w:hint="default"/>
      <w:sz w:val="18"/>
      <w:szCs w:val="18"/>
      <w:u w:val="single"/>
    </w:rPr>
  </w:style>
  <w:style w:type="character" w:customStyle="1" w:styleId="cf31">
    <w:name w:val="cf31"/>
    <w:basedOn w:val="DefaultParagraphFont"/>
    <w:rsid w:val="00242422"/>
    <w:rPr>
      <w:rFonts w:ascii="Segoe UI" w:hAnsi="Segoe UI" w:cs="Segoe UI" w:hint="default"/>
      <w:sz w:val="18"/>
      <w:szCs w:val="18"/>
    </w:rPr>
  </w:style>
  <w:style w:type="character" w:customStyle="1" w:styleId="cf41">
    <w:name w:val="cf41"/>
    <w:basedOn w:val="DefaultParagraphFont"/>
    <w:rsid w:val="00242422"/>
    <w:rPr>
      <w:rFonts w:ascii="Segoe UI" w:hAnsi="Segoe UI" w:cs="Segoe UI" w:hint="default"/>
      <w:i/>
      <w:iCs/>
      <w:sz w:val="18"/>
      <w:szCs w:val="18"/>
      <w:u w:val="single"/>
    </w:rPr>
  </w:style>
  <w:style w:type="paragraph" w:customStyle="1" w:styleId="Newclausesought">
    <w:name w:val="New clause sought"/>
    <w:basedOn w:val="Paragraphs"/>
    <w:link w:val="NewclausesoughtChar"/>
    <w:qFormat/>
    <w:rsid w:val="008A2ED3"/>
    <w:pPr>
      <w:numPr>
        <w:numId w:val="0"/>
      </w:numPr>
      <w:spacing w:after="120" w:line="276" w:lineRule="auto"/>
      <w:ind w:left="2268" w:hanging="567"/>
      <w:jc w:val="both"/>
    </w:pPr>
    <w:rPr>
      <w:u w:val="single"/>
      <w:lang w:val="en-US"/>
    </w:rPr>
  </w:style>
  <w:style w:type="character" w:customStyle="1" w:styleId="NewclausesoughtChar">
    <w:name w:val="New clause sought Char"/>
    <w:basedOn w:val="ParagraphsChar"/>
    <w:link w:val="Newclausesought"/>
    <w:rsid w:val="008A2ED3"/>
    <w:rPr>
      <w:rFonts w:ascii="Calibri" w:eastAsiaTheme="minorEastAsia" w:hAnsi="Calibri" w:cs="Calibri"/>
      <w:szCs w:val="21"/>
      <w:u w:val="single"/>
      <w:lang w:val="en-US"/>
    </w:rPr>
  </w:style>
  <w:style w:type="paragraph" w:customStyle="1" w:styleId="Normal30">
    <w:name w:val="Normal + 3"/>
    <w:basedOn w:val="Normal"/>
    <w:qFormat/>
    <w:rsid w:val="00902D1B"/>
    <w:pPr>
      <w:spacing w:after="200"/>
      <w:ind w:left="1701"/>
    </w:pPr>
    <w:rPr>
      <w:bCs/>
    </w:rPr>
  </w:style>
  <w:style w:type="character" w:customStyle="1" w:styleId="tabchar">
    <w:name w:val="tabchar"/>
    <w:basedOn w:val="DefaultParagraphFont"/>
    <w:rsid w:val="00726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9735">
      <w:bodyDiv w:val="1"/>
      <w:marLeft w:val="0"/>
      <w:marRight w:val="0"/>
      <w:marTop w:val="0"/>
      <w:marBottom w:val="0"/>
      <w:divBdr>
        <w:top w:val="none" w:sz="0" w:space="0" w:color="auto"/>
        <w:left w:val="none" w:sz="0" w:space="0" w:color="auto"/>
        <w:bottom w:val="none" w:sz="0" w:space="0" w:color="auto"/>
        <w:right w:val="none" w:sz="0" w:space="0" w:color="auto"/>
      </w:divBdr>
    </w:div>
    <w:div w:id="29693540">
      <w:bodyDiv w:val="1"/>
      <w:marLeft w:val="0"/>
      <w:marRight w:val="0"/>
      <w:marTop w:val="0"/>
      <w:marBottom w:val="0"/>
      <w:divBdr>
        <w:top w:val="none" w:sz="0" w:space="0" w:color="auto"/>
        <w:left w:val="none" w:sz="0" w:space="0" w:color="auto"/>
        <w:bottom w:val="none" w:sz="0" w:space="0" w:color="auto"/>
        <w:right w:val="none" w:sz="0" w:space="0" w:color="auto"/>
      </w:divBdr>
    </w:div>
    <w:div w:id="32275033">
      <w:bodyDiv w:val="1"/>
      <w:marLeft w:val="0"/>
      <w:marRight w:val="0"/>
      <w:marTop w:val="0"/>
      <w:marBottom w:val="0"/>
      <w:divBdr>
        <w:top w:val="none" w:sz="0" w:space="0" w:color="auto"/>
        <w:left w:val="none" w:sz="0" w:space="0" w:color="auto"/>
        <w:bottom w:val="none" w:sz="0" w:space="0" w:color="auto"/>
        <w:right w:val="none" w:sz="0" w:space="0" w:color="auto"/>
      </w:divBdr>
      <w:divsChild>
        <w:div w:id="260186239">
          <w:marLeft w:val="0"/>
          <w:marRight w:val="0"/>
          <w:marTop w:val="83"/>
          <w:marBottom w:val="0"/>
          <w:divBdr>
            <w:top w:val="none" w:sz="0" w:space="0" w:color="auto"/>
            <w:left w:val="none" w:sz="0" w:space="0" w:color="auto"/>
            <w:bottom w:val="none" w:sz="0" w:space="0" w:color="auto"/>
            <w:right w:val="none" w:sz="0" w:space="0" w:color="auto"/>
          </w:divBdr>
        </w:div>
        <w:div w:id="388697911">
          <w:marLeft w:val="0"/>
          <w:marRight w:val="0"/>
          <w:marTop w:val="83"/>
          <w:marBottom w:val="0"/>
          <w:divBdr>
            <w:top w:val="none" w:sz="0" w:space="0" w:color="auto"/>
            <w:left w:val="none" w:sz="0" w:space="0" w:color="auto"/>
            <w:bottom w:val="none" w:sz="0" w:space="0" w:color="auto"/>
            <w:right w:val="none" w:sz="0" w:space="0" w:color="auto"/>
          </w:divBdr>
        </w:div>
        <w:div w:id="499851837">
          <w:marLeft w:val="0"/>
          <w:marRight w:val="0"/>
          <w:marTop w:val="83"/>
          <w:marBottom w:val="0"/>
          <w:divBdr>
            <w:top w:val="none" w:sz="0" w:space="0" w:color="auto"/>
            <w:left w:val="none" w:sz="0" w:space="0" w:color="auto"/>
            <w:bottom w:val="none" w:sz="0" w:space="0" w:color="auto"/>
            <w:right w:val="none" w:sz="0" w:space="0" w:color="auto"/>
          </w:divBdr>
        </w:div>
        <w:div w:id="841241325">
          <w:marLeft w:val="0"/>
          <w:marRight w:val="0"/>
          <w:marTop w:val="83"/>
          <w:marBottom w:val="0"/>
          <w:divBdr>
            <w:top w:val="none" w:sz="0" w:space="0" w:color="auto"/>
            <w:left w:val="none" w:sz="0" w:space="0" w:color="auto"/>
            <w:bottom w:val="none" w:sz="0" w:space="0" w:color="auto"/>
            <w:right w:val="none" w:sz="0" w:space="0" w:color="auto"/>
          </w:divBdr>
        </w:div>
        <w:div w:id="1214002146">
          <w:marLeft w:val="0"/>
          <w:marRight w:val="0"/>
          <w:marTop w:val="83"/>
          <w:marBottom w:val="0"/>
          <w:divBdr>
            <w:top w:val="none" w:sz="0" w:space="0" w:color="auto"/>
            <w:left w:val="none" w:sz="0" w:space="0" w:color="auto"/>
            <w:bottom w:val="none" w:sz="0" w:space="0" w:color="auto"/>
            <w:right w:val="none" w:sz="0" w:space="0" w:color="auto"/>
          </w:divBdr>
        </w:div>
      </w:divsChild>
    </w:div>
    <w:div w:id="65148143">
      <w:bodyDiv w:val="1"/>
      <w:marLeft w:val="0"/>
      <w:marRight w:val="0"/>
      <w:marTop w:val="0"/>
      <w:marBottom w:val="0"/>
      <w:divBdr>
        <w:top w:val="none" w:sz="0" w:space="0" w:color="auto"/>
        <w:left w:val="none" w:sz="0" w:space="0" w:color="auto"/>
        <w:bottom w:val="none" w:sz="0" w:space="0" w:color="auto"/>
        <w:right w:val="none" w:sz="0" w:space="0" w:color="auto"/>
      </w:divBdr>
    </w:div>
    <w:div w:id="77675937">
      <w:bodyDiv w:val="1"/>
      <w:marLeft w:val="0"/>
      <w:marRight w:val="0"/>
      <w:marTop w:val="0"/>
      <w:marBottom w:val="0"/>
      <w:divBdr>
        <w:top w:val="none" w:sz="0" w:space="0" w:color="auto"/>
        <w:left w:val="none" w:sz="0" w:space="0" w:color="auto"/>
        <w:bottom w:val="none" w:sz="0" w:space="0" w:color="auto"/>
        <w:right w:val="none" w:sz="0" w:space="0" w:color="auto"/>
      </w:divBdr>
    </w:div>
    <w:div w:id="100073850">
      <w:bodyDiv w:val="1"/>
      <w:marLeft w:val="0"/>
      <w:marRight w:val="0"/>
      <w:marTop w:val="0"/>
      <w:marBottom w:val="0"/>
      <w:divBdr>
        <w:top w:val="none" w:sz="0" w:space="0" w:color="auto"/>
        <w:left w:val="none" w:sz="0" w:space="0" w:color="auto"/>
        <w:bottom w:val="none" w:sz="0" w:space="0" w:color="auto"/>
        <w:right w:val="none" w:sz="0" w:space="0" w:color="auto"/>
      </w:divBdr>
    </w:div>
    <w:div w:id="109907472">
      <w:bodyDiv w:val="1"/>
      <w:marLeft w:val="0"/>
      <w:marRight w:val="0"/>
      <w:marTop w:val="0"/>
      <w:marBottom w:val="0"/>
      <w:divBdr>
        <w:top w:val="none" w:sz="0" w:space="0" w:color="auto"/>
        <w:left w:val="none" w:sz="0" w:space="0" w:color="auto"/>
        <w:bottom w:val="none" w:sz="0" w:space="0" w:color="auto"/>
        <w:right w:val="none" w:sz="0" w:space="0" w:color="auto"/>
      </w:divBdr>
    </w:div>
    <w:div w:id="121846976">
      <w:bodyDiv w:val="1"/>
      <w:marLeft w:val="0"/>
      <w:marRight w:val="0"/>
      <w:marTop w:val="0"/>
      <w:marBottom w:val="0"/>
      <w:divBdr>
        <w:top w:val="none" w:sz="0" w:space="0" w:color="auto"/>
        <w:left w:val="none" w:sz="0" w:space="0" w:color="auto"/>
        <w:bottom w:val="none" w:sz="0" w:space="0" w:color="auto"/>
        <w:right w:val="none" w:sz="0" w:space="0" w:color="auto"/>
      </w:divBdr>
      <w:divsChild>
        <w:div w:id="362633991">
          <w:marLeft w:val="0"/>
          <w:marRight w:val="0"/>
          <w:marTop w:val="83"/>
          <w:marBottom w:val="0"/>
          <w:divBdr>
            <w:top w:val="none" w:sz="0" w:space="0" w:color="auto"/>
            <w:left w:val="none" w:sz="0" w:space="0" w:color="auto"/>
            <w:bottom w:val="none" w:sz="0" w:space="0" w:color="auto"/>
            <w:right w:val="none" w:sz="0" w:space="0" w:color="auto"/>
          </w:divBdr>
        </w:div>
        <w:div w:id="938173090">
          <w:marLeft w:val="0"/>
          <w:marRight w:val="0"/>
          <w:marTop w:val="83"/>
          <w:marBottom w:val="0"/>
          <w:divBdr>
            <w:top w:val="none" w:sz="0" w:space="0" w:color="auto"/>
            <w:left w:val="none" w:sz="0" w:space="0" w:color="auto"/>
            <w:bottom w:val="none" w:sz="0" w:space="0" w:color="auto"/>
            <w:right w:val="none" w:sz="0" w:space="0" w:color="auto"/>
          </w:divBdr>
        </w:div>
        <w:div w:id="1930234264">
          <w:marLeft w:val="0"/>
          <w:marRight w:val="0"/>
          <w:marTop w:val="83"/>
          <w:marBottom w:val="0"/>
          <w:divBdr>
            <w:top w:val="none" w:sz="0" w:space="0" w:color="auto"/>
            <w:left w:val="none" w:sz="0" w:space="0" w:color="auto"/>
            <w:bottom w:val="none" w:sz="0" w:space="0" w:color="auto"/>
            <w:right w:val="none" w:sz="0" w:space="0" w:color="auto"/>
          </w:divBdr>
        </w:div>
      </w:divsChild>
    </w:div>
    <w:div w:id="175921350">
      <w:bodyDiv w:val="1"/>
      <w:marLeft w:val="0"/>
      <w:marRight w:val="0"/>
      <w:marTop w:val="0"/>
      <w:marBottom w:val="0"/>
      <w:divBdr>
        <w:top w:val="none" w:sz="0" w:space="0" w:color="auto"/>
        <w:left w:val="none" w:sz="0" w:space="0" w:color="auto"/>
        <w:bottom w:val="none" w:sz="0" w:space="0" w:color="auto"/>
        <w:right w:val="none" w:sz="0" w:space="0" w:color="auto"/>
      </w:divBdr>
      <w:divsChild>
        <w:div w:id="345522430">
          <w:marLeft w:val="0"/>
          <w:marRight w:val="0"/>
          <w:marTop w:val="83"/>
          <w:marBottom w:val="0"/>
          <w:divBdr>
            <w:top w:val="none" w:sz="0" w:space="0" w:color="auto"/>
            <w:left w:val="none" w:sz="0" w:space="0" w:color="auto"/>
            <w:bottom w:val="none" w:sz="0" w:space="0" w:color="auto"/>
            <w:right w:val="none" w:sz="0" w:space="0" w:color="auto"/>
          </w:divBdr>
        </w:div>
        <w:div w:id="1960794866">
          <w:marLeft w:val="0"/>
          <w:marRight w:val="0"/>
          <w:marTop w:val="83"/>
          <w:marBottom w:val="0"/>
          <w:divBdr>
            <w:top w:val="none" w:sz="0" w:space="0" w:color="auto"/>
            <w:left w:val="none" w:sz="0" w:space="0" w:color="auto"/>
            <w:bottom w:val="none" w:sz="0" w:space="0" w:color="auto"/>
            <w:right w:val="none" w:sz="0" w:space="0" w:color="auto"/>
          </w:divBdr>
        </w:div>
      </w:divsChild>
    </w:div>
    <w:div w:id="231356806">
      <w:bodyDiv w:val="1"/>
      <w:marLeft w:val="0"/>
      <w:marRight w:val="0"/>
      <w:marTop w:val="0"/>
      <w:marBottom w:val="0"/>
      <w:divBdr>
        <w:top w:val="none" w:sz="0" w:space="0" w:color="auto"/>
        <w:left w:val="none" w:sz="0" w:space="0" w:color="auto"/>
        <w:bottom w:val="none" w:sz="0" w:space="0" w:color="auto"/>
        <w:right w:val="none" w:sz="0" w:space="0" w:color="auto"/>
      </w:divBdr>
    </w:div>
    <w:div w:id="271785732">
      <w:bodyDiv w:val="1"/>
      <w:marLeft w:val="0"/>
      <w:marRight w:val="0"/>
      <w:marTop w:val="0"/>
      <w:marBottom w:val="0"/>
      <w:divBdr>
        <w:top w:val="none" w:sz="0" w:space="0" w:color="auto"/>
        <w:left w:val="none" w:sz="0" w:space="0" w:color="auto"/>
        <w:bottom w:val="none" w:sz="0" w:space="0" w:color="auto"/>
        <w:right w:val="none" w:sz="0" w:space="0" w:color="auto"/>
      </w:divBdr>
    </w:div>
    <w:div w:id="273246281">
      <w:bodyDiv w:val="1"/>
      <w:marLeft w:val="0"/>
      <w:marRight w:val="0"/>
      <w:marTop w:val="0"/>
      <w:marBottom w:val="0"/>
      <w:divBdr>
        <w:top w:val="none" w:sz="0" w:space="0" w:color="auto"/>
        <w:left w:val="none" w:sz="0" w:space="0" w:color="auto"/>
        <w:bottom w:val="none" w:sz="0" w:space="0" w:color="auto"/>
        <w:right w:val="none" w:sz="0" w:space="0" w:color="auto"/>
      </w:divBdr>
    </w:div>
    <w:div w:id="347950906">
      <w:bodyDiv w:val="1"/>
      <w:marLeft w:val="0"/>
      <w:marRight w:val="0"/>
      <w:marTop w:val="0"/>
      <w:marBottom w:val="0"/>
      <w:divBdr>
        <w:top w:val="none" w:sz="0" w:space="0" w:color="auto"/>
        <w:left w:val="none" w:sz="0" w:space="0" w:color="auto"/>
        <w:bottom w:val="none" w:sz="0" w:space="0" w:color="auto"/>
        <w:right w:val="none" w:sz="0" w:space="0" w:color="auto"/>
      </w:divBdr>
    </w:div>
    <w:div w:id="386926440">
      <w:bodyDiv w:val="1"/>
      <w:marLeft w:val="0"/>
      <w:marRight w:val="0"/>
      <w:marTop w:val="0"/>
      <w:marBottom w:val="0"/>
      <w:divBdr>
        <w:top w:val="none" w:sz="0" w:space="0" w:color="auto"/>
        <w:left w:val="none" w:sz="0" w:space="0" w:color="auto"/>
        <w:bottom w:val="none" w:sz="0" w:space="0" w:color="auto"/>
        <w:right w:val="none" w:sz="0" w:space="0" w:color="auto"/>
      </w:divBdr>
    </w:div>
    <w:div w:id="408695619">
      <w:bodyDiv w:val="1"/>
      <w:marLeft w:val="0"/>
      <w:marRight w:val="0"/>
      <w:marTop w:val="0"/>
      <w:marBottom w:val="0"/>
      <w:divBdr>
        <w:top w:val="none" w:sz="0" w:space="0" w:color="auto"/>
        <w:left w:val="none" w:sz="0" w:space="0" w:color="auto"/>
        <w:bottom w:val="none" w:sz="0" w:space="0" w:color="auto"/>
        <w:right w:val="none" w:sz="0" w:space="0" w:color="auto"/>
      </w:divBdr>
    </w:div>
    <w:div w:id="452479478">
      <w:bodyDiv w:val="1"/>
      <w:marLeft w:val="0"/>
      <w:marRight w:val="0"/>
      <w:marTop w:val="0"/>
      <w:marBottom w:val="0"/>
      <w:divBdr>
        <w:top w:val="none" w:sz="0" w:space="0" w:color="auto"/>
        <w:left w:val="none" w:sz="0" w:space="0" w:color="auto"/>
        <w:bottom w:val="none" w:sz="0" w:space="0" w:color="auto"/>
        <w:right w:val="none" w:sz="0" w:space="0" w:color="auto"/>
      </w:divBdr>
    </w:div>
    <w:div w:id="494223427">
      <w:bodyDiv w:val="1"/>
      <w:marLeft w:val="0"/>
      <w:marRight w:val="0"/>
      <w:marTop w:val="0"/>
      <w:marBottom w:val="0"/>
      <w:divBdr>
        <w:top w:val="none" w:sz="0" w:space="0" w:color="auto"/>
        <w:left w:val="none" w:sz="0" w:space="0" w:color="auto"/>
        <w:bottom w:val="none" w:sz="0" w:space="0" w:color="auto"/>
        <w:right w:val="none" w:sz="0" w:space="0" w:color="auto"/>
      </w:divBdr>
      <w:divsChild>
        <w:div w:id="363333569">
          <w:marLeft w:val="0"/>
          <w:marRight w:val="0"/>
          <w:marTop w:val="0"/>
          <w:marBottom w:val="0"/>
          <w:divBdr>
            <w:top w:val="none" w:sz="0" w:space="0" w:color="auto"/>
            <w:left w:val="none" w:sz="0" w:space="0" w:color="auto"/>
            <w:bottom w:val="none" w:sz="0" w:space="0" w:color="auto"/>
            <w:right w:val="none" w:sz="0" w:space="0" w:color="auto"/>
          </w:divBdr>
        </w:div>
        <w:div w:id="497965977">
          <w:marLeft w:val="0"/>
          <w:marRight w:val="0"/>
          <w:marTop w:val="0"/>
          <w:marBottom w:val="0"/>
          <w:divBdr>
            <w:top w:val="none" w:sz="0" w:space="0" w:color="auto"/>
            <w:left w:val="none" w:sz="0" w:space="0" w:color="auto"/>
            <w:bottom w:val="none" w:sz="0" w:space="0" w:color="auto"/>
            <w:right w:val="none" w:sz="0" w:space="0" w:color="auto"/>
          </w:divBdr>
          <w:divsChild>
            <w:div w:id="1683816485">
              <w:marLeft w:val="-75"/>
              <w:marRight w:val="0"/>
              <w:marTop w:val="30"/>
              <w:marBottom w:val="30"/>
              <w:divBdr>
                <w:top w:val="none" w:sz="0" w:space="0" w:color="auto"/>
                <w:left w:val="none" w:sz="0" w:space="0" w:color="auto"/>
                <w:bottom w:val="none" w:sz="0" w:space="0" w:color="auto"/>
                <w:right w:val="none" w:sz="0" w:space="0" w:color="auto"/>
              </w:divBdr>
              <w:divsChild>
                <w:div w:id="619652065">
                  <w:marLeft w:val="0"/>
                  <w:marRight w:val="0"/>
                  <w:marTop w:val="0"/>
                  <w:marBottom w:val="0"/>
                  <w:divBdr>
                    <w:top w:val="none" w:sz="0" w:space="0" w:color="auto"/>
                    <w:left w:val="none" w:sz="0" w:space="0" w:color="auto"/>
                    <w:bottom w:val="none" w:sz="0" w:space="0" w:color="auto"/>
                    <w:right w:val="none" w:sz="0" w:space="0" w:color="auto"/>
                  </w:divBdr>
                  <w:divsChild>
                    <w:div w:id="786700120">
                      <w:marLeft w:val="0"/>
                      <w:marRight w:val="0"/>
                      <w:marTop w:val="0"/>
                      <w:marBottom w:val="0"/>
                      <w:divBdr>
                        <w:top w:val="none" w:sz="0" w:space="0" w:color="auto"/>
                        <w:left w:val="none" w:sz="0" w:space="0" w:color="auto"/>
                        <w:bottom w:val="none" w:sz="0" w:space="0" w:color="auto"/>
                        <w:right w:val="none" w:sz="0" w:space="0" w:color="auto"/>
                      </w:divBdr>
                    </w:div>
                  </w:divsChild>
                </w:div>
                <w:div w:id="629943688">
                  <w:marLeft w:val="0"/>
                  <w:marRight w:val="0"/>
                  <w:marTop w:val="0"/>
                  <w:marBottom w:val="0"/>
                  <w:divBdr>
                    <w:top w:val="none" w:sz="0" w:space="0" w:color="auto"/>
                    <w:left w:val="none" w:sz="0" w:space="0" w:color="auto"/>
                    <w:bottom w:val="none" w:sz="0" w:space="0" w:color="auto"/>
                    <w:right w:val="none" w:sz="0" w:space="0" w:color="auto"/>
                  </w:divBdr>
                  <w:divsChild>
                    <w:div w:id="192042581">
                      <w:marLeft w:val="0"/>
                      <w:marRight w:val="0"/>
                      <w:marTop w:val="0"/>
                      <w:marBottom w:val="0"/>
                      <w:divBdr>
                        <w:top w:val="none" w:sz="0" w:space="0" w:color="auto"/>
                        <w:left w:val="none" w:sz="0" w:space="0" w:color="auto"/>
                        <w:bottom w:val="none" w:sz="0" w:space="0" w:color="auto"/>
                        <w:right w:val="none" w:sz="0" w:space="0" w:color="auto"/>
                      </w:divBdr>
                    </w:div>
                  </w:divsChild>
                </w:div>
                <w:div w:id="830871807">
                  <w:marLeft w:val="0"/>
                  <w:marRight w:val="0"/>
                  <w:marTop w:val="0"/>
                  <w:marBottom w:val="0"/>
                  <w:divBdr>
                    <w:top w:val="none" w:sz="0" w:space="0" w:color="auto"/>
                    <w:left w:val="none" w:sz="0" w:space="0" w:color="auto"/>
                    <w:bottom w:val="none" w:sz="0" w:space="0" w:color="auto"/>
                    <w:right w:val="none" w:sz="0" w:space="0" w:color="auto"/>
                  </w:divBdr>
                  <w:divsChild>
                    <w:div w:id="1692412582">
                      <w:marLeft w:val="0"/>
                      <w:marRight w:val="0"/>
                      <w:marTop w:val="0"/>
                      <w:marBottom w:val="0"/>
                      <w:divBdr>
                        <w:top w:val="none" w:sz="0" w:space="0" w:color="auto"/>
                        <w:left w:val="none" w:sz="0" w:space="0" w:color="auto"/>
                        <w:bottom w:val="none" w:sz="0" w:space="0" w:color="auto"/>
                        <w:right w:val="none" w:sz="0" w:space="0" w:color="auto"/>
                      </w:divBdr>
                    </w:div>
                  </w:divsChild>
                </w:div>
                <w:div w:id="960186403">
                  <w:marLeft w:val="0"/>
                  <w:marRight w:val="0"/>
                  <w:marTop w:val="0"/>
                  <w:marBottom w:val="0"/>
                  <w:divBdr>
                    <w:top w:val="none" w:sz="0" w:space="0" w:color="auto"/>
                    <w:left w:val="none" w:sz="0" w:space="0" w:color="auto"/>
                    <w:bottom w:val="none" w:sz="0" w:space="0" w:color="auto"/>
                    <w:right w:val="none" w:sz="0" w:space="0" w:color="auto"/>
                  </w:divBdr>
                  <w:divsChild>
                    <w:div w:id="1978877581">
                      <w:marLeft w:val="0"/>
                      <w:marRight w:val="0"/>
                      <w:marTop w:val="0"/>
                      <w:marBottom w:val="0"/>
                      <w:divBdr>
                        <w:top w:val="none" w:sz="0" w:space="0" w:color="auto"/>
                        <w:left w:val="none" w:sz="0" w:space="0" w:color="auto"/>
                        <w:bottom w:val="none" w:sz="0" w:space="0" w:color="auto"/>
                        <w:right w:val="none" w:sz="0" w:space="0" w:color="auto"/>
                      </w:divBdr>
                    </w:div>
                  </w:divsChild>
                </w:div>
                <w:div w:id="985742600">
                  <w:marLeft w:val="0"/>
                  <w:marRight w:val="0"/>
                  <w:marTop w:val="0"/>
                  <w:marBottom w:val="0"/>
                  <w:divBdr>
                    <w:top w:val="none" w:sz="0" w:space="0" w:color="auto"/>
                    <w:left w:val="none" w:sz="0" w:space="0" w:color="auto"/>
                    <w:bottom w:val="none" w:sz="0" w:space="0" w:color="auto"/>
                    <w:right w:val="none" w:sz="0" w:space="0" w:color="auto"/>
                  </w:divBdr>
                  <w:divsChild>
                    <w:div w:id="209612499">
                      <w:marLeft w:val="0"/>
                      <w:marRight w:val="0"/>
                      <w:marTop w:val="0"/>
                      <w:marBottom w:val="0"/>
                      <w:divBdr>
                        <w:top w:val="none" w:sz="0" w:space="0" w:color="auto"/>
                        <w:left w:val="none" w:sz="0" w:space="0" w:color="auto"/>
                        <w:bottom w:val="none" w:sz="0" w:space="0" w:color="auto"/>
                        <w:right w:val="none" w:sz="0" w:space="0" w:color="auto"/>
                      </w:divBdr>
                    </w:div>
                  </w:divsChild>
                </w:div>
                <w:div w:id="1054886163">
                  <w:marLeft w:val="0"/>
                  <w:marRight w:val="0"/>
                  <w:marTop w:val="0"/>
                  <w:marBottom w:val="0"/>
                  <w:divBdr>
                    <w:top w:val="none" w:sz="0" w:space="0" w:color="auto"/>
                    <w:left w:val="none" w:sz="0" w:space="0" w:color="auto"/>
                    <w:bottom w:val="none" w:sz="0" w:space="0" w:color="auto"/>
                    <w:right w:val="none" w:sz="0" w:space="0" w:color="auto"/>
                  </w:divBdr>
                  <w:divsChild>
                    <w:div w:id="1038241556">
                      <w:marLeft w:val="0"/>
                      <w:marRight w:val="0"/>
                      <w:marTop w:val="0"/>
                      <w:marBottom w:val="0"/>
                      <w:divBdr>
                        <w:top w:val="none" w:sz="0" w:space="0" w:color="auto"/>
                        <w:left w:val="none" w:sz="0" w:space="0" w:color="auto"/>
                        <w:bottom w:val="none" w:sz="0" w:space="0" w:color="auto"/>
                        <w:right w:val="none" w:sz="0" w:space="0" w:color="auto"/>
                      </w:divBdr>
                    </w:div>
                    <w:div w:id="2053340055">
                      <w:marLeft w:val="0"/>
                      <w:marRight w:val="0"/>
                      <w:marTop w:val="0"/>
                      <w:marBottom w:val="0"/>
                      <w:divBdr>
                        <w:top w:val="none" w:sz="0" w:space="0" w:color="auto"/>
                        <w:left w:val="none" w:sz="0" w:space="0" w:color="auto"/>
                        <w:bottom w:val="none" w:sz="0" w:space="0" w:color="auto"/>
                        <w:right w:val="none" w:sz="0" w:space="0" w:color="auto"/>
                      </w:divBdr>
                    </w:div>
                  </w:divsChild>
                </w:div>
                <w:div w:id="1064911135">
                  <w:marLeft w:val="0"/>
                  <w:marRight w:val="0"/>
                  <w:marTop w:val="0"/>
                  <w:marBottom w:val="0"/>
                  <w:divBdr>
                    <w:top w:val="none" w:sz="0" w:space="0" w:color="auto"/>
                    <w:left w:val="none" w:sz="0" w:space="0" w:color="auto"/>
                    <w:bottom w:val="none" w:sz="0" w:space="0" w:color="auto"/>
                    <w:right w:val="none" w:sz="0" w:space="0" w:color="auto"/>
                  </w:divBdr>
                  <w:divsChild>
                    <w:div w:id="532504160">
                      <w:marLeft w:val="0"/>
                      <w:marRight w:val="0"/>
                      <w:marTop w:val="0"/>
                      <w:marBottom w:val="0"/>
                      <w:divBdr>
                        <w:top w:val="none" w:sz="0" w:space="0" w:color="auto"/>
                        <w:left w:val="none" w:sz="0" w:space="0" w:color="auto"/>
                        <w:bottom w:val="none" w:sz="0" w:space="0" w:color="auto"/>
                        <w:right w:val="none" w:sz="0" w:space="0" w:color="auto"/>
                      </w:divBdr>
                    </w:div>
                  </w:divsChild>
                </w:div>
                <w:div w:id="1078862209">
                  <w:marLeft w:val="0"/>
                  <w:marRight w:val="0"/>
                  <w:marTop w:val="0"/>
                  <w:marBottom w:val="0"/>
                  <w:divBdr>
                    <w:top w:val="none" w:sz="0" w:space="0" w:color="auto"/>
                    <w:left w:val="none" w:sz="0" w:space="0" w:color="auto"/>
                    <w:bottom w:val="none" w:sz="0" w:space="0" w:color="auto"/>
                    <w:right w:val="none" w:sz="0" w:space="0" w:color="auto"/>
                  </w:divBdr>
                  <w:divsChild>
                    <w:div w:id="1158419159">
                      <w:marLeft w:val="0"/>
                      <w:marRight w:val="0"/>
                      <w:marTop w:val="0"/>
                      <w:marBottom w:val="0"/>
                      <w:divBdr>
                        <w:top w:val="none" w:sz="0" w:space="0" w:color="auto"/>
                        <w:left w:val="none" w:sz="0" w:space="0" w:color="auto"/>
                        <w:bottom w:val="none" w:sz="0" w:space="0" w:color="auto"/>
                        <w:right w:val="none" w:sz="0" w:space="0" w:color="auto"/>
                      </w:divBdr>
                    </w:div>
                  </w:divsChild>
                </w:div>
                <w:div w:id="1162618818">
                  <w:marLeft w:val="0"/>
                  <w:marRight w:val="0"/>
                  <w:marTop w:val="0"/>
                  <w:marBottom w:val="0"/>
                  <w:divBdr>
                    <w:top w:val="none" w:sz="0" w:space="0" w:color="auto"/>
                    <w:left w:val="none" w:sz="0" w:space="0" w:color="auto"/>
                    <w:bottom w:val="none" w:sz="0" w:space="0" w:color="auto"/>
                    <w:right w:val="none" w:sz="0" w:space="0" w:color="auto"/>
                  </w:divBdr>
                  <w:divsChild>
                    <w:div w:id="289552049">
                      <w:marLeft w:val="0"/>
                      <w:marRight w:val="0"/>
                      <w:marTop w:val="0"/>
                      <w:marBottom w:val="0"/>
                      <w:divBdr>
                        <w:top w:val="none" w:sz="0" w:space="0" w:color="auto"/>
                        <w:left w:val="none" w:sz="0" w:space="0" w:color="auto"/>
                        <w:bottom w:val="none" w:sz="0" w:space="0" w:color="auto"/>
                        <w:right w:val="none" w:sz="0" w:space="0" w:color="auto"/>
                      </w:divBdr>
                    </w:div>
                  </w:divsChild>
                </w:div>
                <w:div w:id="1216818560">
                  <w:marLeft w:val="0"/>
                  <w:marRight w:val="0"/>
                  <w:marTop w:val="0"/>
                  <w:marBottom w:val="0"/>
                  <w:divBdr>
                    <w:top w:val="none" w:sz="0" w:space="0" w:color="auto"/>
                    <w:left w:val="none" w:sz="0" w:space="0" w:color="auto"/>
                    <w:bottom w:val="none" w:sz="0" w:space="0" w:color="auto"/>
                    <w:right w:val="none" w:sz="0" w:space="0" w:color="auto"/>
                  </w:divBdr>
                  <w:divsChild>
                    <w:div w:id="1503743871">
                      <w:marLeft w:val="0"/>
                      <w:marRight w:val="0"/>
                      <w:marTop w:val="0"/>
                      <w:marBottom w:val="0"/>
                      <w:divBdr>
                        <w:top w:val="none" w:sz="0" w:space="0" w:color="auto"/>
                        <w:left w:val="none" w:sz="0" w:space="0" w:color="auto"/>
                        <w:bottom w:val="none" w:sz="0" w:space="0" w:color="auto"/>
                        <w:right w:val="none" w:sz="0" w:space="0" w:color="auto"/>
                      </w:divBdr>
                    </w:div>
                  </w:divsChild>
                </w:div>
                <w:div w:id="1277567883">
                  <w:marLeft w:val="0"/>
                  <w:marRight w:val="0"/>
                  <w:marTop w:val="0"/>
                  <w:marBottom w:val="0"/>
                  <w:divBdr>
                    <w:top w:val="none" w:sz="0" w:space="0" w:color="auto"/>
                    <w:left w:val="none" w:sz="0" w:space="0" w:color="auto"/>
                    <w:bottom w:val="none" w:sz="0" w:space="0" w:color="auto"/>
                    <w:right w:val="none" w:sz="0" w:space="0" w:color="auto"/>
                  </w:divBdr>
                  <w:divsChild>
                    <w:div w:id="805125643">
                      <w:marLeft w:val="0"/>
                      <w:marRight w:val="0"/>
                      <w:marTop w:val="0"/>
                      <w:marBottom w:val="0"/>
                      <w:divBdr>
                        <w:top w:val="none" w:sz="0" w:space="0" w:color="auto"/>
                        <w:left w:val="none" w:sz="0" w:space="0" w:color="auto"/>
                        <w:bottom w:val="none" w:sz="0" w:space="0" w:color="auto"/>
                        <w:right w:val="none" w:sz="0" w:space="0" w:color="auto"/>
                      </w:divBdr>
                    </w:div>
                  </w:divsChild>
                </w:div>
                <w:div w:id="1310210977">
                  <w:marLeft w:val="0"/>
                  <w:marRight w:val="0"/>
                  <w:marTop w:val="0"/>
                  <w:marBottom w:val="0"/>
                  <w:divBdr>
                    <w:top w:val="none" w:sz="0" w:space="0" w:color="auto"/>
                    <w:left w:val="none" w:sz="0" w:space="0" w:color="auto"/>
                    <w:bottom w:val="none" w:sz="0" w:space="0" w:color="auto"/>
                    <w:right w:val="none" w:sz="0" w:space="0" w:color="auto"/>
                  </w:divBdr>
                  <w:divsChild>
                    <w:div w:id="1952200246">
                      <w:marLeft w:val="0"/>
                      <w:marRight w:val="0"/>
                      <w:marTop w:val="0"/>
                      <w:marBottom w:val="0"/>
                      <w:divBdr>
                        <w:top w:val="none" w:sz="0" w:space="0" w:color="auto"/>
                        <w:left w:val="none" w:sz="0" w:space="0" w:color="auto"/>
                        <w:bottom w:val="none" w:sz="0" w:space="0" w:color="auto"/>
                        <w:right w:val="none" w:sz="0" w:space="0" w:color="auto"/>
                      </w:divBdr>
                    </w:div>
                  </w:divsChild>
                </w:div>
                <w:div w:id="1319730293">
                  <w:marLeft w:val="0"/>
                  <w:marRight w:val="0"/>
                  <w:marTop w:val="0"/>
                  <w:marBottom w:val="0"/>
                  <w:divBdr>
                    <w:top w:val="none" w:sz="0" w:space="0" w:color="auto"/>
                    <w:left w:val="none" w:sz="0" w:space="0" w:color="auto"/>
                    <w:bottom w:val="none" w:sz="0" w:space="0" w:color="auto"/>
                    <w:right w:val="none" w:sz="0" w:space="0" w:color="auto"/>
                  </w:divBdr>
                  <w:divsChild>
                    <w:div w:id="1254163251">
                      <w:marLeft w:val="0"/>
                      <w:marRight w:val="0"/>
                      <w:marTop w:val="0"/>
                      <w:marBottom w:val="0"/>
                      <w:divBdr>
                        <w:top w:val="none" w:sz="0" w:space="0" w:color="auto"/>
                        <w:left w:val="none" w:sz="0" w:space="0" w:color="auto"/>
                        <w:bottom w:val="none" w:sz="0" w:space="0" w:color="auto"/>
                        <w:right w:val="none" w:sz="0" w:space="0" w:color="auto"/>
                      </w:divBdr>
                    </w:div>
                  </w:divsChild>
                </w:div>
                <w:div w:id="1343511371">
                  <w:marLeft w:val="0"/>
                  <w:marRight w:val="0"/>
                  <w:marTop w:val="0"/>
                  <w:marBottom w:val="0"/>
                  <w:divBdr>
                    <w:top w:val="none" w:sz="0" w:space="0" w:color="auto"/>
                    <w:left w:val="none" w:sz="0" w:space="0" w:color="auto"/>
                    <w:bottom w:val="none" w:sz="0" w:space="0" w:color="auto"/>
                    <w:right w:val="none" w:sz="0" w:space="0" w:color="auto"/>
                  </w:divBdr>
                  <w:divsChild>
                    <w:div w:id="934048254">
                      <w:marLeft w:val="0"/>
                      <w:marRight w:val="0"/>
                      <w:marTop w:val="0"/>
                      <w:marBottom w:val="0"/>
                      <w:divBdr>
                        <w:top w:val="none" w:sz="0" w:space="0" w:color="auto"/>
                        <w:left w:val="none" w:sz="0" w:space="0" w:color="auto"/>
                        <w:bottom w:val="none" w:sz="0" w:space="0" w:color="auto"/>
                        <w:right w:val="none" w:sz="0" w:space="0" w:color="auto"/>
                      </w:divBdr>
                    </w:div>
                  </w:divsChild>
                </w:div>
                <w:div w:id="1373580625">
                  <w:marLeft w:val="0"/>
                  <w:marRight w:val="0"/>
                  <w:marTop w:val="0"/>
                  <w:marBottom w:val="0"/>
                  <w:divBdr>
                    <w:top w:val="none" w:sz="0" w:space="0" w:color="auto"/>
                    <w:left w:val="none" w:sz="0" w:space="0" w:color="auto"/>
                    <w:bottom w:val="none" w:sz="0" w:space="0" w:color="auto"/>
                    <w:right w:val="none" w:sz="0" w:space="0" w:color="auto"/>
                  </w:divBdr>
                  <w:divsChild>
                    <w:div w:id="1124078899">
                      <w:marLeft w:val="0"/>
                      <w:marRight w:val="0"/>
                      <w:marTop w:val="0"/>
                      <w:marBottom w:val="0"/>
                      <w:divBdr>
                        <w:top w:val="none" w:sz="0" w:space="0" w:color="auto"/>
                        <w:left w:val="none" w:sz="0" w:space="0" w:color="auto"/>
                        <w:bottom w:val="none" w:sz="0" w:space="0" w:color="auto"/>
                        <w:right w:val="none" w:sz="0" w:space="0" w:color="auto"/>
                      </w:divBdr>
                    </w:div>
                  </w:divsChild>
                </w:div>
                <w:div w:id="1413351009">
                  <w:marLeft w:val="0"/>
                  <w:marRight w:val="0"/>
                  <w:marTop w:val="0"/>
                  <w:marBottom w:val="0"/>
                  <w:divBdr>
                    <w:top w:val="none" w:sz="0" w:space="0" w:color="auto"/>
                    <w:left w:val="none" w:sz="0" w:space="0" w:color="auto"/>
                    <w:bottom w:val="none" w:sz="0" w:space="0" w:color="auto"/>
                    <w:right w:val="none" w:sz="0" w:space="0" w:color="auto"/>
                  </w:divBdr>
                  <w:divsChild>
                    <w:div w:id="1911647262">
                      <w:marLeft w:val="0"/>
                      <w:marRight w:val="0"/>
                      <w:marTop w:val="0"/>
                      <w:marBottom w:val="0"/>
                      <w:divBdr>
                        <w:top w:val="none" w:sz="0" w:space="0" w:color="auto"/>
                        <w:left w:val="none" w:sz="0" w:space="0" w:color="auto"/>
                        <w:bottom w:val="none" w:sz="0" w:space="0" w:color="auto"/>
                        <w:right w:val="none" w:sz="0" w:space="0" w:color="auto"/>
                      </w:divBdr>
                    </w:div>
                  </w:divsChild>
                </w:div>
                <w:div w:id="1425492937">
                  <w:marLeft w:val="0"/>
                  <w:marRight w:val="0"/>
                  <w:marTop w:val="0"/>
                  <w:marBottom w:val="0"/>
                  <w:divBdr>
                    <w:top w:val="none" w:sz="0" w:space="0" w:color="auto"/>
                    <w:left w:val="none" w:sz="0" w:space="0" w:color="auto"/>
                    <w:bottom w:val="none" w:sz="0" w:space="0" w:color="auto"/>
                    <w:right w:val="none" w:sz="0" w:space="0" w:color="auto"/>
                  </w:divBdr>
                  <w:divsChild>
                    <w:div w:id="226114266">
                      <w:marLeft w:val="0"/>
                      <w:marRight w:val="0"/>
                      <w:marTop w:val="0"/>
                      <w:marBottom w:val="0"/>
                      <w:divBdr>
                        <w:top w:val="none" w:sz="0" w:space="0" w:color="auto"/>
                        <w:left w:val="none" w:sz="0" w:space="0" w:color="auto"/>
                        <w:bottom w:val="none" w:sz="0" w:space="0" w:color="auto"/>
                        <w:right w:val="none" w:sz="0" w:space="0" w:color="auto"/>
                      </w:divBdr>
                    </w:div>
                  </w:divsChild>
                </w:div>
                <w:div w:id="1500465899">
                  <w:marLeft w:val="0"/>
                  <w:marRight w:val="0"/>
                  <w:marTop w:val="0"/>
                  <w:marBottom w:val="0"/>
                  <w:divBdr>
                    <w:top w:val="none" w:sz="0" w:space="0" w:color="auto"/>
                    <w:left w:val="none" w:sz="0" w:space="0" w:color="auto"/>
                    <w:bottom w:val="none" w:sz="0" w:space="0" w:color="auto"/>
                    <w:right w:val="none" w:sz="0" w:space="0" w:color="auto"/>
                  </w:divBdr>
                  <w:divsChild>
                    <w:div w:id="2117164951">
                      <w:marLeft w:val="0"/>
                      <w:marRight w:val="0"/>
                      <w:marTop w:val="0"/>
                      <w:marBottom w:val="0"/>
                      <w:divBdr>
                        <w:top w:val="none" w:sz="0" w:space="0" w:color="auto"/>
                        <w:left w:val="none" w:sz="0" w:space="0" w:color="auto"/>
                        <w:bottom w:val="none" w:sz="0" w:space="0" w:color="auto"/>
                        <w:right w:val="none" w:sz="0" w:space="0" w:color="auto"/>
                      </w:divBdr>
                    </w:div>
                  </w:divsChild>
                </w:div>
                <w:div w:id="1511528199">
                  <w:marLeft w:val="0"/>
                  <w:marRight w:val="0"/>
                  <w:marTop w:val="0"/>
                  <w:marBottom w:val="0"/>
                  <w:divBdr>
                    <w:top w:val="none" w:sz="0" w:space="0" w:color="auto"/>
                    <w:left w:val="none" w:sz="0" w:space="0" w:color="auto"/>
                    <w:bottom w:val="none" w:sz="0" w:space="0" w:color="auto"/>
                    <w:right w:val="none" w:sz="0" w:space="0" w:color="auto"/>
                  </w:divBdr>
                  <w:divsChild>
                    <w:div w:id="763457996">
                      <w:marLeft w:val="0"/>
                      <w:marRight w:val="0"/>
                      <w:marTop w:val="0"/>
                      <w:marBottom w:val="0"/>
                      <w:divBdr>
                        <w:top w:val="none" w:sz="0" w:space="0" w:color="auto"/>
                        <w:left w:val="none" w:sz="0" w:space="0" w:color="auto"/>
                        <w:bottom w:val="none" w:sz="0" w:space="0" w:color="auto"/>
                        <w:right w:val="none" w:sz="0" w:space="0" w:color="auto"/>
                      </w:divBdr>
                    </w:div>
                  </w:divsChild>
                </w:div>
                <w:div w:id="1737170495">
                  <w:marLeft w:val="0"/>
                  <w:marRight w:val="0"/>
                  <w:marTop w:val="0"/>
                  <w:marBottom w:val="0"/>
                  <w:divBdr>
                    <w:top w:val="none" w:sz="0" w:space="0" w:color="auto"/>
                    <w:left w:val="none" w:sz="0" w:space="0" w:color="auto"/>
                    <w:bottom w:val="none" w:sz="0" w:space="0" w:color="auto"/>
                    <w:right w:val="none" w:sz="0" w:space="0" w:color="auto"/>
                  </w:divBdr>
                  <w:divsChild>
                    <w:div w:id="1937008620">
                      <w:marLeft w:val="0"/>
                      <w:marRight w:val="0"/>
                      <w:marTop w:val="0"/>
                      <w:marBottom w:val="0"/>
                      <w:divBdr>
                        <w:top w:val="none" w:sz="0" w:space="0" w:color="auto"/>
                        <w:left w:val="none" w:sz="0" w:space="0" w:color="auto"/>
                        <w:bottom w:val="none" w:sz="0" w:space="0" w:color="auto"/>
                        <w:right w:val="none" w:sz="0" w:space="0" w:color="auto"/>
                      </w:divBdr>
                    </w:div>
                  </w:divsChild>
                </w:div>
                <w:div w:id="1930888666">
                  <w:marLeft w:val="0"/>
                  <w:marRight w:val="0"/>
                  <w:marTop w:val="0"/>
                  <w:marBottom w:val="0"/>
                  <w:divBdr>
                    <w:top w:val="none" w:sz="0" w:space="0" w:color="auto"/>
                    <w:left w:val="none" w:sz="0" w:space="0" w:color="auto"/>
                    <w:bottom w:val="none" w:sz="0" w:space="0" w:color="auto"/>
                    <w:right w:val="none" w:sz="0" w:space="0" w:color="auto"/>
                  </w:divBdr>
                  <w:divsChild>
                    <w:div w:id="256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7279">
          <w:marLeft w:val="0"/>
          <w:marRight w:val="0"/>
          <w:marTop w:val="0"/>
          <w:marBottom w:val="0"/>
          <w:divBdr>
            <w:top w:val="none" w:sz="0" w:space="0" w:color="auto"/>
            <w:left w:val="none" w:sz="0" w:space="0" w:color="auto"/>
            <w:bottom w:val="none" w:sz="0" w:space="0" w:color="auto"/>
            <w:right w:val="none" w:sz="0" w:space="0" w:color="auto"/>
          </w:divBdr>
        </w:div>
        <w:div w:id="1129981073">
          <w:marLeft w:val="0"/>
          <w:marRight w:val="0"/>
          <w:marTop w:val="0"/>
          <w:marBottom w:val="0"/>
          <w:divBdr>
            <w:top w:val="none" w:sz="0" w:space="0" w:color="auto"/>
            <w:left w:val="none" w:sz="0" w:space="0" w:color="auto"/>
            <w:bottom w:val="none" w:sz="0" w:space="0" w:color="auto"/>
            <w:right w:val="none" w:sz="0" w:space="0" w:color="auto"/>
          </w:divBdr>
        </w:div>
        <w:div w:id="1245798798">
          <w:marLeft w:val="0"/>
          <w:marRight w:val="0"/>
          <w:marTop w:val="0"/>
          <w:marBottom w:val="0"/>
          <w:divBdr>
            <w:top w:val="none" w:sz="0" w:space="0" w:color="auto"/>
            <w:left w:val="none" w:sz="0" w:space="0" w:color="auto"/>
            <w:bottom w:val="none" w:sz="0" w:space="0" w:color="auto"/>
            <w:right w:val="none" w:sz="0" w:space="0" w:color="auto"/>
          </w:divBdr>
        </w:div>
        <w:div w:id="1489519395">
          <w:marLeft w:val="0"/>
          <w:marRight w:val="0"/>
          <w:marTop w:val="0"/>
          <w:marBottom w:val="0"/>
          <w:divBdr>
            <w:top w:val="none" w:sz="0" w:space="0" w:color="auto"/>
            <w:left w:val="none" w:sz="0" w:space="0" w:color="auto"/>
            <w:bottom w:val="none" w:sz="0" w:space="0" w:color="auto"/>
            <w:right w:val="none" w:sz="0" w:space="0" w:color="auto"/>
          </w:divBdr>
          <w:divsChild>
            <w:div w:id="1660649049">
              <w:marLeft w:val="-75"/>
              <w:marRight w:val="0"/>
              <w:marTop w:val="30"/>
              <w:marBottom w:val="30"/>
              <w:divBdr>
                <w:top w:val="none" w:sz="0" w:space="0" w:color="auto"/>
                <w:left w:val="none" w:sz="0" w:space="0" w:color="auto"/>
                <w:bottom w:val="none" w:sz="0" w:space="0" w:color="auto"/>
                <w:right w:val="none" w:sz="0" w:space="0" w:color="auto"/>
              </w:divBdr>
              <w:divsChild>
                <w:div w:id="24336395">
                  <w:marLeft w:val="0"/>
                  <w:marRight w:val="0"/>
                  <w:marTop w:val="0"/>
                  <w:marBottom w:val="0"/>
                  <w:divBdr>
                    <w:top w:val="none" w:sz="0" w:space="0" w:color="auto"/>
                    <w:left w:val="none" w:sz="0" w:space="0" w:color="auto"/>
                    <w:bottom w:val="none" w:sz="0" w:space="0" w:color="auto"/>
                    <w:right w:val="none" w:sz="0" w:space="0" w:color="auto"/>
                  </w:divBdr>
                  <w:divsChild>
                    <w:div w:id="746224732">
                      <w:marLeft w:val="0"/>
                      <w:marRight w:val="0"/>
                      <w:marTop w:val="0"/>
                      <w:marBottom w:val="0"/>
                      <w:divBdr>
                        <w:top w:val="none" w:sz="0" w:space="0" w:color="auto"/>
                        <w:left w:val="none" w:sz="0" w:space="0" w:color="auto"/>
                        <w:bottom w:val="none" w:sz="0" w:space="0" w:color="auto"/>
                        <w:right w:val="none" w:sz="0" w:space="0" w:color="auto"/>
                      </w:divBdr>
                    </w:div>
                    <w:div w:id="1213271765">
                      <w:marLeft w:val="0"/>
                      <w:marRight w:val="0"/>
                      <w:marTop w:val="0"/>
                      <w:marBottom w:val="0"/>
                      <w:divBdr>
                        <w:top w:val="none" w:sz="0" w:space="0" w:color="auto"/>
                        <w:left w:val="none" w:sz="0" w:space="0" w:color="auto"/>
                        <w:bottom w:val="none" w:sz="0" w:space="0" w:color="auto"/>
                        <w:right w:val="none" w:sz="0" w:space="0" w:color="auto"/>
                      </w:divBdr>
                    </w:div>
                    <w:div w:id="1238439005">
                      <w:marLeft w:val="0"/>
                      <w:marRight w:val="0"/>
                      <w:marTop w:val="0"/>
                      <w:marBottom w:val="0"/>
                      <w:divBdr>
                        <w:top w:val="none" w:sz="0" w:space="0" w:color="auto"/>
                        <w:left w:val="none" w:sz="0" w:space="0" w:color="auto"/>
                        <w:bottom w:val="none" w:sz="0" w:space="0" w:color="auto"/>
                        <w:right w:val="none" w:sz="0" w:space="0" w:color="auto"/>
                      </w:divBdr>
                    </w:div>
                    <w:div w:id="1301037030">
                      <w:marLeft w:val="0"/>
                      <w:marRight w:val="0"/>
                      <w:marTop w:val="0"/>
                      <w:marBottom w:val="0"/>
                      <w:divBdr>
                        <w:top w:val="none" w:sz="0" w:space="0" w:color="auto"/>
                        <w:left w:val="none" w:sz="0" w:space="0" w:color="auto"/>
                        <w:bottom w:val="none" w:sz="0" w:space="0" w:color="auto"/>
                        <w:right w:val="none" w:sz="0" w:space="0" w:color="auto"/>
                      </w:divBdr>
                    </w:div>
                    <w:div w:id="1319110295">
                      <w:marLeft w:val="0"/>
                      <w:marRight w:val="0"/>
                      <w:marTop w:val="0"/>
                      <w:marBottom w:val="0"/>
                      <w:divBdr>
                        <w:top w:val="none" w:sz="0" w:space="0" w:color="auto"/>
                        <w:left w:val="none" w:sz="0" w:space="0" w:color="auto"/>
                        <w:bottom w:val="none" w:sz="0" w:space="0" w:color="auto"/>
                        <w:right w:val="none" w:sz="0" w:space="0" w:color="auto"/>
                      </w:divBdr>
                    </w:div>
                    <w:div w:id="1398090004">
                      <w:marLeft w:val="0"/>
                      <w:marRight w:val="0"/>
                      <w:marTop w:val="0"/>
                      <w:marBottom w:val="0"/>
                      <w:divBdr>
                        <w:top w:val="none" w:sz="0" w:space="0" w:color="auto"/>
                        <w:left w:val="none" w:sz="0" w:space="0" w:color="auto"/>
                        <w:bottom w:val="none" w:sz="0" w:space="0" w:color="auto"/>
                        <w:right w:val="none" w:sz="0" w:space="0" w:color="auto"/>
                      </w:divBdr>
                    </w:div>
                    <w:div w:id="1447113887">
                      <w:marLeft w:val="0"/>
                      <w:marRight w:val="0"/>
                      <w:marTop w:val="0"/>
                      <w:marBottom w:val="0"/>
                      <w:divBdr>
                        <w:top w:val="none" w:sz="0" w:space="0" w:color="auto"/>
                        <w:left w:val="none" w:sz="0" w:space="0" w:color="auto"/>
                        <w:bottom w:val="none" w:sz="0" w:space="0" w:color="auto"/>
                        <w:right w:val="none" w:sz="0" w:space="0" w:color="auto"/>
                      </w:divBdr>
                    </w:div>
                    <w:div w:id="1494837778">
                      <w:marLeft w:val="0"/>
                      <w:marRight w:val="0"/>
                      <w:marTop w:val="0"/>
                      <w:marBottom w:val="0"/>
                      <w:divBdr>
                        <w:top w:val="none" w:sz="0" w:space="0" w:color="auto"/>
                        <w:left w:val="none" w:sz="0" w:space="0" w:color="auto"/>
                        <w:bottom w:val="none" w:sz="0" w:space="0" w:color="auto"/>
                        <w:right w:val="none" w:sz="0" w:space="0" w:color="auto"/>
                      </w:divBdr>
                    </w:div>
                    <w:div w:id="1737163896">
                      <w:marLeft w:val="0"/>
                      <w:marRight w:val="0"/>
                      <w:marTop w:val="0"/>
                      <w:marBottom w:val="0"/>
                      <w:divBdr>
                        <w:top w:val="none" w:sz="0" w:space="0" w:color="auto"/>
                        <w:left w:val="none" w:sz="0" w:space="0" w:color="auto"/>
                        <w:bottom w:val="none" w:sz="0" w:space="0" w:color="auto"/>
                        <w:right w:val="none" w:sz="0" w:space="0" w:color="auto"/>
                      </w:divBdr>
                    </w:div>
                    <w:div w:id="1910728824">
                      <w:marLeft w:val="0"/>
                      <w:marRight w:val="0"/>
                      <w:marTop w:val="0"/>
                      <w:marBottom w:val="0"/>
                      <w:divBdr>
                        <w:top w:val="none" w:sz="0" w:space="0" w:color="auto"/>
                        <w:left w:val="none" w:sz="0" w:space="0" w:color="auto"/>
                        <w:bottom w:val="none" w:sz="0" w:space="0" w:color="auto"/>
                        <w:right w:val="none" w:sz="0" w:space="0" w:color="auto"/>
                      </w:divBdr>
                    </w:div>
                    <w:div w:id="1955016172">
                      <w:marLeft w:val="0"/>
                      <w:marRight w:val="0"/>
                      <w:marTop w:val="0"/>
                      <w:marBottom w:val="0"/>
                      <w:divBdr>
                        <w:top w:val="none" w:sz="0" w:space="0" w:color="auto"/>
                        <w:left w:val="none" w:sz="0" w:space="0" w:color="auto"/>
                        <w:bottom w:val="none" w:sz="0" w:space="0" w:color="auto"/>
                        <w:right w:val="none" w:sz="0" w:space="0" w:color="auto"/>
                      </w:divBdr>
                    </w:div>
                    <w:div w:id="2036810534">
                      <w:marLeft w:val="0"/>
                      <w:marRight w:val="0"/>
                      <w:marTop w:val="0"/>
                      <w:marBottom w:val="0"/>
                      <w:divBdr>
                        <w:top w:val="none" w:sz="0" w:space="0" w:color="auto"/>
                        <w:left w:val="none" w:sz="0" w:space="0" w:color="auto"/>
                        <w:bottom w:val="none" w:sz="0" w:space="0" w:color="auto"/>
                        <w:right w:val="none" w:sz="0" w:space="0" w:color="auto"/>
                      </w:divBdr>
                    </w:div>
                    <w:div w:id="2128545067">
                      <w:marLeft w:val="0"/>
                      <w:marRight w:val="0"/>
                      <w:marTop w:val="0"/>
                      <w:marBottom w:val="0"/>
                      <w:divBdr>
                        <w:top w:val="none" w:sz="0" w:space="0" w:color="auto"/>
                        <w:left w:val="none" w:sz="0" w:space="0" w:color="auto"/>
                        <w:bottom w:val="none" w:sz="0" w:space="0" w:color="auto"/>
                        <w:right w:val="none" w:sz="0" w:space="0" w:color="auto"/>
                      </w:divBdr>
                    </w:div>
                  </w:divsChild>
                </w:div>
                <w:div w:id="24719319">
                  <w:marLeft w:val="0"/>
                  <w:marRight w:val="0"/>
                  <w:marTop w:val="0"/>
                  <w:marBottom w:val="0"/>
                  <w:divBdr>
                    <w:top w:val="none" w:sz="0" w:space="0" w:color="auto"/>
                    <w:left w:val="none" w:sz="0" w:space="0" w:color="auto"/>
                    <w:bottom w:val="none" w:sz="0" w:space="0" w:color="auto"/>
                    <w:right w:val="none" w:sz="0" w:space="0" w:color="auto"/>
                  </w:divBdr>
                  <w:divsChild>
                    <w:div w:id="1514340729">
                      <w:marLeft w:val="0"/>
                      <w:marRight w:val="0"/>
                      <w:marTop w:val="0"/>
                      <w:marBottom w:val="0"/>
                      <w:divBdr>
                        <w:top w:val="none" w:sz="0" w:space="0" w:color="auto"/>
                        <w:left w:val="none" w:sz="0" w:space="0" w:color="auto"/>
                        <w:bottom w:val="none" w:sz="0" w:space="0" w:color="auto"/>
                        <w:right w:val="none" w:sz="0" w:space="0" w:color="auto"/>
                      </w:divBdr>
                    </w:div>
                  </w:divsChild>
                </w:div>
                <w:div w:id="85737382">
                  <w:marLeft w:val="0"/>
                  <w:marRight w:val="0"/>
                  <w:marTop w:val="0"/>
                  <w:marBottom w:val="0"/>
                  <w:divBdr>
                    <w:top w:val="none" w:sz="0" w:space="0" w:color="auto"/>
                    <w:left w:val="none" w:sz="0" w:space="0" w:color="auto"/>
                    <w:bottom w:val="none" w:sz="0" w:space="0" w:color="auto"/>
                    <w:right w:val="none" w:sz="0" w:space="0" w:color="auto"/>
                  </w:divBdr>
                  <w:divsChild>
                    <w:div w:id="64648343">
                      <w:marLeft w:val="0"/>
                      <w:marRight w:val="0"/>
                      <w:marTop w:val="0"/>
                      <w:marBottom w:val="0"/>
                      <w:divBdr>
                        <w:top w:val="none" w:sz="0" w:space="0" w:color="auto"/>
                        <w:left w:val="none" w:sz="0" w:space="0" w:color="auto"/>
                        <w:bottom w:val="none" w:sz="0" w:space="0" w:color="auto"/>
                        <w:right w:val="none" w:sz="0" w:space="0" w:color="auto"/>
                      </w:divBdr>
                    </w:div>
                    <w:div w:id="212817602">
                      <w:marLeft w:val="0"/>
                      <w:marRight w:val="0"/>
                      <w:marTop w:val="0"/>
                      <w:marBottom w:val="0"/>
                      <w:divBdr>
                        <w:top w:val="none" w:sz="0" w:space="0" w:color="auto"/>
                        <w:left w:val="none" w:sz="0" w:space="0" w:color="auto"/>
                        <w:bottom w:val="none" w:sz="0" w:space="0" w:color="auto"/>
                        <w:right w:val="none" w:sz="0" w:space="0" w:color="auto"/>
                      </w:divBdr>
                    </w:div>
                    <w:div w:id="569537427">
                      <w:marLeft w:val="0"/>
                      <w:marRight w:val="0"/>
                      <w:marTop w:val="0"/>
                      <w:marBottom w:val="0"/>
                      <w:divBdr>
                        <w:top w:val="none" w:sz="0" w:space="0" w:color="auto"/>
                        <w:left w:val="none" w:sz="0" w:space="0" w:color="auto"/>
                        <w:bottom w:val="none" w:sz="0" w:space="0" w:color="auto"/>
                        <w:right w:val="none" w:sz="0" w:space="0" w:color="auto"/>
                      </w:divBdr>
                    </w:div>
                    <w:div w:id="574432228">
                      <w:marLeft w:val="0"/>
                      <w:marRight w:val="0"/>
                      <w:marTop w:val="0"/>
                      <w:marBottom w:val="0"/>
                      <w:divBdr>
                        <w:top w:val="none" w:sz="0" w:space="0" w:color="auto"/>
                        <w:left w:val="none" w:sz="0" w:space="0" w:color="auto"/>
                        <w:bottom w:val="none" w:sz="0" w:space="0" w:color="auto"/>
                        <w:right w:val="none" w:sz="0" w:space="0" w:color="auto"/>
                      </w:divBdr>
                    </w:div>
                    <w:div w:id="1598054407">
                      <w:marLeft w:val="0"/>
                      <w:marRight w:val="0"/>
                      <w:marTop w:val="0"/>
                      <w:marBottom w:val="0"/>
                      <w:divBdr>
                        <w:top w:val="none" w:sz="0" w:space="0" w:color="auto"/>
                        <w:left w:val="none" w:sz="0" w:space="0" w:color="auto"/>
                        <w:bottom w:val="none" w:sz="0" w:space="0" w:color="auto"/>
                        <w:right w:val="none" w:sz="0" w:space="0" w:color="auto"/>
                      </w:divBdr>
                    </w:div>
                  </w:divsChild>
                </w:div>
                <w:div w:id="135417487">
                  <w:marLeft w:val="0"/>
                  <w:marRight w:val="0"/>
                  <w:marTop w:val="0"/>
                  <w:marBottom w:val="0"/>
                  <w:divBdr>
                    <w:top w:val="none" w:sz="0" w:space="0" w:color="auto"/>
                    <w:left w:val="none" w:sz="0" w:space="0" w:color="auto"/>
                    <w:bottom w:val="none" w:sz="0" w:space="0" w:color="auto"/>
                    <w:right w:val="none" w:sz="0" w:space="0" w:color="auto"/>
                  </w:divBdr>
                  <w:divsChild>
                    <w:div w:id="144202719">
                      <w:marLeft w:val="0"/>
                      <w:marRight w:val="0"/>
                      <w:marTop w:val="0"/>
                      <w:marBottom w:val="0"/>
                      <w:divBdr>
                        <w:top w:val="none" w:sz="0" w:space="0" w:color="auto"/>
                        <w:left w:val="none" w:sz="0" w:space="0" w:color="auto"/>
                        <w:bottom w:val="none" w:sz="0" w:space="0" w:color="auto"/>
                        <w:right w:val="none" w:sz="0" w:space="0" w:color="auto"/>
                      </w:divBdr>
                    </w:div>
                    <w:div w:id="306320355">
                      <w:marLeft w:val="0"/>
                      <w:marRight w:val="0"/>
                      <w:marTop w:val="0"/>
                      <w:marBottom w:val="0"/>
                      <w:divBdr>
                        <w:top w:val="none" w:sz="0" w:space="0" w:color="auto"/>
                        <w:left w:val="none" w:sz="0" w:space="0" w:color="auto"/>
                        <w:bottom w:val="none" w:sz="0" w:space="0" w:color="auto"/>
                        <w:right w:val="none" w:sz="0" w:space="0" w:color="auto"/>
                      </w:divBdr>
                    </w:div>
                    <w:div w:id="768237912">
                      <w:marLeft w:val="0"/>
                      <w:marRight w:val="0"/>
                      <w:marTop w:val="0"/>
                      <w:marBottom w:val="0"/>
                      <w:divBdr>
                        <w:top w:val="none" w:sz="0" w:space="0" w:color="auto"/>
                        <w:left w:val="none" w:sz="0" w:space="0" w:color="auto"/>
                        <w:bottom w:val="none" w:sz="0" w:space="0" w:color="auto"/>
                        <w:right w:val="none" w:sz="0" w:space="0" w:color="auto"/>
                      </w:divBdr>
                    </w:div>
                    <w:div w:id="1904174894">
                      <w:marLeft w:val="0"/>
                      <w:marRight w:val="0"/>
                      <w:marTop w:val="0"/>
                      <w:marBottom w:val="0"/>
                      <w:divBdr>
                        <w:top w:val="none" w:sz="0" w:space="0" w:color="auto"/>
                        <w:left w:val="none" w:sz="0" w:space="0" w:color="auto"/>
                        <w:bottom w:val="none" w:sz="0" w:space="0" w:color="auto"/>
                        <w:right w:val="none" w:sz="0" w:space="0" w:color="auto"/>
                      </w:divBdr>
                    </w:div>
                  </w:divsChild>
                </w:div>
                <w:div w:id="157574647">
                  <w:marLeft w:val="0"/>
                  <w:marRight w:val="0"/>
                  <w:marTop w:val="0"/>
                  <w:marBottom w:val="0"/>
                  <w:divBdr>
                    <w:top w:val="none" w:sz="0" w:space="0" w:color="auto"/>
                    <w:left w:val="none" w:sz="0" w:space="0" w:color="auto"/>
                    <w:bottom w:val="none" w:sz="0" w:space="0" w:color="auto"/>
                    <w:right w:val="none" w:sz="0" w:space="0" w:color="auto"/>
                  </w:divBdr>
                  <w:divsChild>
                    <w:div w:id="701907316">
                      <w:marLeft w:val="0"/>
                      <w:marRight w:val="0"/>
                      <w:marTop w:val="0"/>
                      <w:marBottom w:val="0"/>
                      <w:divBdr>
                        <w:top w:val="none" w:sz="0" w:space="0" w:color="auto"/>
                        <w:left w:val="none" w:sz="0" w:space="0" w:color="auto"/>
                        <w:bottom w:val="none" w:sz="0" w:space="0" w:color="auto"/>
                        <w:right w:val="none" w:sz="0" w:space="0" w:color="auto"/>
                      </w:divBdr>
                    </w:div>
                    <w:div w:id="1405251513">
                      <w:marLeft w:val="0"/>
                      <w:marRight w:val="0"/>
                      <w:marTop w:val="0"/>
                      <w:marBottom w:val="0"/>
                      <w:divBdr>
                        <w:top w:val="none" w:sz="0" w:space="0" w:color="auto"/>
                        <w:left w:val="none" w:sz="0" w:space="0" w:color="auto"/>
                        <w:bottom w:val="none" w:sz="0" w:space="0" w:color="auto"/>
                        <w:right w:val="none" w:sz="0" w:space="0" w:color="auto"/>
                      </w:divBdr>
                    </w:div>
                  </w:divsChild>
                </w:div>
                <w:div w:id="232811247">
                  <w:marLeft w:val="0"/>
                  <w:marRight w:val="0"/>
                  <w:marTop w:val="0"/>
                  <w:marBottom w:val="0"/>
                  <w:divBdr>
                    <w:top w:val="none" w:sz="0" w:space="0" w:color="auto"/>
                    <w:left w:val="none" w:sz="0" w:space="0" w:color="auto"/>
                    <w:bottom w:val="none" w:sz="0" w:space="0" w:color="auto"/>
                    <w:right w:val="none" w:sz="0" w:space="0" w:color="auto"/>
                  </w:divBdr>
                  <w:divsChild>
                    <w:div w:id="29843203">
                      <w:marLeft w:val="0"/>
                      <w:marRight w:val="0"/>
                      <w:marTop w:val="0"/>
                      <w:marBottom w:val="0"/>
                      <w:divBdr>
                        <w:top w:val="none" w:sz="0" w:space="0" w:color="auto"/>
                        <w:left w:val="none" w:sz="0" w:space="0" w:color="auto"/>
                        <w:bottom w:val="none" w:sz="0" w:space="0" w:color="auto"/>
                        <w:right w:val="none" w:sz="0" w:space="0" w:color="auto"/>
                      </w:divBdr>
                    </w:div>
                  </w:divsChild>
                </w:div>
                <w:div w:id="298263151">
                  <w:marLeft w:val="0"/>
                  <w:marRight w:val="0"/>
                  <w:marTop w:val="0"/>
                  <w:marBottom w:val="0"/>
                  <w:divBdr>
                    <w:top w:val="none" w:sz="0" w:space="0" w:color="auto"/>
                    <w:left w:val="none" w:sz="0" w:space="0" w:color="auto"/>
                    <w:bottom w:val="none" w:sz="0" w:space="0" w:color="auto"/>
                    <w:right w:val="none" w:sz="0" w:space="0" w:color="auto"/>
                  </w:divBdr>
                  <w:divsChild>
                    <w:div w:id="260646232">
                      <w:marLeft w:val="0"/>
                      <w:marRight w:val="0"/>
                      <w:marTop w:val="0"/>
                      <w:marBottom w:val="0"/>
                      <w:divBdr>
                        <w:top w:val="none" w:sz="0" w:space="0" w:color="auto"/>
                        <w:left w:val="none" w:sz="0" w:space="0" w:color="auto"/>
                        <w:bottom w:val="none" w:sz="0" w:space="0" w:color="auto"/>
                        <w:right w:val="none" w:sz="0" w:space="0" w:color="auto"/>
                      </w:divBdr>
                    </w:div>
                    <w:div w:id="376900703">
                      <w:marLeft w:val="0"/>
                      <w:marRight w:val="0"/>
                      <w:marTop w:val="0"/>
                      <w:marBottom w:val="0"/>
                      <w:divBdr>
                        <w:top w:val="none" w:sz="0" w:space="0" w:color="auto"/>
                        <w:left w:val="none" w:sz="0" w:space="0" w:color="auto"/>
                        <w:bottom w:val="none" w:sz="0" w:space="0" w:color="auto"/>
                        <w:right w:val="none" w:sz="0" w:space="0" w:color="auto"/>
                      </w:divBdr>
                    </w:div>
                    <w:div w:id="481234942">
                      <w:marLeft w:val="0"/>
                      <w:marRight w:val="0"/>
                      <w:marTop w:val="0"/>
                      <w:marBottom w:val="0"/>
                      <w:divBdr>
                        <w:top w:val="none" w:sz="0" w:space="0" w:color="auto"/>
                        <w:left w:val="none" w:sz="0" w:space="0" w:color="auto"/>
                        <w:bottom w:val="none" w:sz="0" w:space="0" w:color="auto"/>
                        <w:right w:val="none" w:sz="0" w:space="0" w:color="auto"/>
                      </w:divBdr>
                    </w:div>
                    <w:div w:id="663975067">
                      <w:marLeft w:val="0"/>
                      <w:marRight w:val="0"/>
                      <w:marTop w:val="0"/>
                      <w:marBottom w:val="0"/>
                      <w:divBdr>
                        <w:top w:val="none" w:sz="0" w:space="0" w:color="auto"/>
                        <w:left w:val="none" w:sz="0" w:space="0" w:color="auto"/>
                        <w:bottom w:val="none" w:sz="0" w:space="0" w:color="auto"/>
                        <w:right w:val="none" w:sz="0" w:space="0" w:color="auto"/>
                      </w:divBdr>
                    </w:div>
                    <w:div w:id="722993503">
                      <w:marLeft w:val="0"/>
                      <w:marRight w:val="0"/>
                      <w:marTop w:val="0"/>
                      <w:marBottom w:val="0"/>
                      <w:divBdr>
                        <w:top w:val="none" w:sz="0" w:space="0" w:color="auto"/>
                        <w:left w:val="none" w:sz="0" w:space="0" w:color="auto"/>
                        <w:bottom w:val="none" w:sz="0" w:space="0" w:color="auto"/>
                        <w:right w:val="none" w:sz="0" w:space="0" w:color="auto"/>
                      </w:divBdr>
                    </w:div>
                    <w:div w:id="1003508226">
                      <w:marLeft w:val="0"/>
                      <w:marRight w:val="0"/>
                      <w:marTop w:val="0"/>
                      <w:marBottom w:val="0"/>
                      <w:divBdr>
                        <w:top w:val="none" w:sz="0" w:space="0" w:color="auto"/>
                        <w:left w:val="none" w:sz="0" w:space="0" w:color="auto"/>
                        <w:bottom w:val="none" w:sz="0" w:space="0" w:color="auto"/>
                        <w:right w:val="none" w:sz="0" w:space="0" w:color="auto"/>
                      </w:divBdr>
                    </w:div>
                    <w:div w:id="1863279602">
                      <w:marLeft w:val="0"/>
                      <w:marRight w:val="0"/>
                      <w:marTop w:val="0"/>
                      <w:marBottom w:val="0"/>
                      <w:divBdr>
                        <w:top w:val="none" w:sz="0" w:space="0" w:color="auto"/>
                        <w:left w:val="none" w:sz="0" w:space="0" w:color="auto"/>
                        <w:bottom w:val="none" w:sz="0" w:space="0" w:color="auto"/>
                        <w:right w:val="none" w:sz="0" w:space="0" w:color="auto"/>
                      </w:divBdr>
                    </w:div>
                    <w:div w:id="1925454521">
                      <w:marLeft w:val="0"/>
                      <w:marRight w:val="0"/>
                      <w:marTop w:val="0"/>
                      <w:marBottom w:val="0"/>
                      <w:divBdr>
                        <w:top w:val="none" w:sz="0" w:space="0" w:color="auto"/>
                        <w:left w:val="none" w:sz="0" w:space="0" w:color="auto"/>
                        <w:bottom w:val="none" w:sz="0" w:space="0" w:color="auto"/>
                        <w:right w:val="none" w:sz="0" w:space="0" w:color="auto"/>
                      </w:divBdr>
                    </w:div>
                    <w:div w:id="2113621115">
                      <w:marLeft w:val="0"/>
                      <w:marRight w:val="0"/>
                      <w:marTop w:val="0"/>
                      <w:marBottom w:val="0"/>
                      <w:divBdr>
                        <w:top w:val="none" w:sz="0" w:space="0" w:color="auto"/>
                        <w:left w:val="none" w:sz="0" w:space="0" w:color="auto"/>
                        <w:bottom w:val="none" w:sz="0" w:space="0" w:color="auto"/>
                        <w:right w:val="none" w:sz="0" w:space="0" w:color="auto"/>
                      </w:divBdr>
                    </w:div>
                  </w:divsChild>
                </w:div>
                <w:div w:id="301884895">
                  <w:marLeft w:val="0"/>
                  <w:marRight w:val="0"/>
                  <w:marTop w:val="0"/>
                  <w:marBottom w:val="0"/>
                  <w:divBdr>
                    <w:top w:val="none" w:sz="0" w:space="0" w:color="auto"/>
                    <w:left w:val="none" w:sz="0" w:space="0" w:color="auto"/>
                    <w:bottom w:val="none" w:sz="0" w:space="0" w:color="auto"/>
                    <w:right w:val="none" w:sz="0" w:space="0" w:color="auto"/>
                  </w:divBdr>
                  <w:divsChild>
                    <w:div w:id="180357702">
                      <w:marLeft w:val="0"/>
                      <w:marRight w:val="0"/>
                      <w:marTop w:val="0"/>
                      <w:marBottom w:val="0"/>
                      <w:divBdr>
                        <w:top w:val="none" w:sz="0" w:space="0" w:color="auto"/>
                        <w:left w:val="none" w:sz="0" w:space="0" w:color="auto"/>
                        <w:bottom w:val="none" w:sz="0" w:space="0" w:color="auto"/>
                        <w:right w:val="none" w:sz="0" w:space="0" w:color="auto"/>
                      </w:divBdr>
                    </w:div>
                    <w:div w:id="446781246">
                      <w:marLeft w:val="0"/>
                      <w:marRight w:val="0"/>
                      <w:marTop w:val="0"/>
                      <w:marBottom w:val="0"/>
                      <w:divBdr>
                        <w:top w:val="none" w:sz="0" w:space="0" w:color="auto"/>
                        <w:left w:val="none" w:sz="0" w:space="0" w:color="auto"/>
                        <w:bottom w:val="none" w:sz="0" w:space="0" w:color="auto"/>
                        <w:right w:val="none" w:sz="0" w:space="0" w:color="auto"/>
                      </w:divBdr>
                    </w:div>
                    <w:div w:id="721833374">
                      <w:marLeft w:val="0"/>
                      <w:marRight w:val="0"/>
                      <w:marTop w:val="0"/>
                      <w:marBottom w:val="0"/>
                      <w:divBdr>
                        <w:top w:val="none" w:sz="0" w:space="0" w:color="auto"/>
                        <w:left w:val="none" w:sz="0" w:space="0" w:color="auto"/>
                        <w:bottom w:val="none" w:sz="0" w:space="0" w:color="auto"/>
                        <w:right w:val="none" w:sz="0" w:space="0" w:color="auto"/>
                      </w:divBdr>
                    </w:div>
                    <w:div w:id="815142077">
                      <w:marLeft w:val="0"/>
                      <w:marRight w:val="0"/>
                      <w:marTop w:val="0"/>
                      <w:marBottom w:val="0"/>
                      <w:divBdr>
                        <w:top w:val="none" w:sz="0" w:space="0" w:color="auto"/>
                        <w:left w:val="none" w:sz="0" w:space="0" w:color="auto"/>
                        <w:bottom w:val="none" w:sz="0" w:space="0" w:color="auto"/>
                        <w:right w:val="none" w:sz="0" w:space="0" w:color="auto"/>
                      </w:divBdr>
                    </w:div>
                    <w:div w:id="964703239">
                      <w:marLeft w:val="0"/>
                      <w:marRight w:val="0"/>
                      <w:marTop w:val="0"/>
                      <w:marBottom w:val="0"/>
                      <w:divBdr>
                        <w:top w:val="none" w:sz="0" w:space="0" w:color="auto"/>
                        <w:left w:val="none" w:sz="0" w:space="0" w:color="auto"/>
                        <w:bottom w:val="none" w:sz="0" w:space="0" w:color="auto"/>
                        <w:right w:val="none" w:sz="0" w:space="0" w:color="auto"/>
                      </w:divBdr>
                    </w:div>
                    <w:div w:id="983510644">
                      <w:marLeft w:val="0"/>
                      <w:marRight w:val="0"/>
                      <w:marTop w:val="0"/>
                      <w:marBottom w:val="0"/>
                      <w:divBdr>
                        <w:top w:val="none" w:sz="0" w:space="0" w:color="auto"/>
                        <w:left w:val="none" w:sz="0" w:space="0" w:color="auto"/>
                        <w:bottom w:val="none" w:sz="0" w:space="0" w:color="auto"/>
                        <w:right w:val="none" w:sz="0" w:space="0" w:color="auto"/>
                      </w:divBdr>
                    </w:div>
                    <w:div w:id="1232542998">
                      <w:marLeft w:val="0"/>
                      <w:marRight w:val="0"/>
                      <w:marTop w:val="0"/>
                      <w:marBottom w:val="0"/>
                      <w:divBdr>
                        <w:top w:val="none" w:sz="0" w:space="0" w:color="auto"/>
                        <w:left w:val="none" w:sz="0" w:space="0" w:color="auto"/>
                        <w:bottom w:val="none" w:sz="0" w:space="0" w:color="auto"/>
                        <w:right w:val="none" w:sz="0" w:space="0" w:color="auto"/>
                      </w:divBdr>
                    </w:div>
                    <w:div w:id="1381242544">
                      <w:marLeft w:val="0"/>
                      <w:marRight w:val="0"/>
                      <w:marTop w:val="0"/>
                      <w:marBottom w:val="0"/>
                      <w:divBdr>
                        <w:top w:val="none" w:sz="0" w:space="0" w:color="auto"/>
                        <w:left w:val="none" w:sz="0" w:space="0" w:color="auto"/>
                        <w:bottom w:val="none" w:sz="0" w:space="0" w:color="auto"/>
                        <w:right w:val="none" w:sz="0" w:space="0" w:color="auto"/>
                      </w:divBdr>
                    </w:div>
                    <w:div w:id="1384409670">
                      <w:marLeft w:val="0"/>
                      <w:marRight w:val="0"/>
                      <w:marTop w:val="0"/>
                      <w:marBottom w:val="0"/>
                      <w:divBdr>
                        <w:top w:val="none" w:sz="0" w:space="0" w:color="auto"/>
                        <w:left w:val="none" w:sz="0" w:space="0" w:color="auto"/>
                        <w:bottom w:val="none" w:sz="0" w:space="0" w:color="auto"/>
                        <w:right w:val="none" w:sz="0" w:space="0" w:color="auto"/>
                      </w:divBdr>
                    </w:div>
                    <w:div w:id="1564678624">
                      <w:marLeft w:val="0"/>
                      <w:marRight w:val="0"/>
                      <w:marTop w:val="0"/>
                      <w:marBottom w:val="0"/>
                      <w:divBdr>
                        <w:top w:val="none" w:sz="0" w:space="0" w:color="auto"/>
                        <w:left w:val="none" w:sz="0" w:space="0" w:color="auto"/>
                        <w:bottom w:val="none" w:sz="0" w:space="0" w:color="auto"/>
                        <w:right w:val="none" w:sz="0" w:space="0" w:color="auto"/>
                      </w:divBdr>
                    </w:div>
                    <w:div w:id="1642685413">
                      <w:marLeft w:val="0"/>
                      <w:marRight w:val="0"/>
                      <w:marTop w:val="0"/>
                      <w:marBottom w:val="0"/>
                      <w:divBdr>
                        <w:top w:val="none" w:sz="0" w:space="0" w:color="auto"/>
                        <w:left w:val="none" w:sz="0" w:space="0" w:color="auto"/>
                        <w:bottom w:val="none" w:sz="0" w:space="0" w:color="auto"/>
                        <w:right w:val="none" w:sz="0" w:space="0" w:color="auto"/>
                      </w:divBdr>
                    </w:div>
                    <w:div w:id="1681857850">
                      <w:marLeft w:val="0"/>
                      <w:marRight w:val="0"/>
                      <w:marTop w:val="0"/>
                      <w:marBottom w:val="0"/>
                      <w:divBdr>
                        <w:top w:val="none" w:sz="0" w:space="0" w:color="auto"/>
                        <w:left w:val="none" w:sz="0" w:space="0" w:color="auto"/>
                        <w:bottom w:val="none" w:sz="0" w:space="0" w:color="auto"/>
                        <w:right w:val="none" w:sz="0" w:space="0" w:color="auto"/>
                      </w:divBdr>
                    </w:div>
                    <w:div w:id="1681926650">
                      <w:marLeft w:val="0"/>
                      <w:marRight w:val="0"/>
                      <w:marTop w:val="0"/>
                      <w:marBottom w:val="0"/>
                      <w:divBdr>
                        <w:top w:val="none" w:sz="0" w:space="0" w:color="auto"/>
                        <w:left w:val="none" w:sz="0" w:space="0" w:color="auto"/>
                        <w:bottom w:val="none" w:sz="0" w:space="0" w:color="auto"/>
                        <w:right w:val="none" w:sz="0" w:space="0" w:color="auto"/>
                      </w:divBdr>
                    </w:div>
                    <w:div w:id="1776901545">
                      <w:marLeft w:val="0"/>
                      <w:marRight w:val="0"/>
                      <w:marTop w:val="0"/>
                      <w:marBottom w:val="0"/>
                      <w:divBdr>
                        <w:top w:val="none" w:sz="0" w:space="0" w:color="auto"/>
                        <w:left w:val="none" w:sz="0" w:space="0" w:color="auto"/>
                        <w:bottom w:val="none" w:sz="0" w:space="0" w:color="auto"/>
                        <w:right w:val="none" w:sz="0" w:space="0" w:color="auto"/>
                      </w:divBdr>
                    </w:div>
                  </w:divsChild>
                </w:div>
                <w:div w:id="339965416">
                  <w:marLeft w:val="0"/>
                  <w:marRight w:val="0"/>
                  <w:marTop w:val="0"/>
                  <w:marBottom w:val="0"/>
                  <w:divBdr>
                    <w:top w:val="none" w:sz="0" w:space="0" w:color="auto"/>
                    <w:left w:val="none" w:sz="0" w:space="0" w:color="auto"/>
                    <w:bottom w:val="none" w:sz="0" w:space="0" w:color="auto"/>
                    <w:right w:val="none" w:sz="0" w:space="0" w:color="auto"/>
                  </w:divBdr>
                  <w:divsChild>
                    <w:div w:id="79377666">
                      <w:marLeft w:val="0"/>
                      <w:marRight w:val="0"/>
                      <w:marTop w:val="0"/>
                      <w:marBottom w:val="0"/>
                      <w:divBdr>
                        <w:top w:val="none" w:sz="0" w:space="0" w:color="auto"/>
                        <w:left w:val="none" w:sz="0" w:space="0" w:color="auto"/>
                        <w:bottom w:val="none" w:sz="0" w:space="0" w:color="auto"/>
                        <w:right w:val="none" w:sz="0" w:space="0" w:color="auto"/>
                      </w:divBdr>
                    </w:div>
                  </w:divsChild>
                </w:div>
                <w:div w:id="344138430">
                  <w:marLeft w:val="0"/>
                  <w:marRight w:val="0"/>
                  <w:marTop w:val="0"/>
                  <w:marBottom w:val="0"/>
                  <w:divBdr>
                    <w:top w:val="none" w:sz="0" w:space="0" w:color="auto"/>
                    <w:left w:val="none" w:sz="0" w:space="0" w:color="auto"/>
                    <w:bottom w:val="none" w:sz="0" w:space="0" w:color="auto"/>
                    <w:right w:val="none" w:sz="0" w:space="0" w:color="auto"/>
                  </w:divBdr>
                  <w:divsChild>
                    <w:div w:id="654989736">
                      <w:marLeft w:val="0"/>
                      <w:marRight w:val="0"/>
                      <w:marTop w:val="0"/>
                      <w:marBottom w:val="0"/>
                      <w:divBdr>
                        <w:top w:val="none" w:sz="0" w:space="0" w:color="auto"/>
                        <w:left w:val="none" w:sz="0" w:space="0" w:color="auto"/>
                        <w:bottom w:val="none" w:sz="0" w:space="0" w:color="auto"/>
                        <w:right w:val="none" w:sz="0" w:space="0" w:color="auto"/>
                      </w:divBdr>
                    </w:div>
                    <w:div w:id="708800070">
                      <w:marLeft w:val="0"/>
                      <w:marRight w:val="0"/>
                      <w:marTop w:val="0"/>
                      <w:marBottom w:val="0"/>
                      <w:divBdr>
                        <w:top w:val="none" w:sz="0" w:space="0" w:color="auto"/>
                        <w:left w:val="none" w:sz="0" w:space="0" w:color="auto"/>
                        <w:bottom w:val="none" w:sz="0" w:space="0" w:color="auto"/>
                        <w:right w:val="none" w:sz="0" w:space="0" w:color="auto"/>
                      </w:divBdr>
                    </w:div>
                    <w:div w:id="912201202">
                      <w:marLeft w:val="0"/>
                      <w:marRight w:val="0"/>
                      <w:marTop w:val="0"/>
                      <w:marBottom w:val="0"/>
                      <w:divBdr>
                        <w:top w:val="none" w:sz="0" w:space="0" w:color="auto"/>
                        <w:left w:val="none" w:sz="0" w:space="0" w:color="auto"/>
                        <w:bottom w:val="none" w:sz="0" w:space="0" w:color="auto"/>
                        <w:right w:val="none" w:sz="0" w:space="0" w:color="auto"/>
                      </w:divBdr>
                    </w:div>
                    <w:div w:id="1138959795">
                      <w:marLeft w:val="0"/>
                      <w:marRight w:val="0"/>
                      <w:marTop w:val="0"/>
                      <w:marBottom w:val="0"/>
                      <w:divBdr>
                        <w:top w:val="none" w:sz="0" w:space="0" w:color="auto"/>
                        <w:left w:val="none" w:sz="0" w:space="0" w:color="auto"/>
                        <w:bottom w:val="none" w:sz="0" w:space="0" w:color="auto"/>
                        <w:right w:val="none" w:sz="0" w:space="0" w:color="auto"/>
                      </w:divBdr>
                    </w:div>
                    <w:div w:id="1220551999">
                      <w:marLeft w:val="0"/>
                      <w:marRight w:val="0"/>
                      <w:marTop w:val="0"/>
                      <w:marBottom w:val="0"/>
                      <w:divBdr>
                        <w:top w:val="none" w:sz="0" w:space="0" w:color="auto"/>
                        <w:left w:val="none" w:sz="0" w:space="0" w:color="auto"/>
                        <w:bottom w:val="none" w:sz="0" w:space="0" w:color="auto"/>
                        <w:right w:val="none" w:sz="0" w:space="0" w:color="auto"/>
                      </w:divBdr>
                    </w:div>
                    <w:div w:id="1372805724">
                      <w:marLeft w:val="0"/>
                      <w:marRight w:val="0"/>
                      <w:marTop w:val="0"/>
                      <w:marBottom w:val="0"/>
                      <w:divBdr>
                        <w:top w:val="none" w:sz="0" w:space="0" w:color="auto"/>
                        <w:left w:val="none" w:sz="0" w:space="0" w:color="auto"/>
                        <w:bottom w:val="none" w:sz="0" w:space="0" w:color="auto"/>
                        <w:right w:val="none" w:sz="0" w:space="0" w:color="auto"/>
                      </w:divBdr>
                    </w:div>
                    <w:div w:id="1463646370">
                      <w:marLeft w:val="0"/>
                      <w:marRight w:val="0"/>
                      <w:marTop w:val="0"/>
                      <w:marBottom w:val="0"/>
                      <w:divBdr>
                        <w:top w:val="none" w:sz="0" w:space="0" w:color="auto"/>
                        <w:left w:val="none" w:sz="0" w:space="0" w:color="auto"/>
                        <w:bottom w:val="none" w:sz="0" w:space="0" w:color="auto"/>
                        <w:right w:val="none" w:sz="0" w:space="0" w:color="auto"/>
                      </w:divBdr>
                    </w:div>
                    <w:div w:id="1885483469">
                      <w:marLeft w:val="0"/>
                      <w:marRight w:val="0"/>
                      <w:marTop w:val="0"/>
                      <w:marBottom w:val="0"/>
                      <w:divBdr>
                        <w:top w:val="none" w:sz="0" w:space="0" w:color="auto"/>
                        <w:left w:val="none" w:sz="0" w:space="0" w:color="auto"/>
                        <w:bottom w:val="none" w:sz="0" w:space="0" w:color="auto"/>
                        <w:right w:val="none" w:sz="0" w:space="0" w:color="auto"/>
                      </w:divBdr>
                    </w:div>
                  </w:divsChild>
                </w:div>
                <w:div w:id="383409397">
                  <w:marLeft w:val="0"/>
                  <w:marRight w:val="0"/>
                  <w:marTop w:val="0"/>
                  <w:marBottom w:val="0"/>
                  <w:divBdr>
                    <w:top w:val="none" w:sz="0" w:space="0" w:color="auto"/>
                    <w:left w:val="none" w:sz="0" w:space="0" w:color="auto"/>
                    <w:bottom w:val="none" w:sz="0" w:space="0" w:color="auto"/>
                    <w:right w:val="none" w:sz="0" w:space="0" w:color="auto"/>
                  </w:divBdr>
                  <w:divsChild>
                    <w:div w:id="36898250">
                      <w:marLeft w:val="0"/>
                      <w:marRight w:val="0"/>
                      <w:marTop w:val="0"/>
                      <w:marBottom w:val="0"/>
                      <w:divBdr>
                        <w:top w:val="none" w:sz="0" w:space="0" w:color="auto"/>
                        <w:left w:val="none" w:sz="0" w:space="0" w:color="auto"/>
                        <w:bottom w:val="none" w:sz="0" w:space="0" w:color="auto"/>
                        <w:right w:val="none" w:sz="0" w:space="0" w:color="auto"/>
                      </w:divBdr>
                    </w:div>
                    <w:div w:id="49618009">
                      <w:marLeft w:val="0"/>
                      <w:marRight w:val="0"/>
                      <w:marTop w:val="0"/>
                      <w:marBottom w:val="0"/>
                      <w:divBdr>
                        <w:top w:val="none" w:sz="0" w:space="0" w:color="auto"/>
                        <w:left w:val="none" w:sz="0" w:space="0" w:color="auto"/>
                        <w:bottom w:val="none" w:sz="0" w:space="0" w:color="auto"/>
                        <w:right w:val="none" w:sz="0" w:space="0" w:color="auto"/>
                      </w:divBdr>
                    </w:div>
                    <w:div w:id="110128838">
                      <w:marLeft w:val="0"/>
                      <w:marRight w:val="0"/>
                      <w:marTop w:val="0"/>
                      <w:marBottom w:val="0"/>
                      <w:divBdr>
                        <w:top w:val="none" w:sz="0" w:space="0" w:color="auto"/>
                        <w:left w:val="none" w:sz="0" w:space="0" w:color="auto"/>
                        <w:bottom w:val="none" w:sz="0" w:space="0" w:color="auto"/>
                        <w:right w:val="none" w:sz="0" w:space="0" w:color="auto"/>
                      </w:divBdr>
                    </w:div>
                    <w:div w:id="181407283">
                      <w:marLeft w:val="0"/>
                      <w:marRight w:val="0"/>
                      <w:marTop w:val="0"/>
                      <w:marBottom w:val="0"/>
                      <w:divBdr>
                        <w:top w:val="none" w:sz="0" w:space="0" w:color="auto"/>
                        <w:left w:val="none" w:sz="0" w:space="0" w:color="auto"/>
                        <w:bottom w:val="none" w:sz="0" w:space="0" w:color="auto"/>
                        <w:right w:val="none" w:sz="0" w:space="0" w:color="auto"/>
                      </w:divBdr>
                    </w:div>
                    <w:div w:id="333068862">
                      <w:marLeft w:val="0"/>
                      <w:marRight w:val="0"/>
                      <w:marTop w:val="0"/>
                      <w:marBottom w:val="0"/>
                      <w:divBdr>
                        <w:top w:val="none" w:sz="0" w:space="0" w:color="auto"/>
                        <w:left w:val="none" w:sz="0" w:space="0" w:color="auto"/>
                        <w:bottom w:val="none" w:sz="0" w:space="0" w:color="auto"/>
                        <w:right w:val="none" w:sz="0" w:space="0" w:color="auto"/>
                      </w:divBdr>
                    </w:div>
                    <w:div w:id="366761735">
                      <w:marLeft w:val="0"/>
                      <w:marRight w:val="0"/>
                      <w:marTop w:val="0"/>
                      <w:marBottom w:val="0"/>
                      <w:divBdr>
                        <w:top w:val="none" w:sz="0" w:space="0" w:color="auto"/>
                        <w:left w:val="none" w:sz="0" w:space="0" w:color="auto"/>
                        <w:bottom w:val="none" w:sz="0" w:space="0" w:color="auto"/>
                        <w:right w:val="none" w:sz="0" w:space="0" w:color="auto"/>
                      </w:divBdr>
                    </w:div>
                    <w:div w:id="373971052">
                      <w:marLeft w:val="0"/>
                      <w:marRight w:val="0"/>
                      <w:marTop w:val="0"/>
                      <w:marBottom w:val="0"/>
                      <w:divBdr>
                        <w:top w:val="none" w:sz="0" w:space="0" w:color="auto"/>
                        <w:left w:val="none" w:sz="0" w:space="0" w:color="auto"/>
                        <w:bottom w:val="none" w:sz="0" w:space="0" w:color="auto"/>
                        <w:right w:val="none" w:sz="0" w:space="0" w:color="auto"/>
                      </w:divBdr>
                    </w:div>
                    <w:div w:id="410129563">
                      <w:marLeft w:val="0"/>
                      <w:marRight w:val="0"/>
                      <w:marTop w:val="0"/>
                      <w:marBottom w:val="0"/>
                      <w:divBdr>
                        <w:top w:val="none" w:sz="0" w:space="0" w:color="auto"/>
                        <w:left w:val="none" w:sz="0" w:space="0" w:color="auto"/>
                        <w:bottom w:val="none" w:sz="0" w:space="0" w:color="auto"/>
                        <w:right w:val="none" w:sz="0" w:space="0" w:color="auto"/>
                      </w:divBdr>
                    </w:div>
                    <w:div w:id="487400043">
                      <w:marLeft w:val="0"/>
                      <w:marRight w:val="0"/>
                      <w:marTop w:val="0"/>
                      <w:marBottom w:val="0"/>
                      <w:divBdr>
                        <w:top w:val="none" w:sz="0" w:space="0" w:color="auto"/>
                        <w:left w:val="none" w:sz="0" w:space="0" w:color="auto"/>
                        <w:bottom w:val="none" w:sz="0" w:space="0" w:color="auto"/>
                        <w:right w:val="none" w:sz="0" w:space="0" w:color="auto"/>
                      </w:divBdr>
                    </w:div>
                    <w:div w:id="526872430">
                      <w:marLeft w:val="0"/>
                      <w:marRight w:val="0"/>
                      <w:marTop w:val="0"/>
                      <w:marBottom w:val="0"/>
                      <w:divBdr>
                        <w:top w:val="none" w:sz="0" w:space="0" w:color="auto"/>
                        <w:left w:val="none" w:sz="0" w:space="0" w:color="auto"/>
                        <w:bottom w:val="none" w:sz="0" w:space="0" w:color="auto"/>
                        <w:right w:val="none" w:sz="0" w:space="0" w:color="auto"/>
                      </w:divBdr>
                    </w:div>
                    <w:div w:id="571695970">
                      <w:marLeft w:val="0"/>
                      <w:marRight w:val="0"/>
                      <w:marTop w:val="0"/>
                      <w:marBottom w:val="0"/>
                      <w:divBdr>
                        <w:top w:val="none" w:sz="0" w:space="0" w:color="auto"/>
                        <w:left w:val="none" w:sz="0" w:space="0" w:color="auto"/>
                        <w:bottom w:val="none" w:sz="0" w:space="0" w:color="auto"/>
                        <w:right w:val="none" w:sz="0" w:space="0" w:color="auto"/>
                      </w:divBdr>
                    </w:div>
                    <w:div w:id="811944545">
                      <w:marLeft w:val="0"/>
                      <w:marRight w:val="0"/>
                      <w:marTop w:val="0"/>
                      <w:marBottom w:val="0"/>
                      <w:divBdr>
                        <w:top w:val="none" w:sz="0" w:space="0" w:color="auto"/>
                        <w:left w:val="none" w:sz="0" w:space="0" w:color="auto"/>
                        <w:bottom w:val="none" w:sz="0" w:space="0" w:color="auto"/>
                        <w:right w:val="none" w:sz="0" w:space="0" w:color="auto"/>
                      </w:divBdr>
                    </w:div>
                    <w:div w:id="860510759">
                      <w:marLeft w:val="0"/>
                      <w:marRight w:val="0"/>
                      <w:marTop w:val="0"/>
                      <w:marBottom w:val="0"/>
                      <w:divBdr>
                        <w:top w:val="none" w:sz="0" w:space="0" w:color="auto"/>
                        <w:left w:val="none" w:sz="0" w:space="0" w:color="auto"/>
                        <w:bottom w:val="none" w:sz="0" w:space="0" w:color="auto"/>
                        <w:right w:val="none" w:sz="0" w:space="0" w:color="auto"/>
                      </w:divBdr>
                    </w:div>
                    <w:div w:id="866017930">
                      <w:marLeft w:val="0"/>
                      <w:marRight w:val="0"/>
                      <w:marTop w:val="0"/>
                      <w:marBottom w:val="0"/>
                      <w:divBdr>
                        <w:top w:val="none" w:sz="0" w:space="0" w:color="auto"/>
                        <w:left w:val="none" w:sz="0" w:space="0" w:color="auto"/>
                        <w:bottom w:val="none" w:sz="0" w:space="0" w:color="auto"/>
                        <w:right w:val="none" w:sz="0" w:space="0" w:color="auto"/>
                      </w:divBdr>
                    </w:div>
                    <w:div w:id="975918690">
                      <w:marLeft w:val="0"/>
                      <w:marRight w:val="0"/>
                      <w:marTop w:val="0"/>
                      <w:marBottom w:val="0"/>
                      <w:divBdr>
                        <w:top w:val="none" w:sz="0" w:space="0" w:color="auto"/>
                        <w:left w:val="none" w:sz="0" w:space="0" w:color="auto"/>
                        <w:bottom w:val="none" w:sz="0" w:space="0" w:color="auto"/>
                        <w:right w:val="none" w:sz="0" w:space="0" w:color="auto"/>
                      </w:divBdr>
                    </w:div>
                    <w:div w:id="994067194">
                      <w:marLeft w:val="0"/>
                      <w:marRight w:val="0"/>
                      <w:marTop w:val="0"/>
                      <w:marBottom w:val="0"/>
                      <w:divBdr>
                        <w:top w:val="none" w:sz="0" w:space="0" w:color="auto"/>
                        <w:left w:val="none" w:sz="0" w:space="0" w:color="auto"/>
                        <w:bottom w:val="none" w:sz="0" w:space="0" w:color="auto"/>
                        <w:right w:val="none" w:sz="0" w:space="0" w:color="auto"/>
                      </w:divBdr>
                    </w:div>
                    <w:div w:id="1111819055">
                      <w:marLeft w:val="0"/>
                      <w:marRight w:val="0"/>
                      <w:marTop w:val="0"/>
                      <w:marBottom w:val="0"/>
                      <w:divBdr>
                        <w:top w:val="none" w:sz="0" w:space="0" w:color="auto"/>
                        <w:left w:val="none" w:sz="0" w:space="0" w:color="auto"/>
                        <w:bottom w:val="none" w:sz="0" w:space="0" w:color="auto"/>
                        <w:right w:val="none" w:sz="0" w:space="0" w:color="auto"/>
                      </w:divBdr>
                    </w:div>
                    <w:div w:id="1190297088">
                      <w:marLeft w:val="0"/>
                      <w:marRight w:val="0"/>
                      <w:marTop w:val="0"/>
                      <w:marBottom w:val="0"/>
                      <w:divBdr>
                        <w:top w:val="none" w:sz="0" w:space="0" w:color="auto"/>
                        <w:left w:val="none" w:sz="0" w:space="0" w:color="auto"/>
                        <w:bottom w:val="none" w:sz="0" w:space="0" w:color="auto"/>
                        <w:right w:val="none" w:sz="0" w:space="0" w:color="auto"/>
                      </w:divBdr>
                    </w:div>
                    <w:div w:id="1192575136">
                      <w:marLeft w:val="0"/>
                      <w:marRight w:val="0"/>
                      <w:marTop w:val="0"/>
                      <w:marBottom w:val="0"/>
                      <w:divBdr>
                        <w:top w:val="none" w:sz="0" w:space="0" w:color="auto"/>
                        <w:left w:val="none" w:sz="0" w:space="0" w:color="auto"/>
                        <w:bottom w:val="none" w:sz="0" w:space="0" w:color="auto"/>
                        <w:right w:val="none" w:sz="0" w:space="0" w:color="auto"/>
                      </w:divBdr>
                    </w:div>
                    <w:div w:id="1217353702">
                      <w:marLeft w:val="0"/>
                      <w:marRight w:val="0"/>
                      <w:marTop w:val="0"/>
                      <w:marBottom w:val="0"/>
                      <w:divBdr>
                        <w:top w:val="none" w:sz="0" w:space="0" w:color="auto"/>
                        <w:left w:val="none" w:sz="0" w:space="0" w:color="auto"/>
                        <w:bottom w:val="none" w:sz="0" w:space="0" w:color="auto"/>
                        <w:right w:val="none" w:sz="0" w:space="0" w:color="auto"/>
                      </w:divBdr>
                    </w:div>
                    <w:div w:id="1267228970">
                      <w:marLeft w:val="0"/>
                      <w:marRight w:val="0"/>
                      <w:marTop w:val="0"/>
                      <w:marBottom w:val="0"/>
                      <w:divBdr>
                        <w:top w:val="none" w:sz="0" w:space="0" w:color="auto"/>
                        <w:left w:val="none" w:sz="0" w:space="0" w:color="auto"/>
                        <w:bottom w:val="none" w:sz="0" w:space="0" w:color="auto"/>
                        <w:right w:val="none" w:sz="0" w:space="0" w:color="auto"/>
                      </w:divBdr>
                    </w:div>
                    <w:div w:id="1293439393">
                      <w:marLeft w:val="0"/>
                      <w:marRight w:val="0"/>
                      <w:marTop w:val="0"/>
                      <w:marBottom w:val="0"/>
                      <w:divBdr>
                        <w:top w:val="none" w:sz="0" w:space="0" w:color="auto"/>
                        <w:left w:val="none" w:sz="0" w:space="0" w:color="auto"/>
                        <w:bottom w:val="none" w:sz="0" w:space="0" w:color="auto"/>
                        <w:right w:val="none" w:sz="0" w:space="0" w:color="auto"/>
                      </w:divBdr>
                    </w:div>
                    <w:div w:id="1336033360">
                      <w:marLeft w:val="0"/>
                      <w:marRight w:val="0"/>
                      <w:marTop w:val="0"/>
                      <w:marBottom w:val="0"/>
                      <w:divBdr>
                        <w:top w:val="none" w:sz="0" w:space="0" w:color="auto"/>
                        <w:left w:val="none" w:sz="0" w:space="0" w:color="auto"/>
                        <w:bottom w:val="none" w:sz="0" w:space="0" w:color="auto"/>
                        <w:right w:val="none" w:sz="0" w:space="0" w:color="auto"/>
                      </w:divBdr>
                    </w:div>
                    <w:div w:id="1355422336">
                      <w:marLeft w:val="0"/>
                      <w:marRight w:val="0"/>
                      <w:marTop w:val="0"/>
                      <w:marBottom w:val="0"/>
                      <w:divBdr>
                        <w:top w:val="none" w:sz="0" w:space="0" w:color="auto"/>
                        <w:left w:val="none" w:sz="0" w:space="0" w:color="auto"/>
                        <w:bottom w:val="none" w:sz="0" w:space="0" w:color="auto"/>
                        <w:right w:val="none" w:sz="0" w:space="0" w:color="auto"/>
                      </w:divBdr>
                    </w:div>
                    <w:div w:id="1382052432">
                      <w:marLeft w:val="0"/>
                      <w:marRight w:val="0"/>
                      <w:marTop w:val="0"/>
                      <w:marBottom w:val="0"/>
                      <w:divBdr>
                        <w:top w:val="none" w:sz="0" w:space="0" w:color="auto"/>
                        <w:left w:val="none" w:sz="0" w:space="0" w:color="auto"/>
                        <w:bottom w:val="none" w:sz="0" w:space="0" w:color="auto"/>
                        <w:right w:val="none" w:sz="0" w:space="0" w:color="auto"/>
                      </w:divBdr>
                    </w:div>
                    <w:div w:id="1555391436">
                      <w:marLeft w:val="0"/>
                      <w:marRight w:val="0"/>
                      <w:marTop w:val="0"/>
                      <w:marBottom w:val="0"/>
                      <w:divBdr>
                        <w:top w:val="none" w:sz="0" w:space="0" w:color="auto"/>
                        <w:left w:val="none" w:sz="0" w:space="0" w:color="auto"/>
                        <w:bottom w:val="none" w:sz="0" w:space="0" w:color="auto"/>
                        <w:right w:val="none" w:sz="0" w:space="0" w:color="auto"/>
                      </w:divBdr>
                    </w:div>
                    <w:div w:id="1703550112">
                      <w:marLeft w:val="0"/>
                      <w:marRight w:val="0"/>
                      <w:marTop w:val="0"/>
                      <w:marBottom w:val="0"/>
                      <w:divBdr>
                        <w:top w:val="none" w:sz="0" w:space="0" w:color="auto"/>
                        <w:left w:val="none" w:sz="0" w:space="0" w:color="auto"/>
                        <w:bottom w:val="none" w:sz="0" w:space="0" w:color="auto"/>
                        <w:right w:val="none" w:sz="0" w:space="0" w:color="auto"/>
                      </w:divBdr>
                    </w:div>
                    <w:div w:id="1837722820">
                      <w:marLeft w:val="0"/>
                      <w:marRight w:val="0"/>
                      <w:marTop w:val="0"/>
                      <w:marBottom w:val="0"/>
                      <w:divBdr>
                        <w:top w:val="none" w:sz="0" w:space="0" w:color="auto"/>
                        <w:left w:val="none" w:sz="0" w:space="0" w:color="auto"/>
                        <w:bottom w:val="none" w:sz="0" w:space="0" w:color="auto"/>
                        <w:right w:val="none" w:sz="0" w:space="0" w:color="auto"/>
                      </w:divBdr>
                    </w:div>
                    <w:div w:id="1881085765">
                      <w:marLeft w:val="0"/>
                      <w:marRight w:val="0"/>
                      <w:marTop w:val="0"/>
                      <w:marBottom w:val="0"/>
                      <w:divBdr>
                        <w:top w:val="none" w:sz="0" w:space="0" w:color="auto"/>
                        <w:left w:val="none" w:sz="0" w:space="0" w:color="auto"/>
                        <w:bottom w:val="none" w:sz="0" w:space="0" w:color="auto"/>
                        <w:right w:val="none" w:sz="0" w:space="0" w:color="auto"/>
                      </w:divBdr>
                    </w:div>
                    <w:div w:id="2070180769">
                      <w:marLeft w:val="0"/>
                      <w:marRight w:val="0"/>
                      <w:marTop w:val="0"/>
                      <w:marBottom w:val="0"/>
                      <w:divBdr>
                        <w:top w:val="none" w:sz="0" w:space="0" w:color="auto"/>
                        <w:left w:val="none" w:sz="0" w:space="0" w:color="auto"/>
                        <w:bottom w:val="none" w:sz="0" w:space="0" w:color="auto"/>
                        <w:right w:val="none" w:sz="0" w:space="0" w:color="auto"/>
                      </w:divBdr>
                    </w:div>
                  </w:divsChild>
                </w:div>
                <w:div w:id="390615689">
                  <w:marLeft w:val="0"/>
                  <w:marRight w:val="0"/>
                  <w:marTop w:val="0"/>
                  <w:marBottom w:val="0"/>
                  <w:divBdr>
                    <w:top w:val="none" w:sz="0" w:space="0" w:color="auto"/>
                    <w:left w:val="none" w:sz="0" w:space="0" w:color="auto"/>
                    <w:bottom w:val="none" w:sz="0" w:space="0" w:color="auto"/>
                    <w:right w:val="none" w:sz="0" w:space="0" w:color="auto"/>
                  </w:divBdr>
                  <w:divsChild>
                    <w:div w:id="1071540038">
                      <w:marLeft w:val="0"/>
                      <w:marRight w:val="0"/>
                      <w:marTop w:val="0"/>
                      <w:marBottom w:val="0"/>
                      <w:divBdr>
                        <w:top w:val="none" w:sz="0" w:space="0" w:color="auto"/>
                        <w:left w:val="none" w:sz="0" w:space="0" w:color="auto"/>
                        <w:bottom w:val="none" w:sz="0" w:space="0" w:color="auto"/>
                        <w:right w:val="none" w:sz="0" w:space="0" w:color="auto"/>
                      </w:divBdr>
                    </w:div>
                  </w:divsChild>
                </w:div>
                <w:div w:id="449588072">
                  <w:marLeft w:val="0"/>
                  <w:marRight w:val="0"/>
                  <w:marTop w:val="0"/>
                  <w:marBottom w:val="0"/>
                  <w:divBdr>
                    <w:top w:val="none" w:sz="0" w:space="0" w:color="auto"/>
                    <w:left w:val="none" w:sz="0" w:space="0" w:color="auto"/>
                    <w:bottom w:val="none" w:sz="0" w:space="0" w:color="auto"/>
                    <w:right w:val="none" w:sz="0" w:space="0" w:color="auto"/>
                  </w:divBdr>
                  <w:divsChild>
                    <w:div w:id="1047145669">
                      <w:marLeft w:val="0"/>
                      <w:marRight w:val="0"/>
                      <w:marTop w:val="0"/>
                      <w:marBottom w:val="0"/>
                      <w:divBdr>
                        <w:top w:val="none" w:sz="0" w:space="0" w:color="auto"/>
                        <w:left w:val="none" w:sz="0" w:space="0" w:color="auto"/>
                        <w:bottom w:val="none" w:sz="0" w:space="0" w:color="auto"/>
                        <w:right w:val="none" w:sz="0" w:space="0" w:color="auto"/>
                      </w:divBdr>
                    </w:div>
                  </w:divsChild>
                </w:div>
                <w:div w:id="617373852">
                  <w:marLeft w:val="0"/>
                  <w:marRight w:val="0"/>
                  <w:marTop w:val="0"/>
                  <w:marBottom w:val="0"/>
                  <w:divBdr>
                    <w:top w:val="none" w:sz="0" w:space="0" w:color="auto"/>
                    <w:left w:val="none" w:sz="0" w:space="0" w:color="auto"/>
                    <w:bottom w:val="none" w:sz="0" w:space="0" w:color="auto"/>
                    <w:right w:val="none" w:sz="0" w:space="0" w:color="auto"/>
                  </w:divBdr>
                  <w:divsChild>
                    <w:div w:id="517548409">
                      <w:marLeft w:val="0"/>
                      <w:marRight w:val="0"/>
                      <w:marTop w:val="0"/>
                      <w:marBottom w:val="0"/>
                      <w:divBdr>
                        <w:top w:val="none" w:sz="0" w:space="0" w:color="auto"/>
                        <w:left w:val="none" w:sz="0" w:space="0" w:color="auto"/>
                        <w:bottom w:val="none" w:sz="0" w:space="0" w:color="auto"/>
                        <w:right w:val="none" w:sz="0" w:space="0" w:color="auto"/>
                      </w:divBdr>
                    </w:div>
                    <w:div w:id="728267115">
                      <w:marLeft w:val="0"/>
                      <w:marRight w:val="0"/>
                      <w:marTop w:val="0"/>
                      <w:marBottom w:val="0"/>
                      <w:divBdr>
                        <w:top w:val="none" w:sz="0" w:space="0" w:color="auto"/>
                        <w:left w:val="none" w:sz="0" w:space="0" w:color="auto"/>
                        <w:bottom w:val="none" w:sz="0" w:space="0" w:color="auto"/>
                        <w:right w:val="none" w:sz="0" w:space="0" w:color="auto"/>
                      </w:divBdr>
                    </w:div>
                  </w:divsChild>
                </w:div>
                <w:div w:id="686256670">
                  <w:marLeft w:val="0"/>
                  <w:marRight w:val="0"/>
                  <w:marTop w:val="0"/>
                  <w:marBottom w:val="0"/>
                  <w:divBdr>
                    <w:top w:val="none" w:sz="0" w:space="0" w:color="auto"/>
                    <w:left w:val="none" w:sz="0" w:space="0" w:color="auto"/>
                    <w:bottom w:val="none" w:sz="0" w:space="0" w:color="auto"/>
                    <w:right w:val="none" w:sz="0" w:space="0" w:color="auto"/>
                  </w:divBdr>
                  <w:divsChild>
                    <w:div w:id="1757747967">
                      <w:marLeft w:val="0"/>
                      <w:marRight w:val="0"/>
                      <w:marTop w:val="0"/>
                      <w:marBottom w:val="0"/>
                      <w:divBdr>
                        <w:top w:val="none" w:sz="0" w:space="0" w:color="auto"/>
                        <w:left w:val="none" w:sz="0" w:space="0" w:color="auto"/>
                        <w:bottom w:val="none" w:sz="0" w:space="0" w:color="auto"/>
                        <w:right w:val="none" w:sz="0" w:space="0" w:color="auto"/>
                      </w:divBdr>
                    </w:div>
                    <w:div w:id="1935555677">
                      <w:marLeft w:val="0"/>
                      <w:marRight w:val="0"/>
                      <w:marTop w:val="0"/>
                      <w:marBottom w:val="0"/>
                      <w:divBdr>
                        <w:top w:val="none" w:sz="0" w:space="0" w:color="auto"/>
                        <w:left w:val="none" w:sz="0" w:space="0" w:color="auto"/>
                        <w:bottom w:val="none" w:sz="0" w:space="0" w:color="auto"/>
                        <w:right w:val="none" w:sz="0" w:space="0" w:color="auto"/>
                      </w:divBdr>
                    </w:div>
                  </w:divsChild>
                </w:div>
                <w:div w:id="693845913">
                  <w:marLeft w:val="0"/>
                  <w:marRight w:val="0"/>
                  <w:marTop w:val="0"/>
                  <w:marBottom w:val="0"/>
                  <w:divBdr>
                    <w:top w:val="none" w:sz="0" w:space="0" w:color="auto"/>
                    <w:left w:val="none" w:sz="0" w:space="0" w:color="auto"/>
                    <w:bottom w:val="none" w:sz="0" w:space="0" w:color="auto"/>
                    <w:right w:val="none" w:sz="0" w:space="0" w:color="auto"/>
                  </w:divBdr>
                  <w:divsChild>
                    <w:div w:id="1146043627">
                      <w:marLeft w:val="0"/>
                      <w:marRight w:val="0"/>
                      <w:marTop w:val="0"/>
                      <w:marBottom w:val="0"/>
                      <w:divBdr>
                        <w:top w:val="none" w:sz="0" w:space="0" w:color="auto"/>
                        <w:left w:val="none" w:sz="0" w:space="0" w:color="auto"/>
                        <w:bottom w:val="none" w:sz="0" w:space="0" w:color="auto"/>
                        <w:right w:val="none" w:sz="0" w:space="0" w:color="auto"/>
                      </w:divBdr>
                    </w:div>
                  </w:divsChild>
                </w:div>
                <w:div w:id="704058511">
                  <w:marLeft w:val="0"/>
                  <w:marRight w:val="0"/>
                  <w:marTop w:val="0"/>
                  <w:marBottom w:val="0"/>
                  <w:divBdr>
                    <w:top w:val="none" w:sz="0" w:space="0" w:color="auto"/>
                    <w:left w:val="none" w:sz="0" w:space="0" w:color="auto"/>
                    <w:bottom w:val="none" w:sz="0" w:space="0" w:color="auto"/>
                    <w:right w:val="none" w:sz="0" w:space="0" w:color="auto"/>
                  </w:divBdr>
                  <w:divsChild>
                    <w:div w:id="712458783">
                      <w:marLeft w:val="0"/>
                      <w:marRight w:val="0"/>
                      <w:marTop w:val="0"/>
                      <w:marBottom w:val="0"/>
                      <w:divBdr>
                        <w:top w:val="none" w:sz="0" w:space="0" w:color="auto"/>
                        <w:left w:val="none" w:sz="0" w:space="0" w:color="auto"/>
                        <w:bottom w:val="none" w:sz="0" w:space="0" w:color="auto"/>
                        <w:right w:val="none" w:sz="0" w:space="0" w:color="auto"/>
                      </w:divBdr>
                    </w:div>
                    <w:div w:id="1081491599">
                      <w:marLeft w:val="0"/>
                      <w:marRight w:val="0"/>
                      <w:marTop w:val="0"/>
                      <w:marBottom w:val="0"/>
                      <w:divBdr>
                        <w:top w:val="none" w:sz="0" w:space="0" w:color="auto"/>
                        <w:left w:val="none" w:sz="0" w:space="0" w:color="auto"/>
                        <w:bottom w:val="none" w:sz="0" w:space="0" w:color="auto"/>
                        <w:right w:val="none" w:sz="0" w:space="0" w:color="auto"/>
                      </w:divBdr>
                    </w:div>
                    <w:div w:id="1367635304">
                      <w:marLeft w:val="0"/>
                      <w:marRight w:val="0"/>
                      <w:marTop w:val="0"/>
                      <w:marBottom w:val="0"/>
                      <w:divBdr>
                        <w:top w:val="none" w:sz="0" w:space="0" w:color="auto"/>
                        <w:left w:val="none" w:sz="0" w:space="0" w:color="auto"/>
                        <w:bottom w:val="none" w:sz="0" w:space="0" w:color="auto"/>
                        <w:right w:val="none" w:sz="0" w:space="0" w:color="auto"/>
                      </w:divBdr>
                    </w:div>
                    <w:div w:id="1419254470">
                      <w:marLeft w:val="0"/>
                      <w:marRight w:val="0"/>
                      <w:marTop w:val="0"/>
                      <w:marBottom w:val="0"/>
                      <w:divBdr>
                        <w:top w:val="none" w:sz="0" w:space="0" w:color="auto"/>
                        <w:left w:val="none" w:sz="0" w:space="0" w:color="auto"/>
                        <w:bottom w:val="none" w:sz="0" w:space="0" w:color="auto"/>
                        <w:right w:val="none" w:sz="0" w:space="0" w:color="auto"/>
                      </w:divBdr>
                    </w:div>
                    <w:div w:id="1858691371">
                      <w:marLeft w:val="0"/>
                      <w:marRight w:val="0"/>
                      <w:marTop w:val="0"/>
                      <w:marBottom w:val="0"/>
                      <w:divBdr>
                        <w:top w:val="none" w:sz="0" w:space="0" w:color="auto"/>
                        <w:left w:val="none" w:sz="0" w:space="0" w:color="auto"/>
                        <w:bottom w:val="none" w:sz="0" w:space="0" w:color="auto"/>
                        <w:right w:val="none" w:sz="0" w:space="0" w:color="auto"/>
                      </w:divBdr>
                    </w:div>
                  </w:divsChild>
                </w:div>
                <w:div w:id="718164063">
                  <w:marLeft w:val="0"/>
                  <w:marRight w:val="0"/>
                  <w:marTop w:val="0"/>
                  <w:marBottom w:val="0"/>
                  <w:divBdr>
                    <w:top w:val="none" w:sz="0" w:space="0" w:color="auto"/>
                    <w:left w:val="none" w:sz="0" w:space="0" w:color="auto"/>
                    <w:bottom w:val="none" w:sz="0" w:space="0" w:color="auto"/>
                    <w:right w:val="none" w:sz="0" w:space="0" w:color="auto"/>
                  </w:divBdr>
                  <w:divsChild>
                    <w:div w:id="1554660174">
                      <w:marLeft w:val="0"/>
                      <w:marRight w:val="0"/>
                      <w:marTop w:val="0"/>
                      <w:marBottom w:val="0"/>
                      <w:divBdr>
                        <w:top w:val="none" w:sz="0" w:space="0" w:color="auto"/>
                        <w:left w:val="none" w:sz="0" w:space="0" w:color="auto"/>
                        <w:bottom w:val="none" w:sz="0" w:space="0" w:color="auto"/>
                        <w:right w:val="none" w:sz="0" w:space="0" w:color="auto"/>
                      </w:divBdr>
                    </w:div>
                  </w:divsChild>
                </w:div>
                <w:div w:id="839345666">
                  <w:marLeft w:val="0"/>
                  <w:marRight w:val="0"/>
                  <w:marTop w:val="0"/>
                  <w:marBottom w:val="0"/>
                  <w:divBdr>
                    <w:top w:val="none" w:sz="0" w:space="0" w:color="auto"/>
                    <w:left w:val="none" w:sz="0" w:space="0" w:color="auto"/>
                    <w:bottom w:val="none" w:sz="0" w:space="0" w:color="auto"/>
                    <w:right w:val="none" w:sz="0" w:space="0" w:color="auto"/>
                  </w:divBdr>
                  <w:divsChild>
                    <w:div w:id="1250695835">
                      <w:marLeft w:val="0"/>
                      <w:marRight w:val="0"/>
                      <w:marTop w:val="0"/>
                      <w:marBottom w:val="0"/>
                      <w:divBdr>
                        <w:top w:val="none" w:sz="0" w:space="0" w:color="auto"/>
                        <w:left w:val="none" w:sz="0" w:space="0" w:color="auto"/>
                        <w:bottom w:val="none" w:sz="0" w:space="0" w:color="auto"/>
                        <w:right w:val="none" w:sz="0" w:space="0" w:color="auto"/>
                      </w:divBdr>
                    </w:div>
                  </w:divsChild>
                </w:div>
                <w:div w:id="983000335">
                  <w:marLeft w:val="0"/>
                  <w:marRight w:val="0"/>
                  <w:marTop w:val="0"/>
                  <w:marBottom w:val="0"/>
                  <w:divBdr>
                    <w:top w:val="none" w:sz="0" w:space="0" w:color="auto"/>
                    <w:left w:val="none" w:sz="0" w:space="0" w:color="auto"/>
                    <w:bottom w:val="none" w:sz="0" w:space="0" w:color="auto"/>
                    <w:right w:val="none" w:sz="0" w:space="0" w:color="auto"/>
                  </w:divBdr>
                  <w:divsChild>
                    <w:div w:id="269052503">
                      <w:marLeft w:val="0"/>
                      <w:marRight w:val="0"/>
                      <w:marTop w:val="0"/>
                      <w:marBottom w:val="0"/>
                      <w:divBdr>
                        <w:top w:val="none" w:sz="0" w:space="0" w:color="auto"/>
                        <w:left w:val="none" w:sz="0" w:space="0" w:color="auto"/>
                        <w:bottom w:val="none" w:sz="0" w:space="0" w:color="auto"/>
                        <w:right w:val="none" w:sz="0" w:space="0" w:color="auto"/>
                      </w:divBdr>
                    </w:div>
                    <w:div w:id="1070613092">
                      <w:marLeft w:val="0"/>
                      <w:marRight w:val="0"/>
                      <w:marTop w:val="0"/>
                      <w:marBottom w:val="0"/>
                      <w:divBdr>
                        <w:top w:val="none" w:sz="0" w:space="0" w:color="auto"/>
                        <w:left w:val="none" w:sz="0" w:space="0" w:color="auto"/>
                        <w:bottom w:val="none" w:sz="0" w:space="0" w:color="auto"/>
                        <w:right w:val="none" w:sz="0" w:space="0" w:color="auto"/>
                      </w:divBdr>
                    </w:div>
                  </w:divsChild>
                </w:div>
                <w:div w:id="995646937">
                  <w:marLeft w:val="0"/>
                  <w:marRight w:val="0"/>
                  <w:marTop w:val="0"/>
                  <w:marBottom w:val="0"/>
                  <w:divBdr>
                    <w:top w:val="none" w:sz="0" w:space="0" w:color="auto"/>
                    <w:left w:val="none" w:sz="0" w:space="0" w:color="auto"/>
                    <w:bottom w:val="none" w:sz="0" w:space="0" w:color="auto"/>
                    <w:right w:val="none" w:sz="0" w:space="0" w:color="auto"/>
                  </w:divBdr>
                  <w:divsChild>
                    <w:div w:id="458033507">
                      <w:marLeft w:val="0"/>
                      <w:marRight w:val="0"/>
                      <w:marTop w:val="0"/>
                      <w:marBottom w:val="0"/>
                      <w:divBdr>
                        <w:top w:val="none" w:sz="0" w:space="0" w:color="auto"/>
                        <w:left w:val="none" w:sz="0" w:space="0" w:color="auto"/>
                        <w:bottom w:val="none" w:sz="0" w:space="0" w:color="auto"/>
                        <w:right w:val="none" w:sz="0" w:space="0" w:color="auto"/>
                      </w:divBdr>
                    </w:div>
                    <w:div w:id="650988265">
                      <w:marLeft w:val="0"/>
                      <w:marRight w:val="0"/>
                      <w:marTop w:val="0"/>
                      <w:marBottom w:val="0"/>
                      <w:divBdr>
                        <w:top w:val="none" w:sz="0" w:space="0" w:color="auto"/>
                        <w:left w:val="none" w:sz="0" w:space="0" w:color="auto"/>
                        <w:bottom w:val="none" w:sz="0" w:space="0" w:color="auto"/>
                        <w:right w:val="none" w:sz="0" w:space="0" w:color="auto"/>
                      </w:divBdr>
                    </w:div>
                    <w:div w:id="1335113572">
                      <w:marLeft w:val="0"/>
                      <w:marRight w:val="0"/>
                      <w:marTop w:val="0"/>
                      <w:marBottom w:val="0"/>
                      <w:divBdr>
                        <w:top w:val="none" w:sz="0" w:space="0" w:color="auto"/>
                        <w:left w:val="none" w:sz="0" w:space="0" w:color="auto"/>
                        <w:bottom w:val="none" w:sz="0" w:space="0" w:color="auto"/>
                        <w:right w:val="none" w:sz="0" w:space="0" w:color="auto"/>
                      </w:divBdr>
                    </w:div>
                    <w:div w:id="1351906347">
                      <w:marLeft w:val="0"/>
                      <w:marRight w:val="0"/>
                      <w:marTop w:val="0"/>
                      <w:marBottom w:val="0"/>
                      <w:divBdr>
                        <w:top w:val="none" w:sz="0" w:space="0" w:color="auto"/>
                        <w:left w:val="none" w:sz="0" w:space="0" w:color="auto"/>
                        <w:bottom w:val="none" w:sz="0" w:space="0" w:color="auto"/>
                        <w:right w:val="none" w:sz="0" w:space="0" w:color="auto"/>
                      </w:divBdr>
                    </w:div>
                    <w:div w:id="1982685012">
                      <w:marLeft w:val="0"/>
                      <w:marRight w:val="0"/>
                      <w:marTop w:val="0"/>
                      <w:marBottom w:val="0"/>
                      <w:divBdr>
                        <w:top w:val="none" w:sz="0" w:space="0" w:color="auto"/>
                        <w:left w:val="none" w:sz="0" w:space="0" w:color="auto"/>
                        <w:bottom w:val="none" w:sz="0" w:space="0" w:color="auto"/>
                        <w:right w:val="none" w:sz="0" w:space="0" w:color="auto"/>
                      </w:divBdr>
                    </w:div>
                  </w:divsChild>
                </w:div>
                <w:div w:id="1024669598">
                  <w:marLeft w:val="0"/>
                  <w:marRight w:val="0"/>
                  <w:marTop w:val="0"/>
                  <w:marBottom w:val="0"/>
                  <w:divBdr>
                    <w:top w:val="none" w:sz="0" w:space="0" w:color="auto"/>
                    <w:left w:val="none" w:sz="0" w:space="0" w:color="auto"/>
                    <w:bottom w:val="none" w:sz="0" w:space="0" w:color="auto"/>
                    <w:right w:val="none" w:sz="0" w:space="0" w:color="auto"/>
                  </w:divBdr>
                  <w:divsChild>
                    <w:div w:id="1655064683">
                      <w:marLeft w:val="0"/>
                      <w:marRight w:val="0"/>
                      <w:marTop w:val="0"/>
                      <w:marBottom w:val="0"/>
                      <w:divBdr>
                        <w:top w:val="none" w:sz="0" w:space="0" w:color="auto"/>
                        <w:left w:val="none" w:sz="0" w:space="0" w:color="auto"/>
                        <w:bottom w:val="none" w:sz="0" w:space="0" w:color="auto"/>
                        <w:right w:val="none" w:sz="0" w:space="0" w:color="auto"/>
                      </w:divBdr>
                    </w:div>
                  </w:divsChild>
                </w:div>
                <w:div w:id="1053965936">
                  <w:marLeft w:val="0"/>
                  <w:marRight w:val="0"/>
                  <w:marTop w:val="0"/>
                  <w:marBottom w:val="0"/>
                  <w:divBdr>
                    <w:top w:val="none" w:sz="0" w:space="0" w:color="auto"/>
                    <w:left w:val="none" w:sz="0" w:space="0" w:color="auto"/>
                    <w:bottom w:val="none" w:sz="0" w:space="0" w:color="auto"/>
                    <w:right w:val="none" w:sz="0" w:space="0" w:color="auto"/>
                  </w:divBdr>
                  <w:divsChild>
                    <w:div w:id="394203062">
                      <w:marLeft w:val="0"/>
                      <w:marRight w:val="0"/>
                      <w:marTop w:val="0"/>
                      <w:marBottom w:val="0"/>
                      <w:divBdr>
                        <w:top w:val="none" w:sz="0" w:space="0" w:color="auto"/>
                        <w:left w:val="none" w:sz="0" w:space="0" w:color="auto"/>
                        <w:bottom w:val="none" w:sz="0" w:space="0" w:color="auto"/>
                        <w:right w:val="none" w:sz="0" w:space="0" w:color="auto"/>
                      </w:divBdr>
                    </w:div>
                    <w:div w:id="466244936">
                      <w:marLeft w:val="0"/>
                      <w:marRight w:val="0"/>
                      <w:marTop w:val="0"/>
                      <w:marBottom w:val="0"/>
                      <w:divBdr>
                        <w:top w:val="none" w:sz="0" w:space="0" w:color="auto"/>
                        <w:left w:val="none" w:sz="0" w:space="0" w:color="auto"/>
                        <w:bottom w:val="none" w:sz="0" w:space="0" w:color="auto"/>
                        <w:right w:val="none" w:sz="0" w:space="0" w:color="auto"/>
                      </w:divBdr>
                    </w:div>
                    <w:div w:id="513763396">
                      <w:marLeft w:val="0"/>
                      <w:marRight w:val="0"/>
                      <w:marTop w:val="0"/>
                      <w:marBottom w:val="0"/>
                      <w:divBdr>
                        <w:top w:val="none" w:sz="0" w:space="0" w:color="auto"/>
                        <w:left w:val="none" w:sz="0" w:space="0" w:color="auto"/>
                        <w:bottom w:val="none" w:sz="0" w:space="0" w:color="auto"/>
                        <w:right w:val="none" w:sz="0" w:space="0" w:color="auto"/>
                      </w:divBdr>
                    </w:div>
                    <w:div w:id="747389374">
                      <w:marLeft w:val="0"/>
                      <w:marRight w:val="0"/>
                      <w:marTop w:val="0"/>
                      <w:marBottom w:val="0"/>
                      <w:divBdr>
                        <w:top w:val="none" w:sz="0" w:space="0" w:color="auto"/>
                        <w:left w:val="none" w:sz="0" w:space="0" w:color="auto"/>
                        <w:bottom w:val="none" w:sz="0" w:space="0" w:color="auto"/>
                        <w:right w:val="none" w:sz="0" w:space="0" w:color="auto"/>
                      </w:divBdr>
                    </w:div>
                    <w:div w:id="920140406">
                      <w:marLeft w:val="0"/>
                      <w:marRight w:val="0"/>
                      <w:marTop w:val="0"/>
                      <w:marBottom w:val="0"/>
                      <w:divBdr>
                        <w:top w:val="none" w:sz="0" w:space="0" w:color="auto"/>
                        <w:left w:val="none" w:sz="0" w:space="0" w:color="auto"/>
                        <w:bottom w:val="none" w:sz="0" w:space="0" w:color="auto"/>
                        <w:right w:val="none" w:sz="0" w:space="0" w:color="auto"/>
                      </w:divBdr>
                    </w:div>
                    <w:div w:id="1076588440">
                      <w:marLeft w:val="0"/>
                      <w:marRight w:val="0"/>
                      <w:marTop w:val="0"/>
                      <w:marBottom w:val="0"/>
                      <w:divBdr>
                        <w:top w:val="none" w:sz="0" w:space="0" w:color="auto"/>
                        <w:left w:val="none" w:sz="0" w:space="0" w:color="auto"/>
                        <w:bottom w:val="none" w:sz="0" w:space="0" w:color="auto"/>
                        <w:right w:val="none" w:sz="0" w:space="0" w:color="auto"/>
                      </w:divBdr>
                    </w:div>
                    <w:div w:id="1175144791">
                      <w:marLeft w:val="0"/>
                      <w:marRight w:val="0"/>
                      <w:marTop w:val="0"/>
                      <w:marBottom w:val="0"/>
                      <w:divBdr>
                        <w:top w:val="none" w:sz="0" w:space="0" w:color="auto"/>
                        <w:left w:val="none" w:sz="0" w:space="0" w:color="auto"/>
                        <w:bottom w:val="none" w:sz="0" w:space="0" w:color="auto"/>
                        <w:right w:val="none" w:sz="0" w:space="0" w:color="auto"/>
                      </w:divBdr>
                    </w:div>
                    <w:div w:id="1231694491">
                      <w:marLeft w:val="0"/>
                      <w:marRight w:val="0"/>
                      <w:marTop w:val="0"/>
                      <w:marBottom w:val="0"/>
                      <w:divBdr>
                        <w:top w:val="none" w:sz="0" w:space="0" w:color="auto"/>
                        <w:left w:val="none" w:sz="0" w:space="0" w:color="auto"/>
                        <w:bottom w:val="none" w:sz="0" w:space="0" w:color="auto"/>
                        <w:right w:val="none" w:sz="0" w:space="0" w:color="auto"/>
                      </w:divBdr>
                    </w:div>
                    <w:div w:id="1337802341">
                      <w:marLeft w:val="0"/>
                      <w:marRight w:val="0"/>
                      <w:marTop w:val="0"/>
                      <w:marBottom w:val="0"/>
                      <w:divBdr>
                        <w:top w:val="none" w:sz="0" w:space="0" w:color="auto"/>
                        <w:left w:val="none" w:sz="0" w:space="0" w:color="auto"/>
                        <w:bottom w:val="none" w:sz="0" w:space="0" w:color="auto"/>
                        <w:right w:val="none" w:sz="0" w:space="0" w:color="auto"/>
                      </w:divBdr>
                    </w:div>
                  </w:divsChild>
                </w:div>
                <w:div w:id="1136263196">
                  <w:marLeft w:val="0"/>
                  <w:marRight w:val="0"/>
                  <w:marTop w:val="0"/>
                  <w:marBottom w:val="0"/>
                  <w:divBdr>
                    <w:top w:val="none" w:sz="0" w:space="0" w:color="auto"/>
                    <w:left w:val="none" w:sz="0" w:space="0" w:color="auto"/>
                    <w:bottom w:val="none" w:sz="0" w:space="0" w:color="auto"/>
                    <w:right w:val="none" w:sz="0" w:space="0" w:color="auto"/>
                  </w:divBdr>
                  <w:divsChild>
                    <w:div w:id="237138457">
                      <w:marLeft w:val="0"/>
                      <w:marRight w:val="0"/>
                      <w:marTop w:val="0"/>
                      <w:marBottom w:val="0"/>
                      <w:divBdr>
                        <w:top w:val="none" w:sz="0" w:space="0" w:color="auto"/>
                        <w:left w:val="none" w:sz="0" w:space="0" w:color="auto"/>
                        <w:bottom w:val="none" w:sz="0" w:space="0" w:color="auto"/>
                        <w:right w:val="none" w:sz="0" w:space="0" w:color="auto"/>
                      </w:divBdr>
                    </w:div>
                    <w:div w:id="1784420840">
                      <w:marLeft w:val="0"/>
                      <w:marRight w:val="0"/>
                      <w:marTop w:val="0"/>
                      <w:marBottom w:val="0"/>
                      <w:divBdr>
                        <w:top w:val="none" w:sz="0" w:space="0" w:color="auto"/>
                        <w:left w:val="none" w:sz="0" w:space="0" w:color="auto"/>
                        <w:bottom w:val="none" w:sz="0" w:space="0" w:color="auto"/>
                        <w:right w:val="none" w:sz="0" w:space="0" w:color="auto"/>
                      </w:divBdr>
                    </w:div>
                    <w:div w:id="1852210822">
                      <w:marLeft w:val="0"/>
                      <w:marRight w:val="0"/>
                      <w:marTop w:val="0"/>
                      <w:marBottom w:val="0"/>
                      <w:divBdr>
                        <w:top w:val="none" w:sz="0" w:space="0" w:color="auto"/>
                        <w:left w:val="none" w:sz="0" w:space="0" w:color="auto"/>
                        <w:bottom w:val="none" w:sz="0" w:space="0" w:color="auto"/>
                        <w:right w:val="none" w:sz="0" w:space="0" w:color="auto"/>
                      </w:divBdr>
                    </w:div>
                  </w:divsChild>
                </w:div>
                <w:div w:id="1143036106">
                  <w:marLeft w:val="0"/>
                  <w:marRight w:val="0"/>
                  <w:marTop w:val="0"/>
                  <w:marBottom w:val="0"/>
                  <w:divBdr>
                    <w:top w:val="none" w:sz="0" w:space="0" w:color="auto"/>
                    <w:left w:val="none" w:sz="0" w:space="0" w:color="auto"/>
                    <w:bottom w:val="none" w:sz="0" w:space="0" w:color="auto"/>
                    <w:right w:val="none" w:sz="0" w:space="0" w:color="auto"/>
                  </w:divBdr>
                  <w:divsChild>
                    <w:div w:id="299264733">
                      <w:marLeft w:val="0"/>
                      <w:marRight w:val="0"/>
                      <w:marTop w:val="0"/>
                      <w:marBottom w:val="0"/>
                      <w:divBdr>
                        <w:top w:val="none" w:sz="0" w:space="0" w:color="auto"/>
                        <w:left w:val="none" w:sz="0" w:space="0" w:color="auto"/>
                        <w:bottom w:val="none" w:sz="0" w:space="0" w:color="auto"/>
                        <w:right w:val="none" w:sz="0" w:space="0" w:color="auto"/>
                      </w:divBdr>
                    </w:div>
                    <w:div w:id="692465497">
                      <w:marLeft w:val="0"/>
                      <w:marRight w:val="0"/>
                      <w:marTop w:val="0"/>
                      <w:marBottom w:val="0"/>
                      <w:divBdr>
                        <w:top w:val="none" w:sz="0" w:space="0" w:color="auto"/>
                        <w:left w:val="none" w:sz="0" w:space="0" w:color="auto"/>
                        <w:bottom w:val="none" w:sz="0" w:space="0" w:color="auto"/>
                        <w:right w:val="none" w:sz="0" w:space="0" w:color="auto"/>
                      </w:divBdr>
                    </w:div>
                    <w:div w:id="1121725935">
                      <w:marLeft w:val="0"/>
                      <w:marRight w:val="0"/>
                      <w:marTop w:val="0"/>
                      <w:marBottom w:val="0"/>
                      <w:divBdr>
                        <w:top w:val="none" w:sz="0" w:space="0" w:color="auto"/>
                        <w:left w:val="none" w:sz="0" w:space="0" w:color="auto"/>
                        <w:bottom w:val="none" w:sz="0" w:space="0" w:color="auto"/>
                        <w:right w:val="none" w:sz="0" w:space="0" w:color="auto"/>
                      </w:divBdr>
                    </w:div>
                    <w:div w:id="1357584432">
                      <w:marLeft w:val="0"/>
                      <w:marRight w:val="0"/>
                      <w:marTop w:val="0"/>
                      <w:marBottom w:val="0"/>
                      <w:divBdr>
                        <w:top w:val="none" w:sz="0" w:space="0" w:color="auto"/>
                        <w:left w:val="none" w:sz="0" w:space="0" w:color="auto"/>
                        <w:bottom w:val="none" w:sz="0" w:space="0" w:color="auto"/>
                        <w:right w:val="none" w:sz="0" w:space="0" w:color="auto"/>
                      </w:divBdr>
                    </w:div>
                    <w:div w:id="1451322833">
                      <w:marLeft w:val="0"/>
                      <w:marRight w:val="0"/>
                      <w:marTop w:val="0"/>
                      <w:marBottom w:val="0"/>
                      <w:divBdr>
                        <w:top w:val="none" w:sz="0" w:space="0" w:color="auto"/>
                        <w:left w:val="none" w:sz="0" w:space="0" w:color="auto"/>
                        <w:bottom w:val="none" w:sz="0" w:space="0" w:color="auto"/>
                        <w:right w:val="none" w:sz="0" w:space="0" w:color="auto"/>
                      </w:divBdr>
                    </w:div>
                    <w:div w:id="1500659598">
                      <w:marLeft w:val="0"/>
                      <w:marRight w:val="0"/>
                      <w:marTop w:val="0"/>
                      <w:marBottom w:val="0"/>
                      <w:divBdr>
                        <w:top w:val="none" w:sz="0" w:space="0" w:color="auto"/>
                        <w:left w:val="none" w:sz="0" w:space="0" w:color="auto"/>
                        <w:bottom w:val="none" w:sz="0" w:space="0" w:color="auto"/>
                        <w:right w:val="none" w:sz="0" w:space="0" w:color="auto"/>
                      </w:divBdr>
                    </w:div>
                    <w:div w:id="1586569547">
                      <w:marLeft w:val="0"/>
                      <w:marRight w:val="0"/>
                      <w:marTop w:val="0"/>
                      <w:marBottom w:val="0"/>
                      <w:divBdr>
                        <w:top w:val="none" w:sz="0" w:space="0" w:color="auto"/>
                        <w:left w:val="none" w:sz="0" w:space="0" w:color="auto"/>
                        <w:bottom w:val="none" w:sz="0" w:space="0" w:color="auto"/>
                        <w:right w:val="none" w:sz="0" w:space="0" w:color="auto"/>
                      </w:divBdr>
                    </w:div>
                    <w:div w:id="1849176319">
                      <w:marLeft w:val="0"/>
                      <w:marRight w:val="0"/>
                      <w:marTop w:val="0"/>
                      <w:marBottom w:val="0"/>
                      <w:divBdr>
                        <w:top w:val="none" w:sz="0" w:space="0" w:color="auto"/>
                        <w:left w:val="none" w:sz="0" w:space="0" w:color="auto"/>
                        <w:bottom w:val="none" w:sz="0" w:space="0" w:color="auto"/>
                        <w:right w:val="none" w:sz="0" w:space="0" w:color="auto"/>
                      </w:divBdr>
                    </w:div>
                    <w:div w:id="1931505606">
                      <w:marLeft w:val="0"/>
                      <w:marRight w:val="0"/>
                      <w:marTop w:val="0"/>
                      <w:marBottom w:val="0"/>
                      <w:divBdr>
                        <w:top w:val="none" w:sz="0" w:space="0" w:color="auto"/>
                        <w:left w:val="none" w:sz="0" w:space="0" w:color="auto"/>
                        <w:bottom w:val="none" w:sz="0" w:space="0" w:color="auto"/>
                        <w:right w:val="none" w:sz="0" w:space="0" w:color="auto"/>
                      </w:divBdr>
                    </w:div>
                    <w:div w:id="2002848033">
                      <w:marLeft w:val="0"/>
                      <w:marRight w:val="0"/>
                      <w:marTop w:val="0"/>
                      <w:marBottom w:val="0"/>
                      <w:divBdr>
                        <w:top w:val="none" w:sz="0" w:space="0" w:color="auto"/>
                        <w:left w:val="none" w:sz="0" w:space="0" w:color="auto"/>
                        <w:bottom w:val="none" w:sz="0" w:space="0" w:color="auto"/>
                        <w:right w:val="none" w:sz="0" w:space="0" w:color="auto"/>
                      </w:divBdr>
                    </w:div>
                  </w:divsChild>
                </w:div>
                <w:div w:id="1199583812">
                  <w:marLeft w:val="0"/>
                  <w:marRight w:val="0"/>
                  <w:marTop w:val="0"/>
                  <w:marBottom w:val="0"/>
                  <w:divBdr>
                    <w:top w:val="none" w:sz="0" w:space="0" w:color="auto"/>
                    <w:left w:val="none" w:sz="0" w:space="0" w:color="auto"/>
                    <w:bottom w:val="none" w:sz="0" w:space="0" w:color="auto"/>
                    <w:right w:val="none" w:sz="0" w:space="0" w:color="auto"/>
                  </w:divBdr>
                  <w:divsChild>
                    <w:div w:id="59864357">
                      <w:marLeft w:val="0"/>
                      <w:marRight w:val="0"/>
                      <w:marTop w:val="0"/>
                      <w:marBottom w:val="0"/>
                      <w:divBdr>
                        <w:top w:val="none" w:sz="0" w:space="0" w:color="auto"/>
                        <w:left w:val="none" w:sz="0" w:space="0" w:color="auto"/>
                        <w:bottom w:val="none" w:sz="0" w:space="0" w:color="auto"/>
                        <w:right w:val="none" w:sz="0" w:space="0" w:color="auto"/>
                      </w:divBdr>
                    </w:div>
                    <w:div w:id="406196834">
                      <w:marLeft w:val="0"/>
                      <w:marRight w:val="0"/>
                      <w:marTop w:val="0"/>
                      <w:marBottom w:val="0"/>
                      <w:divBdr>
                        <w:top w:val="none" w:sz="0" w:space="0" w:color="auto"/>
                        <w:left w:val="none" w:sz="0" w:space="0" w:color="auto"/>
                        <w:bottom w:val="none" w:sz="0" w:space="0" w:color="auto"/>
                        <w:right w:val="none" w:sz="0" w:space="0" w:color="auto"/>
                      </w:divBdr>
                    </w:div>
                    <w:div w:id="407073723">
                      <w:marLeft w:val="0"/>
                      <w:marRight w:val="0"/>
                      <w:marTop w:val="0"/>
                      <w:marBottom w:val="0"/>
                      <w:divBdr>
                        <w:top w:val="none" w:sz="0" w:space="0" w:color="auto"/>
                        <w:left w:val="none" w:sz="0" w:space="0" w:color="auto"/>
                        <w:bottom w:val="none" w:sz="0" w:space="0" w:color="auto"/>
                        <w:right w:val="none" w:sz="0" w:space="0" w:color="auto"/>
                      </w:divBdr>
                    </w:div>
                    <w:div w:id="708185682">
                      <w:marLeft w:val="0"/>
                      <w:marRight w:val="0"/>
                      <w:marTop w:val="0"/>
                      <w:marBottom w:val="0"/>
                      <w:divBdr>
                        <w:top w:val="none" w:sz="0" w:space="0" w:color="auto"/>
                        <w:left w:val="none" w:sz="0" w:space="0" w:color="auto"/>
                        <w:bottom w:val="none" w:sz="0" w:space="0" w:color="auto"/>
                        <w:right w:val="none" w:sz="0" w:space="0" w:color="auto"/>
                      </w:divBdr>
                    </w:div>
                    <w:div w:id="971834410">
                      <w:marLeft w:val="0"/>
                      <w:marRight w:val="0"/>
                      <w:marTop w:val="0"/>
                      <w:marBottom w:val="0"/>
                      <w:divBdr>
                        <w:top w:val="none" w:sz="0" w:space="0" w:color="auto"/>
                        <w:left w:val="none" w:sz="0" w:space="0" w:color="auto"/>
                        <w:bottom w:val="none" w:sz="0" w:space="0" w:color="auto"/>
                        <w:right w:val="none" w:sz="0" w:space="0" w:color="auto"/>
                      </w:divBdr>
                    </w:div>
                    <w:div w:id="1332370668">
                      <w:marLeft w:val="0"/>
                      <w:marRight w:val="0"/>
                      <w:marTop w:val="0"/>
                      <w:marBottom w:val="0"/>
                      <w:divBdr>
                        <w:top w:val="none" w:sz="0" w:space="0" w:color="auto"/>
                        <w:left w:val="none" w:sz="0" w:space="0" w:color="auto"/>
                        <w:bottom w:val="none" w:sz="0" w:space="0" w:color="auto"/>
                        <w:right w:val="none" w:sz="0" w:space="0" w:color="auto"/>
                      </w:divBdr>
                    </w:div>
                    <w:div w:id="1345211505">
                      <w:marLeft w:val="0"/>
                      <w:marRight w:val="0"/>
                      <w:marTop w:val="0"/>
                      <w:marBottom w:val="0"/>
                      <w:divBdr>
                        <w:top w:val="none" w:sz="0" w:space="0" w:color="auto"/>
                        <w:left w:val="none" w:sz="0" w:space="0" w:color="auto"/>
                        <w:bottom w:val="none" w:sz="0" w:space="0" w:color="auto"/>
                        <w:right w:val="none" w:sz="0" w:space="0" w:color="auto"/>
                      </w:divBdr>
                    </w:div>
                    <w:div w:id="1447702324">
                      <w:marLeft w:val="0"/>
                      <w:marRight w:val="0"/>
                      <w:marTop w:val="0"/>
                      <w:marBottom w:val="0"/>
                      <w:divBdr>
                        <w:top w:val="none" w:sz="0" w:space="0" w:color="auto"/>
                        <w:left w:val="none" w:sz="0" w:space="0" w:color="auto"/>
                        <w:bottom w:val="none" w:sz="0" w:space="0" w:color="auto"/>
                        <w:right w:val="none" w:sz="0" w:space="0" w:color="auto"/>
                      </w:divBdr>
                    </w:div>
                    <w:div w:id="1475222320">
                      <w:marLeft w:val="0"/>
                      <w:marRight w:val="0"/>
                      <w:marTop w:val="0"/>
                      <w:marBottom w:val="0"/>
                      <w:divBdr>
                        <w:top w:val="none" w:sz="0" w:space="0" w:color="auto"/>
                        <w:left w:val="none" w:sz="0" w:space="0" w:color="auto"/>
                        <w:bottom w:val="none" w:sz="0" w:space="0" w:color="auto"/>
                        <w:right w:val="none" w:sz="0" w:space="0" w:color="auto"/>
                      </w:divBdr>
                    </w:div>
                    <w:div w:id="2042320014">
                      <w:marLeft w:val="0"/>
                      <w:marRight w:val="0"/>
                      <w:marTop w:val="0"/>
                      <w:marBottom w:val="0"/>
                      <w:divBdr>
                        <w:top w:val="none" w:sz="0" w:space="0" w:color="auto"/>
                        <w:left w:val="none" w:sz="0" w:space="0" w:color="auto"/>
                        <w:bottom w:val="none" w:sz="0" w:space="0" w:color="auto"/>
                        <w:right w:val="none" w:sz="0" w:space="0" w:color="auto"/>
                      </w:divBdr>
                    </w:div>
                  </w:divsChild>
                </w:div>
                <w:div w:id="1335718729">
                  <w:marLeft w:val="0"/>
                  <w:marRight w:val="0"/>
                  <w:marTop w:val="0"/>
                  <w:marBottom w:val="0"/>
                  <w:divBdr>
                    <w:top w:val="none" w:sz="0" w:space="0" w:color="auto"/>
                    <w:left w:val="none" w:sz="0" w:space="0" w:color="auto"/>
                    <w:bottom w:val="none" w:sz="0" w:space="0" w:color="auto"/>
                    <w:right w:val="none" w:sz="0" w:space="0" w:color="auto"/>
                  </w:divBdr>
                  <w:divsChild>
                    <w:div w:id="914052064">
                      <w:marLeft w:val="0"/>
                      <w:marRight w:val="0"/>
                      <w:marTop w:val="0"/>
                      <w:marBottom w:val="0"/>
                      <w:divBdr>
                        <w:top w:val="none" w:sz="0" w:space="0" w:color="auto"/>
                        <w:left w:val="none" w:sz="0" w:space="0" w:color="auto"/>
                        <w:bottom w:val="none" w:sz="0" w:space="0" w:color="auto"/>
                        <w:right w:val="none" w:sz="0" w:space="0" w:color="auto"/>
                      </w:divBdr>
                    </w:div>
                  </w:divsChild>
                </w:div>
                <w:div w:id="1387795773">
                  <w:marLeft w:val="0"/>
                  <w:marRight w:val="0"/>
                  <w:marTop w:val="0"/>
                  <w:marBottom w:val="0"/>
                  <w:divBdr>
                    <w:top w:val="none" w:sz="0" w:space="0" w:color="auto"/>
                    <w:left w:val="none" w:sz="0" w:space="0" w:color="auto"/>
                    <w:bottom w:val="none" w:sz="0" w:space="0" w:color="auto"/>
                    <w:right w:val="none" w:sz="0" w:space="0" w:color="auto"/>
                  </w:divBdr>
                  <w:divsChild>
                    <w:div w:id="260265418">
                      <w:marLeft w:val="0"/>
                      <w:marRight w:val="0"/>
                      <w:marTop w:val="0"/>
                      <w:marBottom w:val="0"/>
                      <w:divBdr>
                        <w:top w:val="none" w:sz="0" w:space="0" w:color="auto"/>
                        <w:left w:val="none" w:sz="0" w:space="0" w:color="auto"/>
                        <w:bottom w:val="none" w:sz="0" w:space="0" w:color="auto"/>
                        <w:right w:val="none" w:sz="0" w:space="0" w:color="auto"/>
                      </w:divBdr>
                    </w:div>
                  </w:divsChild>
                </w:div>
                <w:div w:id="1445615257">
                  <w:marLeft w:val="0"/>
                  <w:marRight w:val="0"/>
                  <w:marTop w:val="0"/>
                  <w:marBottom w:val="0"/>
                  <w:divBdr>
                    <w:top w:val="none" w:sz="0" w:space="0" w:color="auto"/>
                    <w:left w:val="none" w:sz="0" w:space="0" w:color="auto"/>
                    <w:bottom w:val="none" w:sz="0" w:space="0" w:color="auto"/>
                    <w:right w:val="none" w:sz="0" w:space="0" w:color="auto"/>
                  </w:divBdr>
                  <w:divsChild>
                    <w:div w:id="1621719214">
                      <w:marLeft w:val="0"/>
                      <w:marRight w:val="0"/>
                      <w:marTop w:val="0"/>
                      <w:marBottom w:val="0"/>
                      <w:divBdr>
                        <w:top w:val="none" w:sz="0" w:space="0" w:color="auto"/>
                        <w:left w:val="none" w:sz="0" w:space="0" w:color="auto"/>
                        <w:bottom w:val="none" w:sz="0" w:space="0" w:color="auto"/>
                        <w:right w:val="none" w:sz="0" w:space="0" w:color="auto"/>
                      </w:divBdr>
                    </w:div>
                  </w:divsChild>
                </w:div>
                <w:div w:id="1461992444">
                  <w:marLeft w:val="0"/>
                  <w:marRight w:val="0"/>
                  <w:marTop w:val="0"/>
                  <w:marBottom w:val="0"/>
                  <w:divBdr>
                    <w:top w:val="none" w:sz="0" w:space="0" w:color="auto"/>
                    <w:left w:val="none" w:sz="0" w:space="0" w:color="auto"/>
                    <w:bottom w:val="none" w:sz="0" w:space="0" w:color="auto"/>
                    <w:right w:val="none" w:sz="0" w:space="0" w:color="auto"/>
                  </w:divBdr>
                  <w:divsChild>
                    <w:div w:id="2011833515">
                      <w:marLeft w:val="0"/>
                      <w:marRight w:val="0"/>
                      <w:marTop w:val="0"/>
                      <w:marBottom w:val="0"/>
                      <w:divBdr>
                        <w:top w:val="none" w:sz="0" w:space="0" w:color="auto"/>
                        <w:left w:val="none" w:sz="0" w:space="0" w:color="auto"/>
                        <w:bottom w:val="none" w:sz="0" w:space="0" w:color="auto"/>
                        <w:right w:val="none" w:sz="0" w:space="0" w:color="auto"/>
                      </w:divBdr>
                    </w:div>
                  </w:divsChild>
                </w:div>
                <w:div w:id="1484278508">
                  <w:marLeft w:val="0"/>
                  <w:marRight w:val="0"/>
                  <w:marTop w:val="0"/>
                  <w:marBottom w:val="0"/>
                  <w:divBdr>
                    <w:top w:val="none" w:sz="0" w:space="0" w:color="auto"/>
                    <w:left w:val="none" w:sz="0" w:space="0" w:color="auto"/>
                    <w:bottom w:val="none" w:sz="0" w:space="0" w:color="auto"/>
                    <w:right w:val="none" w:sz="0" w:space="0" w:color="auto"/>
                  </w:divBdr>
                  <w:divsChild>
                    <w:div w:id="85421587">
                      <w:marLeft w:val="0"/>
                      <w:marRight w:val="0"/>
                      <w:marTop w:val="0"/>
                      <w:marBottom w:val="0"/>
                      <w:divBdr>
                        <w:top w:val="none" w:sz="0" w:space="0" w:color="auto"/>
                        <w:left w:val="none" w:sz="0" w:space="0" w:color="auto"/>
                        <w:bottom w:val="none" w:sz="0" w:space="0" w:color="auto"/>
                        <w:right w:val="none" w:sz="0" w:space="0" w:color="auto"/>
                      </w:divBdr>
                    </w:div>
                    <w:div w:id="176192679">
                      <w:marLeft w:val="0"/>
                      <w:marRight w:val="0"/>
                      <w:marTop w:val="0"/>
                      <w:marBottom w:val="0"/>
                      <w:divBdr>
                        <w:top w:val="none" w:sz="0" w:space="0" w:color="auto"/>
                        <w:left w:val="none" w:sz="0" w:space="0" w:color="auto"/>
                        <w:bottom w:val="none" w:sz="0" w:space="0" w:color="auto"/>
                        <w:right w:val="none" w:sz="0" w:space="0" w:color="auto"/>
                      </w:divBdr>
                    </w:div>
                    <w:div w:id="1184705366">
                      <w:marLeft w:val="0"/>
                      <w:marRight w:val="0"/>
                      <w:marTop w:val="0"/>
                      <w:marBottom w:val="0"/>
                      <w:divBdr>
                        <w:top w:val="none" w:sz="0" w:space="0" w:color="auto"/>
                        <w:left w:val="none" w:sz="0" w:space="0" w:color="auto"/>
                        <w:bottom w:val="none" w:sz="0" w:space="0" w:color="auto"/>
                        <w:right w:val="none" w:sz="0" w:space="0" w:color="auto"/>
                      </w:divBdr>
                    </w:div>
                    <w:div w:id="1809667113">
                      <w:marLeft w:val="0"/>
                      <w:marRight w:val="0"/>
                      <w:marTop w:val="0"/>
                      <w:marBottom w:val="0"/>
                      <w:divBdr>
                        <w:top w:val="none" w:sz="0" w:space="0" w:color="auto"/>
                        <w:left w:val="none" w:sz="0" w:space="0" w:color="auto"/>
                        <w:bottom w:val="none" w:sz="0" w:space="0" w:color="auto"/>
                        <w:right w:val="none" w:sz="0" w:space="0" w:color="auto"/>
                      </w:divBdr>
                    </w:div>
                    <w:div w:id="2031102612">
                      <w:marLeft w:val="0"/>
                      <w:marRight w:val="0"/>
                      <w:marTop w:val="0"/>
                      <w:marBottom w:val="0"/>
                      <w:divBdr>
                        <w:top w:val="none" w:sz="0" w:space="0" w:color="auto"/>
                        <w:left w:val="none" w:sz="0" w:space="0" w:color="auto"/>
                        <w:bottom w:val="none" w:sz="0" w:space="0" w:color="auto"/>
                        <w:right w:val="none" w:sz="0" w:space="0" w:color="auto"/>
                      </w:divBdr>
                    </w:div>
                  </w:divsChild>
                </w:div>
                <w:div w:id="1552964412">
                  <w:marLeft w:val="0"/>
                  <w:marRight w:val="0"/>
                  <w:marTop w:val="0"/>
                  <w:marBottom w:val="0"/>
                  <w:divBdr>
                    <w:top w:val="none" w:sz="0" w:space="0" w:color="auto"/>
                    <w:left w:val="none" w:sz="0" w:space="0" w:color="auto"/>
                    <w:bottom w:val="none" w:sz="0" w:space="0" w:color="auto"/>
                    <w:right w:val="none" w:sz="0" w:space="0" w:color="auto"/>
                  </w:divBdr>
                  <w:divsChild>
                    <w:div w:id="312612017">
                      <w:marLeft w:val="0"/>
                      <w:marRight w:val="0"/>
                      <w:marTop w:val="0"/>
                      <w:marBottom w:val="0"/>
                      <w:divBdr>
                        <w:top w:val="none" w:sz="0" w:space="0" w:color="auto"/>
                        <w:left w:val="none" w:sz="0" w:space="0" w:color="auto"/>
                        <w:bottom w:val="none" w:sz="0" w:space="0" w:color="auto"/>
                        <w:right w:val="none" w:sz="0" w:space="0" w:color="auto"/>
                      </w:divBdr>
                    </w:div>
                    <w:div w:id="1200315528">
                      <w:marLeft w:val="0"/>
                      <w:marRight w:val="0"/>
                      <w:marTop w:val="0"/>
                      <w:marBottom w:val="0"/>
                      <w:divBdr>
                        <w:top w:val="none" w:sz="0" w:space="0" w:color="auto"/>
                        <w:left w:val="none" w:sz="0" w:space="0" w:color="auto"/>
                        <w:bottom w:val="none" w:sz="0" w:space="0" w:color="auto"/>
                        <w:right w:val="none" w:sz="0" w:space="0" w:color="auto"/>
                      </w:divBdr>
                    </w:div>
                    <w:div w:id="2132703424">
                      <w:marLeft w:val="0"/>
                      <w:marRight w:val="0"/>
                      <w:marTop w:val="0"/>
                      <w:marBottom w:val="0"/>
                      <w:divBdr>
                        <w:top w:val="none" w:sz="0" w:space="0" w:color="auto"/>
                        <w:left w:val="none" w:sz="0" w:space="0" w:color="auto"/>
                        <w:bottom w:val="none" w:sz="0" w:space="0" w:color="auto"/>
                        <w:right w:val="none" w:sz="0" w:space="0" w:color="auto"/>
                      </w:divBdr>
                    </w:div>
                  </w:divsChild>
                </w:div>
                <w:div w:id="1578637359">
                  <w:marLeft w:val="0"/>
                  <w:marRight w:val="0"/>
                  <w:marTop w:val="0"/>
                  <w:marBottom w:val="0"/>
                  <w:divBdr>
                    <w:top w:val="none" w:sz="0" w:space="0" w:color="auto"/>
                    <w:left w:val="none" w:sz="0" w:space="0" w:color="auto"/>
                    <w:bottom w:val="none" w:sz="0" w:space="0" w:color="auto"/>
                    <w:right w:val="none" w:sz="0" w:space="0" w:color="auto"/>
                  </w:divBdr>
                  <w:divsChild>
                    <w:div w:id="891694656">
                      <w:marLeft w:val="0"/>
                      <w:marRight w:val="0"/>
                      <w:marTop w:val="0"/>
                      <w:marBottom w:val="0"/>
                      <w:divBdr>
                        <w:top w:val="none" w:sz="0" w:space="0" w:color="auto"/>
                        <w:left w:val="none" w:sz="0" w:space="0" w:color="auto"/>
                        <w:bottom w:val="none" w:sz="0" w:space="0" w:color="auto"/>
                        <w:right w:val="none" w:sz="0" w:space="0" w:color="auto"/>
                      </w:divBdr>
                    </w:div>
                    <w:div w:id="1102920833">
                      <w:marLeft w:val="0"/>
                      <w:marRight w:val="0"/>
                      <w:marTop w:val="0"/>
                      <w:marBottom w:val="0"/>
                      <w:divBdr>
                        <w:top w:val="none" w:sz="0" w:space="0" w:color="auto"/>
                        <w:left w:val="none" w:sz="0" w:space="0" w:color="auto"/>
                        <w:bottom w:val="none" w:sz="0" w:space="0" w:color="auto"/>
                        <w:right w:val="none" w:sz="0" w:space="0" w:color="auto"/>
                      </w:divBdr>
                    </w:div>
                    <w:div w:id="1158157118">
                      <w:marLeft w:val="0"/>
                      <w:marRight w:val="0"/>
                      <w:marTop w:val="0"/>
                      <w:marBottom w:val="0"/>
                      <w:divBdr>
                        <w:top w:val="none" w:sz="0" w:space="0" w:color="auto"/>
                        <w:left w:val="none" w:sz="0" w:space="0" w:color="auto"/>
                        <w:bottom w:val="none" w:sz="0" w:space="0" w:color="auto"/>
                        <w:right w:val="none" w:sz="0" w:space="0" w:color="auto"/>
                      </w:divBdr>
                    </w:div>
                    <w:div w:id="1159808700">
                      <w:marLeft w:val="0"/>
                      <w:marRight w:val="0"/>
                      <w:marTop w:val="0"/>
                      <w:marBottom w:val="0"/>
                      <w:divBdr>
                        <w:top w:val="none" w:sz="0" w:space="0" w:color="auto"/>
                        <w:left w:val="none" w:sz="0" w:space="0" w:color="auto"/>
                        <w:bottom w:val="none" w:sz="0" w:space="0" w:color="auto"/>
                        <w:right w:val="none" w:sz="0" w:space="0" w:color="auto"/>
                      </w:divBdr>
                    </w:div>
                    <w:div w:id="1556350465">
                      <w:marLeft w:val="0"/>
                      <w:marRight w:val="0"/>
                      <w:marTop w:val="0"/>
                      <w:marBottom w:val="0"/>
                      <w:divBdr>
                        <w:top w:val="none" w:sz="0" w:space="0" w:color="auto"/>
                        <w:left w:val="none" w:sz="0" w:space="0" w:color="auto"/>
                        <w:bottom w:val="none" w:sz="0" w:space="0" w:color="auto"/>
                        <w:right w:val="none" w:sz="0" w:space="0" w:color="auto"/>
                      </w:divBdr>
                    </w:div>
                  </w:divsChild>
                </w:div>
                <w:div w:id="1599676576">
                  <w:marLeft w:val="0"/>
                  <w:marRight w:val="0"/>
                  <w:marTop w:val="0"/>
                  <w:marBottom w:val="0"/>
                  <w:divBdr>
                    <w:top w:val="none" w:sz="0" w:space="0" w:color="auto"/>
                    <w:left w:val="none" w:sz="0" w:space="0" w:color="auto"/>
                    <w:bottom w:val="none" w:sz="0" w:space="0" w:color="auto"/>
                    <w:right w:val="none" w:sz="0" w:space="0" w:color="auto"/>
                  </w:divBdr>
                  <w:divsChild>
                    <w:div w:id="1858693573">
                      <w:marLeft w:val="0"/>
                      <w:marRight w:val="0"/>
                      <w:marTop w:val="0"/>
                      <w:marBottom w:val="0"/>
                      <w:divBdr>
                        <w:top w:val="none" w:sz="0" w:space="0" w:color="auto"/>
                        <w:left w:val="none" w:sz="0" w:space="0" w:color="auto"/>
                        <w:bottom w:val="none" w:sz="0" w:space="0" w:color="auto"/>
                        <w:right w:val="none" w:sz="0" w:space="0" w:color="auto"/>
                      </w:divBdr>
                    </w:div>
                  </w:divsChild>
                </w:div>
                <w:div w:id="1656520569">
                  <w:marLeft w:val="0"/>
                  <w:marRight w:val="0"/>
                  <w:marTop w:val="0"/>
                  <w:marBottom w:val="0"/>
                  <w:divBdr>
                    <w:top w:val="none" w:sz="0" w:space="0" w:color="auto"/>
                    <w:left w:val="none" w:sz="0" w:space="0" w:color="auto"/>
                    <w:bottom w:val="none" w:sz="0" w:space="0" w:color="auto"/>
                    <w:right w:val="none" w:sz="0" w:space="0" w:color="auto"/>
                  </w:divBdr>
                  <w:divsChild>
                    <w:div w:id="896160219">
                      <w:marLeft w:val="0"/>
                      <w:marRight w:val="0"/>
                      <w:marTop w:val="0"/>
                      <w:marBottom w:val="0"/>
                      <w:divBdr>
                        <w:top w:val="none" w:sz="0" w:space="0" w:color="auto"/>
                        <w:left w:val="none" w:sz="0" w:space="0" w:color="auto"/>
                        <w:bottom w:val="none" w:sz="0" w:space="0" w:color="auto"/>
                        <w:right w:val="none" w:sz="0" w:space="0" w:color="auto"/>
                      </w:divBdr>
                    </w:div>
                  </w:divsChild>
                </w:div>
                <w:div w:id="1662267846">
                  <w:marLeft w:val="0"/>
                  <w:marRight w:val="0"/>
                  <w:marTop w:val="0"/>
                  <w:marBottom w:val="0"/>
                  <w:divBdr>
                    <w:top w:val="none" w:sz="0" w:space="0" w:color="auto"/>
                    <w:left w:val="none" w:sz="0" w:space="0" w:color="auto"/>
                    <w:bottom w:val="none" w:sz="0" w:space="0" w:color="auto"/>
                    <w:right w:val="none" w:sz="0" w:space="0" w:color="auto"/>
                  </w:divBdr>
                  <w:divsChild>
                    <w:div w:id="1146047476">
                      <w:marLeft w:val="0"/>
                      <w:marRight w:val="0"/>
                      <w:marTop w:val="0"/>
                      <w:marBottom w:val="0"/>
                      <w:divBdr>
                        <w:top w:val="none" w:sz="0" w:space="0" w:color="auto"/>
                        <w:left w:val="none" w:sz="0" w:space="0" w:color="auto"/>
                        <w:bottom w:val="none" w:sz="0" w:space="0" w:color="auto"/>
                        <w:right w:val="none" w:sz="0" w:space="0" w:color="auto"/>
                      </w:divBdr>
                    </w:div>
                  </w:divsChild>
                </w:div>
                <w:div w:id="1667900445">
                  <w:marLeft w:val="0"/>
                  <w:marRight w:val="0"/>
                  <w:marTop w:val="0"/>
                  <w:marBottom w:val="0"/>
                  <w:divBdr>
                    <w:top w:val="none" w:sz="0" w:space="0" w:color="auto"/>
                    <w:left w:val="none" w:sz="0" w:space="0" w:color="auto"/>
                    <w:bottom w:val="none" w:sz="0" w:space="0" w:color="auto"/>
                    <w:right w:val="none" w:sz="0" w:space="0" w:color="auto"/>
                  </w:divBdr>
                  <w:divsChild>
                    <w:div w:id="149176974">
                      <w:marLeft w:val="0"/>
                      <w:marRight w:val="0"/>
                      <w:marTop w:val="0"/>
                      <w:marBottom w:val="0"/>
                      <w:divBdr>
                        <w:top w:val="none" w:sz="0" w:space="0" w:color="auto"/>
                        <w:left w:val="none" w:sz="0" w:space="0" w:color="auto"/>
                        <w:bottom w:val="none" w:sz="0" w:space="0" w:color="auto"/>
                        <w:right w:val="none" w:sz="0" w:space="0" w:color="auto"/>
                      </w:divBdr>
                    </w:div>
                    <w:div w:id="248782440">
                      <w:marLeft w:val="0"/>
                      <w:marRight w:val="0"/>
                      <w:marTop w:val="0"/>
                      <w:marBottom w:val="0"/>
                      <w:divBdr>
                        <w:top w:val="none" w:sz="0" w:space="0" w:color="auto"/>
                        <w:left w:val="none" w:sz="0" w:space="0" w:color="auto"/>
                        <w:bottom w:val="none" w:sz="0" w:space="0" w:color="auto"/>
                        <w:right w:val="none" w:sz="0" w:space="0" w:color="auto"/>
                      </w:divBdr>
                    </w:div>
                    <w:div w:id="406194977">
                      <w:marLeft w:val="0"/>
                      <w:marRight w:val="0"/>
                      <w:marTop w:val="0"/>
                      <w:marBottom w:val="0"/>
                      <w:divBdr>
                        <w:top w:val="none" w:sz="0" w:space="0" w:color="auto"/>
                        <w:left w:val="none" w:sz="0" w:space="0" w:color="auto"/>
                        <w:bottom w:val="none" w:sz="0" w:space="0" w:color="auto"/>
                        <w:right w:val="none" w:sz="0" w:space="0" w:color="auto"/>
                      </w:divBdr>
                    </w:div>
                    <w:div w:id="623148581">
                      <w:marLeft w:val="0"/>
                      <w:marRight w:val="0"/>
                      <w:marTop w:val="0"/>
                      <w:marBottom w:val="0"/>
                      <w:divBdr>
                        <w:top w:val="none" w:sz="0" w:space="0" w:color="auto"/>
                        <w:left w:val="none" w:sz="0" w:space="0" w:color="auto"/>
                        <w:bottom w:val="none" w:sz="0" w:space="0" w:color="auto"/>
                        <w:right w:val="none" w:sz="0" w:space="0" w:color="auto"/>
                      </w:divBdr>
                    </w:div>
                    <w:div w:id="895819404">
                      <w:marLeft w:val="0"/>
                      <w:marRight w:val="0"/>
                      <w:marTop w:val="0"/>
                      <w:marBottom w:val="0"/>
                      <w:divBdr>
                        <w:top w:val="none" w:sz="0" w:space="0" w:color="auto"/>
                        <w:left w:val="none" w:sz="0" w:space="0" w:color="auto"/>
                        <w:bottom w:val="none" w:sz="0" w:space="0" w:color="auto"/>
                        <w:right w:val="none" w:sz="0" w:space="0" w:color="auto"/>
                      </w:divBdr>
                    </w:div>
                    <w:div w:id="951593389">
                      <w:marLeft w:val="0"/>
                      <w:marRight w:val="0"/>
                      <w:marTop w:val="0"/>
                      <w:marBottom w:val="0"/>
                      <w:divBdr>
                        <w:top w:val="none" w:sz="0" w:space="0" w:color="auto"/>
                        <w:left w:val="none" w:sz="0" w:space="0" w:color="auto"/>
                        <w:bottom w:val="none" w:sz="0" w:space="0" w:color="auto"/>
                        <w:right w:val="none" w:sz="0" w:space="0" w:color="auto"/>
                      </w:divBdr>
                    </w:div>
                    <w:div w:id="1368530278">
                      <w:marLeft w:val="0"/>
                      <w:marRight w:val="0"/>
                      <w:marTop w:val="0"/>
                      <w:marBottom w:val="0"/>
                      <w:divBdr>
                        <w:top w:val="none" w:sz="0" w:space="0" w:color="auto"/>
                        <w:left w:val="none" w:sz="0" w:space="0" w:color="auto"/>
                        <w:bottom w:val="none" w:sz="0" w:space="0" w:color="auto"/>
                        <w:right w:val="none" w:sz="0" w:space="0" w:color="auto"/>
                      </w:divBdr>
                    </w:div>
                    <w:div w:id="1518689004">
                      <w:marLeft w:val="0"/>
                      <w:marRight w:val="0"/>
                      <w:marTop w:val="0"/>
                      <w:marBottom w:val="0"/>
                      <w:divBdr>
                        <w:top w:val="none" w:sz="0" w:space="0" w:color="auto"/>
                        <w:left w:val="none" w:sz="0" w:space="0" w:color="auto"/>
                        <w:bottom w:val="none" w:sz="0" w:space="0" w:color="auto"/>
                        <w:right w:val="none" w:sz="0" w:space="0" w:color="auto"/>
                      </w:divBdr>
                    </w:div>
                    <w:div w:id="1585913879">
                      <w:marLeft w:val="0"/>
                      <w:marRight w:val="0"/>
                      <w:marTop w:val="0"/>
                      <w:marBottom w:val="0"/>
                      <w:divBdr>
                        <w:top w:val="none" w:sz="0" w:space="0" w:color="auto"/>
                        <w:left w:val="none" w:sz="0" w:space="0" w:color="auto"/>
                        <w:bottom w:val="none" w:sz="0" w:space="0" w:color="auto"/>
                        <w:right w:val="none" w:sz="0" w:space="0" w:color="auto"/>
                      </w:divBdr>
                    </w:div>
                    <w:div w:id="2060086236">
                      <w:marLeft w:val="0"/>
                      <w:marRight w:val="0"/>
                      <w:marTop w:val="0"/>
                      <w:marBottom w:val="0"/>
                      <w:divBdr>
                        <w:top w:val="none" w:sz="0" w:space="0" w:color="auto"/>
                        <w:left w:val="none" w:sz="0" w:space="0" w:color="auto"/>
                        <w:bottom w:val="none" w:sz="0" w:space="0" w:color="auto"/>
                        <w:right w:val="none" w:sz="0" w:space="0" w:color="auto"/>
                      </w:divBdr>
                    </w:div>
                  </w:divsChild>
                </w:div>
                <w:div w:id="1710186594">
                  <w:marLeft w:val="0"/>
                  <w:marRight w:val="0"/>
                  <w:marTop w:val="0"/>
                  <w:marBottom w:val="0"/>
                  <w:divBdr>
                    <w:top w:val="none" w:sz="0" w:space="0" w:color="auto"/>
                    <w:left w:val="none" w:sz="0" w:space="0" w:color="auto"/>
                    <w:bottom w:val="none" w:sz="0" w:space="0" w:color="auto"/>
                    <w:right w:val="none" w:sz="0" w:space="0" w:color="auto"/>
                  </w:divBdr>
                  <w:divsChild>
                    <w:div w:id="133105753">
                      <w:marLeft w:val="0"/>
                      <w:marRight w:val="0"/>
                      <w:marTop w:val="0"/>
                      <w:marBottom w:val="0"/>
                      <w:divBdr>
                        <w:top w:val="none" w:sz="0" w:space="0" w:color="auto"/>
                        <w:left w:val="none" w:sz="0" w:space="0" w:color="auto"/>
                        <w:bottom w:val="none" w:sz="0" w:space="0" w:color="auto"/>
                        <w:right w:val="none" w:sz="0" w:space="0" w:color="auto"/>
                      </w:divBdr>
                    </w:div>
                    <w:div w:id="393699715">
                      <w:marLeft w:val="0"/>
                      <w:marRight w:val="0"/>
                      <w:marTop w:val="0"/>
                      <w:marBottom w:val="0"/>
                      <w:divBdr>
                        <w:top w:val="none" w:sz="0" w:space="0" w:color="auto"/>
                        <w:left w:val="none" w:sz="0" w:space="0" w:color="auto"/>
                        <w:bottom w:val="none" w:sz="0" w:space="0" w:color="auto"/>
                        <w:right w:val="none" w:sz="0" w:space="0" w:color="auto"/>
                      </w:divBdr>
                    </w:div>
                    <w:div w:id="418908420">
                      <w:marLeft w:val="0"/>
                      <w:marRight w:val="0"/>
                      <w:marTop w:val="0"/>
                      <w:marBottom w:val="0"/>
                      <w:divBdr>
                        <w:top w:val="none" w:sz="0" w:space="0" w:color="auto"/>
                        <w:left w:val="none" w:sz="0" w:space="0" w:color="auto"/>
                        <w:bottom w:val="none" w:sz="0" w:space="0" w:color="auto"/>
                        <w:right w:val="none" w:sz="0" w:space="0" w:color="auto"/>
                      </w:divBdr>
                    </w:div>
                    <w:div w:id="627250053">
                      <w:marLeft w:val="0"/>
                      <w:marRight w:val="0"/>
                      <w:marTop w:val="0"/>
                      <w:marBottom w:val="0"/>
                      <w:divBdr>
                        <w:top w:val="none" w:sz="0" w:space="0" w:color="auto"/>
                        <w:left w:val="none" w:sz="0" w:space="0" w:color="auto"/>
                        <w:bottom w:val="none" w:sz="0" w:space="0" w:color="auto"/>
                        <w:right w:val="none" w:sz="0" w:space="0" w:color="auto"/>
                      </w:divBdr>
                    </w:div>
                    <w:div w:id="1754281804">
                      <w:marLeft w:val="0"/>
                      <w:marRight w:val="0"/>
                      <w:marTop w:val="0"/>
                      <w:marBottom w:val="0"/>
                      <w:divBdr>
                        <w:top w:val="none" w:sz="0" w:space="0" w:color="auto"/>
                        <w:left w:val="none" w:sz="0" w:space="0" w:color="auto"/>
                        <w:bottom w:val="none" w:sz="0" w:space="0" w:color="auto"/>
                        <w:right w:val="none" w:sz="0" w:space="0" w:color="auto"/>
                      </w:divBdr>
                    </w:div>
                    <w:div w:id="1961765009">
                      <w:marLeft w:val="0"/>
                      <w:marRight w:val="0"/>
                      <w:marTop w:val="0"/>
                      <w:marBottom w:val="0"/>
                      <w:divBdr>
                        <w:top w:val="none" w:sz="0" w:space="0" w:color="auto"/>
                        <w:left w:val="none" w:sz="0" w:space="0" w:color="auto"/>
                        <w:bottom w:val="none" w:sz="0" w:space="0" w:color="auto"/>
                        <w:right w:val="none" w:sz="0" w:space="0" w:color="auto"/>
                      </w:divBdr>
                    </w:div>
                    <w:div w:id="2040931840">
                      <w:marLeft w:val="0"/>
                      <w:marRight w:val="0"/>
                      <w:marTop w:val="0"/>
                      <w:marBottom w:val="0"/>
                      <w:divBdr>
                        <w:top w:val="none" w:sz="0" w:space="0" w:color="auto"/>
                        <w:left w:val="none" w:sz="0" w:space="0" w:color="auto"/>
                        <w:bottom w:val="none" w:sz="0" w:space="0" w:color="auto"/>
                        <w:right w:val="none" w:sz="0" w:space="0" w:color="auto"/>
                      </w:divBdr>
                    </w:div>
                    <w:div w:id="2123837079">
                      <w:marLeft w:val="0"/>
                      <w:marRight w:val="0"/>
                      <w:marTop w:val="0"/>
                      <w:marBottom w:val="0"/>
                      <w:divBdr>
                        <w:top w:val="none" w:sz="0" w:space="0" w:color="auto"/>
                        <w:left w:val="none" w:sz="0" w:space="0" w:color="auto"/>
                        <w:bottom w:val="none" w:sz="0" w:space="0" w:color="auto"/>
                        <w:right w:val="none" w:sz="0" w:space="0" w:color="auto"/>
                      </w:divBdr>
                    </w:div>
                  </w:divsChild>
                </w:div>
                <w:div w:id="1730835340">
                  <w:marLeft w:val="0"/>
                  <w:marRight w:val="0"/>
                  <w:marTop w:val="0"/>
                  <w:marBottom w:val="0"/>
                  <w:divBdr>
                    <w:top w:val="none" w:sz="0" w:space="0" w:color="auto"/>
                    <w:left w:val="none" w:sz="0" w:space="0" w:color="auto"/>
                    <w:bottom w:val="none" w:sz="0" w:space="0" w:color="auto"/>
                    <w:right w:val="none" w:sz="0" w:space="0" w:color="auto"/>
                  </w:divBdr>
                  <w:divsChild>
                    <w:div w:id="215968745">
                      <w:marLeft w:val="0"/>
                      <w:marRight w:val="0"/>
                      <w:marTop w:val="0"/>
                      <w:marBottom w:val="0"/>
                      <w:divBdr>
                        <w:top w:val="none" w:sz="0" w:space="0" w:color="auto"/>
                        <w:left w:val="none" w:sz="0" w:space="0" w:color="auto"/>
                        <w:bottom w:val="none" w:sz="0" w:space="0" w:color="auto"/>
                        <w:right w:val="none" w:sz="0" w:space="0" w:color="auto"/>
                      </w:divBdr>
                    </w:div>
                  </w:divsChild>
                </w:div>
                <w:div w:id="1805351571">
                  <w:marLeft w:val="0"/>
                  <w:marRight w:val="0"/>
                  <w:marTop w:val="0"/>
                  <w:marBottom w:val="0"/>
                  <w:divBdr>
                    <w:top w:val="none" w:sz="0" w:space="0" w:color="auto"/>
                    <w:left w:val="none" w:sz="0" w:space="0" w:color="auto"/>
                    <w:bottom w:val="none" w:sz="0" w:space="0" w:color="auto"/>
                    <w:right w:val="none" w:sz="0" w:space="0" w:color="auto"/>
                  </w:divBdr>
                  <w:divsChild>
                    <w:div w:id="1717046209">
                      <w:marLeft w:val="0"/>
                      <w:marRight w:val="0"/>
                      <w:marTop w:val="0"/>
                      <w:marBottom w:val="0"/>
                      <w:divBdr>
                        <w:top w:val="none" w:sz="0" w:space="0" w:color="auto"/>
                        <w:left w:val="none" w:sz="0" w:space="0" w:color="auto"/>
                        <w:bottom w:val="none" w:sz="0" w:space="0" w:color="auto"/>
                        <w:right w:val="none" w:sz="0" w:space="0" w:color="auto"/>
                      </w:divBdr>
                    </w:div>
                  </w:divsChild>
                </w:div>
                <w:div w:id="1805464562">
                  <w:marLeft w:val="0"/>
                  <w:marRight w:val="0"/>
                  <w:marTop w:val="0"/>
                  <w:marBottom w:val="0"/>
                  <w:divBdr>
                    <w:top w:val="none" w:sz="0" w:space="0" w:color="auto"/>
                    <w:left w:val="none" w:sz="0" w:space="0" w:color="auto"/>
                    <w:bottom w:val="none" w:sz="0" w:space="0" w:color="auto"/>
                    <w:right w:val="none" w:sz="0" w:space="0" w:color="auto"/>
                  </w:divBdr>
                  <w:divsChild>
                    <w:div w:id="1937907383">
                      <w:marLeft w:val="0"/>
                      <w:marRight w:val="0"/>
                      <w:marTop w:val="0"/>
                      <w:marBottom w:val="0"/>
                      <w:divBdr>
                        <w:top w:val="none" w:sz="0" w:space="0" w:color="auto"/>
                        <w:left w:val="none" w:sz="0" w:space="0" w:color="auto"/>
                        <w:bottom w:val="none" w:sz="0" w:space="0" w:color="auto"/>
                        <w:right w:val="none" w:sz="0" w:space="0" w:color="auto"/>
                      </w:divBdr>
                    </w:div>
                  </w:divsChild>
                </w:div>
                <w:div w:id="1889223256">
                  <w:marLeft w:val="0"/>
                  <w:marRight w:val="0"/>
                  <w:marTop w:val="0"/>
                  <w:marBottom w:val="0"/>
                  <w:divBdr>
                    <w:top w:val="none" w:sz="0" w:space="0" w:color="auto"/>
                    <w:left w:val="none" w:sz="0" w:space="0" w:color="auto"/>
                    <w:bottom w:val="none" w:sz="0" w:space="0" w:color="auto"/>
                    <w:right w:val="none" w:sz="0" w:space="0" w:color="auto"/>
                  </w:divBdr>
                  <w:divsChild>
                    <w:div w:id="477456270">
                      <w:marLeft w:val="0"/>
                      <w:marRight w:val="0"/>
                      <w:marTop w:val="0"/>
                      <w:marBottom w:val="0"/>
                      <w:divBdr>
                        <w:top w:val="none" w:sz="0" w:space="0" w:color="auto"/>
                        <w:left w:val="none" w:sz="0" w:space="0" w:color="auto"/>
                        <w:bottom w:val="none" w:sz="0" w:space="0" w:color="auto"/>
                        <w:right w:val="none" w:sz="0" w:space="0" w:color="auto"/>
                      </w:divBdr>
                    </w:div>
                    <w:div w:id="1218005569">
                      <w:marLeft w:val="0"/>
                      <w:marRight w:val="0"/>
                      <w:marTop w:val="0"/>
                      <w:marBottom w:val="0"/>
                      <w:divBdr>
                        <w:top w:val="none" w:sz="0" w:space="0" w:color="auto"/>
                        <w:left w:val="none" w:sz="0" w:space="0" w:color="auto"/>
                        <w:bottom w:val="none" w:sz="0" w:space="0" w:color="auto"/>
                        <w:right w:val="none" w:sz="0" w:space="0" w:color="auto"/>
                      </w:divBdr>
                    </w:div>
                    <w:div w:id="1535727390">
                      <w:marLeft w:val="0"/>
                      <w:marRight w:val="0"/>
                      <w:marTop w:val="0"/>
                      <w:marBottom w:val="0"/>
                      <w:divBdr>
                        <w:top w:val="none" w:sz="0" w:space="0" w:color="auto"/>
                        <w:left w:val="none" w:sz="0" w:space="0" w:color="auto"/>
                        <w:bottom w:val="none" w:sz="0" w:space="0" w:color="auto"/>
                        <w:right w:val="none" w:sz="0" w:space="0" w:color="auto"/>
                      </w:divBdr>
                    </w:div>
                    <w:div w:id="1959213102">
                      <w:marLeft w:val="0"/>
                      <w:marRight w:val="0"/>
                      <w:marTop w:val="0"/>
                      <w:marBottom w:val="0"/>
                      <w:divBdr>
                        <w:top w:val="none" w:sz="0" w:space="0" w:color="auto"/>
                        <w:left w:val="none" w:sz="0" w:space="0" w:color="auto"/>
                        <w:bottom w:val="none" w:sz="0" w:space="0" w:color="auto"/>
                        <w:right w:val="none" w:sz="0" w:space="0" w:color="auto"/>
                      </w:divBdr>
                    </w:div>
                    <w:div w:id="2070616185">
                      <w:marLeft w:val="0"/>
                      <w:marRight w:val="0"/>
                      <w:marTop w:val="0"/>
                      <w:marBottom w:val="0"/>
                      <w:divBdr>
                        <w:top w:val="none" w:sz="0" w:space="0" w:color="auto"/>
                        <w:left w:val="none" w:sz="0" w:space="0" w:color="auto"/>
                        <w:bottom w:val="none" w:sz="0" w:space="0" w:color="auto"/>
                        <w:right w:val="none" w:sz="0" w:space="0" w:color="auto"/>
                      </w:divBdr>
                    </w:div>
                  </w:divsChild>
                </w:div>
                <w:div w:id="1966426768">
                  <w:marLeft w:val="0"/>
                  <w:marRight w:val="0"/>
                  <w:marTop w:val="0"/>
                  <w:marBottom w:val="0"/>
                  <w:divBdr>
                    <w:top w:val="none" w:sz="0" w:space="0" w:color="auto"/>
                    <w:left w:val="none" w:sz="0" w:space="0" w:color="auto"/>
                    <w:bottom w:val="none" w:sz="0" w:space="0" w:color="auto"/>
                    <w:right w:val="none" w:sz="0" w:space="0" w:color="auto"/>
                  </w:divBdr>
                  <w:divsChild>
                    <w:div w:id="103234741">
                      <w:marLeft w:val="0"/>
                      <w:marRight w:val="0"/>
                      <w:marTop w:val="0"/>
                      <w:marBottom w:val="0"/>
                      <w:divBdr>
                        <w:top w:val="none" w:sz="0" w:space="0" w:color="auto"/>
                        <w:left w:val="none" w:sz="0" w:space="0" w:color="auto"/>
                        <w:bottom w:val="none" w:sz="0" w:space="0" w:color="auto"/>
                        <w:right w:val="none" w:sz="0" w:space="0" w:color="auto"/>
                      </w:divBdr>
                    </w:div>
                    <w:div w:id="239752607">
                      <w:marLeft w:val="0"/>
                      <w:marRight w:val="0"/>
                      <w:marTop w:val="0"/>
                      <w:marBottom w:val="0"/>
                      <w:divBdr>
                        <w:top w:val="none" w:sz="0" w:space="0" w:color="auto"/>
                        <w:left w:val="none" w:sz="0" w:space="0" w:color="auto"/>
                        <w:bottom w:val="none" w:sz="0" w:space="0" w:color="auto"/>
                        <w:right w:val="none" w:sz="0" w:space="0" w:color="auto"/>
                      </w:divBdr>
                    </w:div>
                    <w:div w:id="253054184">
                      <w:marLeft w:val="0"/>
                      <w:marRight w:val="0"/>
                      <w:marTop w:val="0"/>
                      <w:marBottom w:val="0"/>
                      <w:divBdr>
                        <w:top w:val="none" w:sz="0" w:space="0" w:color="auto"/>
                        <w:left w:val="none" w:sz="0" w:space="0" w:color="auto"/>
                        <w:bottom w:val="none" w:sz="0" w:space="0" w:color="auto"/>
                        <w:right w:val="none" w:sz="0" w:space="0" w:color="auto"/>
                      </w:divBdr>
                    </w:div>
                    <w:div w:id="405345534">
                      <w:marLeft w:val="0"/>
                      <w:marRight w:val="0"/>
                      <w:marTop w:val="0"/>
                      <w:marBottom w:val="0"/>
                      <w:divBdr>
                        <w:top w:val="none" w:sz="0" w:space="0" w:color="auto"/>
                        <w:left w:val="none" w:sz="0" w:space="0" w:color="auto"/>
                        <w:bottom w:val="none" w:sz="0" w:space="0" w:color="auto"/>
                        <w:right w:val="none" w:sz="0" w:space="0" w:color="auto"/>
                      </w:divBdr>
                    </w:div>
                    <w:div w:id="937567945">
                      <w:marLeft w:val="0"/>
                      <w:marRight w:val="0"/>
                      <w:marTop w:val="0"/>
                      <w:marBottom w:val="0"/>
                      <w:divBdr>
                        <w:top w:val="none" w:sz="0" w:space="0" w:color="auto"/>
                        <w:left w:val="none" w:sz="0" w:space="0" w:color="auto"/>
                        <w:bottom w:val="none" w:sz="0" w:space="0" w:color="auto"/>
                        <w:right w:val="none" w:sz="0" w:space="0" w:color="auto"/>
                      </w:divBdr>
                    </w:div>
                  </w:divsChild>
                </w:div>
                <w:div w:id="1968464655">
                  <w:marLeft w:val="0"/>
                  <w:marRight w:val="0"/>
                  <w:marTop w:val="0"/>
                  <w:marBottom w:val="0"/>
                  <w:divBdr>
                    <w:top w:val="none" w:sz="0" w:space="0" w:color="auto"/>
                    <w:left w:val="none" w:sz="0" w:space="0" w:color="auto"/>
                    <w:bottom w:val="none" w:sz="0" w:space="0" w:color="auto"/>
                    <w:right w:val="none" w:sz="0" w:space="0" w:color="auto"/>
                  </w:divBdr>
                  <w:divsChild>
                    <w:div w:id="886455333">
                      <w:marLeft w:val="0"/>
                      <w:marRight w:val="0"/>
                      <w:marTop w:val="0"/>
                      <w:marBottom w:val="0"/>
                      <w:divBdr>
                        <w:top w:val="none" w:sz="0" w:space="0" w:color="auto"/>
                        <w:left w:val="none" w:sz="0" w:space="0" w:color="auto"/>
                        <w:bottom w:val="none" w:sz="0" w:space="0" w:color="auto"/>
                        <w:right w:val="none" w:sz="0" w:space="0" w:color="auto"/>
                      </w:divBdr>
                    </w:div>
                  </w:divsChild>
                </w:div>
                <w:div w:id="2019186365">
                  <w:marLeft w:val="0"/>
                  <w:marRight w:val="0"/>
                  <w:marTop w:val="0"/>
                  <w:marBottom w:val="0"/>
                  <w:divBdr>
                    <w:top w:val="none" w:sz="0" w:space="0" w:color="auto"/>
                    <w:left w:val="none" w:sz="0" w:space="0" w:color="auto"/>
                    <w:bottom w:val="none" w:sz="0" w:space="0" w:color="auto"/>
                    <w:right w:val="none" w:sz="0" w:space="0" w:color="auto"/>
                  </w:divBdr>
                  <w:divsChild>
                    <w:div w:id="45029010">
                      <w:marLeft w:val="0"/>
                      <w:marRight w:val="0"/>
                      <w:marTop w:val="0"/>
                      <w:marBottom w:val="0"/>
                      <w:divBdr>
                        <w:top w:val="none" w:sz="0" w:space="0" w:color="auto"/>
                        <w:left w:val="none" w:sz="0" w:space="0" w:color="auto"/>
                        <w:bottom w:val="none" w:sz="0" w:space="0" w:color="auto"/>
                        <w:right w:val="none" w:sz="0" w:space="0" w:color="auto"/>
                      </w:divBdr>
                    </w:div>
                  </w:divsChild>
                </w:div>
                <w:div w:id="2109545096">
                  <w:marLeft w:val="0"/>
                  <w:marRight w:val="0"/>
                  <w:marTop w:val="0"/>
                  <w:marBottom w:val="0"/>
                  <w:divBdr>
                    <w:top w:val="none" w:sz="0" w:space="0" w:color="auto"/>
                    <w:left w:val="none" w:sz="0" w:space="0" w:color="auto"/>
                    <w:bottom w:val="none" w:sz="0" w:space="0" w:color="auto"/>
                    <w:right w:val="none" w:sz="0" w:space="0" w:color="auto"/>
                  </w:divBdr>
                  <w:divsChild>
                    <w:div w:id="32853615">
                      <w:marLeft w:val="0"/>
                      <w:marRight w:val="0"/>
                      <w:marTop w:val="0"/>
                      <w:marBottom w:val="0"/>
                      <w:divBdr>
                        <w:top w:val="none" w:sz="0" w:space="0" w:color="auto"/>
                        <w:left w:val="none" w:sz="0" w:space="0" w:color="auto"/>
                        <w:bottom w:val="none" w:sz="0" w:space="0" w:color="auto"/>
                        <w:right w:val="none" w:sz="0" w:space="0" w:color="auto"/>
                      </w:divBdr>
                    </w:div>
                    <w:div w:id="528184024">
                      <w:marLeft w:val="0"/>
                      <w:marRight w:val="0"/>
                      <w:marTop w:val="0"/>
                      <w:marBottom w:val="0"/>
                      <w:divBdr>
                        <w:top w:val="none" w:sz="0" w:space="0" w:color="auto"/>
                        <w:left w:val="none" w:sz="0" w:space="0" w:color="auto"/>
                        <w:bottom w:val="none" w:sz="0" w:space="0" w:color="auto"/>
                        <w:right w:val="none" w:sz="0" w:space="0" w:color="auto"/>
                      </w:divBdr>
                    </w:div>
                    <w:div w:id="797072783">
                      <w:marLeft w:val="0"/>
                      <w:marRight w:val="0"/>
                      <w:marTop w:val="0"/>
                      <w:marBottom w:val="0"/>
                      <w:divBdr>
                        <w:top w:val="none" w:sz="0" w:space="0" w:color="auto"/>
                        <w:left w:val="none" w:sz="0" w:space="0" w:color="auto"/>
                        <w:bottom w:val="none" w:sz="0" w:space="0" w:color="auto"/>
                        <w:right w:val="none" w:sz="0" w:space="0" w:color="auto"/>
                      </w:divBdr>
                    </w:div>
                    <w:div w:id="1365600289">
                      <w:marLeft w:val="0"/>
                      <w:marRight w:val="0"/>
                      <w:marTop w:val="0"/>
                      <w:marBottom w:val="0"/>
                      <w:divBdr>
                        <w:top w:val="none" w:sz="0" w:space="0" w:color="auto"/>
                        <w:left w:val="none" w:sz="0" w:space="0" w:color="auto"/>
                        <w:bottom w:val="none" w:sz="0" w:space="0" w:color="auto"/>
                        <w:right w:val="none" w:sz="0" w:space="0" w:color="auto"/>
                      </w:divBdr>
                    </w:div>
                    <w:div w:id="1471366412">
                      <w:marLeft w:val="0"/>
                      <w:marRight w:val="0"/>
                      <w:marTop w:val="0"/>
                      <w:marBottom w:val="0"/>
                      <w:divBdr>
                        <w:top w:val="none" w:sz="0" w:space="0" w:color="auto"/>
                        <w:left w:val="none" w:sz="0" w:space="0" w:color="auto"/>
                        <w:bottom w:val="none" w:sz="0" w:space="0" w:color="auto"/>
                        <w:right w:val="none" w:sz="0" w:space="0" w:color="auto"/>
                      </w:divBdr>
                    </w:div>
                    <w:div w:id="15744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50963">
          <w:marLeft w:val="0"/>
          <w:marRight w:val="0"/>
          <w:marTop w:val="0"/>
          <w:marBottom w:val="0"/>
          <w:divBdr>
            <w:top w:val="none" w:sz="0" w:space="0" w:color="auto"/>
            <w:left w:val="none" w:sz="0" w:space="0" w:color="auto"/>
            <w:bottom w:val="none" w:sz="0" w:space="0" w:color="auto"/>
            <w:right w:val="none" w:sz="0" w:space="0" w:color="auto"/>
          </w:divBdr>
        </w:div>
        <w:div w:id="1793549084">
          <w:marLeft w:val="0"/>
          <w:marRight w:val="0"/>
          <w:marTop w:val="0"/>
          <w:marBottom w:val="0"/>
          <w:divBdr>
            <w:top w:val="none" w:sz="0" w:space="0" w:color="auto"/>
            <w:left w:val="none" w:sz="0" w:space="0" w:color="auto"/>
            <w:bottom w:val="none" w:sz="0" w:space="0" w:color="auto"/>
            <w:right w:val="none" w:sz="0" w:space="0" w:color="auto"/>
          </w:divBdr>
        </w:div>
        <w:div w:id="2105681580">
          <w:marLeft w:val="0"/>
          <w:marRight w:val="0"/>
          <w:marTop w:val="0"/>
          <w:marBottom w:val="0"/>
          <w:divBdr>
            <w:top w:val="none" w:sz="0" w:space="0" w:color="auto"/>
            <w:left w:val="none" w:sz="0" w:space="0" w:color="auto"/>
            <w:bottom w:val="none" w:sz="0" w:space="0" w:color="auto"/>
            <w:right w:val="none" w:sz="0" w:space="0" w:color="auto"/>
          </w:divBdr>
        </w:div>
      </w:divsChild>
    </w:div>
    <w:div w:id="512959938">
      <w:bodyDiv w:val="1"/>
      <w:marLeft w:val="0"/>
      <w:marRight w:val="0"/>
      <w:marTop w:val="0"/>
      <w:marBottom w:val="0"/>
      <w:divBdr>
        <w:top w:val="none" w:sz="0" w:space="0" w:color="auto"/>
        <w:left w:val="none" w:sz="0" w:space="0" w:color="auto"/>
        <w:bottom w:val="none" w:sz="0" w:space="0" w:color="auto"/>
        <w:right w:val="none" w:sz="0" w:space="0" w:color="auto"/>
      </w:divBdr>
    </w:div>
    <w:div w:id="537475195">
      <w:bodyDiv w:val="1"/>
      <w:marLeft w:val="0"/>
      <w:marRight w:val="0"/>
      <w:marTop w:val="0"/>
      <w:marBottom w:val="0"/>
      <w:divBdr>
        <w:top w:val="none" w:sz="0" w:space="0" w:color="auto"/>
        <w:left w:val="none" w:sz="0" w:space="0" w:color="auto"/>
        <w:bottom w:val="none" w:sz="0" w:space="0" w:color="auto"/>
        <w:right w:val="none" w:sz="0" w:space="0" w:color="auto"/>
      </w:divBdr>
    </w:div>
    <w:div w:id="553126302">
      <w:bodyDiv w:val="1"/>
      <w:marLeft w:val="0"/>
      <w:marRight w:val="0"/>
      <w:marTop w:val="0"/>
      <w:marBottom w:val="0"/>
      <w:divBdr>
        <w:top w:val="none" w:sz="0" w:space="0" w:color="auto"/>
        <w:left w:val="none" w:sz="0" w:space="0" w:color="auto"/>
        <w:bottom w:val="none" w:sz="0" w:space="0" w:color="auto"/>
        <w:right w:val="none" w:sz="0" w:space="0" w:color="auto"/>
      </w:divBdr>
    </w:div>
    <w:div w:id="613441085">
      <w:bodyDiv w:val="1"/>
      <w:marLeft w:val="0"/>
      <w:marRight w:val="0"/>
      <w:marTop w:val="0"/>
      <w:marBottom w:val="0"/>
      <w:divBdr>
        <w:top w:val="none" w:sz="0" w:space="0" w:color="auto"/>
        <w:left w:val="none" w:sz="0" w:space="0" w:color="auto"/>
        <w:bottom w:val="none" w:sz="0" w:space="0" w:color="auto"/>
        <w:right w:val="none" w:sz="0" w:space="0" w:color="auto"/>
      </w:divBdr>
      <w:divsChild>
        <w:div w:id="18312241">
          <w:marLeft w:val="0"/>
          <w:marRight w:val="0"/>
          <w:marTop w:val="83"/>
          <w:marBottom w:val="0"/>
          <w:divBdr>
            <w:top w:val="none" w:sz="0" w:space="0" w:color="auto"/>
            <w:left w:val="none" w:sz="0" w:space="0" w:color="auto"/>
            <w:bottom w:val="none" w:sz="0" w:space="0" w:color="auto"/>
            <w:right w:val="none" w:sz="0" w:space="0" w:color="auto"/>
          </w:divBdr>
        </w:div>
        <w:div w:id="582956197">
          <w:marLeft w:val="0"/>
          <w:marRight w:val="0"/>
          <w:marTop w:val="83"/>
          <w:marBottom w:val="0"/>
          <w:divBdr>
            <w:top w:val="none" w:sz="0" w:space="0" w:color="auto"/>
            <w:left w:val="none" w:sz="0" w:space="0" w:color="auto"/>
            <w:bottom w:val="none" w:sz="0" w:space="0" w:color="auto"/>
            <w:right w:val="none" w:sz="0" w:space="0" w:color="auto"/>
          </w:divBdr>
        </w:div>
        <w:div w:id="736364620">
          <w:marLeft w:val="0"/>
          <w:marRight w:val="0"/>
          <w:marTop w:val="83"/>
          <w:marBottom w:val="0"/>
          <w:divBdr>
            <w:top w:val="none" w:sz="0" w:space="0" w:color="auto"/>
            <w:left w:val="none" w:sz="0" w:space="0" w:color="auto"/>
            <w:bottom w:val="none" w:sz="0" w:space="0" w:color="auto"/>
            <w:right w:val="none" w:sz="0" w:space="0" w:color="auto"/>
          </w:divBdr>
        </w:div>
        <w:div w:id="846528822">
          <w:marLeft w:val="0"/>
          <w:marRight w:val="0"/>
          <w:marTop w:val="83"/>
          <w:marBottom w:val="0"/>
          <w:divBdr>
            <w:top w:val="none" w:sz="0" w:space="0" w:color="auto"/>
            <w:left w:val="none" w:sz="0" w:space="0" w:color="auto"/>
            <w:bottom w:val="none" w:sz="0" w:space="0" w:color="auto"/>
            <w:right w:val="none" w:sz="0" w:space="0" w:color="auto"/>
          </w:divBdr>
        </w:div>
        <w:div w:id="1073701869">
          <w:marLeft w:val="0"/>
          <w:marRight w:val="0"/>
          <w:marTop w:val="83"/>
          <w:marBottom w:val="0"/>
          <w:divBdr>
            <w:top w:val="none" w:sz="0" w:space="0" w:color="auto"/>
            <w:left w:val="none" w:sz="0" w:space="0" w:color="auto"/>
            <w:bottom w:val="none" w:sz="0" w:space="0" w:color="auto"/>
            <w:right w:val="none" w:sz="0" w:space="0" w:color="auto"/>
          </w:divBdr>
        </w:div>
        <w:div w:id="1403410139">
          <w:marLeft w:val="0"/>
          <w:marRight w:val="0"/>
          <w:marTop w:val="83"/>
          <w:marBottom w:val="0"/>
          <w:divBdr>
            <w:top w:val="none" w:sz="0" w:space="0" w:color="auto"/>
            <w:left w:val="none" w:sz="0" w:space="0" w:color="auto"/>
            <w:bottom w:val="none" w:sz="0" w:space="0" w:color="auto"/>
            <w:right w:val="none" w:sz="0" w:space="0" w:color="auto"/>
          </w:divBdr>
        </w:div>
      </w:divsChild>
    </w:div>
    <w:div w:id="667370334">
      <w:bodyDiv w:val="1"/>
      <w:marLeft w:val="0"/>
      <w:marRight w:val="0"/>
      <w:marTop w:val="0"/>
      <w:marBottom w:val="0"/>
      <w:divBdr>
        <w:top w:val="none" w:sz="0" w:space="0" w:color="auto"/>
        <w:left w:val="none" w:sz="0" w:space="0" w:color="auto"/>
        <w:bottom w:val="none" w:sz="0" w:space="0" w:color="auto"/>
        <w:right w:val="none" w:sz="0" w:space="0" w:color="auto"/>
      </w:divBdr>
    </w:div>
    <w:div w:id="830097678">
      <w:bodyDiv w:val="1"/>
      <w:marLeft w:val="0"/>
      <w:marRight w:val="0"/>
      <w:marTop w:val="0"/>
      <w:marBottom w:val="0"/>
      <w:divBdr>
        <w:top w:val="none" w:sz="0" w:space="0" w:color="auto"/>
        <w:left w:val="none" w:sz="0" w:space="0" w:color="auto"/>
        <w:bottom w:val="none" w:sz="0" w:space="0" w:color="auto"/>
        <w:right w:val="none" w:sz="0" w:space="0" w:color="auto"/>
      </w:divBdr>
    </w:div>
    <w:div w:id="846556177">
      <w:bodyDiv w:val="1"/>
      <w:marLeft w:val="0"/>
      <w:marRight w:val="0"/>
      <w:marTop w:val="0"/>
      <w:marBottom w:val="0"/>
      <w:divBdr>
        <w:top w:val="none" w:sz="0" w:space="0" w:color="auto"/>
        <w:left w:val="none" w:sz="0" w:space="0" w:color="auto"/>
        <w:bottom w:val="none" w:sz="0" w:space="0" w:color="auto"/>
        <w:right w:val="none" w:sz="0" w:space="0" w:color="auto"/>
      </w:divBdr>
      <w:divsChild>
        <w:div w:id="444421499">
          <w:marLeft w:val="0"/>
          <w:marRight w:val="0"/>
          <w:marTop w:val="83"/>
          <w:marBottom w:val="0"/>
          <w:divBdr>
            <w:top w:val="none" w:sz="0" w:space="0" w:color="auto"/>
            <w:left w:val="none" w:sz="0" w:space="0" w:color="auto"/>
            <w:bottom w:val="none" w:sz="0" w:space="0" w:color="auto"/>
            <w:right w:val="none" w:sz="0" w:space="0" w:color="auto"/>
          </w:divBdr>
        </w:div>
        <w:div w:id="1745180499">
          <w:marLeft w:val="0"/>
          <w:marRight w:val="0"/>
          <w:marTop w:val="83"/>
          <w:marBottom w:val="0"/>
          <w:divBdr>
            <w:top w:val="none" w:sz="0" w:space="0" w:color="auto"/>
            <w:left w:val="none" w:sz="0" w:space="0" w:color="auto"/>
            <w:bottom w:val="none" w:sz="0" w:space="0" w:color="auto"/>
            <w:right w:val="none" w:sz="0" w:space="0" w:color="auto"/>
          </w:divBdr>
        </w:div>
      </w:divsChild>
    </w:div>
    <w:div w:id="908149456">
      <w:bodyDiv w:val="1"/>
      <w:marLeft w:val="0"/>
      <w:marRight w:val="0"/>
      <w:marTop w:val="0"/>
      <w:marBottom w:val="0"/>
      <w:divBdr>
        <w:top w:val="none" w:sz="0" w:space="0" w:color="auto"/>
        <w:left w:val="none" w:sz="0" w:space="0" w:color="auto"/>
        <w:bottom w:val="none" w:sz="0" w:space="0" w:color="auto"/>
        <w:right w:val="none" w:sz="0" w:space="0" w:color="auto"/>
      </w:divBdr>
    </w:div>
    <w:div w:id="978148243">
      <w:bodyDiv w:val="1"/>
      <w:marLeft w:val="0"/>
      <w:marRight w:val="0"/>
      <w:marTop w:val="0"/>
      <w:marBottom w:val="0"/>
      <w:divBdr>
        <w:top w:val="none" w:sz="0" w:space="0" w:color="auto"/>
        <w:left w:val="none" w:sz="0" w:space="0" w:color="auto"/>
        <w:bottom w:val="none" w:sz="0" w:space="0" w:color="auto"/>
        <w:right w:val="none" w:sz="0" w:space="0" w:color="auto"/>
      </w:divBdr>
    </w:div>
    <w:div w:id="1002388896">
      <w:bodyDiv w:val="1"/>
      <w:marLeft w:val="0"/>
      <w:marRight w:val="0"/>
      <w:marTop w:val="0"/>
      <w:marBottom w:val="0"/>
      <w:divBdr>
        <w:top w:val="none" w:sz="0" w:space="0" w:color="auto"/>
        <w:left w:val="none" w:sz="0" w:space="0" w:color="auto"/>
        <w:bottom w:val="none" w:sz="0" w:space="0" w:color="auto"/>
        <w:right w:val="none" w:sz="0" w:space="0" w:color="auto"/>
      </w:divBdr>
    </w:div>
    <w:div w:id="1004279524">
      <w:bodyDiv w:val="1"/>
      <w:marLeft w:val="0"/>
      <w:marRight w:val="0"/>
      <w:marTop w:val="0"/>
      <w:marBottom w:val="0"/>
      <w:divBdr>
        <w:top w:val="none" w:sz="0" w:space="0" w:color="auto"/>
        <w:left w:val="none" w:sz="0" w:space="0" w:color="auto"/>
        <w:bottom w:val="none" w:sz="0" w:space="0" w:color="auto"/>
        <w:right w:val="none" w:sz="0" w:space="0" w:color="auto"/>
      </w:divBdr>
    </w:div>
    <w:div w:id="1007441918">
      <w:bodyDiv w:val="1"/>
      <w:marLeft w:val="0"/>
      <w:marRight w:val="0"/>
      <w:marTop w:val="0"/>
      <w:marBottom w:val="0"/>
      <w:divBdr>
        <w:top w:val="none" w:sz="0" w:space="0" w:color="auto"/>
        <w:left w:val="none" w:sz="0" w:space="0" w:color="auto"/>
        <w:bottom w:val="none" w:sz="0" w:space="0" w:color="auto"/>
        <w:right w:val="none" w:sz="0" w:space="0" w:color="auto"/>
      </w:divBdr>
    </w:div>
    <w:div w:id="1060597112">
      <w:bodyDiv w:val="1"/>
      <w:marLeft w:val="0"/>
      <w:marRight w:val="0"/>
      <w:marTop w:val="0"/>
      <w:marBottom w:val="0"/>
      <w:divBdr>
        <w:top w:val="none" w:sz="0" w:space="0" w:color="auto"/>
        <w:left w:val="none" w:sz="0" w:space="0" w:color="auto"/>
        <w:bottom w:val="none" w:sz="0" w:space="0" w:color="auto"/>
        <w:right w:val="none" w:sz="0" w:space="0" w:color="auto"/>
      </w:divBdr>
    </w:div>
    <w:div w:id="1069957640">
      <w:bodyDiv w:val="1"/>
      <w:marLeft w:val="0"/>
      <w:marRight w:val="0"/>
      <w:marTop w:val="0"/>
      <w:marBottom w:val="0"/>
      <w:divBdr>
        <w:top w:val="none" w:sz="0" w:space="0" w:color="auto"/>
        <w:left w:val="none" w:sz="0" w:space="0" w:color="auto"/>
        <w:bottom w:val="none" w:sz="0" w:space="0" w:color="auto"/>
        <w:right w:val="none" w:sz="0" w:space="0" w:color="auto"/>
      </w:divBdr>
    </w:div>
    <w:div w:id="1122073025">
      <w:bodyDiv w:val="1"/>
      <w:marLeft w:val="0"/>
      <w:marRight w:val="0"/>
      <w:marTop w:val="0"/>
      <w:marBottom w:val="0"/>
      <w:divBdr>
        <w:top w:val="none" w:sz="0" w:space="0" w:color="auto"/>
        <w:left w:val="none" w:sz="0" w:space="0" w:color="auto"/>
        <w:bottom w:val="none" w:sz="0" w:space="0" w:color="auto"/>
        <w:right w:val="none" w:sz="0" w:space="0" w:color="auto"/>
      </w:divBdr>
    </w:div>
    <w:div w:id="1143692935">
      <w:bodyDiv w:val="1"/>
      <w:marLeft w:val="0"/>
      <w:marRight w:val="0"/>
      <w:marTop w:val="0"/>
      <w:marBottom w:val="0"/>
      <w:divBdr>
        <w:top w:val="none" w:sz="0" w:space="0" w:color="auto"/>
        <w:left w:val="none" w:sz="0" w:space="0" w:color="auto"/>
        <w:bottom w:val="none" w:sz="0" w:space="0" w:color="auto"/>
        <w:right w:val="none" w:sz="0" w:space="0" w:color="auto"/>
      </w:divBdr>
    </w:div>
    <w:div w:id="1170486477">
      <w:bodyDiv w:val="1"/>
      <w:marLeft w:val="0"/>
      <w:marRight w:val="0"/>
      <w:marTop w:val="0"/>
      <w:marBottom w:val="0"/>
      <w:divBdr>
        <w:top w:val="none" w:sz="0" w:space="0" w:color="auto"/>
        <w:left w:val="none" w:sz="0" w:space="0" w:color="auto"/>
        <w:bottom w:val="none" w:sz="0" w:space="0" w:color="auto"/>
        <w:right w:val="none" w:sz="0" w:space="0" w:color="auto"/>
      </w:divBdr>
    </w:div>
    <w:div w:id="1236088879">
      <w:bodyDiv w:val="1"/>
      <w:marLeft w:val="0"/>
      <w:marRight w:val="0"/>
      <w:marTop w:val="0"/>
      <w:marBottom w:val="0"/>
      <w:divBdr>
        <w:top w:val="none" w:sz="0" w:space="0" w:color="auto"/>
        <w:left w:val="none" w:sz="0" w:space="0" w:color="auto"/>
        <w:bottom w:val="none" w:sz="0" w:space="0" w:color="auto"/>
        <w:right w:val="none" w:sz="0" w:space="0" w:color="auto"/>
      </w:divBdr>
    </w:div>
    <w:div w:id="1248230425">
      <w:bodyDiv w:val="1"/>
      <w:marLeft w:val="0"/>
      <w:marRight w:val="0"/>
      <w:marTop w:val="0"/>
      <w:marBottom w:val="0"/>
      <w:divBdr>
        <w:top w:val="none" w:sz="0" w:space="0" w:color="auto"/>
        <w:left w:val="none" w:sz="0" w:space="0" w:color="auto"/>
        <w:bottom w:val="none" w:sz="0" w:space="0" w:color="auto"/>
        <w:right w:val="none" w:sz="0" w:space="0" w:color="auto"/>
      </w:divBdr>
    </w:div>
    <w:div w:id="1266233743">
      <w:bodyDiv w:val="1"/>
      <w:marLeft w:val="0"/>
      <w:marRight w:val="0"/>
      <w:marTop w:val="0"/>
      <w:marBottom w:val="0"/>
      <w:divBdr>
        <w:top w:val="none" w:sz="0" w:space="0" w:color="auto"/>
        <w:left w:val="none" w:sz="0" w:space="0" w:color="auto"/>
        <w:bottom w:val="none" w:sz="0" w:space="0" w:color="auto"/>
        <w:right w:val="none" w:sz="0" w:space="0" w:color="auto"/>
      </w:divBdr>
    </w:div>
    <w:div w:id="1451701296">
      <w:bodyDiv w:val="1"/>
      <w:marLeft w:val="0"/>
      <w:marRight w:val="0"/>
      <w:marTop w:val="0"/>
      <w:marBottom w:val="0"/>
      <w:divBdr>
        <w:top w:val="none" w:sz="0" w:space="0" w:color="auto"/>
        <w:left w:val="none" w:sz="0" w:space="0" w:color="auto"/>
        <w:bottom w:val="none" w:sz="0" w:space="0" w:color="auto"/>
        <w:right w:val="none" w:sz="0" w:space="0" w:color="auto"/>
      </w:divBdr>
    </w:div>
    <w:div w:id="1471096384">
      <w:bodyDiv w:val="1"/>
      <w:marLeft w:val="0"/>
      <w:marRight w:val="0"/>
      <w:marTop w:val="0"/>
      <w:marBottom w:val="0"/>
      <w:divBdr>
        <w:top w:val="none" w:sz="0" w:space="0" w:color="auto"/>
        <w:left w:val="none" w:sz="0" w:space="0" w:color="auto"/>
        <w:bottom w:val="none" w:sz="0" w:space="0" w:color="auto"/>
        <w:right w:val="none" w:sz="0" w:space="0" w:color="auto"/>
      </w:divBdr>
    </w:div>
    <w:div w:id="1554152889">
      <w:bodyDiv w:val="1"/>
      <w:marLeft w:val="0"/>
      <w:marRight w:val="0"/>
      <w:marTop w:val="0"/>
      <w:marBottom w:val="0"/>
      <w:divBdr>
        <w:top w:val="none" w:sz="0" w:space="0" w:color="auto"/>
        <w:left w:val="none" w:sz="0" w:space="0" w:color="auto"/>
        <w:bottom w:val="none" w:sz="0" w:space="0" w:color="auto"/>
        <w:right w:val="none" w:sz="0" w:space="0" w:color="auto"/>
      </w:divBdr>
    </w:div>
    <w:div w:id="1555698132">
      <w:bodyDiv w:val="1"/>
      <w:marLeft w:val="0"/>
      <w:marRight w:val="0"/>
      <w:marTop w:val="0"/>
      <w:marBottom w:val="0"/>
      <w:divBdr>
        <w:top w:val="none" w:sz="0" w:space="0" w:color="auto"/>
        <w:left w:val="none" w:sz="0" w:space="0" w:color="auto"/>
        <w:bottom w:val="none" w:sz="0" w:space="0" w:color="auto"/>
        <w:right w:val="none" w:sz="0" w:space="0" w:color="auto"/>
      </w:divBdr>
    </w:div>
    <w:div w:id="1559632487">
      <w:bodyDiv w:val="1"/>
      <w:marLeft w:val="0"/>
      <w:marRight w:val="0"/>
      <w:marTop w:val="0"/>
      <w:marBottom w:val="0"/>
      <w:divBdr>
        <w:top w:val="none" w:sz="0" w:space="0" w:color="auto"/>
        <w:left w:val="none" w:sz="0" w:space="0" w:color="auto"/>
        <w:bottom w:val="none" w:sz="0" w:space="0" w:color="auto"/>
        <w:right w:val="none" w:sz="0" w:space="0" w:color="auto"/>
      </w:divBdr>
    </w:div>
    <w:div w:id="1570574877">
      <w:bodyDiv w:val="1"/>
      <w:marLeft w:val="0"/>
      <w:marRight w:val="0"/>
      <w:marTop w:val="0"/>
      <w:marBottom w:val="0"/>
      <w:divBdr>
        <w:top w:val="none" w:sz="0" w:space="0" w:color="auto"/>
        <w:left w:val="none" w:sz="0" w:space="0" w:color="auto"/>
        <w:bottom w:val="none" w:sz="0" w:space="0" w:color="auto"/>
        <w:right w:val="none" w:sz="0" w:space="0" w:color="auto"/>
      </w:divBdr>
    </w:div>
    <w:div w:id="1652052048">
      <w:bodyDiv w:val="1"/>
      <w:marLeft w:val="0"/>
      <w:marRight w:val="0"/>
      <w:marTop w:val="0"/>
      <w:marBottom w:val="0"/>
      <w:divBdr>
        <w:top w:val="none" w:sz="0" w:space="0" w:color="auto"/>
        <w:left w:val="none" w:sz="0" w:space="0" w:color="auto"/>
        <w:bottom w:val="none" w:sz="0" w:space="0" w:color="auto"/>
        <w:right w:val="none" w:sz="0" w:space="0" w:color="auto"/>
      </w:divBdr>
    </w:div>
    <w:div w:id="1765565801">
      <w:bodyDiv w:val="1"/>
      <w:marLeft w:val="0"/>
      <w:marRight w:val="0"/>
      <w:marTop w:val="0"/>
      <w:marBottom w:val="0"/>
      <w:divBdr>
        <w:top w:val="none" w:sz="0" w:space="0" w:color="auto"/>
        <w:left w:val="none" w:sz="0" w:space="0" w:color="auto"/>
        <w:bottom w:val="none" w:sz="0" w:space="0" w:color="auto"/>
        <w:right w:val="none" w:sz="0" w:space="0" w:color="auto"/>
      </w:divBdr>
    </w:div>
    <w:div w:id="1851332476">
      <w:bodyDiv w:val="1"/>
      <w:marLeft w:val="0"/>
      <w:marRight w:val="0"/>
      <w:marTop w:val="0"/>
      <w:marBottom w:val="0"/>
      <w:divBdr>
        <w:top w:val="none" w:sz="0" w:space="0" w:color="auto"/>
        <w:left w:val="none" w:sz="0" w:space="0" w:color="auto"/>
        <w:bottom w:val="none" w:sz="0" w:space="0" w:color="auto"/>
        <w:right w:val="none" w:sz="0" w:space="0" w:color="auto"/>
      </w:divBdr>
    </w:div>
    <w:div w:id="1863083898">
      <w:bodyDiv w:val="1"/>
      <w:marLeft w:val="0"/>
      <w:marRight w:val="0"/>
      <w:marTop w:val="0"/>
      <w:marBottom w:val="0"/>
      <w:divBdr>
        <w:top w:val="none" w:sz="0" w:space="0" w:color="auto"/>
        <w:left w:val="none" w:sz="0" w:space="0" w:color="auto"/>
        <w:bottom w:val="none" w:sz="0" w:space="0" w:color="auto"/>
        <w:right w:val="none" w:sz="0" w:space="0" w:color="auto"/>
      </w:divBdr>
    </w:div>
    <w:div w:id="1872106782">
      <w:bodyDiv w:val="1"/>
      <w:marLeft w:val="0"/>
      <w:marRight w:val="0"/>
      <w:marTop w:val="0"/>
      <w:marBottom w:val="0"/>
      <w:divBdr>
        <w:top w:val="none" w:sz="0" w:space="0" w:color="auto"/>
        <w:left w:val="none" w:sz="0" w:space="0" w:color="auto"/>
        <w:bottom w:val="none" w:sz="0" w:space="0" w:color="auto"/>
        <w:right w:val="none" w:sz="0" w:space="0" w:color="auto"/>
      </w:divBdr>
    </w:div>
    <w:div w:id="1879663370">
      <w:bodyDiv w:val="1"/>
      <w:marLeft w:val="0"/>
      <w:marRight w:val="0"/>
      <w:marTop w:val="0"/>
      <w:marBottom w:val="0"/>
      <w:divBdr>
        <w:top w:val="none" w:sz="0" w:space="0" w:color="auto"/>
        <w:left w:val="none" w:sz="0" w:space="0" w:color="auto"/>
        <w:bottom w:val="none" w:sz="0" w:space="0" w:color="auto"/>
        <w:right w:val="none" w:sz="0" w:space="0" w:color="auto"/>
      </w:divBdr>
    </w:div>
    <w:div w:id="1944141134">
      <w:bodyDiv w:val="1"/>
      <w:marLeft w:val="0"/>
      <w:marRight w:val="0"/>
      <w:marTop w:val="0"/>
      <w:marBottom w:val="0"/>
      <w:divBdr>
        <w:top w:val="none" w:sz="0" w:space="0" w:color="auto"/>
        <w:left w:val="none" w:sz="0" w:space="0" w:color="auto"/>
        <w:bottom w:val="none" w:sz="0" w:space="0" w:color="auto"/>
        <w:right w:val="none" w:sz="0" w:space="0" w:color="auto"/>
      </w:divBdr>
    </w:div>
    <w:div w:id="1946426681">
      <w:bodyDiv w:val="1"/>
      <w:marLeft w:val="0"/>
      <w:marRight w:val="0"/>
      <w:marTop w:val="0"/>
      <w:marBottom w:val="0"/>
      <w:divBdr>
        <w:top w:val="none" w:sz="0" w:space="0" w:color="auto"/>
        <w:left w:val="none" w:sz="0" w:space="0" w:color="auto"/>
        <w:bottom w:val="none" w:sz="0" w:space="0" w:color="auto"/>
        <w:right w:val="none" w:sz="0" w:space="0" w:color="auto"/>
      </w:divBdr>
    </w:div>
    <w:div w:id="1946691115">
      <w:bodyDiv w:val="1"/>
      <w:marLeft w:val="0"/>
      <w:marRight w:val="0"/>
      <w:marTop w:val="0"/>
      <w:marBottom w:val="0"/>
      <w:divBdr>
        <w:top w:val="none" w:sz="0" w:space="0" w:color="auto"/>
        <w:left w:val="none" w:sz="0" w:space="0" w:color="auto"/>
        <w:bottom w:val="none" w:sz="0" w:space="0" w:color="auto"/>
        <w:right w:val="none" w:sz="0" w:space="0" w:color="auto"/>
      </w:divBdr>
    </w:div>
    <w:div w:id="1949972112">
      <w:bodyDiv w:val="1"/>
      <w:marLeft w:val="0"/>
      <w:marRight w:val="0"/>
      <w:marTop w:val="0"/>
      <w:marBottom w:val="0"/>
      <w:divBdr>
        <w:top w:val="none" w:sz="0" w:space="0" w:color="auto"/>
        <w:left w:val="none" w:sz="0" w:space="0" w:color="auto"/>
        <w:bottom w:val="none" w:sz="0" w:space="0" w:color="auto"/>
        <w:right w:val="none" w:sz="0" w:space="0" w:color="auto"/>
      </w:divBdr>
    </w:div>
    <w:div w:id="1987197081">
      <w:bodyDiv w:val="1"/>
      <w:marLeft w:val="0"/>
      <w:marRight w:val="0"/>
      <w:marTop w:val="0"/>
      <w:marBottom w:val="0"/>
      <w:divBdr>
        <w:top w:val="none" w:sz="0" w:space="0" w:color="auto"/>
        <w:left w:val="none" w:sz="0" w:space="0" w:color="auto"/>
        <w:bottom w:val="none" w:sz="0" w:space="0" w:color="auto"/>
        <w:right w:val="none" w:sz="0" w:space="0" w:color="auto"/>
      </w:divBdr>
    </w:div>
    <w:div w:id="2020546328">
      <w:bodyDiv w:val="1"/>
      <w:marLeft w:val="0"/>
      <w:marRight w:val="0"/>
      <w:marTop w:val="0"/>
      <w:marBottom w:val="0"/>
      <w:divBdr>
        <w:top w:val="none" w:sz="0" w:space="0" w:color="auto"/>
        <w:left w:val="none" w:sz="0" w:space="0" w:color="auto"/>
        <w:bottom w:val="none" w:sz="0" w:space="0" w:color="auto"/>
        <w:right w:val="none" w:sz="0" w:space="0" w:color="auto"/>
      </w:divBdr>
    </w:div>
    <w:div w:id="2031298640">
      <w:bodyDiv w:val="1"/>
      <w:marLeft w:val="0"/>
      <w:marRight w:val="0"/>
      <w:marTop w:val="0"/>
      <w:marBottom w:val="0"/>
      <w:divBdr>
        <w:top w:val="none" w:sz="0" w:space="0" w:color="auto"/>
        <w:left w:val="none" w:sz="0" w:space="0" w:color="auto"/>
        <w:bottom w:val="none" w:sz="0" w:space="0" w:color="auto"/>
        <w:right w:val="none" w:sz="0" w:space="0" w:color="auto"/>
      </w:divBdr>
    </w:div>
    <w:div w:id="2034106989">
      <w:bodyDiv w:val="1"/>
      <w:marLeft w:val="0"/>
      <w:marRight w:val="0"/>
      <w:marTop w:val="0"/>
      <w:marBottom w:val="0"/>
      <w:divBdr>
        <w:top w:val="none" w:sz="0" w:space="0" w:color="auto"/>
        <w:left w:val="none" w:sz="0" w:space="0" w:color="auto"/>
        <w:bottom w:val="none" w:sz="0" w:space="0" w:color="auto"/>
        <w:right w:val="none" w:sz="0" w:space="0" w:color="auto"/>
      </w:divBdr>
      <w:divsChild>
        <w:div w:id="195508366">
          <w:marLeft w:val="0"/>
          <w:marRight w:val="0"/>
          <w:marTop w:val="83"/>
          <w:marBottom w:val="0"/>
          <w:divBdr>
            <w:top w:val="none" w:sz="0" w:space="0" w:color="auto"/>
            <w:left w:val="none" w:sz="0" w:space="0" w:color="auto"/>
            <w:bottom w:val="none" w:sz="0" w:space="0" w:color="auto"/>
            <w:right w:val="none" w:sz="0" w:space="0" w:color="auto"/>
          </w:divBdr>
        </w:div>
        <w:div w:id="322972829">
          <w:marLeft w:val="0"/>
          <w:marRight w:val="0"/>
          <w:marTop w:val="83"/>
          <w:marBottom w:val="0"/>
          <w:divBdr>
            <w:top w:val="none" w:sz="0" w:space="0" w:color="auto"/>
            <w:left w:val="none" w:sz="0" w:space="0" w:color="auto"/>
            <w:bottom w:val="none" w:sz="0" w:space="0" w:color="auto"/>
            <w:right w:val="none" w:sz="0" w:space="0" w:color="auto"/>
          </w:divBdr>
        </w:div>
        <w:div w:id="750389368">
          <w:marLeft w:val="0"/>
          <w:marRight w:val="0"/>
          <w:marTop w:val="83"/>
          <w:marBottom w:val="0"/>
          <w:divBdr>
            <w:top w:val="none" w:sz="0" w:space="0" w:color="auto"/>
            <w:left w:val="none" w:sz="0" w:space="0" w:color="auto"/>
            <w:bottom w:val="none" w:sz="0" w:space="0" w:color="auto"/>
            <w:right w:val="none" w:sz="0" w:space="0" w:color="auto"/>
          </w:divBdr>
        </w:div>
        <w:div w:id="1160461219">
          <w:marLeft w:val="0"/>
          <w:marRight w:val="0"/>
          <w:marTop w:val="83"/>
          <w:marBottom w:val="0"/>
          <w:divBdr>
            <w:top w:val="none" w:sz="0" w:space="0" w:color="auto"/>
            <w:left w:val="none" w:sz="0" w:space="0" w:color="auto"/>
            <w:bottom w:val="none" w:sz="0" w:space="0" w:color="auto"/>
            <w:right w:val="none" w:sz="0" w:space="0" w:color="auto"/>
          </w:divBdr>
        </w:div>
        <w:div w:id="1784611675">
          <w:marLeft w:val="0"/>
          <w:marRight w:val="0"/>
          <w:marTop w:val="83"/>
          <w:marBottom w:val="0"/>
          <w:divBdr>
            <w:top w:val="none" w:sz="0" w:space="0" w:color="auto"/>
            <w:left w:val="none" w:sz="0" w:space="0" w:color="auto"/>
            <w:bottom w:val="none" w:sz="0" w:space="0" w:color="auto"/>
            <w:right w:val="none" w:sz="0" w:space="0" w:color="auto"/>
          </w:divBdr>
        </w:div>
        <w:div w:id="2095203142">
          <w:marLeft w:val="0"/>
          <w:marRight w:val="0"/>
          <w:marTop w:val="83"/>
          <w:marBottom w:val="0"/>
          <w:divBdr>
            <w:top w:val="none" w:sz="0" w:space="0" w:color="auto"/>
            <w:left w:val="none" w:sz="0" w:space="0" w:color="auto"/>
            <w:bottom w:val="none" w:sz="0" w:space="0" w:color="auto"/>
            <w:right w:val="none" w:sz="0" w:space="0" w:color="auto"/>
          </w:divBdr>
        </w:div>
      </w:divsChild>
    </w:div>
    <w:div w:id="2102295055">
      <w:bodyDiv w:val="1"/>
      <w:marLeft w:val="0"/>
      <w:marRight w:val="0"/>
      <w:marTop w:val="0"/>
      <w:marBottom w:val="0"/>
      <w:divBdr>
        <w:top w:val="none" w:sz="0" w:space="0" w:color="auto"/>
        <w:left w:val="none" w:sz="0" w:space="0" w:color="auto"/>
        <w:bottom w:val="none" w:sz="0" w:space="0" w:color="auto"/>
        <w:right w:val="none" w:sz="0" w:space="0" w:color="auto"/>
      </w:divBdr>
    </w:div>
    <w:div w:id="210364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ironment.govt.nz/assets/Publications/Files/nps-electricity-transmission-mar08.pdf" TargetMode="External"/><Relationship Id="rId18" Type="http://schemas.openxmlformats.org/officeDocument/2006/relationships/hyperlink" Target="http://www.legislation.govt.nz/regulation/public/2004/0309/latest/DLM286835.html?search=ta_regulation_R_rc%40rinf%40rnif_an%40bn%40rn_25_a&amp;p=3" TargetMode="External"/><Relationship Id="rId26" Type="http://schemas.openxmlformats.org/officeDocument/2006/relationships/hyperlink" Target="http://www.legislation.govt.nz/regulation/public/1991/0206/latest/DLM148888.html" TargetMode="External"/><Relationship Id="rId39" Type="http://schemas.openxmlformats.org/officeDocument/2006/relationships/hyperlink" Target="http://www.puketeraki.nz/" TargetMode="External"/><Relationship Id="rId21" Type="http://schemas.openxmlformats.org/officeDocument/2006/relationships/hyperlink" Target="http://www.legislation.govt.nz/regulation/public/2011/0361/latest/whole.html" TargetMode="External"/><Relationship Id="rId34" Type="http://schemas.openxmlformats.org/officeDocument/2006/relationships/hyperlink" Target="http://www.legislation.govt.nz/regulation/public/2017/0021/latest/DLM7104033.html?search=ta_regulation_R_rc%40rinf%40rnif_an%40bn%40rn_200_a&amp;p=1" TargetMode="External"/><Relationship Id="rId42" Type="http://schemas.openxmlformats.org/officeDocument/2006/relationships/image" Target="media/image5.png"/><Relationship Id="rId47" Type="http://schemas.openxmlformats.org/officeDocument/2006/relationships/hyperlink" Target="https://www.mpi.govt.nz/dmsdocument/14077-Otakou-mataitai-reserve" TargetMode="External"/><Relationship Id="rId50" Type="http://schemas.openxmlformats.org/officeDocument/2006/relationships/image" Target="media/image8.png"/><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nvironment.govt.nz/assets/Publications/Files/national-policy-statement-for-freshwater-management-2020.pdf" TargetMode="External"/><Relationship Id="rId20" Type="http://schemas.openxmlformats.org/officeDocument/2006/relationships/hyperlink" Target="http://www.legislation.govt.nz/regulation/public/2009/0397/latest/DLM2626036.html" TargetMode="External"/><Relationship Id="rId29" Type="http://schemas.openxmlformats.org/officeDocument/2006/relationships/hyperlink" Target="http://www.legislation.govt.nz/regulation/public/1999/0359/latest/DLM300050.html" TargetMode="External"/><Relationship Id="rId41" Type="http://schemas.openxmlformats.org/officeDocument/2006/relationships/hyperlink" Target="http://www.otakourunaka.co.nz/" TargetMode="External"/><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legislation.govt.nz/regulation/public/2020/0174/latest/LMS364099.html" TargetMode="External"/><Relationship Id="rId32" Type="http://schemas.openxmlformats.org/officeDocument/2006/relationships/hyperlink" Target="http://www.legislation.govt.nz/regulation/public/2010/0267/latest/DLM3174201.html?search=ta_regulation_R_rc%40rinf%40rnif_an%40bn%40rn_200_a&amp;p=1" TargetMode="External"/><Relationship Id="rId37" Type="http://schemas.openxmlformats.org/officeDocument/2006/relationships/hyperlink" Target="https://www.terunangaomoeraki.org/" TargetMode="External"/><Relationship Id="rId40" Type="http://schemas.openxmlformats.org/officeDocument/2006/relationships/image" Target="media/image4.png"/><Relationship Id="rId45" Type="http://schemas.openxmlformats.org/officeDocument/2006/relationships/hyperlink" Target="https://www.mpi.govt.nz/dmsdocument/15220-Moeraki-North-Otago-Mataitai-Reserve" TargetMode="External"/><Relationship Id="rId53" Type="http://schemas.openxmlformats.org/officeDocument/2006/relationships/hyperlink" Target="file:///C:/Users/FelicityBoyd/Dropbox%20(Incite%20CH)/Projects/ORC/C31013.00%20ORC%20-%20RPS%20s42A%20and%20hearing/Provisions%20from%20Teams%2011-03-22/10%20-%20HAZ%20provisions.docx" TargetMode="External"/><Relationship Id="rId58"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s://environment.govt.nz/assets/Publications/Files/nps-reg-2011.pdf" TargetMode="External"/><Relationship Id="rId23" Type="http://schemas.openxmlformats.org/officeDocument/2006/relationships/hyperlink" Target="http://legislation.govt.nz/regulation/public/2017/0174/latest/DLM7373517.html?src=qs" TargetMode="External"/><Relationship Id="rId28" Type="http://schemas.openxmlformats.org/officeDocument/2006/relationships/hyperlink" Target="http://www.legislation.govt.nz/regulation/public/1998/0208/latest/DLM253727.html?search=ts_regulation_Resource+Management+(Marine+Pollution)+Regulations_resel&amp;p=1&amp;sr=1" TargetMode="External"/><Relationship Id="rId36" Type="http://schemas.openxmlformats.org/officeDocument/2006/relationships/hyperlink" Target="https://www.legislation.govt.nz/regulation/public/1997/0038/latest/DLM227675.html?search=qs_act%40bill%40regulation%40deemedreg_%221997%2f38%22_resel_25_h&amp;p=1&amp;sr=1" TargetMode="External"/><Relationship Id="rId49" Type="http://schemas.openxmlformats.org/officeDocument/2006/relationships/image" Target="media/image7.png"/><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legislation.govt.nz/regulation/public/2007/0396/latest/DLM1106901.html?search=ta_regulation_R_rc%40rinf%40rnif_an%40bn%40rn_25_a&amp;p=3" TargetMode="External"/><Relationship Id="rId31" Type="http://schemas.openxmlformats.org/officeDocument/2006/relationships/hyperlink" Target="http://www.legislation.govt.nz/regulation/public/2010/0171/latest/DLM3040343.html?search=ts_regulation_resource+management_resel&amp;p=1&amp;sr=1" TargetMode="External"/><Relationship Id="rId44" Type="http://schemas.openxmlformats.org/officeDocument/2006/relationships/image" Target="media/image6.png"/><Relationship Id="rId52" Type="http://schemas.openxmlformats.org/officeDocument/2006/relationships/hyperlink" Target="https://otago.isoplan.co.nz/eplan/" TargetMode="External"/><Relationship Id="rId6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oc.govt.nz/Documents/conservation/marine-and-coastal/coastal-management/nz-coastal-policy-statement-2010.pdf" TargetMode="External"/><Relationship Id="rId22" Type="http://schemas.openxmlformats.org/officeDocument/2006/relationships/hyperlink" Target="http://www.legislation.govt.nz/regulation/public/2016/0281/latest/DLM6697001.html?search=qs_act%40bill%40regulation%40deemedreg_National+Environmental+Standards+for+Telecommunication+Facilities+_resel_25_h&amp;p=1&amp;sr=1" TargetMode="External"/><Relationship Id="rId27" Type="http://schemas.openxmlformats.org/officeDocument/2006/relationships/hyperlink" Target="http://www.legislation.govt.nz/regulation/public/1996/0238/4.0/whole.html" TargetMode="External"/><Relationship Id="rId30" Type="http://schemas.openxmlformats.org/officeDocument/2006/relationships/hyperlink" Target="http://legislation.govt.nz/regulation/public/2003/0153/latest/DLM195260.html?src=qs" TargetMode="External"/><Relationship Id="rId35" Type="http://schemas.openxmlformats.org/officeDocument/2006/relationships/hyperlink" Target="http://www.legislation.govt.nz/regulation/public/2020/0175/latest/LMS379869.html?search=ta_regulation_R_rc%40rinf%40rnif_an%40bn%40rn_200_a&amp;p=1" TargetMode="External"/><Relationship Id="rId43" Type="http://schemas.openxmlformats.org/officeDocument/2006/relationships/hyperlink" Target="https://www.hokonuirunanga.org.nz/" TargetMode="External"/><Relationship Id="rId48" Type="http://schemas.openxmlformats.org/officeDocument/2006/relationships/hyperlink" Target="https://www.mpi.govt.nz/dmsdocument/15223-Puna-wai-Toriki-Hays-Gap-South-Otago-Mataitai-Reserve" TargetMode="External"/><Relationship Id="rId56" Type="http://schemas.openxmlformats.org/officeDocument/2006/relationships/header" Target="header4.xml"/><Relationship Id="R2f60680968ac47d9" Type="http://schemas.microsoft.com/office/2019/09/relationships/intelligence" Target="intelligence.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environment.govt.nz/assets/Publications/Files/AA-Gazetted-NPSUD-17.07.2020-pdf.pdf" TargetMode="External"/><Relationship Id="rId25" Type="http://schemas.openxmlformats.org/officeDocument/2006/relationships/hyperlink" Target="http://legislation.govt.nz/regulation/public/2020/0170/latest/LMS377269.html" TargetMode="External"/><Relationship Id="rId33" Type="http://schemas.openxmlformats.org/officeDocument/2006/relationships/hyperlink" Target="http://www.legislation.govt.nz/regulation/public/2016/0195/latest/DLM6927720.html?search=ta_regulation_R_rc%40rinf%40rnif_an%40bn%40rn_200_a&amp;p=1" TargetMode="External"/><Relationship Id="rId38" Type="http://schemas.openxmlformats.org/officeDocument/2006/relationships/image" Target="media/image3.png"/><Relationship Id="rId46" Type="http://schemas.openxmlformats.org/officeDocument/2006/relationships/hyperlink" Target="https://www.mpi.govt.nz/dmsdocument/12954-Waikouaiti-South-Canterbury-Mataitai-Reserve-" TargetMode="External"/><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mfe.govt.nz/fresh-water/freshwater-acts-and-regulations/national-policy-statement-freshwater-management" TargetMode="External"/><Relationship Id="rId13" Type="http://schemas.openxmlformats.org/officeDocument/2006/relationships/hyperlink" Target="https://www.orc.govt.nz/media/8882/community-consultation-summary-report-draft.pdf" TargetMode="External"/><Relationship Id="rId3" Type="http://schemas.openxmlformats.org/officeDocument/2006/relationships/hyperlink" Target="https://www.nzta.govt.nz/planning-and-investment/planning/one-network-framework" TargetMode="External"/><Relationship Id="rId7" Type="http://schemas.openxmlformats.org/officeDocument/2006/relationships/hyperlink" Target="https://www.stats.govt.nz/tools/2018-census-place-summaries/otago-region" TargetMode="External"/><Relationship Id="rId12" Type="http://schemas.openxmlformats.org/officeDocument/2006/relationships/hyperlink" Target="https://www.lawa.org.nz/explore-data/otago-region/" TargetMode="External"/><Relationship Id="rId2" Type="http://schemas.openxmlformats.org/officeDocument/2006/relationships/hyperlink" Target="https://www.nzta.govt.nz/roads-and-rail/road-efficiency-group/projects/onrc" TargetMode="External"/><Relationship Id="rId1" Type="http://schemas.openxmlformats.org/officeDocument/2006/relationships/hyperlink" Target="https://www.stats.govt.nz/tools/2018-census-place-summaries/otago-region" TargetMode="External"/><Relationship Id="rId6" Type="http://schemas.openxmlformats.org/officeDocument/2006/relationships/hyperlink" Target="http://www.allergy.org.nz/site/allergynz/files/Annual%20Pollen%20Calendar.pdf" TargetMode="External"/><Relationship Id="rId11" Type="http://schemas.openxmlformats.org/officeDocument/2006/relationships/hyperlink" Target="https://environment.govt.nz/assets/Publications/Files/environment-aotearoa-2019.pdf" TargetMode="External"/><Relationship Id="rId5" Type="http://schemas.openxmlformats.org/officeDocument/2006/relationships/hyperlink" Target="https://www.tandfonline.com/doi/abs/10.1080/14735903.2017.1334179?journalCode=tags20" TargetMode="External"/><Relationship Id="rId15" Type="http://schemas.openxmlformats.org/officeDocument/2006/relationships/hyperlink" Target="https://par.nsf.gov/servlets/purl/10047476" TargetMode="External"/><Relationship Id="rId10" Type="http://schemas.openxmlformats.org/officeDocument/2006/relationships/hyperlink" Target="https://epa.govt.nz/nutrientpollution/effects-economy" TargetMode="External"/><Relationship Id="rId4" Type="http://schemas.openxmlformats.org/officeDocument/2006/relationships/hyperlink" Target="https://www.es.govt.nz/repository/libraries/id:26gi9ayo517q9stt81sd/hierarchy/about-us/plans-and-strategies/regional-plans/iwi-management-plan/documents/The%20Charter%20of%20Understanding.pdf" TargetMode="External"/><Relationship Id="rId9" Type="http://schemas.openxmlformats.org/officeDocument/2006/relationships/hyperlink" Target="https://www.mfe.govt.nz/fresh-water/freshwater-acts-and-regulations/national-policy-statement-freshwater-management" TargetMode="External"/><Relationship Id="rId14" Type="http://schemas.openxmlformats.org/officeDocument/2006/relationships/hyperlink" Target="https://www.civildefence.govt.nz/cdem-sector/plans-and-strategies/national-disaster-resilience-strategy/national-disaster-resilience-strategy-summary-ver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Wil20</b:Tag>
    <b:SourceType>Report</b:SourceType>
    <b:Guid>{7EA930F5-3A45-449C-AC67-DBD02F4D83A8}</b:Guid>
    <b:Title>Mapping of potential natural ecosystems and current ecosystems in Otago region R5105a</b:Title>
    <b:Year>2020</b:Year>
    <b:Publisher>Wildlands</b:Publisher>
    <b:Author>
      <b:Author>
        <b:Corporate>Wildlands</b:Corporate>
      </b:Author>
    </b:Author>
    <b:RefOrder>1</b:RefOrder>
  </b:Source>
</b:Sources>
</file>

<file path=customXml/item2.xml><?xml version="1.0" encoding="utf-8"?>
<metadata xmlns="http://www.objective.com/ecm/document/metadata/4B413F916FD443D397C32D1E531FC4F9" version="1.0.0">
  <systemFields>
    <field name="Objective-Id">
      <value order="0">A1494566</value>
    </field>
    <field name="Objective-Title">
      <value order="0">RPS v12.4 - Final Version for Notification</value>
    </field>
    <field name="Objective-Description">
      <value order="0"/>
    </field>
    <field name="Objective-CreationStamp">
      <value order="0">2021-06-21T20:37:40Z</value>
    </field>
    <field name="Objective-IsApproved">
      <value order="0">false</value>
    </field>
    <field name="Objective-IsPublished">
      <value order="0">true</value>
    </field>
    <field name="Objective-DatePublished">
      <value order="0">2021-06-21T20:38:13Z</value>
    </field>
    <field name="Objective-ModificationStamp">
      <value order="0">2021-06-21T20:38:14Z</value>
    </field>
    <field name="Objective-Owner">
      <value order="0">Liam Glading</value>
    </field>
    <field name="Objective-Path">
      <value order="0">ORC Global Folder:File Plan:Strategy, Policy and Science:Policy Development:Regional Policy Statement 2020 Review:00 RPS Drafts:00 2021 06 June Council Paper Notification</value>
    </field>
    <field name="Objective-Parent">
      <value order="0">00 2021 06 June Council Paper Notification</value>
    </field>
    <field name="Objective-State">
      <value order="0">Published</value>
    </field>
    <field name="Objective-VersionId">
      <value order="0">vA2470279</value>
    </field>
    <field name="Objective-Version">
      <value order="0">1.0</value>
    </field>
    <field name="Objective-VersionNumber">
      <value order="0">1</value>
    </field>
    <field name="Objective-VersionComment">
      <value order="0">First version</value>
    </field>
    <field name="Objective-FileNumber">
      <value order="0">qA71335</value>
    </field>
    <field name="Objective-Classification">
      <value order="0">Restricted</value>
    </field>
    <field name="Objective-Caveats">
      <value order="0"/>
    </field>
  </systemFields>
  <catalogues>
    <catalogue name="Administrative Document Type Catalogue" type="type" ori="id:cA18">
      <field name="Objective-Council Function">
        <value order="0">Policy and Planning</value>
      </field>
      <field name="Objective-Administrative Type">
        <value order="0">Procedures</value>
      </field>
      <field name="Objective-Consent File Number">
        <value order="0"/>
      </field>
      <field name="Objective-Compliance Category">
        <value order="0"/>
      </field>
      <field name="Objective-Consent Category">
        <value order="0"/>
      </field>
      <field name="Objective-Date of Response">
        <value order="0"/>
      </field>
      <field name="Objective-Date Received">
        <value order="0"/>
      </field>
      <field name="Objective-Position Title">
        <value order="0"/>
      </field>
    </catalogue>
  </catalogues>
</metadata>
</file>

<file path=customXml/itemProps1.xml><?xml version="1.0" encoding="utf-8"?>
<ds:datastoreItem xmlns:ds="http://schemas.openxmlformats.org/officeDocument/2006/customXml" ds:itemID="{95FAD170-96DA-4702-91BA-62444C908315}">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82007</Words>
  <Characters>467444</Characters>
  <Application>Microsoft Office Word</Application>
  <DocSecurity>10</DocSecurity>
  <Lines>3895</Lines>
  <Paragraphs>1096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548355</CharactersWithSpaces>
  <SharedDoc>false</SharedDoc>
  <HLinks>
    <vt:vector size="474" baseType="variant">
      <vt:variant>
        <vt:i4>4063306</vt:i4>
      </vt:variant>
      <vt:variant>
        <vt:i4>297</vt:i4>
      </vt:variant>
      <vt:variant>
        <vt:i4>0</vt:i4>
      </vt:variant>
      <vt:variant>
        <vt:i4>5</vt:i4>
      </vt:variant>
      <vt:variant>
        <vt:lpwstr>C:\Users\FelicityBoyd\Dropbox (Incite CH)\Projects\ORC\C31013.00 ORC - RPS s42A and hearing\Provisions from Teams 11-03-22\10 - HAZ provisions.docx</vt:lpwstr>
      </vt:variant>
      <vt:variant>
        <vt:lpwstr>_bookmark30</vt:lpwstr>
      </vt:variant>
      <vt:variant>
        <vt:i4>7667753</vt:i4>
      </vt:variant>
      <vt:variant>
        <vt:i4>288</vt:i4>
      </vt:variant>
      <vt:variant>
        <vt:i4>0</vt:i4>
      </vt:variant>
      <vt:variant>
        <vt:i4>5</vt:i4>
      </vt:variant>
      <vt:variant>
        <vt:lpwstr>https://otago.isoplan.co.nz/eplan/</vt:lpwstr>
      </vt:variant>
      <vt:variant>
        <vt:lpwstr>Rules/0/223/1/21390/0</vt:lpwstr>
      </vt:variant>
      <vt:variant>
        <vt:i4>2228305</vt:i4>
      </vt:variant>
      <vt:variant>
        <vt:i4>279</vt:i4>
      </vt:variant>
      <vt:variant>
        <vt:i4>0</vt:i4>
      </vt:variant>
      <vt:variant>
        <vt:i4>5</vt:i4>
      </vt:variant>
      <vt:variant>
        <vt:lpwstr/>
      </vt:variant>
      <vt:variant>
        <vt:lpwstr>_bookmark0</vt:lpwstr>
      </vt:variant>
      <vt:variant>
        <vt:i4>2752555</vt:i4>
      </vt:variant>
      <vt:variant>
        <vt:i4>273</vt:i4>
      </vt:variant>
      <vt:variant>
        <vt:i4>0</vt:i4>
      </vt:variant>
      <vt:variant>
        <vt:i4>5</vt:i4>
      </vt:variant>
      <vt:variant>
        <vt:lpwstr>https://www.mpi.govt.nz/dmsdocument/15223-Puna-wai-Toriki-Hays-Gap-South-Otago-Mataitai-Reserve</vt:lpwstr>
      </vt:variant>
      <vt:variant>
        <vt:lpwstr/>
      </vt:variant>
      <vt:variant>
        <vt:i4>262153</vt:i4>
      </vt:variant>
      <vt:variant>
        <vt:i4>270</vt:i4>
      </vt:variant>
      <vt:variant>
        <vt:i4>0</vt:i4>
      </vt:variant>
      <vt:variant>
        <vt:i4>5</vt:i4>
      </vt:variant>
      <vt:variant>
        <vt:lpwstr>https://www.mpi.govt.nz/dmsdocument/14077-Otakou-mataitai-reserve</vt:lpwstr>
      </vt:variant>
      <vt:variant>
        <vt:lpwstr/>
      </vt:variant>
      <vt:variant>
        <vt:i4>7274623</vt:i4>
      </vt:variant>
      <vt:variant>
        <vt:i4>267</vt:i4>
      </vt:variant>
      <vt:variant>
        <vt:i4>0</vt:i4>
      </vt:variant>
      <vt:variant>
        <vt:i4>5</vt:i4>
      </vt:variant>
      <vt:variant>
        <vt:lpwstr>https://www.mpi.govt.nz/dmsdocument/12954-Waikouaiti-South-Canterbury-Mataitai-Reserve-</vt:lpwstr>
      </vt:variant>
      <vt:variant>
        <vt:lpwstr/>
      </vt:variant>
      <vt:variant>
        <vt:i4>7864433</vt:i4>
      </vt:variant>
      <vt:variant>
        <vt:i4>264</vt:i4>
      </vt:variant>
      <vt:variant>
        <vt:i4>0</vt:i4>
      </vt:variant>
      <vt:variant>
        <vt:i4>5</vt:i4>
      </vt:variant>
      <vt:variant>
        <vt:lpwstr>https://www.mpi.govt.nz/dmsdocument/15220-Moeraki-North-Otago-Mataitai-Reserve</vt:lpwstr>
      </vt:variant>
      <vt:variant>
        <vt:lpwstr/>
      </vt:variant>
      <vt:variant>
        <vt:i4>6750271</vt:i4>
      </vt:variant>
      <vt:variant>
        <vt:i4>261</vt:i4>
      </vt:variant>
      <vt:variant>
        <vt:i4>0</vt:i4>
      </vt:variant>
      <vt:variant>
        <vt:i4>5</vt:i4>
      </vt:variant>
      <vt:variant>
        <vt:lpwstr>https://www.hokonuirunanga.org.nz/</vt:lpwstr>
      </vt:variant>
      <vt:variant>
        <vt:lpwstr/>
      </vt:variant>
      <vt:variant>
        <vt:i4>3997816</vt:i4>
      </vt:variant>
      <vt:variant>
        <vt:i4>258</vt:i4>
      </vt:variant>
      <vt:variant>
        <vt:i4>0</vt:i4>
      </vt:variant>
      <vt:variant>
        <vt:i4>5</vt:i4>
      </vt:variant>
      <vt:variant>
        <vt:lpwstr>http://www.otakourunaka.co.nz/</vt:lpwstr>
      </vt:variant>
      <vt:variant>
        <vt:lpwstr/>
      </vt:variant>
      <vt:variant>
        <vt:i4>589891</vt:i4>
      </vt:variant>
      <vt:variant>
        <vt:i4>255</vt:i4>
      </vt:variant>
      <vt:variant>
        <vt:i4>0</vt:i4>
      </vt:variant>
      <vt:variant>
        <vt:i4>5</vt:i4>
      </vt:variant>
      <vt:variant>
        <vt:lpwstr>http://www.puketeraki.nz/</vt:lpwstr>
      </vt:variant>
      <vt:variant>
        <vt:lpwstr/>
      </vt:variant>
      <vt:variant>
        <vt:i4>3407919</vt:i4>
      </vt:variant>
      <vt:variant>
        <vt:i4>252</vt:i4>
      </vt:variant>
      <vt:variant>
        <vt:i4>0</vt:i4>
      </vt:variant>
      <vt:variant>
        <vt:i4>5</vt:i4>
      </vt:variant>
      <vt:variant>
        <vt:lpwstr>https://www.terunangaomoeraki.org/</vt:lpwstr>
      </vt:variant>
      <vt:variant>
        <vt:lpwstr/>
      </vt:variant>
      <vt:variant>
        <vt:i4>2293849</vt:i4>
      </vt:variant>
      <vt:variant>
        <vt:i4>249</vt:i4>
      </vt:variant>
      <vt:variant>
        <vt:i4>0</vt:i4>
      </vt:variant>
      <vt:variant>
        <vt:i4>5</vt:i4>
      </vt:variant>
      <vt:variant>
        <vt:lpwstr>https://www.legislation.govt.nz/regulation/public/1997/0038/latest/DLM227675.html?search=qs_act%40bill%40regulation%40deemedreg_%221997%2f38%22_resel_25_h&amp;p=1&amp;sr=1</vt:lpwstr>
      </vt:variant>
      <vt:variant>
        <vt:lpwstr/>
      </vt:variant>
      <vt:variant>
        <vt:i4>2162734</vt:i4>
      </vt:variant>
      <vt:variant>
        <vt:i4>246</vt:i4>
      </vt:variant>
      <vt:variant>
        <vt:i4>0</vt:i4>
      </vt:variant>
      <vt:variant>
        <vt:i4>5</vt:i4>
      </vt:variant>
      <vt:variant>
        <vt:lpwstr>http://www.legislation.govt.nz/regulation/public/2020/0175/latest/LMS379869.html?search=ta_regulation_R_rc%40rinf%40rnif_an%40bn%40rn_200_a&amp;p=1</vt:lpwstr>
      </vt:variant>
      <vt:variant>
        <vt:lpwstr/>
      </vt:variant>
      <vt:variant>
        <vt:i4>5570624</vt:i4>
      </vt:variant>
      <vt:variant>
        <vt:i4>243</vt:i4>
      </vt:variant>
      <vt:variant>
        <vt:i4>0</vt:i4>
      </vt:variant>
      <vt:variant>
        <vt:i4>5</vt:i4>
      </vt:variant>
      <vt:variant>
        <vt:lpwstr>http://www.legislation.govt.nz/regulation/public/2017/0021/latest/DLM7104033.html?search=ta_regulation_R_rc%40rinf%40rnif_an%40bn%40rn_200_a&amp;p=1</vt:lpwstr>
      </vt:variant>
      <vt:variant>
        <vt:lpwstr/>
      </vt:variant>
      <vt:variant>
        <vt:i4>5701696</vt:i4>
      </vt:variant>
      <vt:variant>
        <vt:i4>240</vt:i4>
      </vt:variant>
      <vt:variant>
        <vt:i4>0</vt:i4>
      </vt:variant>
      <vt:variant>
        <vt:i4>5</vt:i4>
      </vt:variant>
      <vt:variant>
        <vt:lpwstr>http://www.legislation.govt.nz/regulation/public/2016/0195/latest/DLM6927720.html?search=ta_regulation_R_rc%40rinf%40rnif_an%40bn%40rn_200_a&amp;p=1</vt:lpwstr>
      </vt:variant>
      <vt:variant>
        <vt:lpwstr/>
      </vt:variant>
      <vt:variant>
        <vt:i4>5374016</vt:i4>
      </vt:variant>
      <vt:variant>
        <vt:i4>237</vt:i4>
      </vt:variant>
      <vt:variant>
        <vt:i4>0</vt:i4>
      </vt:variant>
      <vt:variant>
        <vt:i4>5</vt:i4>
      </vt:variant>
      <vt:variant>
        <vt:lpwstr>http://www.legislation.govt.nz/regulation/public/2010/0267/latest/DLM3174201.html?search=ta_regulation_R_rc%40rinf%40rnif_an%40bn%40rn_200_a&amp;p=1</vt:lpwstr>
      </vt:variant>
      <vt:variant>
        <vt:lpwstr/>
      </vt:variant>
      <vt:variant>
        <vt:i4>7733318</vt:i4>
      </vt:variant>
      <vt:variant>
        <vt:i4>234</vt:i4>
      </vt:variant>
      <vt:variant>
        <vt:i4>0</vt:i4>
      </vt:variant>
      <vt:variant>
        <vt:i4>5</vt:i4>
      </vt:variant>
      <vt:variant>
        <vt:lpwstr>http://www.legislation.govt.nz/regulation/public/2010/0171/latest/DLM3040343.html?search=ts_regulation_resource+management_resel&amp;p=1&amp;sr=1</vt:lpwstr>
      </vt:variant>
      <vt:variant>
        <vt:lpwstr/>
      </vt:variant>
      <vt:variant>
        <vt:i4>2424890</vt:i4>
      </vt:variant>
      <vt:variant>
        <vt:i4>231</vt:i4>
      </vt:variant>
      <vt:variant>
        <vt:i4>0</vt:i4>
      </vt:variant>
      <vt:variant>
        <vt:i4>5</vt:i4>
      </vt:variant>
      <vt:variant>
        <vt:lpwstr>http://legislation.govt.nz/regulation/public/2003/0153/latest/DLM195260.html?src=qs</vt:lpwstr>
      </vt:variant>
      <vt:variant>
        <vt:lpwstr/>
      </vt:variant>
      <vt:variant>
        <vt:i4>4325403</vt:i4>
      </vt:variant>
      <vt:variant>
        <vt:i4>228</vt:i4>
      </vt:variant>
      <vt:variant>
        <vt:i4>0</vt:i4>
      </vt:variant>
      <vt:variant>
        <vt:i4>5</vt:i4>
      </vt:variant>
      <vt:variant>
        <vt:lpwstr>http://www.legislation.govt.nz/regulation/public/1999/0359/latest/DLM300050.html</vt:lpwstr>
      </vt:variant>
      <vt:variant>
        <vt:lpwstr/>
      </vt:variant>
      <vt:variant>
        <vt:i4>786473</vt:i4>
      </vt:variant>
      <vt:variant>
        <vt:i4>225</vt:i4>
      </vt:variant>
      <vt:variant>
        <vt:i4>0</vt:i4>
      </vt:variant>
      <vt:variant>
        <vt:i4>5</vt:i4>
      </vt:variant>
      <vt:variant>
        <vt:lpwstr>http://www.legislation.govt.nz/regulation/public/1998/0208/latest/DLM253727.html?search=ts_regulation_Resource+Management+(Marine+Pollution)+Regulations_resel&amp;p=1&amp;sr=1</vt:lpwstr>
      </vt:variant>
      <vt:variant>
        <vt:lpwstr/>
      </vt:variant>
      <vt:variant>
        <vt:i4>1441793</vt:i4>
      </vt:variant>
      <vt:variant>
        <vt:i4>222</vt:i4>
      </vt:variant>
      <vt:variant>
        <vt:i4>0</vt:i4>
      </vt:variant>
      <vt:variant>
        <vt:i4>5</vt:i4>
      </vt:variant>
      <vt:variant>
        <vt:lpwstr>http://www.legislation.govt.nz/regulation/public/1996/0238/4.0/whole.html</vt:lpwstr>
      </vt:variant>
      <vt:variant>
        <vt:lpwstr/>
      </vt:variant>
      <vt:variant>
        <vt:i4>4915218</vt:i4>
      </vt:variant>
      <vt:variant>
        <vt:i4>219</vt:i4>
      </vt:variant>
      <vt:variant>
        <vt:i4>0</vt:i4>
      </vt:variant>
      <vt:variant>
        <vt:i4>5</vt:i4>
      </vt:variant>
      <vt:variant>
        <vt:lpwstr>http://www.legislation.govt.nz/regulation/public/1991/0206/latest/DLM148888.html</vt:lpwstr>
      </vt:variant>
      <vt:variant>
        <vt:lpwstr/>
      </vt:variant>
      <vt:variant>
        <vt:i4>4456538</vt:i4>
      </vt:variant>
      <vt:variant>
        <vt:i4>216</vt:i4>
      </vt:variant>
      <vt:variant>
        <vt:i4>0</vt:i4>
      </vt:variant>
      <vt:variant>
        <vt:i4>5</vt:i4>
      </vt:variant>
      <vt:variant>
        <vt:lpwstr>http://legislation.govt.nz/regulation/public/2020/0170/latest/LMS377269.html</vt:lpwstr>
      </vt:variant>
      <vt:variant>
        <vt:lpwstr/>
      </vt:variant>
      <vt:variant>
        <vt:i4>4980736</vt:i4>
      </vt:variant>
      <vt:variant>
        <vt:i4>213</vt:i4>
      </vt:variant>
      <vt:variant>
        <vt:i4>0</vt:i4>
      </vt:variant>
      <vt:variant>
        <vt:i4>5</vt:i4>
      </vt:variant>
      <vt:variant>
        <vt:lpwstr>http://www.legislation.govt.nz/regulation/public/2020/0174/latest/LMS364099.html</vt:lpwstr>
      </vt:variant>
      <vt:variant>
        <vt:lpwstr/>
      </vt:variant>
      <vt:variant>
        <vt:i4>4325396</vt:i4>
      </vt:variant>
      <vt:variant>
        <vt:i4>210</vt:i4>
      </vt:variant>
      <vt:variant>
        <vt:i4>0</vt:i4>
      </vt:variant>
      <vt:variant>
        <vt:i4>5</vt:i4>
      </vt:variant>
      <vt:variant>
        <vt:lpwstr>http://legislation.govt.nz/regulation/public/2017/0174/latest/DLM7373517.html?src=qs</vt:lpwstr>
      </vt:variant>
      <vt:variant>
        <vt:lpwstr/>
      </vt:variant>
      <vt:variant>
        <vt:i4>1638508</vt:i4>
      </vt:variant>
      <vt:variant>
        <vt:i4>207</vt:i4>
      </vt:variant>
      <vt:variant>
        <vt:i4>0</vt:i4>
      </vt:variant>
      <vt:variant>
        <vt:i4>5</vt:i4>
      </vt:variant>
      <vt:variant>
        <vt:lpwstr>http://www.legislation.govt.nz/regulation/public/2016/0281/latest/DLM6697001.html?search=qs_act%40bill%40regulation%40deemedreg_National+Environmental+Standards+for+Telecommunication+Facilities+_resel_25_h&amp;p=1&amp;sr=1</vt:lpwstr>
      </vt:variant>
      <vt:variant>
        <vt:lpwstr/>
      </vt:variant>
      <vt:variant>
        <vt:i4>2031709</vt:i4>
      </vt:variant>
      <vt:variant>
        <vt:i4>204</vt:i4>
      </vt:variant>
      <vt:variant>
        <vt:i4>0</vt:i4>
      </vt:variant>
      <vt:variant>
        <vt:i4>5</vt:i4>
      </vt:variant>
      <vt:variant>
        <vt:lpwstr>http://www.legislation.govt.nz/regulation/public/2011/0361/latest/whole.html</vt:lpwstr>
      </vt:variant>
      <vt:variant>
        <vt:lpwstr/>
      </vt:variant>
      <vt:variant>
        <vt:i4>4522050</vt:i4>
      </vt:variant>
      <vt:variant>
        <vt:i4>201</vt:i4>
      </vt:variant>
      <vt:variant>
        <vt:i4>0</vt:i4>
      </vt:variant>
      <vt:variant>
        <vt:i4>5</vt:i4>
      </vt:variant>
      <vt:variant>
        <vt:lpwstr>http://www.legislation.govt.nz/regulation/public/2009/0397/latest/DLM2626036.html</vt:lpwstr>
      </vt:variant>
      <vt:variant>
        <vt:lpwstr/>
      </vt:variant>
      <vt:variant>
        <vt:i4>589850</vt:i4>
      </vt:variant>
      <vt:variant>
        <vt:i4>198</vt:i4>
      </vt:variant>
      <vt:variant>
        <vt:i4>0</vt:i4>
      </vt:variant>
      <vt:variant>
        <vt:i4>5</vt:i4>
      </vt:variant>
      <vt:variant>
        <vt:lpwstr>http://www.legislation.govt.nz/regulation/public/2007/0396/latest/DLM1106901.html?search=ta_regulation_R_rc%40rinf%40rnif_an%40bn%40rn_25_a&amp;p=3</vt:lpwstr>
      </vt:variant>
      <vt:variant>
        <vt:lpwstr/>
      </vt:variant>
      <vt:variant>
        <vt:i4>4456541</vt:i4>
      </vt:variant>
      <vt:variant>
        <vt:i4>195</vt:i4>
      </vt:variant>
      <vt:variant>
        <vt:i4>0</vt:i4>
      </vt:variant>
      <vt:variant>
        <vt:i4>5</vt:i4>
      </vt:variant>
      <vt:variant>
        <vt:lpwstr>http://www.legislation.govt.nz/regulation/public/2004/0309/latest/DLM286835.html?search=ta_regulation_R_rc%40rinf%40rnif_an%40bn%40rn_25_a&amp;p=3</vt:lpwstr>
      </vt:variant>
      <vt:variant>
        <vt:lpwstr/>
      </vt:variant>
      <vt:variant>
        <vt:i4>3866675</vt:i4>
      </vt:variant>
      <vt:variant>
        <vt:i4>192</vt:i4>
      </vt:variant>
      <vt:variant>
        <vt:i4>0</vt:i4>
      </vt:variant>
      <vt:variant>
        <vt:i4>5</vt:i4>
      </vt:variant>
      <vt:variant>
        <vt:lpwstr>https://environment.govt.nz/assets/Publications/Files/AA-Gazetted-NPSUD-17.07.2020-pdf.pdf</vt:lpwstr>
      </vt:variant>
      <vt:variant>
        <vt:lpwstr/>
      </vt:variant>
      <vt:variant>
        <vt:i4>6422641</vt:i4>
      </vt:variant>
      <vt:variant>
        <vt:i4>189</vt:i4>
      </vt:variant>
      <vt:variant>
        <vt:i4>0</vt:i4>
      </vt:variant>
      <vt:variant>
        <vt:i4>5</vt:i4>
      </vt:variant>
      <vt:variant>
        <vt:lpwstr>https://environment.govt.nz/assets/Publications/Files/national-policy-statement-for-freshwater-management-2020.pdf</vt:lpwstr>
      </vt:variant>
      <vt:variant>
        <vt:lpwstr/>
      </vt:variant>
      <vt:variant>
        <vt:i4>7864440</vt:i4>
      </vt:variant>
      <vt:variant>
        <vt:i4>186</vt:i4>
      </vt:variant>
      <vt:variant>
        <vt:i4>0</vt:i4>
      </vt:variant>
      <vt:variant>
        <vt:i4>5</vt:i4>
      </vt:variant>
      <vt:variant>
        <vt:lpwstr>https://environment.govt.nz/assets/Publications/Files/nps-reg-2011.pdf</vt:lpwstr>
      </vt:variant>
      <vt:variant>
        <vt:lpwstr/>
      </vt:variant>
      <vt:variant>
        <vt:i4>5570579</vt:i4>
      </vt:variant>
      <vt:variant>
        <vt:i4>183</vt:i4>
      </vt:variant>
      <vt:variant>
        <vt:i4>0</vt:i4>
      </vt:variant>
      <vt:variant>
        <vt:i4>5</vt:i4>
      </vt:variant>
      <vt:variant>
        <vt:lpwstr>https://www.doc.govt.nz/Documents/conservation/marine-and-coastal/coastal-management/nz-coastal-policy-statement-2010.pdf</vt:lpwstr>
      </vt:variant>
      <vt:variant>
        <vt:lpwstr/>
      </vt:variant>
      <vt:variant>
        <vt:i4>5505036</vt:i4>
      </vt:variant>
      <vt:variant>
        <vt:i4>180</vt:i4>
      </vt:variant>
      <vt:variant>
        <vt:i4>0</vt:i4>
      </vt:variant>
      <vt:variant>
        <vt:i4>5</vt:i4>
      </vt:variant>
      <vt:variant>
        <vt:lpwstr>https://environment.govt.nz/assets/Publications/Files/nps-electricity-transmission-mar08.pdf</vt:lpwstr>
      </vt:variant>
      <vt:variant>
        <vt:lpwstr/>
      </vt:variant>
      <vt:variant>
        <vt:i4>1703988</vt:i4>
      </vt:variant>
      <vt:variant>
        <vt:i4>170</vt:i4>
      </vt:variant>
      <vt:variant>
        <vt:i4>0</vt:i4>
      </vt:variant>
      <vt:variant>
        <vt:i4>5</vt:i4>
      </vt:variant>
      <vt:variant>
        <vt:lpwstr/>
      </vt:variant>
      <vt:variant>
        <vt:lpwstr>_Toc102551293</vt:lpwstr>
      </vt:variant>
      <vt:variant>
        <vt:i4>1703988</vt:i4>
      </vt:variant>
      <vt:variant>
        <vt:i4>164</vt:i4>
      </vt:variant>
      <vt:variant>
        <vt:i4>0</vt:i4>
      </vt:variant>
      <vt:variant>
        <vt:i4>5</vt:i4>
      </vt:variant>
      <vt:variant>
        <vt:lpwstr/>
      </vt:variant>
      <vt:variant>
        <vt:lpwstr>_Toc102551292</vt:lpwstr>
      </vt:variant>
      <vt:variant>
        <vt:i4>1703988</vt:i4>
      </vt:variant>
      <vt:variant>
        <vt:i4>158</vt:i4>
      </vt:variant>
      <vt:variant>
        <vt:i4>0</vt:i4>
      </vt:variant>
      <vt:variant>
        <vt:i4>5</vt:i4>
      </vt:variant>
      <vt:variant>
        <vt:lpwstr/>
      </vt:variant>
      <vt:variant>
        <vt:lpwstr>_Toc102551291</vt:lpwstr>
      </vt:variant>
      <vt:variant>
        <vt:i4>1703988</vt:i4>
      </vt:variant>
      <vt:variant>
        <vt:i4>152</vt:i4>
      </vt:variant>
      <vt:variant>
        <vt:i4>0</vt:i4>
      </vt:variant>
      <vt:variant>
        <vt:i4>5</vt:i4>
      </vt:variant>
      <vt:variant>
        <vt:lpwstr/>
      </vt:variant>
      <vt:variant>
        <vt:lpwstr>_Toc102551290</vt:lpwstr>
      </vt:variant>
      <vt:variant>
        <vt:i4>1769524</vt:i4>
      </vt:variant>
      <vt:variant>
        <vt:i4>146</vt:i4>
      </vt:variant>
      <vt:variant>
        <vt:i4>0</vt:i4>
      </vt:variant>
      <vt:variant>
        <vt:i4>5</vt:i4>
      </vt:variant>
      <vt:variant>
        <vt:lpwstr/>
      </vt:variant>
      <vt:variant>
        <vt:lpwstr>_Toc102551289</vt:lpwstr>
      </vt:variant>
      <vt:variant>
        <vt:i4>1769524</vt:i4>
      </vt:variant>
      <vt:variant>
        <vt:i4>140</vt:i4>
      </vt:variant>
      <vt:variant>
        <vt:i4>0</vt:i4>
      </vt:variant>
      <vt:variant>
        <vt:i4>5</vt:i4>
      </vt:variant>
      <vt:variant>
        <vt:lpwstr/>
      </vt:variant>
      <vt:variant>
        <vt:lpwstr>_Toc102551288</vt:lpwstr>
      </vt:variant>
      <vt:variant>
        <vt:i4>1769524</vt:i4>
      </vt:variant>
      <vt:variant>
        <vt:i4>134</vt:i4>
      </vt:variant>
      <vt:variant>
        <vt:i4>0</vt:i4>
      </vt:variant>
      <vt:variant>
        <vt:i4>5</vt:i4>
      </vt:variant>
      <vt:variant>
        <vt:lpwstr/>
      </vt:variant>
      <vt:variant>
        <vt:lpwstr>_Toc102551287</vt:lpwstr>
      </vt:variant>
      <vt:variant>
        <vt:i4>1769524</vt:i4>
      </vt:variant>
      <vt:variant>
        <vt:i4>128</vt:i4>
      </vt:variant>
      <vt:variant>
        <vt:i4>0</vt:i4>
      </vt:variant>
      <vt:variant>
        <vt:i4>5</vt:i4>
      </vt:variant>
      <vt:variant>
        <vt:lpwstr/>
      </vt:variant>
      <vt:variant>
        <vt:lpwstr>_Toc102551286</vt:lpwstr>
      </vt:variant>
      <vt:variant>
        <vt:i4>1769524</vt:i4>
      </vt:variant>
      <vt:variant>
        <vt:i4>122</vt:i4>
      </vt:variant>
      <vt:variant>
        <vt:i4>0</vt:i4>
      </vt:variant>
      <vt:variant>
        <vt:i4>5</vt:i4>
      </vt:variant>
      <vt:variant>
        <vt:lpwstr/>
      </vt:variant>
      <vt:variant>
        <vt:lpwstr>_Toc102551285</vt:lpwstr>
      </vt:variant>
      <vt:variant>
        <vt:i4>1769524</vt:i4>
      </vt:variant>
      <vt:variant>
        <vt:i4>116</vt:i4>
      </vt:variant>
      <vt:variant>
        <vt:i4>0</vt:i4>
      </vt:variant>
      <vt:variant>
        <vt:i4>5</vt:i4>
      </vt:variant>
      <vt:variant>
        <vt:lpwstr/>
      </vt:variant>
      <vt:variant>
        <vt:lpwstr>_Toc102551284</vt:lpwstr>
      </vt:variant>
      <vt:variant>
        <vt:i4>1769524</vt:i4>
      </vt:variant>
      <vt:variant>
        <vt:i4>110</vt:i4>
      </vt:variant>
      <vt:variant>
        <vt:i4>0</vt:i4>
      </vt:variant>
      <vt:variant>
        <vt:i4>5</vt:i4>
      </vt:variant>
      <vt:variant>
        <vt:lpwstr/>
      </vt:variant>
      <vt:variant>
        <vt:lpwstr>_Toc102551283</vt:lpwstr>
      </vt:variant>
      <vt:variant>
        <vt:i4>1769524</vt:i4>
      </vt:variant>
      <vt:variant>
        <vt:i4>104</vt:i4>
      </vt:variant>
      <vt:variant>
        <vt:i4>0</vt:i4>
      </vt:variant>
      <vt:variant>
        <vt:i4>5</vt:i4>
      </vt:variant>
      <vt:variant>
        <vt:lpwstr/>
      </vt:variant>
      <vt:variant>
        <vt:lpwstr>_Toc102551282</vt:lpwstr>
      </vt:variant>
      <vt:variant>
        <vt:i4>1769524</vt:i4>
      </vt:variant>
      <vt:variant>
        <vt:i4>98</vt:i4>
      </vt:variant>
      <vt:variant>
        <vt:i4>0</vt:i4>
      </vt:variant>
      <vt:variant>
        <vt:i4>5</vt:i4>
      </vt:variant>
      <vt:variant>
        <vt:lpwstr/>
      </vt:variant>
      <vt:variant>
        <vt:lpwstr>_Toc102551281</vt:lpwstr>
      </vt:variant>
      <vt:variant>
        <vt:i4>1769524</vt:i4>
      </vt:variant>
      <vt:variant>
        <vt:i4>92</vt:i4>
      </vt:variant>
      <vt:variant>
        <vt:i4>0</vt:i4>
      </vt:variant>
      <vt:variant>
        <vt:i4>5</vt:i4>
      </vt:variant>
      <vt:variant>
        <vt:lpwstr/>
      </vt:variant>
      <vt:variant>
        <vt:lpwstr>_Toc102551280</vt:lpwstr>
      </vt:variant>
      <vt:variant>
        <vt:i4>1310772</vt:i4>
      </vt:variant>
      <vt:variant>
        <vt:i4>86</vt:i4>
      </vt:variant>
      <vt:variant>
        <vt:i4>0</vt:i4>
      </vt:variant>
      <vt:variant>
        <vt:i4>5</vt:i4>
      </vt:variant>
      <vt:variant>
        <vt:lpwstr/>
      </vt:variant>
      <vt:variant>
        <vt:lpwstr>_Toc102551279</vt:lpwstr>
      </vt:variant>
      <vt:variant>
        <vt:i4>1310772</vt:i4>
      </vt:variant>
      <vt:variant>
        <vt:i4>80</vt:i4>
      </vt:variant>
      <vt:variant>
        <vt:i4>0</vt:i4>
      </vt:variant>
      <vt:variant>
        <vt:i4>5</vt:i4>
      </vt:variant>
      <vt:variant>
        <vt:lpwstr/>
      </vt:variant>
      <vt:variant>
        <vt:lpwstr>_Toc102551278</vt:lpwstr>
      </vt:variant>
      <vt:variant>
        <vt:i4>1310772</vt:i4>
      </vt:variant>
      <vt:variant>
        <vt:i4>74</vt:i4>
      </vt:variant>
      <vt:variant>
        <vt:i4>0</vt:i4>
      </vt:variant>
      <vt:variant>
        <vt:i4>5</vt:i4>
      </vt:variant>
      <vt:variant>
        <vt:lpwstr/>
      </vt:variant>
      <vt:variant>
        <vt:lpwstr>_Toc102551277</vt:lpwstr>
      </vt:variant>
      <vt:variant>
        <vt:i4>1310772</vt:i4>
      </vt:variant>
      <vt:variant>
        <vt:i4>68</vt:i4>
      </vt:variant>
      <vt:variant>
        <vt:i4>0</vt:i4>
      </vt:variant>
      <vt:variant>
        <vt:i4>5</vt:i4>
      </vt:variant>
      <vt:variant>
        <vt:lpwstr/>
      </vt:variant>
      <vt:variant>
        <vt:lpwstr>_Toc102551276</vt:lpwstr>
      </vt:variant>
      <vt:variant>
        <vt:i4>1310772</vt:i4>
      </vt:variant>
      <vt:variant>
        <vt:i4>62</vt:i4>
      </vt:variant>
      <vt:variant>
        <vt:i4>0</vt:i4>
      </vt:variant>
      <vt:variant>
        <vt:i4>5</vt:i4>
      </vt:variant>
      <vt:variant>
        <vt:lpwstr/>
      </vt:variant>
      <vt:variant>
        <vt:lpwstr>_Toc102551275</vt:lpwstr>
      </vt:variant>
      <vt:variant>
        <vt:i4>1310772</vt:i4>
      </vt:variant>
      <vt:variant>
        <vt:i4>56</vt:i4>
      </vt:variant>
      <vt:variant>
        <vt:i4>0</vt:i4>
      </vt:variant>
      <vt:variant>
        <vt:i4>5</vt:i4>
      </vt:variant>
      <vt:variant>
        <vt:lpwstr/>
      </vt:variant>
      <vt:variant>
        <vt:lpwstr>_Toc102551274</vt:lpwstr>
      </vt:variant>
      <vt:variant>
        <vt:i4>1310772</vt:i4>
      </vt:variant>
      <vt:variant>
        <vt:i4>50</vt:i4>
      </vt:variant>
      <vt:variant>
        <vt:i4>0</vt:i4>
      </vt:variant>
      <vt:variant>
        <vt:i4>5</vt:i4>
      </vt:variant>
      <vt:variant>
        <vt:lpwstr/>
      </vt:variant>
      <vt:variant>
        <vt:lpwstr>_Toc102551273</vt:lpwstr>
      </vt:variant>
      <vt:variant>
        <vt:i4>1310772</vt:i4>
      </vt:variant>
      <vt:variant>
        <vt:i4>44</vt:i4>
      </vt:variant>
      <vt:variant>
        <vt:i4>0</vt:i4>
      </vt:variant>
      <vt:variant>
        <vt:i4>5</vt:i4>
      </vt:variant>
      <vt:variant>
        <vt:lpwstr/>
      </vt:variant>
      <vt:variant>
        <vt:lpwstr>_Toc102551272</vt:lpwstr>
      </vt:variant>
      <vt:variant>
        <vt:i4>1310772</vt:i4>
      </vt:variant>
      <vt:variant>
        <vt:i4>38</vt:i4>
      </vt:variant>
      <vt:variant>
        <vt:i4>0</vt:i4>
      </vt:variant>
      <vt:variant>
        <vt:i4>5</vt:i4>
      </vt:variant>
      <vt:variant>
        <vt:lpwstr/>
      </vt:variant>
      <vt:variant>
        <vt:lpwstr>_Toc102551271</vt:lpwstr>
      </vt:variant>
      <vt:variant>
        <vt:i4>1310772</vt:i4>
      </vt:variant>
      <vt:variant>
        <vt:i4>32</vt:i4>
      </vt:variant>
      <vt:variant>
        <vt:i4>0</vt:i4>
      </vt:variant>
      <vt:variant>
        <vt:i4>5</vt:i4>
      </vt:variant>
      <vt:variant>
        <vt:lpwstr/>
      </vt:variant>
      <vt:variant>
        <vt:lpwstr>_Toc102551270</vt:lpwstr>
      </vt:variant>
      <vt:variant>
        <vt:i4>1376308</vt:i4>
      </vt:variant>
      <vt:variant>
        <vt:i4>26</vt:i4>
      </vt:variant>
      <vt:variant>
        <vt:i4>0</vt:i4>
      </vt:variant>
      <vt:variant>
        <vt:i4>5</vt:i4>
      </vt:variant>
      <vt:variant>
        <vt:lpwstr/>
      </vt:variant>
      <vt:variant>
        <vt:lpwstr>_Toc102551269</vt:lpwstr>
      </vt:variant>
      <vt:variant>
        <vt:i4>1376308</vt:i4>
      </vt:variant>
      <vt:variant>
        <vt:i4>20</vt:i4>
      </vt:variant>
      <vt:variant>
        <vt:i4>0</vt:i4>
      </vt:variant>
      <vt:variant>
        <vt:i4>5</vt:i4>
      </vt:variant>
      <vt:variant>
        <vt:lpwstr/>
      </vt:variant>
      <vt:variant>
        <vt:lpwstr>_Toc102551268</vt:lpwstr>
      </vt:variant>
      <vt:variant>
        <vt:i4>1376308</vt:i4>
      </vt:variant>
      <vt:variant>
        <vt:i4>14</vt:i4>
      </vt:variant>
      <vt:variant>
        <vt:i4>0</vt:i4>
      </vt:variant>
      <vt:variant>
        <vt:i4>5</vt:i4>
      </vt:variant>
      <vt:variant>
        <vt:lpwstr/>
      </vt:variant>
      <vt:variant>
        <vt:lpwstr>_Toc102551267</vt:lpwstr>
      </vt:variant>
      <vt:variant>
        <vt:i4>1376308</vt:i4>
      </vt:variant>
      <vt:variant>
        <vt:i4>8</vt:i4>
      </vt:variant>
      <vt:variant>
        <vt:i4>0</vt:i4>
      </vt:variant>
      <vt:variant>
        <vt:i4>5</vt:i4>
      </vt:variant>
      <vt:variant>
        <vt:lpwstr/>
      </vt:variant>
      <vt:variant>
        <vt:lpwstr>_Toc102551266</vt:lpwstr>
      </vt:variant>
      <vt:variant>
        <vt:i4>1376308</vt:i4>
      </vt:variant>
      <vt:variant>
        <vt:i4>2</vt:i4>
      </vt:variant>
      <vt:variant>
        <vt:i4>0</vt:i4>
      </vt:variant>
      <vt:variant>
        <vt:i4>5</vt:i4>
      </vt:variant>
      <vt:variant>
        <vt:lpwstr/>
      </vt:variant>
      <vt:variant>
        <vt:lpwstr>_Toc102551265</vt:lpwstr>
      </vt:variant>
      <vt:variant>
        <vt:i4>7143541</vt:i4>
      </vt:variant>
      <vt:variant>
        <vt:i4>42</vt:i4>
      </vt:variant>
      <vt:variant>
        <vt:i4>0</vt:i4>
      </vt:variant>
      <vt:variant>
        <vt:i4>5</vt:i4>
      </vt:variant>
      <vt:variant>
        <vt:lpwstr>https://par.nsf.gov/servlets/purl/10047476</vt:lpwstr>
      </vt:variant>
      <vt:variant>
        <vt:lpwstr/>
      </vt:variant>
      <vt:variant>
        <vt:i4>6291572</vt:i4>
      </vt:variant>
      <vt:variant>
        <vt:i4>39</vt:i4>
      </vt:variant>
      <vt:variant>
        <vt:i4>0</vt:i4>
      </vt:variant>
      <vt:variant>
        <vt:i4>5</vt:i4>
      </vt:variant>
      <vt:variant>
        <vt:lpwstr>https://www.civildefence.govt.nz/cdem-sector/plans-and-strategies/national-disaster-resilience-strategy/national-disaster-resilience-strategy-summary-version/</vt:lpwstr>
      </vt:variant>
      <vt:variant>
        <vt:lpwstr/>
      </vt:variant>
      <vt:variant>
        <vt:i4>6815848</vt:i4>
      </vt:variant>
      <vt:variant>
        <vt:i4>36</vt:i4>
      </vt:variant>
      <vt:variant>
        <vt:i4>0</vt:i4>
      </vt:variant>
      <vt:variant>
        <vt:i4>5</vt:i4>
      </vt:variant>
      <vt:variant>
        <vt:lpwstr>https://www.orc.govt.nz/media/8882/community-consultation-summary-report-draft.pdf</vt:lpwstr>
      </vt:variant>
      <vt:variant>
        <vt:lpwstr/>
      </vt:variant>
      <vt:variant>
        <vt:i4>8257583</vt:i4>
      </vt:variant>
      <vt:variant>
        <vt:i4>33</vt:i4>
      </vt:variant>
      <vt:variant>
        <vt:i4>0</vt:i4>
      </vt:variant>
      <vt:variant>
        <vt:i4>5</vt:i4>
      </vt:variant>
      <vt:variant>
        <vt:lpwstr>https://www.lawa.org.nz/explore-data/otago-region/</vt:lpwstr>
      </vt:variant>
      <vt:variant>
        <vt:lpwstr/>
      </vt:variant>
      <vt:variant>
        <vt:i4>7077992</vt:i4>
      </vt:variant>
      <vt:variant>
        <vt:i4>30</vt:i4>
      </vt:variant>
      <vt:variant>
        <vt:i4>0</vt:i4>
      </vt:variant>
      <vt:variant>
        <vt:i4>5</vt:i4>
      </vt:variant>
      <vt:variant>
        <vt:lpwstr>https://environment.govt.nz/assets/Publications/Files/environment-aotearoa-2019.pdf</vt:lpwstr>
      </vt:variant>
      <vt:variant>
        <vt:lpwstr/>
      </vt:variant>
      <vt:variant>
        <vt:i4>917508</vt:i4>
      </vt:variant>
      <vt:variant>
        <vt:i4>27</vt:i4>
      </vt:variant>
      <vt:variant>
        <vt:i4>0</vt:i4>
      </vt:variant>
      <vt:variant>
        <vt:i4>5</vt:i4>
      </vt:variant>
      <vt:variant>
        <vt:lpwstr>https://epa.govt.nz/nutrientpollution/effects-economy</vt:lpwstr>
      </vt:variant>
      <vt:variant>
        <vt:lpwstr/>
      </vt:variant>
      <vt:variant>
        <vt:i4>7209011</vt:i4>
      </vt:variant>
      <vt:variant>
        <vt:i4>24</vt:i4>
      </vt:variant>
      <vt:variant>
        <vt:i4>0</vt:i4>
      </vt:variant>
      <vt:variant>
        <vt:i4>5</vt:i4>
      </vt:variant>
      <vt:variant>
        <vt:lpwstr>https://www.mfe.govt.nz/fresh-water/freshwater-acts-and-regulations/national-policy-statement-freshwater-management</vt:lpwstr>
      </vt:variant>
      <vt:variant>
        <vt:lpwstr/>
      </vt:variant>
      <vt:variant>
        <vt:i4>7209011</vt:i4>
      </vt:variant>
      <vt:variant>
        <vt:i4>21</vt:i4>
      </vt:variant>
      <vt:variant>
        <vt:i4>0</vt:i4>
      </vt:variant>
      <vt:variant>
        <vt:i4>5</vt:i4>
      </vt:variant>
      <vt:variant>
        <vt:lpwstr>https://www.mfe.govt.nz/fresh-water/freshwater-acts-and-regulations/national-policy-statement-freshwater-management</vt:lpwstr>
      </vt:variant>
      <vt:variant>
        <vt:lpwstr/>
      </vt:variant>
      <vt:variant>
        <vt:i4>1245261</vt:i4>
      </vt:variant>
      <vt:variant>
        <vt:i4>18</vt:i4>
      </vt:variant>
      <vt:variant>
        <vt:i4>0</vt:i4>
      </vt:variant>
      <vt:variant>
        <vt:i4>5</vt:i4>
      </vt:variant>
      <vt:variant>
        <vt:lpwstr>https://www.stats.govt.nz/tools/2018-census-place-summaries/otago-region</vt:lpwstr>
      </vt:variant>
      <vt:variant>
        <vt:lpwstr/>
      </vt:variant>
      <vt:variant>
        <vt:i4>262238</vt:i4>
      </vt:variant>
      <vt:variant>
        <vt:i4>15</vt:i4>
      </vt:variant>
      <vt:variant>
        <vt:i4>0</vt:i4>
      </vt:variant>
      <vt:variant>
        <vt:i4>5</vt:i4>
      </vt:variant>
      <vt:variant>
        <vt:lpwstr>http://www.allergy.org.nz/site/allergynz/files/Annual Pollen Calendar.pdf</vt:lpwstr>
      </vt:variant>
      <vt:variant>
        <vt:lpwstr/>
      </vt:variant>
      <vt:variant>
        <vt:i4>1966150</vt:i4>
      </vt:variant>
      <vt:variant>
        <vt:i4>12</vt:i4>
      </vt:variant>
      <vt:variant>
        <vt:i4>0</vt:i4>
      </vt:variant>
      <vt:variant>
        <vt:i4>5</vt:i4>
      </vt:variant>
      <vt:variant>
        <vt:lpwstr>https://www.tandfonline.com/doi/abs/10.1080/14735903.2017.1334179?journalCode=tags20</vt:lpwstr>
      </vt:variant>
      <vt:variant>
        <vt:lpwstr/>
      </vt:variant>
      <vt:variant>
        <vt:i4>5701704</vt:i4>
      </vt:variant>
      <vt:variant>
        <vt:i4>9</vt:i4>
      </vt:variant>
      <vt:variant>
        <vt:i4>0</vt:i4>
      </vt:variant>
      <vt:variant>
        <vt:i4>5</vt:i4>
      </vt:variant>
      <vt:variant>
        <vt:lpwstr>https://www.es.govt.nz/repository/libraries/id:26gi9ayo517q9stt81sd/hierarchy/about-us/plans-and-strategies/regional-plans/iwi-management-plan/documents/The Charter of Understanding.pdf</vt:lpwstr>
      </vt:variant>
      <vt:variant>
        <vt:lpwstr/>
      </vt:variant>
      <vt:variant>
        <vt:i4>2949234</vt:i4>
      </vt:variant>
      <vt:variant>
        <vt:i4>6</vt:i4>
      </vt:variant>
      <vt:variant>
        <vt:i4>0</vt:i4>
      </vt:variant>
      <vt:variant>
        <vt:i4>5</vt:i4>
      </vt:variant>
      <vt:variant>
        <vt:lpwstr>https://www.nzta.govt.nz/planning-and-investment/planning/one-network-framework</vt:lpwstr>
      </vt:variant>
      <vt:variant>
        <vt:lpwstr/>
      </vt:variant>
      <vt:variant>
        <vt:i4>3801150</vt:i4>
      </vt:variant>
      <vt:variant>
        <vt:i4>3</vt:i4>
      </vt:variant>
      <vt:variant>
        <vt:i4>0</vt:i4>
      </vt:variant>
      <vt:variant>
        <vt:i4>5</vt:i4>
      </vt:variant>
      <vt:variant>
        <vt:lpwstr>https://www.nzta.govt.nz/roads-and-rail/road-efficiency-group/projects/onrc</vt:lpwstr>
      </vt:variant>
      <vt:variant>
        <vt:lpwstr/>
      </vt:variant>
      <vt:variant>
        <vt:i4>1245261</vt:i4>
      </vt:variant>
      <vt:variant>
        <vt:i4>0</vt:i4>
      </vt:variant>
      <vt:variant>
        <vt:i4>0</vt:i4>
      </vt:variant>
      <vt:variant>
        <vt:i4>5</vt:i4>
      </vt:variant>
      <vt:variant>
        <vt:lpwstr>https://www.stats.govt.nz/tools/2018-census-place-summaries/otago-region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2022-05-09T22:57:00Z</dcterms:created>
  <dcterms:modified xsi:type="dcterms:W3CDTF">2022-05-09T23:16:00Z</dcterms:modified>
</cp:coreProperties>
</file>